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B31C84F" w14:textId="29361CEC" w:rsidR="001F1E9B" w:rsidRPr="00A0367F" w:rsidRDefault="001F1E9B" w:rsidP="548BBB09">
      <w:pPr>
        <w:pStyle w:val="Tabletext"/>
        <w:rPr>
          <w:color w:val="000000" w:themeColor="text1"/>
        </w:rPr>
      </w:pPr>
    </w:p>
    <w:p w14:paraId="2FDE5983" w14:textId="77777777" w:rsidR="001F1E9B" w:rsidRPr="00A0367F" w:rsidRDefault="001F1E9B" w:rsidP="00D34548">
      <w:pPr>
        <w:pStyle w:val="Tabletext"/>
        <w:rPr>
          <w:color w:val="000000" w:themeColor="text1"/>
        </w:rPr>
      </w:pPr>
      <w:bookmarkStart w:id="0" w:name="h.gjdgxs" w:colFirst="0" w:colLast="0"/>
      <w:bookmarkEnd w:id="0"/>
    </w:p>
    <w:p w14:paraId="6D4F53CD" w14:textId="418026E7" w:rsidR="008A473F" w:rsidRPr="00110039" w:rsidRDefault="114B1A48" w:rsidP="114B1A48">
      <w:pPr>
        <w:jc w:val="center"/>
        <w:rPr>
          <w:rFonts w:ascii="Calibri" w:hAnsi="Calibri"/>
          <w:b/>
          <w:bCs/>
          <w:color w:val="000000" w:themeColor="text1"/>
          <w:sz w:val="64"/>
          <w:szCs w:val="64"/>
        </w:rPr>
      </w:pPr>
      <w:r w:rsidRPr="114B1A48">
        <w:rPr>
          <w:rFonts w:ascii="Calibri" w:hAnsi="Calibri"/>
          <w:b/>
          <w:bCs/>
          <w:color w:val="000000" w:themeColor="text1"/>
          <w:sz w:val="64"/>
          <w:szCs w:val="64"/>
        </w:rPr>
        <w:t xml:space="preserve">Clinical Guide for </w:t>
      </w:r>
      <w:r w:rsidR="00DC192B">
        <w:rPr>
          <w:rFonts w:ascii="Calibri" w:hAnsi="Calibri"/>
          <w:b/>
          <w:bCs/>
          <w:color w:val="000000" w:themeColor="text1"/>
          <w:sz w:val="64"/>
          <w:szCs w:val="64"/>
        </w:rPr>
        <w:t>All-</w:t>
      </w:r>
      <w:r w:rsidR="008F0A92">
        <w:rPr>
          <w:rFonts w:ascii="Calibri" w:hAnsi="Calibri"/>
          <w:b/>
          <w:bCs/>
          <w:color w:val="000000" w:themeColor="text1"/>
          <w:sz w:val="64"/>
          <w:szCs w:val="64"/>
        </w:rPr>
        <w:t>O</w:t>
      </w:r>
      <w:r w:rsidR="00DC192B">
        <w:rPr>
          <w:rFonts w:ascii="Calibri" w:hAnsi="Calibri"/>
          <w:b/>
          <w:bCs/>
          <w:color w:val="000000" w:themeColor="text1"/>
          <w:sz w:val="64"/>
          <w:szCs w:val="64"/>
        </w:rPr>
        <w:t xml:space="preserve">ral </w:t>
      </w:r>
      <w:r w:rsidRPr="114B1A48">
        <w:rPr>
          <w:rFonts w:ascii="Calibri" w:hAnsi="Calibri"/>
          <w:b/>
          <w:bCs/>
          <w:color w:val="000000" w:themeColor="text1"/>
          <w:sz w:val="64"/>
          <w:szCs w:val="64"/>
        </w:rPr>
        <w:t xml:space="preserve">Shorter MDR-TB Regimens </w:t>
      </w:r>
    </w:p>
    <w:p w14:paraId="174ED8F0" w14:textId="12767806" w:rsidR="008A473F" w:rsidRPr="00110039" w:rsidRDefault="008A473F" w:rsidP="0513D106">
      <w:pPr>
        <w:jc w:val="center"/>
        <w:rPr>
          <w:rFonts w:ascii="Calibri" w:hAnsi="Calibri"/>
          <w:b/>
          <w:bCs/>
          <w:color w:val="000000" w:themeColor="text1"/>
          <w:sz w:val="64"/>
          <w:szCs w:val="64"/>
        </w:rPr>
      </w:pPr>
    </w:p>
    <w:p w14:paraId="46E51B9F" w14:textId="77777777" w:rsidR="008A473F" w:rsidRPr="00A0367F" w:rsidRDefault="008A473F" w:rsidP="008A473F">
      <w:pPr>
        <w:jc w:val="center"/>
        <w:rPr>
          <w:rFonts w:ascii="Calibri" w:hAnsi="Calibri"/>
          <w:b/>
          <w:color w:val="000000" w:themeColor="text1"/>
          <w:sz w:val="20"/>
          <w:szCs w:val="60"/>
        </w:rPr>
      </w:pPr>
    </w:p>
    <w:p w14:paraId="5E617196" w14:textId="15AF8640" w:rsidR="008A473F" w:rsidRDefault="00522AF3" w:rsidP="0513D106">
      <w:pPr>
        <w:pStyle w:val="Tabletext"/>
        <w:jc w:val="center"/>
        <w:rPr>
          <w:rFonts w:ascii="Calibri" w:hAnsi="Calibri"/>
          <w:color w:val="000000" w:themeColor="text1"/>
          <w:sz w:val="52"/>
          <w:szCs w:val="52"/>
        </w:rPr>
      </w:pPr>
      <w:r>
        <w:rPr>
          <w:rFonts w:ascii="Calibri" w:hAnsi="Calibri"/>
          <w:color w:val="000000" w:themeColor="text1"/>
          <w:sz w:val="52"/>
          <w:szCs w:val="52"/>
        </w:rPr>
        <w:t xml:space="preserve">Draft </w:t>
      </w:r>
      <w:r w:rsidR="0513D106" w:rsidRPr="0513D106">
        <w:rPr>
          <w:rFonts w:ascii="Calibri" w:hAnsi="Calibri"/>
          <w:color w:val="000000" w:themeColor="text1"/>
          <w:sz w:val="52"/>
          <w:szCs w:val="52"/>
        </w:rPr>
        <w:t xml:space="preserve">Version </w:t>
      </w:r>
      <w:r w:rsidR="00780E28">
        <w:rPr>
          <w:rFonts w:ascii="Calibri" w:hAnsi="Calibri"/>
          <w:color w:val="000000" w:themeColor="text1"/>
          <w:sz w:val="52"/>
          <w:szCs w:val="52"/>
        </w:rPr>
        <w:t>1</w:t>
      </w:r>
      <w:r w:rsidR="0513D106" w:rsidRPr="0513D106">
        <w:rPr>
          <w:rFonts w:ascii="Calibri" w:hAnsi="Calibri"/>
          <w:color w:val="000000" w:themeColor="text1"/>
          <w:sz w:val="52"/>
          <w:szCs w:val="52"/>
        </w:rPr>
        <w:t>.</w:t>
      </w:r>
      <w:r w:rsidR="00E139D6">
        <w:rPr>
          <w:rFonts w:ascii="Calibri" w:hAnsi="Calibri"/>
          <w:color w:val="000000" w:themeColor="text1"/>
          <w:sz w:val="52"/>
          <w:szCs w:val="52"/>
        </w:rPr>
        <w:t>4</w:t>
      </w:r>
    </w:p>
    <w:p w14:paraId="0503F262" w14:textId="2A04C7D9" w:rsidR="00391C42" w:rsidRPr="00A0367F" w:rsidRDefault="00FA7517" w:rsidP="0513D106">
      <w:pPr>
        <w:pStyle w:val="Tabletext"/>
        <w:jc w:val="center"/>
        <w:rPr>
          <w:rFonts w:ascii="Calibri" w:hAnsi="Calibri"/>
          <w:color w:val="000000" w:themeColor="text1"/>
          <w:sz w:val="52"/>
          <w:szCs w:val="52"/>
        </w:rPr>
      </w:pPr>
      <w:r>
        <w:rPr>
          <w:rFonts w:ascii="Calibri" w:hAnsi="Calibri"/>
          <w:color w:val="000000" w:themeColor="text1"/>
          <w:sz w:val="52"/>
          <w:szCs w:val="52"/>
        </w:rPr>
        <w:t>July</w:t>
      </w:r>
      <w:r w:rsidR="00391C42">
        <w:rPr>
          <w:rFonts w:ascii="Calibri" w:hAnsi="Calibri"/>
          <w:color w:val="000000" w:themeColor="text1"/>
          <w:sz w:val="52"/>
          <w:szCs w:val="52"/>
        </w:rPr>
        <w:t xml:space="preserve"> 2019</w:t>
      </w:r>
    </w:p>
    <w:p w14:paraId="5B4F64A0" w14:textId="285AD37E" w:rsidR="001F1E9B" w:rsidRDefault="001F1E9B" w:rsidP="004E7CE8">
      <w:pPr>
        <w:jc w:val="center"/>
        <w:rPr>
          <w:color w:val="000000" w:themeColor="text1"/>
        </w:rPr>
      </w:pPr>
    </w:p>
    <w:p w14:paraId="3F70561A" w14:textId="49D2E6FA" w:rsidR="00391C42" w:rsidRDefault="00391C42" w:rsidP="004E7CE8">
      <w:pPr>
        <w:jc w:val="center"/>
        <w:rPr>
          <w:color w:val="000000" w:themeColor="text1"/>
        </w:rPr>
      </w:pPr>
    </w:p>
    <w:p w14:paraId="3AF3DFC9" w14:textId="77777777" w:rsidR="00391C42" w:rsidRPr="00A0367F" w:rsidRDefault="00391C42" w:rsidP="004E7CE8">
      <w:pPr>
        <w:jc w:val="center"/>
        <w:rPr>
          <w:color w:val="000000" w:themeColor="text1"/>
        </w:rPr>
      </w:pPr>
    </w:p>
    <w:p w14:paraId="6AAD2850" w14:textId="0F73D2F7" w:rsidR="00234091" w:rsidRDefault="00234091" w:rsidP="0013582A"/>
    <w:p w14:paraId="1AA24A0C" w14:textId="1AE0B8C6" w:rsidR="00234091" w:rsidRDefault="00234091" w:rsidP="17B271DD">
      <w:pPr>
        <w:jc w:val="center"/>
      </w:pPr>
    </w:p>
    <w:p w14:paraId="5D4B808A" w14:textId="093D4567" w:rsidR="4B53EB66" w:rsidRDefault="00761759" w:rsidP="00391C42">
      <w:pPr>
        <w:spacing w:line="259" w:lineRule="auto"/>
        <w:jc w:val="center"/>
      </w:pPr>
      <w:r>
        <w:rPr>
          <w:noProof/>
        </w:rPr>
        <mc:AlternateContent>
          <mc:Choice Requires="wps">
            <w:drawing>
              <wp:anchor distT="0" distB="0" distL="114300" distR="114300" simplePos="0" relativeHeight="251658240" behindDoc="0" locked="0" layoutInCell="1" allowOverlap="1" wp14:anchorId="2D62F08B" wp14:editId="2C4359F2">
                <wp:simplePos x="0" y="0"/>
                <wp:positionH relativeFrom="column">
                  <wp:posOffset>160020</wp:posOffset>
                </wp:positionH>
                <wp:positionV relativeFrom="paragraph">
                  <wp:posOffset>240030</wp:posOffset>
                </wp:positionV>
                <wp:extent cx="5928360" cy="1066800"/>
                <wp:effectExtent l="0" t="0" r="15240" b="12700"/>
                <wp:wrapNone/>
                <wp:docPr id="27" name="Text Box 27"/>
                <wp:cNvGraphicFramePr/>
                <a:graphic xmlns:a="http://schemas.openxmlformats.org/drawingml/2006/main">
                  <a:graphicData uri="http://schemas.microsoft.com/office/word/2010/wordprocessingShape">
                    <wps:wsp>
                      <wps:cNvSpPr txBox="1"/>
                      <wps:spPr>
                        <a:xfrm>
                          <a:off x="0" y="0"/>
                          <a:ext cx="5928360" cy="1066800"/>
                        </a:xfrm>
                        <a:prstGeom prst="rect">
                          <a:avLst/>
                        </a:prstGeom>
                        <a:solidFill>
                          <a:schemeClr val="lt1"/>
                        </a:solidFill>
                        <a:ln w="6350">
                          <a:solidFill>
                            <a:prstClr val="black"/>
                          </a:solidFill>
                        </a:ln>
                      </wps:spPr>
                      <wps:txbx>
                        <w:txbxContent>
                          <w:p w14:paraId="1417793C" w14:textId="23D9C553" w:rsidR="00395962" w:rsidRDefault="00395962" w:rsidP="007C09A0">
                            <w:pPr>
                              <w:pStyle w:val="Tabletext"/>
                              <w:jc w:val="center"/>
                              <w:rPr>
                                <w:rFonts w:ascii="Calibri" w:hAnsi="Calibri"/>
                                <w:color w:val="000000" w:themeColor="text1"/>
                                <w:sz w:val="28"/>
                                <w:szCs w:val="28"/>
                              </w:rPr>
                            </w:pPr>
                            <w:r w:rsidRPr="00395869">
                              <w:rPr>
                                <w:rFonts w:ascii="Calibri" w:hAnsi="Calibri"/>
                                <w:color w:val="000000" w:themeColor="text1"/>
                                <w:sz w:val="28"/>
                                <w:szCs w:val="28"/>
                              </w:rPr>
                              <w:t>Version 1.</w:t>
                            </w:r>
                            <w:r w:rsidR="0013582A">
                              <w:rPr>
                                <w:rFonts w:ascii="Calibri" w:hAnsi="Calibri"/>
                                <w:color w:val="000000" w:themeColor="text1"/>
                                <w:sz w:val="28"/>
                                <w:szCs w:val="28"/>
                              </w:rPr>
                              <w:t>4</w:t>
                            </w:r>
                            <w:r w:rsidRPr="00395869">
                              <w:rPr>
                                <w:rFonts w:ascii="Calibri" w:hAnsi="Calibri"/>
                                <w:color w:val="000000" w:themeColor="text1"/>
                                <w:sz w:val="28"/>
                                <w:szCs w:val="28"/>
                              </w:rPr>
                              <w:t xml:space="preserve"> has been produced for the Global Consultation on Transition Towards New and Better Treatments of Drug-Resistant TB and Latent TB Infection</w:t>
                            </w:r>
                            <w:r>
                              <w:rPr>
                                <w:rFonts w:ascii="Calibri" w:hAnsi="Calibri"/>
                                <w:color w:val="000000" w:themeColor="text1"/>
                                <w:sz w:val="28"/>
                                <w:szCs w:val="28"/>
                              </w:rPr>
                              <w:t>.</w:t>
                            </w:r>
                            <w:r w:rsidRPr="00395869">
                              <w:rPr>
                                <w:rFonts w:ascii="Calibri" w:hAnsi="Calibri"/>
                                <w:color w:val="000000" w:themeColor="text1"/>
                                <w:sz w:val="28"/>
                                <w:szCs w:val="28"/>
                              </w:rPr>
                              <w:t xml:space="preserve"> Dubai, 08-12 July 2012.  The guide is a living document and will be periodically updated and published at </w:t>
                            </w:r>
                            <w:hyperlink r:id="rId11" w:history="1">
                              <w:r w:rsidRPr="005356AD">
                                <w:rPr>
                                  <w:rStyle w:val="Hyperlink"/>
                                  <w:rFonts w:ascii="Calibri" w:hAnsi="Calibri"/>
                                  <w:sz w:val="28"/>
                                  <w:szCs w:val="28"/>
                                </w:rPr>
                                <w:t>www.endTB.org</w:t>
                              </w:r>
                            </w:hyperlink>
                          </w:p>
                          <w:p w14:paraId="39FC0A95" w14:textId="77777777" w:rsidR="00395962" w:rsidRDefault="00395962" w:rsidP="00395869">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62F08B" id="_x0000_t202" coordsize="21600,21600" o:spt="202" path="m,l,21600r21600,l21600,xe">
                <v:stroke joinstyle="miter"/>
                <v:path gradientshapeok="t" o:connecttype="rect"/>
              </v:shapetype>
              <v:shape id="Text Box 27" o:spid="_x0000_s1026" type="#_x0000_t202" style="position:absolute;left:0;text-align:left;margin-left:12.6pt;margin-top:18.9pt;width:466.8pt;height:84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" fillcolor="white [3201]" strokeweight=".5pt">
                <v:textbox>
                  <w:txbxContent>
                    <w:p w14:paraId="1417793C" w14:textId="23D9C553" w:rsidR="00395962" w:rsidRDefault="00395962" w:rsidP="007C09A0">
                      <w:pPr>
                        <w:pStyle w:val="Tabletext"/>
                        <w:jc w:val="center"/>
                        <w:rPr>
                          <w:rFonts w:ascii="Calibri" w:hAnsi="Calibri"/>
                          <w:color w:val="000000" w:themeColor="text1"/>
                          <w:sz w:val="28"/>
                          <w:szCs w:val="28"/>
                        </w:rPr>
                      </w:pPr>
                      <w:r w:rsidRPr="00395869">
                        <w:rPr>
                          <w:rFonts w:ascii="Calibri" w:hAnsi="Calibri"/>
                          <w:color w:val="000000" w:themeColor="text1"/>
                          <w:sz w:val="28"/>
                          <w:szCs w:val="28"/>
                        </w:rPr>
                        <w:t>Version 1.</w:t>
                      </w:r>
                      <w:r w:rsidR="0013582A">
                        <w:rPr>
                          <w:rFonts w:ascii="Calibri" w:hAnsi="Calibri"/>
                          <w:color w:val="000000" w:themeColor="text1"/>
                          <w:sz w:val="28"/>
                          <w:szCs w:val="28"/>
                        </w:rPr>
                        <w:t>4</w:t>
                      </w:r>
                      <w:r w:rsidRPr="00395869">
                        <w:rPr>
                          <w:rFonts w:ascii="Calibri" w:hAnsi="Calibri"/>
                          <w:color w:val="000000" w:themeColor="text1"/>
                          <w:sz w:val="28"/>
                          <w:szCs w:val="28"/>
                        </w:rPr>
                        <w:t xml:space="preserve"> has been produced for the Global Consultation on Transition Towards New and Better Treatments of Drug-Resistant TB and Latent TB Infection</w:t>
                      </w:r>
                      <w:r>
                        <w:rPr>
                          <w:rFonts w:ascii="Calibri" w:hAnsi="Calibri"/>
                          <w:color w:val="000000" w:themeColor="text1"/>
                          <w:sz w:val="28"/>
                          <w:szCs w:val="28"/>
                        </w:rPr>
                        <w:t>.</w:t>
                      </w:r>
                      <w:r w:rsidRPr="00395869">
                        <w:rPr>
                          <w:rFonts w:ascii="Calibri" w:hAnsi="Calibri"/>
                          <w:color w:val="000000" w:themeColor="text1"/>
                          <w:sz w:val="28"/>
                          <w:szCs w:val="28"/>
                        </w:rPr>
                        <w:t xml:space="preserve"> Dubai, 08-12 July 2012.  The guide is a living document and will be periodically updated and published at </w:t>
                      </w:r>
                      <w:hyperlink r:id="rId12" w:history="1">
                        <w:r w:rsidRPr="005356AD">
                          <w:rPr>
                            <w:rStyle w:val="Hyperlink"/>
                            <w:rFonts w:ascii="Calibri" w:hAnsi="Calibri"/>
                            <w:sz w:val="28"/>
                            <w:szCs w:val="28"/>
                          </w:rPr>
                          <w:t>www.endTB.org</w:t>
                        </w:r>
                      </w:hyperlink>
                    </w:p>
                    <w:p w14:paraId="39FC0A95" w14:textId="77777777" w:rsidR="00395962" w:rsidRDefault="00395962" w:rsidP="00395869">
                      <w:pPr>
                        <w:jc w:val="left"/>
                      </w:pPr>
                    </w:p>
                  </w:txbxContent>
                </v:textbox>
              </v:shape>
            </w:pict>
          </mc:Fallback>
        </mc:AlternateContent>
      </w:r>
    </w:p>
    <w:p w14:paraId="269B31FD" w14:textId="3A686E59" w:rsidR="001F1E9B" w:rsidRDefault="001F1E9B" w:rsidP="00D34548">
      <w:pPr>
        <w:pStyle w:val="Tabletext"/>
      </w:pPr>
    </w:p>
    <w:p w14:paraId="659054AD" w14:textId="299DAB35" w:rsidR="008F0A92" w:rsidRDefault="008F0A92" w:rsidP="00D34548">
      <w:pPr>
        <w:pStyle w:val="Tabletext"/>
      </w:pPr>
    </w:p>
    <w:p w14:paraId="321F51CD" w14:textId="5824722E" w:rsidR="008F0A92" w:rsidRDefault="008F0A92" w:rsidP="00D34548">
      <w:pPr>
        <w:pStyle w:val="Tabletext"/>
      </w:pPr>
    </w:p>
    <w:p w14:paraId="570593E0" w14:textId="0C06DFB4" w:rsidR="008F0A92" w:rsidRDefault="008F0A92" w:rsidP="00D34548">
      <w:pPr>
        <w:pStyle w:val="Tabletext"/>
      </w:pPr>
    </w:p>
    <w:p w14:paraId="7EC0C25F" w14:textId="43EDA960" w:rsidR="008F0A92" w:rsidRDefault="008F0A92" w:rsidP="00D34548">
      <w:pPr>
        <w:pStyle w:val="Tabletext"/>
      </w:pPr>
    </w:p>
    <w:p w14:paraId="0F87B340" w14:textId="63F45CE3" w:rsidR="008F0A92" w:rsidRDefault="008F0A92" w:rsidP="00D34548">
      <w:pPr>
        <w:pStyle w:val="Tabletext"/>
      </w:pPr>
    </w:p>
    <w:p w14:paraId="309C6AF9" w14:textId="7BC0AB9E" w:rsidR="008F0A92" w:rsidRDefault="008F0A92" w:rsidP="00D34548">
      <w:pPr>
        <w:pStyle w:val="Tabletext"/>
      </w:pPr>
    </w:p>
    <w:p w14:paraId="2984D272" w14:textId="678A379A" w:rsidR="008F0A92" w:rsidRDefault="008F0A92" w:rsidP="00D34548">
      <w:pPr>
        <w:pStyle w:val="Tabletext"/>
      </w:pPr>
    </w:p>
    <w:p w14:paraId="3C840721" w14:textId="62BA1E66" w:rsidR="008F0A92" w:rsidRDefault="00971BB4" w:rsidP="00D34548">
      <w:pPr>
        <w:pStyle w:val="Tabletext"/>
      </w:pPr>
      <w:r>
        <w:t xml:space="preserve">Logos to be added </w:t>
      </w:r>
      <w:r w:rsidR="009D4C5C">
        <w:t>to final version (if granted authorization from the organization)</w:t>
      </w:r>
    </w:p>
    <w:p w14:paraId="210038EB" w14:textId="1E8ECA94" w:rsidR="009D4C5C" w:rsidRDefault="009D4C5C" w:rsidP="009D4C5C">
      <w:pPr>
        <w:pStyle w:val="Tabletext"/>
        <w:numPr>
          <w:ilvl w:val="0"/>
          <w:numId w:val="46"/>
        </w:numPr>
      </w:pPr>
      <w:r>
        <w:t>PIH</w:t>
      </w:r>
    </w:p>
    <w:p w14:paraId="44A858E0" w14:textId="42A2A20D" w:rsidR="009D4C5C" w:rsidRDefault="009D4C5C" w:rsidP="009D4C5C">
      <w:pPr>
        <w:pStyle w:val="Tabletext"/>
        <w:numPr>
          <w:ilvl w:val="0"/>
          <w:numId w:val="46"/>
        </w:numPr>
      </w:pPr>
      <w:r>
        <w:t>MSF</w:t>
      </w:r>
    </w:p>
    <w:p w14:paraId="742FB4A5" w14:textId="66FE476F" w:rsidR="009D4C5C" w:rsidRDefault="009D4C5C" w:rsidP="009D4C5C">
      <w:pPr>
        <w:pStyle w:val="Tabletext"/>
        <w:numPr>
          <w:ilvl w:val="0"/>
          <w:numId w:val="46"/>
        </w:numPr>
      </w:pPr>
      <w:r>
        <w:t>IRD</w:t>
      </w:r>
    </w:p>
    <w:p w14:paraId="44076BF4" w14:textId="72BCCCC1" w:rsidR="009D4C5C" w:rsidRDefault="009D4C5C" w:rsidP="009D4C5C">
      <w:pPr>
        <w:pStyle w:val="Tabletext"/>
        <w:numPr>
          <w:ilvl w:val="0"/>
          <w:numId w:val="46"/>
        </w:numPr>
      </w:pPr>
      <w:r>
        <w:t>endTB</w:t>
      </w:r>
    </w:p>
    <w:p w14:paraId="3B064788" w14:textId="1789C168" w:rsidR="009D4C5C" w:rsidRDefault="009D4C5C" w:rsidP="009D4C5C">
      <w:pPr>
        <w:pStyle w:val="Tabletext"/>
        <w:numPr>
          <w:ilvl w:val="0"/>
          <w:numId w:val="46"/>
        </w:numPr>
      </w:pPr>
      <w:r>
        <w:t>Unitaid</w:t>
      </w:r>
    </w:p>
    <w:p w14:paraId="1ACD843B" w14:textId="1E0FBA65" w:rsidR="009D4C5C" w:rsidRDefault="009D4C5C" w:rsidP="009D4C5C">
      <w:pPr>
        <w:pStyle w:val="Tabletext"/>
        <w:numPr>
          <w:ilvl w:val="0"/>
          <w:numId w:val="46"/>
        </w:numPr>
      </w:pPr>
      <w:r>
        <w:t>Center for Global Health Deliver</w:t>
      </w:r>
      <w:r w:rsidR="00DC3E45">
        <w:t>y</w:t>
      </w:r>
      <w:r>
        <w:t xml:space="preserve"> – Dubai</w:t>
      </w:r>
      <w:r w:rsidR="00DC3E45">
        <w:t xml:space="preserve">, </w:t>
      </w:r>
      <w:r>
        <w:t>Harvard Medical School</w:t>
      </w:r>
    </w:p>
    <w:p w14:paraId="450E48A9" w14:textId="3DF66852" w:rsidR="009D4C5C" w:rsidRDefault="009D4C5C" w:rsidP="009D4C5C">
      <w:pPr>
        <w:pStyle w:val="Tabletext"/>
        <w:numPr>
          <w:ilvl w:val="0"/>
          <w:numId w:val="46"/>
        </w:numPr>
      </w:pPr>
      <w:r>
        <w:t>Sentinel Project</w:t>
      </w:r>
    </w:p>
    <w:p w14:paraId="708F8415" w14:textId="4CCB1A0E" w:rsidR="007C09A0" w:rsidRDefault="007C09A0" w:rsidP="00D34548">
      <w:pPr>
        <w:pStyle w:val="Tabletext"/>
      </w:pPr>
    </w:p>
    <w:p w14:paraId="26B371D1" w14:textId="77777777" w:rsidR="007C09A0" w:rsidRPr="00D956AC" w:rsidRDefault="007C09A0" w:rsidP="00D34548">
      <w:pPr>
        <w:pStyle w:val="Tabletext"/>
      </w:pPr>
    </w:p>
    <w:p w14:paraId="2BC10F97" w14:textId="59CF9CED" w:rsidR="008F0A92" w:rsidRDefault="008F0A92">
      <w:pPr>
        <w:spacing w:before="0" w:after="0"/>
        <w:jc w:val="left"/>
      </w:pPr>
      <w:r>
        <w:lastRenderedPageBreak/>
        <w:t xml:space="preserve">                                           </w:t>
      </w:r>
    </w:p>
    <w:p w14:paraId="7E07FE8F" w14:textId="77777777" w:rsidR="007C09A0" w:rsidRDefault="007C09A0">
      <w:pPr>
        <w:spacing w:before="0" w:after="0"/>
        <w:jc w:val="left"/>
      </w:pPr>
    </w:p>
    <w:p w14:paraId="77CEA888" w14:textId="310CF658" w:rsidR="00971BB4" w:rsidRDefault="00971BB4">
      <w:pPr>
        <w:spacing w:before="0" w:after="0"/>
        <w:jc w:val="left"/>
      </w:pPr>
    </w:p>
    <w:p w14:paraId="2AD97819" w14:textId="59283D90" w:rsidR="00423CCA" w:rsidRDefault="008F0A92">
      <w:pPr>
        <w:spacing w:before="0" w:after="0"/>
        <w:jc w:val="left"/>
      </w:pPr>
      <w:r>
        <w:t xml:space="preserve">                                                   </w:t>
      </w:r>
    </w:p>
    <w:p w14:paraId="73E131F8" w14:textId="01E3EE12" w:rsidR="00423CCA" w:rsidRPr="00B85017" w:rsidRDefault="3DDA1778" w:rsidP="3DDA1778">
      <w:pPr>
        <w:rPr>
          <w:rFonts w:asciiTheme="minorHAnsi" w:eastAsiaTheme="minorEastAsia" w:hAnsiTheme="minorHAnsi" w:cstheme="minorBidi"/>
          <w:b/>
          <w:bCs/>
          <w:color w:val="000000" w:themeColor="text1"/>
          <w:sz w:val="32"/>
          <w:szCs w:val="32"/>
        </w:rPr>
      </w:pPr>
      <w:r w:rsidRPr="3DDA1778">
        <w:rPr>
          <w:rFonts w:asciiTheme="minorHAnsi" w:eastAsiaTheme="minorEastAsia" w:hAnsiTheme="minorHAnsi" w:cstheme="minorBidi"/>
          <w:b/>
          <w:bCs/>
          <w:color w:val="000000" w:themeColor="text1"/>
          <w:sz w:val="32"/>
          <w:szCs w:val="32"/>
        </w:rPr>
        <w:t>Notice</w:t>
      </w:r>
    </w:p>
    <w:p w14:paraId="2146DD99" w14:textId="371E1FEA" w:rsidR="005A7FD5" w:rsidRPr="00CB1778" w:rsidRDefault="0513D106" w:rsidP="00981D9C">
      <w:pPr>
        <w:rPr>
          <w:rFonts w:asciiTheme="minorHAnsi" w:hAnsiTheme="minorHAnsi" w:cstheme="minorHAnsi"/>
          <w:color w:val="000000" w:themeColor="text1"/>
        </w:rPr>
      </w:pPr>
      <w:r w:rsidRPr="00CB1778">
        <w:rPr>
          <w:rFonts w:asciiTheme="minorHAnsi" w:hAnsiTheme="minorHAnsi" w:cstheme="minorHAnsi"/>
          <w:color w:val="000000" w:themeColor="text1"/>
        </w:rPr>
        <w:t>This guide is designed to give</w:t>
      </w:r>
      <w:r w:rsidR="00EB0C63" w:rsidRPr="00CB1778">
        <w:rPr>
          <w:rFonts w:asciiTheme="minorHAnsi" w:hAnsiTheme="minorHAnsi" w:cstheme="minorHAnsi"/>
          <w:color w:val="000000" w:themeColor="text1"/>
        </w:rPr>
        <w:t xml:space="preserve"> clinical</w:t>
      </w:r>
      <w:r w:rsidRPr="00CB1778">
        <w:rPr>
          <w:rFonts w:asciiTheme="minorHAnsi" w:hAnsiTheme="minorHAnsi" w:cstheme="minorHAnsi"/>
          <w:color w:val="000000" w:themeColor="text1"/>
        </w:rPr>
        <w:t xml:space="preserve"> guidance </w:t>
      </w:r>
      <w:r w:rsidR="009F3F51" w:rsidRPr="00CB1778">
        <w:rPr>
          <w:rFonts w:asciiTheme="minorHAnsi" w:hAnsiTheme="minorHAnsi" w:cstheme="minorHAnsi"/>
          <w:color w:val="000000" w:themeColor="text1"/>
        </w:rPr>
        <w:t xml:space="preserve">on implementing all-oral shorter </w:t>
      </w:r>
      <w:r w:rsidR="0086578B" w:rsidRPr="00CB1778">
        <w:rPr>
          <w:rFonts w:asciiTheme="minorHAnsi" w:hAnsiTheme="minorHAnsi" w:cstheme="minorHAnsi"/>
          <w:color w:val="000000" w:themeColor="text1"/>
        </w:rPr>
        <w:t xml:space="preserve">MDR-TB </w:t>
      </w:r>
      <w:r w:rsidR="009F3F51" w:rsidRPr="00CB1778">
        <w:rPr>
          <w:rFonts w:asciiTheme="minorHAnsi" w:hAnsiTheme="minorHAnsi" w:cstheme="minorHAnsi"/>
          <w:color w:val="000000" w:themeColor="text1"/>
        </w:rPr>
        <w:t>treatment</w:t>
      </w:r>
      <w:r w:rsidR="00EB0C63" w:rsidRPr="00CB1778">
        <w:rPr>
          <w:rFonts w:asciiTheme="minorHAnsi" w:hAnsiTheme="minorHAnsi" w:cstheme="minorHAnsi"/>
          <w:color w:val="000000" w:themeColor="text1"/>
        </w:rPr>
        <w:t xml:space="preserve"> under operational research </w:t>
      </w:r>
      <w:r w:rsidR="0086578B" w:rsidRPr="00CB1778">
        <w:rPr>
          <w:rFonts w:asciiTheme="minorHAnsi" w:hAnsiTheme="minorHAnsi" w:cstheme="minorHAnsi"/>
          <w:color w:val="000000" w:themeColor="text1"/>
        </w:rPr>
        <w:t>conditions</w:t>
      </w:r>
      <w:r w:rsidRPr="00CB1778">
        <w:rPr>
          <w:rFonts w:asciiTheme="minorHAnsi" w:hAnsiTheme="minorHAnsi" w:cstheme="minorHAnsi"/>
          <w:color w:val="000000" w:themeColor="text1"/>
        </w:rPr>
        <w:t>. It is intended to be a resource for physicians and other health care professionals</w:t>
      </w:r>
      <w:r w:rsidR="0036781F" w:rsidRPr="00CB1778">
        <w:rPr>
          <w:rFonts w:asciiTheme="minorHAnsi" w:hAnsiTheme="minorHAnsi" w:cstheme="minorHAnsi"/>
          <w:color w:val="000000" w:themeColor="text1"/>
        </w:rPr>
        <w:t>.</w:t>
      </w:r>
      <w:r w:rsidRPr="00CB1778">
        <w:rPr>
          <w:rFonts w:asciiTheme="minorHAnsi" w:hAnsiTheme="minorHAnsi" w:cstheme="minorHAnsi"/>
          <w:color w:val="000000" w:themeColor="text1"/>
        </w:rPr>
        <w:t xml:space="preserve"> Every effort possible has been made to ensure that the material presented here is accurate, reliable, and in accord with current standards. </w:t>
      </w:r>
    </w:p>
    <w:p w14:paraId="36AFFCA4" w14:textId="19BB13B3" w:rsidR="005A7FD5" w:rsidRPr="00CB1778" w:rsidRDefault="0513D106" w:rsidP="00981D9C">
      <w:pPr>
        <w:rPr>
          <w:rFonts w:asciiTheme="minorHAnsi" w:hAnsiTheme="minorHAnsi" w:cstheme="minorHAnsi"/>
          <w:color w:val="000000" w:themeColor="text1"/>
        </w:rPr>
      </w:pPr>
      <w:r w:rsidRPr="00CB1778">
        <w:rPr>
          <w:rFonts w:asciiTheme="minorHAnsi" w:hAnsiTheme="minorHAnsi" w:cstheme="minorHAnsi"/>
          <w:color w:val="000000" w:themeColor="text1"/>
        </w:rPr>
        <w:t xml:space="preserve">It is the responsibility of the individual physician or other health care professional to use his/her best medical judgment in determining appropriate patient care or treatment. Your use of this guide is provided on an </w:t>
      </w:r>
      <w:r w:rsidR="00CA0E28" w:rsidRPr="00CB1778">
        <w:rPr>
          <w:rFonts w:asciiTheme="minorHAnsi" w:hAnsiTheme="minorHAnsi" w:cstheme="minorHAnsi"/>
          <w:color w:val="000000" w:themeColor="text1"/>
        </w:rPr>
        <w:t>"</w:t>
      </w:r>
      <w:r w:rsidRPr="00CB1778">
        <w:rPr>
          <w:rFonts w:asciiTheme="minorHAnsi" w:hAnsiTheme="minorHAnsi" w:cstheme="minorHAnsi"/>
          <w:color w:val="000000" w:themeColor="text1"/>
        </w:rPr>
        <w:t>as-is</w:t>
      </w:r>
      <w:r w:rsidR="00CA0E28" w:rsidRPr="00CB1778">
        <w:rPr>
          <w:rFonts w:asciiTheme="minorHAnsi" w:hAnsiTheme="minorHAnsi" w:cstheme="minorHAnsi"/>
          <w:color w:val="000000" w:themeColor="text1"/>
        </w:rPr>
        <w:t>"</w:t>
      </w:r>
      <w:r w:rsidRPr="00CB1778">
        <w:rPr>
          <w:rFonts w:asciiTheme="minorHAnsi" w:hAnsiTheme="minorHAnsi" w:cstheme="minorHAnsi"/>
          <w:color w:val="000000" w:themeColor="text1"/>
        </w:rPr>
        <w:t xml:space="preserve"> basis without warranty of any kind, and none of the entities listed above represent or </w:t>
      </w:r>
      <w:r w:rsidR="0036781F" w:rsidRPr="00CB1778">
        <w:rPr>
          <w:rFonts w:asciiTheme="minorHAnsi" w:hAnsiTheme="minorHAnsi" w:cstheme="minorHAnsi"/>
          <w:color w:val="000000" w:themeColor="text1"/>
        </w:rPr>
        <w:t xml:space="preserve">guarantee </w:t>
      </w:r>
      <w:r w:rsidRPr="00CB1778">
        <w:rPr>
          <w:rFonts w:asciiTheme="minorHAnsi" w:hAnsiTheme="minorHAnsi" w:cstheme="minorHAnsi"/>
          <w:color w:val="000000" w:themeColor="text1"/>
        </w:rPr>
        <w:t xml:space="preserve">that the information contained herein is complete or accurate or free from error. By choosing to use this guide, you acknowledge and agree to the terms of this disclaimer. </w:t>
      </w:r>
    </w:p>
    <w:p w14:paraId="187BF30D" w14:textId="38B40EC6" w:rsidR="005A7FD5" w:rsidRPr="00CB1778" w:rsidRDefault="0513D106" w:rsidP="00981D9C">
      <w:pPr>
        <w:rPr>
          <w:rFonts w:asciiTheme="minorHAnsi" w:hAnsiTheme="minorHAnsi" w:cstheme="minorHAnsi"/>
          <w:color w:val="000000" w:themeColor="text1"/>
        </w:rPr>
      </w:pPr>
      <w:r w:rsidRPr="00CB1778">
        <w:rPr>
          <w:rFonts w:asciiTheme="minorHAnsi" w:hAnsiTheme="minorHAnsi" w:cstheme="minorHAnsi"/>
          <w:color w:val="000000" w:themeColor="text1"/>
        </w:rPr>
        <w:t xml:space="preserve">Updated versions of this guide are posted at </w:t>
      </w:r>
      <w:hyperlink r:id="rId13">
        <w:r w:rsidRPr="00CB1778">
          <w:rPr>
            <w:rStyle w:val="Hyperlink"/>
            <w:rFonts w:asciiTheme="minorHAnsi" w:hAnsiTheme="minorHAnsi" w:cstheme="minorHAnsi"/>
            <w:color w:val="000000" w:themeColor="text1"/>
          </w:rPr>
          <w:t>www.endTB.org</w:t>
        </w:r>
      </w:hyperlink>
      <w:r w:rsidRPr="00CB1778">
        <w:rPr>
          <w:rFonts w:asciiTheme="minorHAnsi" w:hAnsiTheme="minorHAnsi" w:cstheme="minorHAnsi"/>
          <w:color w:val="000000" w:themeColor="text1"/>
        </w:rPr>
        <w:t xml:space="preserve">.  </w:t>
      </w:r>
    </w:p>
    <w:p w14:paraId="6627FA89" w14:textId="7B5278E8" w:rsidR="005A7FD5" w:rsidRPr="00CB1778" w:rsidRDefault="0513D106" w:rsidP="00981D9C">
      <w:pPr>
        <w:rPr>
          <w:rFonts w:asciiTheme="minorHAnsi" w:hAnsiTheme="minorHAnsi" w:cstheme="minorHAnsi"/>
          <w:color w:val="000000" w:themeColor="text1"/>
        </w:rPr>
      </w:pPr>
      <w:r w:rsidRPr="00CB1778">
        <w:rPr>
          <w:rFonts w:asciiTheme="minorHAnsi" w:hAnsiTheme="minorHAnsi" w:cstheme="minorHAnsi"/>
          <w:color w:val="000000" w:themeColor="text1"/>
        </w:rPr>
        <w:t>If reproducing part or all of this guide, please reference with the appropriate version and date</w:t>
      </w:r>
      <w:r w:rsidR="00793D8E" w:rsidRPr="00CB1778">
        <w:rPr>
          <w:rFonts w:asciiTheme="minorHAnsi" w:hAnsiTheme="minorHAnsi" w:cstheme="minorHAnsi"/>
          <w:color w:val="000000" w:themeColor="text1"/>
        </w:rPr>
        <w:t>. Suggested reference:</w:t>
      </w:r>
    </w:p>
    <w:p w14:paraId="7F616E7B" w14:textId="6EA79CE4" w:rsidR="00CE5080" w:rsidRPr="00CB1778" w:rsidRDefault="00215535" w:rsidP="00CE5080">
      <w:pPr>
        <w:ind w:left="360" w:right="387"/>
        <w:rPr>
          <w:rFonts w:asciiTheme="minorHAnsi" w:hAnsiTheme="minorHAnsi" w:cstheme="minorHAnsi"/>
          <w:color w:val="000000" w:themeColor="text1"/>
        </w:rPr>
      </w:pPr>
      <w:r w:rsidRPr="00CB1778">
        <w:rPr>
          <w:rFonts w:asciiTheme="minorHAnsi" w:hAnsiTheme="minorHAnsi" w:cstheme="minorHAnsi"/>
          <w:color w:val="000000" w:themeColor="text1"/>
        </w:rPr>
        <w:t xml:space="preserve">Partners In Health, </w:t>
      </w:r>
      <w:r w:rsidR="00793D8E" w:rsidRPr="00CB1778">
        <w:rPr>
          <w:rFonts w:asciiTheme="minorHAnsi" w:hAnsiTheme="minorHAnsi" w:cstheme="minorHAnsi"/>
          <w:color w:val="000000" w:themeColor="text1"/>
        </w:rPr>
        <w:t>Médecins Sans Frontières</w:t>
      </w:r>
      <w:r w:rsidR="008230F6" w:rsidRPr="00CB1778">
        <w:rPr>
          <w:rFonts w:asciiTheme="minorHAnsi" w:hAnsiTheme="minorHAnsi" w:cstheme="minorHAnsi"/>
          <w:color w:val="000000" w:themeColor="text1"/>
        </w:rPr>
        <w:t>, Interactive Research and D</w:t>
      </w:r>
      <w:r w:rsidR="00793D8E" w:rsidRPr="00CB1778">
        <w:rPr>
          <w:rFonts w:asciiTheme="minorHAnsi" w:hAnsiTheme="minorHAnsi" w:cstheme="minorHAnsi"/>
          <w:color w:val="000000" w:themeColor="text1"/>
        </w:rPr>
        <w:t>evelopment</w:t>
      </w:r>
      <w:r w:rsidR="0513D106" w:rsidRPr="00CB1778">
        <w:rPr>
          <w:rFonts w:asciiTheme="minorHAnsi" w:hAnsiTheme="minorHAnsi" w:cstheme="minorHAnsi"/>
          <w:color w:val="000000" w:themeColor="text1"/>
        </w:rPr>
        <w:t xml:space="preserve">. </w:t>
      </w:r>
      <w:r w:rsidR="0076116E" w:rsidRPr="00CB1778">
        <w:rPr>
          <w:rFonts w:asciiTheme="minorHAnsi" w:hAnsiTheme="minorHAnsi" w:cstheme="minorHAnsi"/>
          <w:i/>
          <w:iCs/>
          <w:color w:val="000000" w:themeColor="text1"/>
        </w:rPr>
        <w:t>Clinical Guide for All-oral Shorter MDR-TB Regimens</w:t>
      </w:r>
      <w:r w:rsidR="0513D106" w:rsidRPr="00CB1778">
        <w:rPr>
          <w:rFonts w:asciiTheme="minorHAnsi" w:hAnsiTheme="minorHAnsi" w:cstheme="minorHAnsi"/>
          <w:color w:val="000000" w:themeColor="text1"/>
        </w:rPr>
        <w:t xml:space="preserve">. </w:t>
      </w:r>
      <w:r w:rsidR="0054645F" w:rsidRPr="00CB1778">
        <w:rPr>
          <w:rFonts w:asciiTheme="minorHAnsi" w:hAnsiTheme="minorHAnsi" w:cstheme="minorHAnsi"/>
          <w:color w:val="000000" w:themeColor="text1"/>
        </w:rPr>
        <w:t xml:space="preserve">Boston. USA </w:t>
      </w:r>
      <w:r w:rsidR="0513D106" w:rsidRPr="00CB1778">
        <w:rPr>
          <w:rFonts w:asciiTheme="minorHAnsi" w:hAnsiTheme="minorHAnsi" w:cstheme="minorHAnsi"/>
          <w:color w:val="000000" w:themeColor="text1"/>
        </w:rPr>
        <w:t xml:space="preserve">Version </w:t>
      </w:r>
      <w:r w:rsidR="008230F6" w:rsidRPr="00CB1778">
        <w:rPr>
          <w:rFonts w:asciiTheme="minorHAnsi" w:hAnsiTheme="minorHAnsi" w:cstheme="minorHAnsi"/>
          <w:color w:val="000000" w:themeColor="text1"/>
        </w:rPr>
        <w:t>1</w:t>
      </w:r>
      <w:r w:rsidR="0513D106" w:rsidRPr="00CB1778">
        <w:rPr>
          <w:rFonts w:asciiTheme="minorHAnsi" w:hAnsiTheme="minorHAnsi" w:cstheme="minorHAnsi"/>
          <w:color w:val="000000" w:themeColor="text1"/>
        </w:rPr>
        <w:t xml:space="preserve">.0; </w:t>
      </w:r>
      <w:r w:rsidR="00793D8E" w:rsidRPr="00CB1778">
        <w:rPr>
          <w:rFonts w:asciiTheme="minorHAnsi" w:hAnsiTheme="minorHAnsi" w:cstheme="minorHAnsi"/>
          <w:color w:val="000000" w:themeColor="text1"/>
        </w:rPr>
        <w:t xml:space="preserve">June </w:t>
      </w:r>
      <w:r w:rsidR="008230F6" w:rsidRPr="00CB1778">
        <w:rPr>
          <w:rFonts w:asciiTheme="minorHAnsi" w:hAnsiTheme="minorHAnsi" w:cstheme="minorHAnsi"/>
          <w:color w:val="000000" w:themeColor="text1"/>
        </w:rPr>
        <w:t>2019</w:t>
      </w:r>
      <w:r w:rsidR="0513D106" w:rsidRPr="00CB1778">
        <w:rPr>
          <w:rFonts w:asciiTheme="minorHAnsi" w:hAnsiTheme="minorHAnsi" w:cstheme="minorHAnsi"/>
          <w:color w:val="000000" w:themeColor="text1"/>
        </w:rPr>
        <w:t>.</w:t>
      </w:r>
    </w:p>
    <w:p w14:paraId="2A4F1175" w14:textId="57D8725F" w:rsidR="00423CCA" w:rsidRPr="00B85017" w:rsidRDefault="00CE5080" w:rsidP="00CE5080">
      <w:pPr>
        <w:spacing w:before="0" w:after="0"/>
        <w:jc w:val="left"/>
        <w:rPr>
          <w:color w:val="000000" w:themeColor="text1"/>
        </w:rPr>
      </w:pPr>
      <w:r w:rsidRPr="00B85017">
        <w:rPr>
          <w:color w:val="000000" w:themeColor="text1"/>
        </w:rPr>
        <w:t xml:space="preserve"> </w:t>
      </w:r>
      <w:r w:rsidR="002500A5" w:rsidRPr="00B85017">
        <w:rPr>
          <w:color w:val="000000" w:themeColor="text1"/>
        </w:rPr>
        <w:br w:type="page"/>
      </w:r>
    </w:p>
    <w:p w14:paraId="365D79B1" w14:textId="1CC8B943" w:rsidR="001F1E9B" w:rsidRPr="00C74CD4" w:rsidRDefault="0513D106" w:rsidP="0513D106">
      <w:pPr>
        <w:rPr>
          <w:rFonts w:asciiTheme="minorHAnsi" w:hAnsiTheme="minorHAnsi"/>
          <w:b/>
          <w:bCs/>
          <w:color w:val="000000" w:themeColor="text1"/>
          <w:sz w:val="28"/>
          <w:szCs w:val="28"/>
        </w:rPr>
      </w:pPr>
      <w:r w:rsidRPr="00C74CD4">
        <w:rPr>
          <w:rFonts w:asciiTheme="minorHAnsi" w:hAnsiTheme="minorHAnsi"/>
          <w:b/>
          <w:bCs/>
          <w:color w:val="000000" w:themeColor="text1"/>
          <w:sz w:val="28"/>
          <w:szCs w:val="28"/>
        </w:rPr>
        <w:lastRenderedPageBreak/>
        <w:t>Table of Contents</w:t>
      </w:r>
    </w:p>
    <w:p w14:paraId="21394E77" w14:textId="1CBAE7CA" w:rsidR="008013A5" w:rsidRDefault="0083231A">
      <w:pPr>
        <w:pStyle w:val="TOC1"/>
        <w:rPr>
          <w:rFonts w:asciiTheme="minorHAnsi" w:eastAsiaTheme="minorEastAsia" w:hAnsiTheme="minorHAnsi" w:cstheme="minorBidi"/>
          <w:noProof/>
          <w:sz w:val="24"/>
          <w:szCs w:val="24"/>
        </w:rPr>
      </w:pPr>
      <w:r w:rsidRPr="00C74CD4">
        <w:rPr>
          <w:rFonts w:asciiTheme="minorHAnsi" w:hAnsiTheme="minorHAnsi"/>
          <w:b/>
          <w:bCs/>
          <w:color w:val="000000" w:themeColor="text1"/>
          <w:sz w:val="28"/>
          <w:szCs w:val="28"/>
        </w:rPr>
        <w:fldChar w:fldCharType="begin"/>
      </w:r>
      <w:r w:rsidRPr="00C74CD4">
        <w:rPr>
          <w:rFonts w:asciiTheme="minorHAnsi" w:hAnsiTheme="minorHAnsi"/>
          <w:b/>
          <w:bCs/>
          <w:color w:val="000000" w:themeColor="text1"/>
          <w:sz w:val="28"/>
          <w:szCs w:val="28"/>
        </w:rPr>
        <w:instrText xml:space="preserve"> TOC \o "1-2" \h \z \u </w:instrText>
      </w:r>
      <w:r w:rsidRPr="00C74CD4">
        <w:rPr>
          <w:rFonts w:asciiTheme="minorHAnsi" w:hAnsiTheme="minorHAnsi"/>
          <w:b/>
          <w:bCs/>
          <w:color w:val="000000" w:themeColor="text1"/>
          <w:sz w:val="28"/>
          <w:szCs w:val="28"/>
        </w:rPr>
        <w:fldChar w:fldCharType="separate"/>
      </w:r>
      <w:hyperlink w:anchor="_Toc13486699" w:history="1">
        <w:r w:rsidR="008013A5" w:rsidRPr="00174278">
          <w:rPr>
            <w:rStyle w:val="Hyperlink"/>
            <w:noProof/>
          </w:rPr>
          <w:t>Table of tables</w:t>
        </w:r>
        <w:r w:rsidR="008013A5">
          <w:rPr>
            <w:noProof/>
            <w:webHidden/>
          </w:rPr>
          <w:tab/>
        </w:r>
        <w:r w:rsidR="008013A5">
          <w:rPr>
            <w:noProof/>
            <w:webHidden/>
          </w:rPr>
          <w:fldChar w:fldCharType="begin"/>
        </w:r>
        <w:r w:rsidR="008013A5">
          <w:rPr>
            <w:noProof/>
            <w:webHidden/>
          </w:rPr>
          <w:instrText xml:space="preserve"> PAGEREF _Toc13486699 \h </w:instrText>
        </w:r>
        <w:r w:rsidR="008013A5">
          <w:rPr>
            <w:noProof/>
            <w:webHidden/>
          </w:rPr>
        </w:r>
        <w:r w:rsidR="008013A5">
          <w:rPr>
            <w:noProof/>
            <w:webHidden/>
          </w:rPr>
          <w:fldChar w:fldCharType="separate"/>
        </w:r>
        <w:r w:rsidR="008013A5">
          <w:rPr>
            <w:noProof/>
            <w:webHidden/>
          </w:rPr>
          <w:t>5</w:t>
        </w:r>
        <w:r w:rsidR="008013A5">
          <w:rPr>
            <w:noProof/>
            <w:webHidden/>
          </w:rPr>
          <w:fldChar w:fldCharType="end"/>
        </w:r>
      </w:hyperlink>
    </w:p>
    <w:p w14:paraId="2E83E779" w14:textId="7A533349" w:rsidR="008013A5" w:rsidRDefault="002C65F9">
      <w:pPr>
        <w:pStyle w:val="TOC1"/>
        <w:rPr>
          <w:rFonts w:asciiTheme="minorHAnsi" w:eastAsiaTheme="minorEastAsia" w:hAnsiTheme="minorHAnsi" w:cstheme="minorBidi"/>
          <w:noProof/>
          <w:sz w:val="24"/>
          <w:szCs w:val="24"/>
        </w:rPr>
      </w:pPr>
      <w:hyperlink w:anchor="_Toc13486700" w:history="1">
        <w:r w:rsidR="008013A5" w:rsidRPr="00174278">
          <w:rPr>
            <w:rStyle w:val="Hyperlink"/>
            <w:noProof/>
          </w:rPr>
          <w:t>List of Appendices</w:t>
        </w:r>
        <w:r w:rsidR="008013A5">
          <w:rPr>
            <w:noProof/>
            <w:webHidden/>
          </w:rPr>
          <w:tab/>
        </w:r>
        <w:r w:rsidR="008013A5">
          <w:rPr>
            <w:noProof/>
            <w:webHidden/>
          </w:rPr>
          <w:fldChar w:fldCharType="begin"/>
        </w:r>
        <w:r w:rsidR="008013A5">
          <w:rPr>
            <w:noProof/>
            <w:webHidden/>
          </w:rPr>
          <w:instrText xml:space="preserve"> PAGEREF _Toc13486700 \h </w:instrText>
        </w:r>
        <w:r w:rsidR="008013A5">
          <w:rPr>
            <w:noProof/>
            <w:webHidden/>
          </w:rPr>
        </w:r>
        <w:r w:rsidR="008013A5">
          <w:rPr>
            <w:noProof/>
            <w:webHidden/>
          </w:rPr>
          <w:fldChar w:fldCharType="separate"/>
        </w:r>
        <w:r w:rsidR="008013A5">
          <w:rPr>
            <w:noProof/>
            <w:webHidden/>
          </w:rPr>
          <w:t>6</w:t>
        </w:r>
        <w:r w:rsidR="008013A5">
          <w:rPr>
            <w:noProof/>
            <w:webHidden/>
          </w:rPr>
          <w:fldChar w:fldCharType="end"/>
        </w:r>
      </w:hyperlink>
    </w:p>
    <w:p w14:paraId="1553E84C" w14:textId="0478A125" w:rsidR="008013A5" w:rsidRDefault="002C65F9">
      <w:pPr>
        <w:pStyle w:val="TOC1"/>
        <w:rPr>
          <w:rFonts w:asciiTheme="minorHAnsi" w:eastAsiaTheme="minorEastAsia" w:hAnsiTheme="minorHAnsi" w:cstheme="minorBidi"/>
          <w:noProof/>
          <w:sz w:val="24"/>
          <w:szCs w:val="24"/>
        </w:rPr>
      </w:pPr>
      <w:hyperlink w:anchor="_Toc13486701" w:history="1">
        <w:r w:rsidR="008013A5" w:rsidRPr="00174278">
          <w:rPr>
            <w:rStyle w:val="Hyperlink"/>
            <w:noProof/>
          </w:rPr>
          <w:t>Acknowledgements</w:t>
        </w:r>
        <w:r w:rsidR="008013A5">
          <w:rPr>
            <w:noProof/>
            <w:webHidden/>
          </w:rPr>
          <w:tab/>
        </w:r>
        <w:r w:rsidR="008013A5">
          <w:rPr>
            <w:noProof/>
            <w:webHidden/>
          </w:rPr>
          <w:fldChar w:fldCharType="begin"/>
        </w:r>
        <w:r w:rsidR="008013A5">
          <w:rPr>
            <w:noProof/>
            <w:webHidden/>
          </w:rPr>
          <w:instrText xml:space="preserve"> PAGEREF _Toc13486701 \h </w:instrText>
        </w:r>
        <w:r w:rsidR="008013A5">
          <w:rPr>
            <w:noProof/>
            <w:webHidden/>
          </w:rPr>
        </w:r>
        <w:r w:rsidR="008013A5">
          <w:rPr>
            <w:noProof/>
            <w:webHidden/>
          </w:rPr>
          <w:fldChar w:fldCharType="separate"/>
        </w:r>
        <w:r w:rsidR="008013A5">
          <w:rPr>
            <w:noProof/>
            <w:webHidden/>
          </w:rPr>
          <w:t>7</w:t>
        </w:r>
        <w:r w:rsidR="008013A5">
          <w:rPr>
            <w:noProof/>
            <w:webHidden/>
          </w:rPr>
          <w:fldChar w:fldCharType="end"/>
        </w:r>
      </w:hyperlink>
    </w:p>
    <w:p w14:paraId="4F036F32" w14:textId="08400501" w:rsidR="008013A5" w:rsidRDefault="002C65F9">
      <w:pPr>
        <w:pStyle w:val="TOC1"/>
        <w:rPr>
          <w:rFonts w:asciiTheme="minorHAnsi" w:eastAsiaTheme="minorEastAsia" w:hAnsiTheme="minorHAnsi" w:cstheme="minorBidi"/>
          <w:noProof/>
          <w:sz w:val="24"/>
          <w:szCs w:val="24"/>
        </w:rPr>
      </w:pPr>
      <w:hyperlink w:anchor="_Toc13486702" w:history="1">
        <w:r w:rsidR="008013A5" w:rsidRPr="00174278">
          <w:rPr>
            <w:rStyle w:val="Hyperlink"/>
            <w:noProof/>
          </w:rPr>
          <w:t>List of abbreviations</w:t>
        </w:r>
        <w:r w:rsidR="008013A5">
          <w:rPr>
            <w:noProof/>
            <w:webHidden/>
          </w:rPr>
          <w:tab/>
        </w:r>
        <w:r w:rsidR="008013A5">
          <w:rPr>
            <w:noProof/>
            <w:webHidden/>
          </w:rPr>
          <w:fldChar w:fldCharType="begin"/>
        </w:r>
        <w:r w:rsidR="008013A5">
          <w:rPr>
            <w:noProof/>
            <w:webHidden/>
          </w:rPr>
          <w:instrText xml:space="preserve"> PAGEREF _Toc13486702 \h </w:instrText>
        </w:r>
        <w:r w:rsidR="008013A5">
          <w:rPr>
            <w:noProof/>
            <w:webHidden/>
          </w:rPr>
        </w:r>
        <w:r w:rsidR="008013A5">
          <w:rPr>
            <w:noProof/>
            <w:webHidden/>
          </w:rPr>
          <w:fldChar w:fldCharType="separate"/>
        </w:r>
        <w:r w:rsidR="008013A5">
          <w:rPr>
            <w:noProof/>
            <w:webHidden/>
          </w:rPr>
          <w:t>1</w:t>
        </w:r>
        <w:r w:rsidR="008013A5">
          <w:rPr>
            <w:noProof/>
            <w:webHidden/>
          </w:rPr>
          <w:fldChar w:fldCharType="end"/>
        </w:r>
      </w:hyperlink>
    </w:p>
    <w:p w14:paraId="51CDA4DC" w14:textId="3068314B" w:rsidR="008013A5" w:rsidRDefault="002C65F9">
      <w:pPr>
        <w:pStyle w:val="TOC1"/>
        <w:tabs>
          <w:tab w:val="left" w:pos="440"/>
        </w:tabs>
        <w:rPr>
          <w:rFonts w:asciiTheme="minorHAnsi" w:eastAsiaTheme="minorEastAsia" w:hAnsiTheme="minorHAnsi" w:cstheme="minorBidi"/>
          <w:noProof/>
          <w:sz w:val="24"/>
          <w:szCs w:val="24"/>
        </w:rPr>
      </w:pPr>
      <w:hyperlink w:anchor="_Toc13486703" w:history="1">
        <w:r w:rsidR="008013A5" w:rsidRPr="00174278">
          <w:rPr>
            <w:rStyle w:val="Hyperlink"/>
            <w:smallCaps/>
            <w:noProof/>
            <w:spacing w:val="5"/>
          </w:rPr>
          <w:t>1</w:t>
        </w:r>
        <w:r w:rsidR="008013A5">
          <w:rPr>
            <w:rFonts w:asciiTheme="minorHAnsi" w:eastAsiaTheme="minorEastAsia" w:hAnsiTheme="minorHAnsi" w:cstheme="minorBidi"/>
            <w:noProof/>
            <w:sz w:val="24"/>
            <w:szCs w:val="24"/>
          </w:rPr>
          <w:tab/>
        </w:r>
        <w:r w:rsidR="008013A5" w:rsidRPr="00174278">
          <w:rPr>
            <w:rStyle w:val="Hyperlink"/>
            <w:noProof/>
          </w:rPr>
          <w:t>Introduction</w:t>
        </w:r>
        <w:r w:rsidR="008013A5">
          <w:rPr>
            <w:noProof/>
            <w:webHidden/>
          </w:rPr>
          <w:tab/>
        </w:r>
        <w:r w:rsidR="008013A5">
          <w:rPr>
            <w:noProof/>
            <w:webHidden/>
          </w:rPr>
          <w:fldChar w:fldCharType="begin"/>
        </w:r>
        <w:r w:rsidR="008013A5">
          <w:rPr>
            <w:noProof/>
            <w:webHidden/>
          </w:rPr>
          <w:instrText xml:space="preserve"> PAGEREF _Toc13486703 \h </w:instrText>
        </w:r>
        <w:r w:rsidR="008013A5">
          <w:rPr>
            <w:noProof/>
            <w:webHidden/>
          </w:rPr>
        </w:r>
        <w:r w:rsidR="008013A5">
          <w:rPr>
            <w:noProof/>
            <w:webHidden/>
          </w:rPr>
          <w:fldChar w:fldCharType="separate"/>
        </w:r>
        <w:r w:rsidR="008013A5">
          <w:rPr>
            <w:noProof/>
            <w:webHidden/>
          </w:rPr>
          <w:t>3</w:t>
        </w:r>
        <w:r w:rsidR="008013A5">
          <w:rPr>
            <w:noProof/>
            <w:webHidden/>
          </w:rPr>
          <w:fldChar w:fldCharType="end"/>
        </w:r>
      </w:hyperlink>
    </w:p>
    <w:p w14:paraId="593A61A3" w14:textId="38213598" w:rsidR="008013A5" w:rsidRDefault="002C65F9">
      <w:pPr>
        <w:pStyle w:val="TOC1"/>
        <w:tabs>
          <w:tab w:val="left" w:pos="440"/>
        </w:tabs>
        <w:rPr>
          <w:rFonts w:asciiTheme="minorHAnsi" w:eastAsiaTheme="minorEastAsia" w:hAnsiTheme="minorHAnsi" w:cstheme="minorBidi"/>
          <w:noProof/>
          <w:sz w:val="24"/>
          <w:szCs w:val="24"/>
        </w:rPr>
      </w:pPr>
      <w:hyperlink w:anchor="_Toc13486704" w:history="1">
        <w:r w:rsidR="008013A5" w:rsidRPr="00174278">
          <w:rPr>
            <w:rStyle w:val="Hyperlink"/>
            <w:noProof/>
          </w:rPr>
          <w:t>2</w:t>
        </w:r>
        <w:r w:rsidR="008013A5">
          <w:rPr>
            <w:rFonts w:asciiTheme="minorHAnsi" w:eastAsiaTheme="minorEastAsia" w:hAnsiTheme="minorHAnsi" w:cstheme="minorBidi"/>
            <w:noProof/>
            <w:sz w:val="24"/>
            <w:szCs w:val="24"/>
          </w:rPr>
          <w:tab/>
        </w:r>
        <w:r w:rsidR="008013A5" w:rsidRPr="00174278">
          <w:rPr>
            <w:rStyle w:val="Hyperlink"/>
            <w:noProof/>
          </w:rPr>
          <w:t>Criteria to decide if an all-oral STR can be used in a patient</w:t>
        </w:r>
        <w:r w:rsidR="008013A5">
          <w:rPr>
            <w:noProof/>
            <w:webHidden/>
          </w:rPr>
          <w:tab/>
        </w:r>
        <w:r w:rsidR="008013A5">
          <w:rPr>
            <w:noProof/>
            <w:webHidden/>
          </w:rPr>
          <w:fldChar w:fldCharType="begin"/>
        </w:r>
        <w:r w:rsidR="008013A5">
          <w:rPr>
            <w:noProof/>
            <w:webHidden/>
          </w:rPr>
          <w:instrText xml:space="preserve"> PAGEREF _Toc13486704 \h </w:instrText>
        </w:r>
        <w:r w:rsidR="008013A5">
          <w:rPr>
            <w:noProof/>
            <w:webHidden/>
          </w:rPr>
        </w:r>
        <w:r w:rsidR="008013A5">
          <w:rPr>
            <w:noProof/>
            <w:webHidden/>
          </w:rPr>
          <w:fldChar w:fldCharType="separate"/>
        </w:r>
        <w:r w:rsidR="008013A5">
          <w:rPr>
            <w:noProof/>
            <w:webHidden/>
          </w:rPr>
          <w:t>5</w:t>
        </w:r>
        <w:r w:rsidR="008013A5">
          <w:rPr>
            <w:noProof/>
            <w:webHidden/>
          </w:rPr>
          <w:fldChar w:fldCharType="end"/>
        </w:r>
      </w:hyperlink>
    </w:p>
    <w:p w14:paraId="2FC0A2A0" w14:textId="494A3FAD" w:rsidR="008013A5" w:rsidRDefault="002C65F9">
      <w:pPr>
        <w:pStyle w:val="TOC1"/>
        <w:tabs>
          <w:tab w:val="left" w:pos="440"/>
        </w:tabs>
        <w:rPr>
          <w:rFonts w:asciiTheme="minorHAnsi" w:eastAsiaTheme="minorEastAsia" w:hAnsiTheme="minorHAnsi" w:cstheme="minorBidi"/>
          <w:noProof/>
          <w:sz w:val="24"/>
          <w:szCs w:val="24"/>
        </w:rPr>
      </w:pPr>
      <w:hyperlink w:anchor="_Toc13486705" w:history="1">
        <w:r w:rsidR="008013A5" w:rsidRPr="00174278">
          <w:rPr>
            <w:rStyle w:val="Hyperlink"/>
            <w:noProof/>
          </w:rPr>
          <w:t>3</w:t>
        </w:r>
        <w:r w:rsidR="008013A5">
          <w:rPr>
            <w:rFonts w:asciiTheme="minorHAnsi" w:eastAsiaTheme="minorEastAsia" w:hAnsiTheme="minorHAnsi" w:cstheme="minorBidi"/>
            <w:noProof/>
            <w:sz w:val="24"/>
            <w:szCs w:val="24"/>
          </w:rPr>
          <w:tab/>
        </w:r>
        <w:r w:rsidR="008013A5" w:rsidRPr="00174278">
          <w:rPr>
            <w:rStyle w:val="Hyperlink"/>
            <w:noProof/>
          </w:rPr>
          <w:t>Characteristics of the drugs recommended for use in all-oral STRs</w:t>
        </w:r>
        <w:r w:rsidR="008013A5">
          <w:rPr>
            <w:noProof/>
            <w:webHidden/>
          </w:rPr>
          <w:tab/>
        </w:r>
        <w:r w:rsidR="008013A5">
          <w:rPr>
            <w:noProof/>
            <w:webHidden/>
          </w:rPr>
          <w:fldChar w:fldCharType="begin"/>
        </w:r>
        <w:r w:rsidR="008013A5">
          <w:rPr>
            <w:noProof/>
            <w:webHidden/>
          </w:rPr>
          <w:instrText xml:space="preserve"> PAGEREF _Toc13486705 \h </w:instrText>
        </w:r>
        <w:r w:rsidR="008013A5">
          <w:rPr>
            <w:noProof/>
            <w:webHidden/>
          </w:rPr>
        </w:r>
        <w:r w:rsidR="008013A5">
          <w:rPr>
            <w:noProof/>
            <w:webHidden/>
          </w:rPr>
          <w:fldChar w:fldCharType="separate"/>
        </w:r>
        <w:r w:rsidR="008013A5">
          <w:rPr>
            <w:noProof/>
            <w:webHidden/>
          </w:rPr>
          <w:t>6</w:t>
        </w:r>
        <w:r w:rsidR="008013A5">
          <w:rPr>
            <w:noProof/>
            <w:webHidden/>
          </w:rPr>
          <w:fldChar w:fldCharType="end"/>
        </w:r>
      </w:hyperlink>
    </w:p>
    <w:p w14:paraId="0C2BA9FF" w14:textId="32CE4EF6"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06" w:history="1">
        <w:r w:rsidR="008013A5" w:rsidRPr="00174278">
          <w:rPr>
            <w:rStyle w:val="Hyperlink"/>
            <w:noProof/>
          </w:rPr>
          <w:t>3.1</w:t>
        </w:r>
        <w:r w:rsidR="008013A5">
          <w:rPr>
            <w:rFonts w:asciiTheme="minorHAnsi" w:eastAsiaTheme="minorEastAsia" w:hAnsiTheme="minorHAnsi" w:cstheme="minorBidi"/>
            <w:noProof/>
            <w:sz w:val="24"/>
            <w:szCs w:val="24"/>
          </w:rPr>
          <w:tab/>
        </w:r>
        <w:r w:rsidR="008013A5" w:rsidRPr="00174278">
          <w:rPr>
            <w:rStyle w:val="Hyperlink"/>
            <w:noProof/>
          </w:rPr>
          <w:t>Drugs commonly used to compose all-oral STRs</w:t>
        </w:r>
        <w:r w:rsidR="008013A5">
          <w:rPr>
            <w:noProof/>
            <w:webHidden/>
          </w:rPr>
          <w:tab/>
        </w:r>
        <w:r w:rsidR="008013A5">
          <w:rPr>
            <w:noProof/>
            <w:webHidden/>
          </w:rPr>
          <w:fldChar w:fldCharType="begin"/>
        </w:r>
        <w:r w:rsidR="008013A5">
          <w:rPr>
            <w:noProof/>
            <w:webHidden/>
          </w:rPr>
          <w:instrText xml:space="preserve"> PAGEREF _Toc13486706 \h </w:instrText>
        </w:r>
        <w:r w:rsidR="008013A5">
          <w:rPr>
            <w:noProof/>
            <w:webHidden/>
          </w:rPr>
        </w:r>
        <w:r w:rsidR="008013A5">
          <w:rPr>
            <w:noProof/>
            <w:webHidden/>
          </w:rPr>
          <w:fldChar w:fldCharType="separate"/>
        </w:r>
        <w:r w:rsidR="008013A5">
          <w:rPr>
            <w:noProof/>
            <w:webHidden/>
          </w:rPr>
          <w:t>6</w:t>
        </w:r>
        <w:r w:rsidR="008013A5">
          <w:rPr>
            <w:noProof/>
            <w:webHidden/>
          </w:rPr>
          <w:fldChar w:fldCharType="end"/>
        </w:r>
      </w:hyperlink>
    </w:p>
    <w:p w14:paraId="02255543" w14:textId="00DADB65"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07" w:history="1">
        <w:r w:rsidR="008013A5" w:rsidRPr="00174278">
          <w:rPr>
            <w:rStyle w:val="Hyperlink"/>
            <w:noProof/>
          </w:rPr>
          <w:t>3.2</w:t>
        </w:r>
        <w:r w:rsidR="008013A5">
          <w:rPr>
            <w:rFonts w:asciiTheme="minorHAnsi" w:eastAsiaTheme="minorEastAsia" w:hAnsiTheme="minorHAnsi" w:cstheme="minorBidi"/>
            <w:noProof/>
            <w:sz w:val="24"/>
            <w:szCs w:val="24"/>
          </w:rPr>
          <w:tab/>
        </w:r>
        <w:r w:rsidR="008013A5" w:rsidRPr="00174278">
          <w:rPr>
            <w:rStyle w:val="Hyperlink"/>
            <w:noProof/>
          </w:rPr>
          <w:t>Individual drug characteristics of the drugs used in all-oral STRs</w:t>
        </w:r>
        <w:r w:rsidR="008013A5">
          <w:rPr>
            <w:noProof/>
            <w:webHidden/>
          </w:rPr>
          <w:tab/>
        </w:r>
        <w:r w:rsidR="008013A5">
          <w:rPr>
            <w:noProof/>
            <w:webHidden/>
          </w:rPr>
          <w:fldChar w:fldCharType="begin"/>
        </w:r>
        <w:r w:rsidR="008013A5">
          <w:rPr>
            <w:noProof/>
            <w:webHidden/>
          </w:rPr>
          <w:instrText xml:space="preserve"> PAGEREF _Toc13486707 \h </w:instrText>
        </w:r>
        <w:r w:rsidR="008013A5">
          <w:rPr>
            <w:noProof/>
            <w:webHidden/>
          </w:rPr>
        </w:r>
        <w:r w:rsidR="008013A5">
          <w:rPr>
            <w:noProof/>
            <w:webHidden/>
          </w:rPr>
          <w:fldChar w:fldCharType="separate"/>
        </w:r>
        <w:r w:rsidR="008013A5">
          <w:rPr>
            <w:noProof/>
            <w:webHidden/>
          </w:rPr>
          <w:t>6</w:t>
        </w:r>
        <w:r w:rsidR="008013A5">
          <w:rPr>
            <w:noProof/>
            <w:webHidden/>
          </w:rPr>
          <w:fldChar w:fldCharType="end"/>
        </w:r>
      </w:hyperlink>
    </w:p>
    <w:p w14:paraId="6D44929A" w14:textId="31CED9A4"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08" w:history="1">
        <w:r w:rsidR="008013A5" w:rsidRPr="00174278">
          <w:rPr>
            <w:rStyle w:val="Hyperlink"/>
            <w:noProof/>
          </w:rPr>
          <w:t>3.3</w:t>
        </w:r>
        <w:r w:rsidR="008013A5">
          <w:rPr>
            <w:rFonts w:asciiTheme="minorHAnsi" w:eastAsiaTheme="minorEastAsia" w:hAnsiTheme="minorHAnsi" w:cstheme="minorBidi"/>
            <w:noProof/>
            <w:sz w:val="24"/>
            <w:szCs w:val="24"/>
          </w:rPr>
          <w:tab/>
        </w:r>
        <w:r w:rsidR="008013A5" w:rsidRPr="00174278">
          <w:rPr>
            <w:rStyle w:val="Hyperlink"/>
            <w:noProof/>
          </w:rPr>
          <w:t>Contraindications for drugs commonly used in all-oral STRs</w:t>
        </w:r>
        <w:r w:rsidR="008013A5">
          <w:rPr>
            <w:noProof/>
            <w:webHidden/>
          </w:rPr>
          <w:tab/>
        </w:r>
        <w:r w:rsidR="008013A5">
          <w:rPr>
            <w:noProof/>
            <w:webHidden/>
          </w:rPr>
          <w:fldChar w:fldCharType="begin"/>
        </w:r>
        <w:r w:rsidR="008013A5">
          <w:rPr>
            <w:noProof/>
            <w:webHidden/>
          </w:rPr>
          <w:instrText xml:space="preserve"> PAGEREF _Toc13486708 \h </w:instrText>
        </w:r>
        <w:r w:rsidR="008013A5">
          <w:rPr>
            <w:noProof/>
            <w:webHidden/>
          </w:rPr>
        </w:r>
        <w:r w:rsidR="008013A5">
          <w:rPr>
            <w:noProof/>
            <w:webHidden/>
          </w:rPr>
          <w:fldChar w:fldCharType="separate"/>
        </w:r>
        <w:r w:rsidR="008013A5">
          <w:rPr>
            <w:noProof/>
            <w:webHidden/>
          </w:rPr>
          <w:t>13</w:t>
        </w:r>
        <w:r w:rsidR="008013A5">
          <w:rPr>
            <w:noProof/>
            <w:webHidden/>
          </w:rPr>
          <w:fldChar w:fldCharType="end"/>
        </w:r>
      </w:hyperlink>
    </w:p>
    <w:p w14:paraId="7AB8FEAD" w14:textId="6073C8E9"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09" w:history="1">
        <w:r w:rsidR="008013A5" w:rsidRPr="00174278">
          <w:rPr>
            <w:rStyle w:val="Hyperlink"/>
            <w:noProof/>
          </w:rPr>
          <w:t>3.4</w:t>
        </w:r>
        <w:r w:rsidR="008013A5">
          <w:rPr>
            <w:rFonts w:asciiTheme="minorHAnsi" w:eastAsiaTheme="minorEastAsia" w:hAnsiTheme="minorHAnsi" w:cstheme="minorBidi"/>
            <w:noProof/>
            <w:sz w:val="24"/>
            <w:szCs w:val="24"/>
          </w:rPr>
          <w:tab/>
        </w:r>
        <w:r w:rsidR="008013A5" w:rsidRPr="00174278">
          <w:rPr>
            <w:rStyle w:val="Hyperlink"/>
            <w:noProof/>
          </w:rPr>
          <w:t>Non-TB drugs that cause QT prolongation or affect the heart rhythm</w:t>
        </w:r>
        <w:r w:rsidR="008013A5">
          <w:rPr>
            <w:noProof/>
            <w:webHidden/>
          </w:rPr>
          <w:tab/>
        </w:r>
        <w:r w:rsidR="008013A5">
          <w:rPr>
            <w:noProof/>
            <w:webHidden/>
          </w:rPr>
          <w:fldChar w:fldCharType="begin"/>
        </w:r>
        <w:r w:rsidR="008013A5">
          <w:rPr>
            <w:noProof/>
            <w:webHidden/>
          </w:rPr>
          <w:instrText xml:space="preserve"> PAGEREF _Toc13486709 \h </w:instrText>
        </w:r>
        <w:r w:rsidR="008013A5">
          <w:rPr>
            <w:noProof/>
            <w:webHidden/>
          </w:rPr>
        </w:r>
        <w:r w:rsidR="008013A5">
          <w:rPr>
            <w:noProof/>
            <w:webHidden/>
          </w:rPr>
          <w:fldChar w:fldCharType="separate"/>
        </w:r>
        <w:r w:rsidR="008013A5">
          <w:rPr>
            <w:noProof/>
            <w:webHidden/>
          </w:rPr>
          <w:t>14</w:t>
        </w:r>
        <w:r w:rsidR="008013A5">
          <w:rPr>
            <w:noProof/>
            <w:webHidden/>
          </w:rPr>
          <w:fldChar w:fldCharType="end"/>
        </w:r>
      </w:hyperlink>
    </w:p>
    <w:p w14:paraId="260F36CC" w14:textId="43F51880" w:rsidR="008013A5" w:rsidRDefault="002C65F9">
      <w:pPr>
        <w:pStyle w:val="TOC1"/>
        <w:tabs>
          <w:tab w:val="left" w:pos="440"/>
        </w:tabs>
        <w:rPr>
          <w:rFonts w:asciiTheme="minorHAnsi" w:eastAsiaTheme="minorEastAsia" w:hAnsiTheme="minorHAnsi" w:cstheme="minorBidi"/>
          <w:noProof/>
          <w:sz w:val="24"/>
          <w:szCs w:val="24"/>
        </w:rPr>
      </w:pPr>
      <w:hyperlink w:anchor="_Toc13486710" w:history="1">
        <w:r w:rsidR="008013A5" w:rsidRPr="00174278">
          <w:rPr>
            <w:rStyle w:val="Hyperlink"/>
            <w:noProof/>
          </w:rPr>
          <w:t>4</w:t>
        </w:r>
        <w:r w:rsidR="008013A5">
          <w:rPr>
            <w:rFonts w:asciiTheme="minorHAnsi" w:eastAsiaTheme="minorEastAsia" w:hAnsiTheme="minorHAnsi" w:cstheme="minorBidi"/>
            <w:noProof/>
            <w:sz w:val="24"/>
            <w:szCs w:val="24"/>
          </w:rPr>
          <w:tab/>
        </w:r>
        <w:r w:rsidR="008013A5" w:rsidRPr="00174278">
          <w:rPr>
            <w:rStyle w:val="Hyperlink"/>
            <w:noProof/>
          </w:rPr>
          <w:t>Design and implementation of an all-oral shorter regimen</w:t>
        </w:r>
        <w:r w:rsidR="008013A5">
          <w:rPr>
            <w:noProof/>
            <w:webHidden/>
          </w:rPr>
          <w:tab/>
        </w:r>
        <w:r w:rsidR="008013A5">
          <w:rPr>
            <w:noProof/>
            <w:webHidden/>
          </w:rPr>
          <w:fldChar w:fldCharType="begin"/>
        </w:r>
        <w:r w:rsidR="008013A5">
          <w:rPr>
            <w:noProof/>
            <w:webHidden/>
          </w:rPr>
          <w:instrText xml:space="preserve"> PAGEREF _Toc13486710 \h </w:instrText>
        </w:r>
        <w:r w:rsidR="008013A5">
          <w:rPr>
            <w:noProof/>
            <w:webHidden/>
          </w:rPr>
        </w:r>
        <w:r w:rsidR="008013A5">
          <w:rPr>
            <w:noProof/>
            <w:webHidden/>
          </w:rPr>
          <w:fldChar w:fldCharType="separate"/>
        </w:r>
        <w:r w:rsidR="008013A5">
          <w:rPr>
            <w:noProof/>
            <w:webHidden/>
          </w:rPr>
          <w:t>17</w:t>
        </w:r>
        <w:r w:rsidR="008013A5">
          <w:rPr>
            <w:noProof/>
            <w:webHidden/>
          </w:rPr>
          <w:fldChar w:fldCharType="end"/>
        </w:r>
      </w:hyperlink>
    </w:p>
    <w:p w14:paraId="30B60501" w14:textId="1E59A38A"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1" w:history="1">
        <w:r w:rsidR="008013A5" w:rsidRPr="00174278">
          <w:rPr>
            <w:rStyle w:val="Hyperlink"/>
            <w:noProof/>
          </w:rPr>
          <w:t>4.1</w:t>
        </w:r>
        <w:r w:rsidR="008013A5">
          <w:rPr>
            <w:rFonts w:asciiTheme="minorHAnsi" w:eastAsiaTheme="minorEastAsia" w:hAnsiTheme="minorHAnsi" w:cstheme="minorBidi"/>
            <w:noProof/>
            <w:sz w:val="24"/>
            <w:szCs w:val="24"/>
          </w:rPr>
          <w:tab/>
        </w:r>
        <w:r w:rsidR="008013A5" w:rsidRPr="00174278">
          <w:rPr>
            <w:rStyle w:val="Hyperlink"/>
            <w:noProof/>
          </w:rPr>
          <w:t>Duration of the regimen in all-oral STR</w:t>
        </w:r>
        <w:r w:rsidR="008013A5">
          <w:rPr>
            <w:noProof/>
            <w:webHidden/>
          </w:rPr>
          <w:tab/>
        </w:r>
        <w:r w:rsidR="008013A5">
          <w:rPr>
            <w:noProof/>
            <w:webHidden/>
          </w:rPr>
          <w:fldChar w:fldCharType="begin"/>
        </w:r>
        <w:r w:rsidR="008013A5">
          <w:rPr>
            <w:noProof/>
            <w:webHidden/>
          </w:rPr>
          <w:instrText xml:space="preserve"> PAGEREF _Toc13486711 \h </w:instrText>
        </w:r>
        <w:r w:rsidR="008013A5">
          <w:rPr>
            <w:noProof/>
            <w:webHidden/>
          </w:rPr>
        </w:r>
        <w:r w:rsidR="008013A5">
          <w:rPr>
            <w:noProof/>
            <w:webHidden/>
          </w:rPr>
          <w:fldChar w:fldCharType="separate"/>
        </w:r>
        <w:r w:rsidR="008013A5">
          <w:rPr>
            <w:noProof/>
            <w:webHidden/>
          </w:rPr>
          <w:t>17</w:t>
        </w:r>
        <w:r w:rsidR="008013A5">
          <w:rPr>
            <w:noProof/>
            <w:webHidden/>
          </w:rPr>
          <w:fldChar w:fldCharType="end"/>
        </w:r>
      </w:hyperlink>
    </w:p>
    <w:p w14:paraId="51EAC97C" w14:textId="6AB80806"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2" w:history="1">
        <w:r w:rsidR="008013A5" w:rsidRPr="00174278">
          <w:rPr>
            <w:rStyle w:val="Hyperlink"/>
            <w:noProof/>
          </w:rPr>
          <w:t>4.2</w:t>
        </w:r>
        <w:r w:rsidR="008013A5">
          <w:rPr>
            <w:rFonts w:asciiTheme="minorHAnsi" w:eastAsiaTheme="minorEastAsia" w:hAnsiTheme="minorHAnsi" w:cstheme="minorBidi"/>
            <w:noProof/>
            <w:sz w:val="24"/>
            <w:szCs w:val="24"/>
          </w:rPr>
          <w:tab/>
        </w:r>
        <w:r w:rsidR="008013A5" w:rsidRPr="00174278">
          <w:rPr>
            <w:rStyle w:val="Hyperlink"/>
            <w:rFonts w:cstheme="minorHAnsi"/>
            <w:noProof/>
          </w:rPr>
          <w:t>Duration of the post-end-of-treatment follow-up after an all-oral STR</w:t>
        </w:r>
        <w:r w:rsidR="008013A5">
          <w:rPr>
            <w:noProof/>
            <w:webHidden/>
          </w:rPr>
          <w:tab/>
        </w:r>
        <w:r w:rsidR="008013A5">
          <w:rPr>
            <w:noProof/>
            <w:webHidden/>
          </w:rPr>
          <w:fldChar w:fldCharType="begin"/>
        </w:r>
        <w:r w:rsidR="008013A5">
          <w:rPr>
            <w:noProof/>
            <w:webHidden/>
          </w:rPr>
          <w:instrText xml:space="preserve"> PAGEREF _Toc13486712 \h </w:instrText>
        </w:r>
        <w:r w:rsidR="008013A5">
          <w:rPr>
            <w:noProof/>
            <w:webHidden/>
          </w:rPr>
        </w:r>
        <w:r w:rsidR="008013A5">
          <w:rPr>
            <w:noProof/>
            <w:webHidden/>
          </w:rPr>
          <w:fldChar w:fldCharType="separate"/>
        </w:r>
        <w:r w:rsidR="008013A5">
          <w:rPr>
            <w:noProof/>
            <w:webHidden/>
          </w:rPr>
          <w:t>17</w:t>
        </w:r>
        <w:r w:rsidR="008013A5">
          <w:rPr>
            <w:noProof/>
            <w:webHidden/>
          </w:rPr>
          <w:fldChar w:fldCharType="end"/>
        </w:r>
      </w:hyperlink>
    </w:p>
    <w:p w14:paraId="374076E2" w14:textId="682E4EA6"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3" w:history="1">
        <w:r w:rsidR="008013A5" w:rsidRPr="00174278">
          <w:rPr>
            <w:rStyle w:val="Hyperlink"/>
            <w:noProof/>
          </w:rPr>
          <w:t>4.3</w:t>
        </w:r>
        <w:r w:rsidR="008013A5">
          <w:rPr>
            <w:rFonts w:asciiTheme="minorHAnsi" w:eastAsiaTheme="minorEastAsia" w:hAnsiTheme="minorHAnsi" w:cstheme="minorBidi"/>
            <w:noProof/>
            <w:sz w:val="24"/>
            <w:szCs w:val="24"/>
          </w:rPr>
          <w:tab/>
        </w:r>
        <w:r w:rsidR="008013A5" w:rsidRPr="00174278">
          <w:rPr>
            <w:rStyle w:val="Hyperlink"/>
            <w:noProof/>
          </w:rPr>
          <w:t>Number of drugs used in an all-oral STR</w:t>
        </w:r>
        <w:r w:rsidR="008013A5">
          <w:rPr>
            <w:noProof/>
            <w:webHidden/>
          </w:rPr>
          <w:tab/>
        </w:r>
        <w:r w:rsidR="008013A5">
          <w:rPr>
            <w:noProof/>
            <w:webHidden/>
          </w:rPr>
          <w:fldChar w:fldCharType="begin"/>
        </w:r>
        <w:r w:rsidR="008013A5">
          <w:rPr>
            <w:noProof/>
            <w:webHidden/>
          </w:rPr>
          <w:instrText xml:space="preserve"> PAGEREF _Toc13486713 \h </w:instrText>
        </w:r>
        <w:r w:rsidR="008013A5">
          <w:rPr>
            <w:noProof/>
            <w:webHidden/>
          </w:rPr>
        </w:r>
        <w:r w:rsidR="008013A5">
          <w:rPr>
            <w:noProof/>
            <w:webHidden/>
          </w:rPr>
          <w:fldChar w:fldCharType="separate"/>
        </w:r>
        <w:r w:rsidR="008013A5">
          <w:rPr>
            <w:noProof/>
            <w:webHidden/>
          </w:rPr>
          <w:t>19</w:t>
        </w:r>
        <w:r w:rsidR="008013A5">
          <w:rPr>
            <w:noProof/>
            <w:webHidden/>
          </w:rPr>
          <w:fldChar w:fldCharType="end"/>
        </w:r>
      </w:hyperlink>
    </w:p>
    <w:p w14:paraId="3F1D97F7" w14:textId="0CEA695E"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4" w:history="1">
        <w:r w:rsidR="008013A5" w:rsidRPr="00174278">
          <w:rPr>
            <w:rStyle w:val="Hyperlink"/>
            <w:noProof/>
          </w:rPr>
          <w:t>4.4</w:t>
        </w:r>
        <w:r w:rsidR="008013A5">
          <w:rPr>
            <w:rFonts w:asciiTheme="minorHAnsi" w:eastAsiaTheme="minorEastAsia" w:hAnsiTheme="minorHAnsi" w:cstheme="minorBidi"/>
            <w:noProof/>
            <w:sz w:val="24"/>
            <w:szCs w:val="24"/>
          </w:rPr>
          <w:tab/>
        </w:r>
        <w:r w:rsidR="008013A5" w:rsidRPr="00174278">
          <w:rPr>
            <w:rStyle w:val="Hyperlink"/>
            <w:rFonts w:cstheme="minorHAnsi"/>
            <w:noProof/>
          </w:rPr>
          <w:t>Choosing the drug composition of the all-oral STR</w:t>
        </w:r>
        <w:r w:rsidR="008013A5">
          <w:rPr>
            <w:noProof/>
            <w:webHidden/>
          </w:rPr>
          <w:tab/>
        </w:r>
        <w:r w:rsidR="008013A5">
          <w:rPr>
            <w:noProof/>
            <w:webHidden/>
          </w:rPr>
          <w:fldChar w:fldCharType="begin"/>
        </w:r>
        <w:r w:rsidR="008013A5">
          <w:rPr>
            <w:noProof/>
            <w:webHidden/>
          </w:rPr>
          <w:instrText xml:space="preserve"> PAGEREF _Toc13486714 \h </w:instrText>
        </w:r>
        <w:r w:rsidR="008013A5">
          <w:rPr>
            <w:noProof/>
            <w:webHidden/>
          </w:rPr>
        </w:r>
        <w:r w:rsidR="008013A5">
          <w:rPr>
            <w:noProof/>
            <w:webHidden/>
          </w:rPr>
          <w:fldChar w:fldCharType="separate"/>
        </w:r>
        <w:r w:rsidR="008013A5">
          <w:rPr>
            <w:noProof/>
            <w:webHidden/>
          </w:rPr>
          <w:t>19</w:t>
        </w:r>
        <w:r w:rsidR="008013A5">
          <w:rPr>
            <w:noProof/>
            <w:webHidden/>
          </w:rPr>
          <w:fldChar w:fldCharType="end"/>
        </w:r>
      </w:hyperlink>
    </w:p>
    <w:p w14:paraId="6D5BACBA" w14:textId="4D5AC062"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5" w:history="1">
        <w:r w:rsidR="008013A5" w:rsidRPr="00174278">
          <w:rPr>
            <w:rStyle w:val="Hyperlink"/>
            <w:noProof/>
          </w:rPr>
          <w:t>4.5</w:t>
        </w:r>
        <w:r w:rsidR="008013A5">
          <w:rPr>
            <w:rFonts w:asciiTheme="minorHAnsi" w:eastAsiaTheme="minorEastAsia" w:hAnsiTheme="minorHAnsi" w:cstheme="minorBidi"/>
            <w:noProof/>
            <w:sz w:val="24"/>
            <w:szCs w:val="24"/>
          </w:rPr>
          <w:tab/>
        </w:r>
        <w:r w:rsidR="008013A5" w:rsidRPr="00174278">
          <w:rPr>
            <w:rStyle w:val="Hyperlink"/>
            <w:noProof/>
          </w:rPr>
          <w:t>Choosing an all-oral STR based on the epidemiological and programmatic conditions of the country</w:t>
        </w:r>
        <w:r w:rsidR="008013A5">
          <w:rPr>
            <w:noProof/>
            <w:webHidden/>
          </w:rPr>
          <w:tab/>
        </w:r>
        <w:r w:rsidR="008013A5">
          <w:rPr>
            <w:noProof/>
            <w:webHidden/>
          </w:rPr>
          <w:fldChar w:fldCharType="begin"/>
        </w:r>
        <w:r w:rsidR="008013A5">
          <w:rPr>
            <w:noProof/>
            <w:webHidden/>
          </w:rPr>
          <w:instrText xml:space="preserve"> PAGEREF _Toc13486715 \h </w:instrText>
        </w:r>
        <w:r w:rsidR="008013A5">
          <w:rPr>
            <w:noProof/>
            <w:webHidden/>
          </w:rPr>
        </w:r>
        <w:r w:rsidR="008013A5">
          <w:rPr>
            <w:noProof/>
            <w:webHidden/>
          </w:rPr>
          <w:fldChar w:fldCharType="separate"/>
        </w:r>
        <w:r w:rsidR="008013A5">
          <w:rPr>
            <w:noProof/>
            <w:webHidden/>
          </w:rPr>
          <w:t>20</w:t>
        </w:r>
        <w:r w:rsidR="008013A5">
          <w:rPr>
            <w:noProof/>
            <w:webHidden/>
          </w:rPr>
          <w:fldChar w:fldCharType="end"/>
        </w:r>
      </w:hyperlink>
    </w:p>
    <w:p w14:paraId="70FE5F24" w14:textId="040BA209"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6" w:history="1">
        <w:r w:rsidR="008013A5" w:rsidRPr="00174278">
          <w:rPr>
            <w:rStyle w:val="Hyperlink"/>
            <w:noProof/>
          </w:rPr>
          <w:t>4.6</w:t>
        </w:r>
        <w:r w:rsidR="008013A5">
          <w:rPr>
            <w:rFonts w:asciiTheme="minorHAnsi" w:eastAsiaTheme="minorEastAsia" w:hAnsiTheme="minorHAnsi" w:cstheme="minorBidi"/>
            <w:noProof/>
            <w:sz w:val="24"/>
            <w:szCs w:val="24"/>
          </w:rPr>
          <w:tab/>
        </w:r>
        <w:r w:rsidR="008013A5" w:rsidRPr="00174278">
          <w:rPr>
            <w:rStyle w:val="Hyperlink"/>
            <w:noProof/>
          </w:rPr>
          <w:t>Practical considerations and pearls for using all-oral STRs</w:t>
        </w:r>
        <w:r w:rsidR="008013A5">
          <w:rPr>
            <w:noProof/>
            <w:webHidden/>
          </w:rPr>
          <w:tab/>
        </w:r>
        <w:r w:rsidR="008013A5">
          <w:rPr>
            <w:noProof/>
            <w:webHidden/>
          </w:rPr>
          <w:fldChar w:fldCharType="begin"/>
        </w:r>
        <w:r w:rsidR="008013A5">
          <w:rPr>
            <w:noProof/>
            <w:webHidden/>
          </w:rPr>
          <w:instrText xml:space="preserve"> PAGEREF _Toc13486716 \h </w:instrText>
        </w:r>
        <w:r w:rsidR="008013A5">
          <w:rPr>
            <w:noProof/>
            <w:webHidden/>
          </w:rPr>
        </w:r>
        <w:r w:rsidR="008013A5">
          <w:rPr>
            <w:noProof/>
            <w:webHidden/>
          </w:rPr>
          <w:fldChar w:fldCharType="separate"/>
        </w:r>
        <w:r w:rsidR="008013A5">
          <w:rPr>
            <w:noProof/>
            <w:webHidden/>
          </w:rPr>
          <w:t>24</w:t>
        </w:r>
        <w:r w:rsidR="008013A5">
          <w:rPr>
            <w:noProof/>
            <w:webHidden/>
          </w:rPr>
          <w:fldChar w:fldCharType="end"/>
        </w:r>
      </w:hyperlink>
    </w:p>
    <w:p w14:paraId="6994E6C8" w14:textId="73C30F3E"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7" w:history="1">
        <w:r w:rsidR="008013A5" w:rsidRPr="00174278">
          <w:rPr>
            <w:rStyle w:val="Hyperlink"/>
            <w:noProof/>
          </w:rPr>
          <w:t>4.7</w:t>
        </w:r>
        <w:r w:rsidR="008013A5">
          <w:rPr>
            <w:rFonts w:asciiTheme="minorHAnsi" w:eastAsiaTheme="minorEastAsia" w:hAnsiTheme="minorHAnsi" w:cstheme="minorBidi"/>
            <w:noProof/>
            <w:sz w:val="24"/>
            <w:szCs w:val="24"/>
          </w:rPr>
          <w:tab/>
        </w:r>
        <w:r w:rsidR="008013A5" w:rsidRPr="00174278">
          <w:rPr>
            <w:rStyle w:val="Hyperlink"/>
            <w:noProof/>
          </w:rPr>
          <w:t>Adult dosing of the TB drugs used in all oral STRs</w:t>
        </w:r>
        <w:r w:rsidR="008013A5">
          <w:rPr>
            <w:noProof/>
            <w:webHidden/>
          </w:rPr>
          <w:tab/>
        </w:r>
        <w:r w:rsidR="008013A5">
          <w:rPr>
            <w:noProof/>
            <w:webHidden/>
          </w:rPr>
          <w:fldChar w:fldCharType="begin"/>
        </w:r>
        <w:r w:rsidR="008013A5">
          <w:rPr>
            <w:noProof/>
            <w:webHidden/>
          </w:rPr>
          <w:instrText xml:space="preserve"> PAGEREF _Toc13486717 \h </w:instrText>
        </w:r>
        <w:r w:rsidR="008013A5">
          <w:rPr>
            <w:noProof/>
            <w:webHidden/>
          </w:rPr>
        </w:r>
        <w:r w:rsidR="008013A5">
          <w:rPr>
            <w:noProof/>
            <w:webHidden/>
          </w:rPr>
          <w:fldChar w:fldCharType="separate"/>
        </w:r>
        <w:r w:rsidR="008013A5">
          <w:rPr>
            <w:noProof/>
            <w:webHidden/>
          </w:rPr>
          <w:t>26</w:t>
        </w:r>
        <w:r w:rsidR="008013A5">
          <w:rPr>
            <w:noProof/>
            <w:webHidden/>
          </w:rPr>
          <w:fldChar w:fldCharType="end"/>
        </w:r>
      </w:hyperlink>
    </w:p>
    <w:p w14:paraId="1066667E" w14:textId="0A3D79BE"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8" w:history="1">
        <w:r w:rsidR="008013A5" w:rsidRPr="00174278">
          <w:rPr>
            <w:rStyle w:val="Hyperlink"/>
            <w:noProof/>
          </w:rPr>
          <w:t>4.8</w:t>
        </w:r>
        <w:r w:rsidR="008013A5">
          <w:rPr>
            <w:rFonts w:asciiTheme="minorHAnsi" w:eastAsiaTheme="minorEastAsia" w:hAnsiTheme="minorHAnsi" w:cstheme="minorBidi"/>
            <w:noProof/>
            <w:sz w:val="24"/>
            <w:szCs w:val="24"/>
          </w:rPr>
          <w:tab/>
        </w:r>
        <w:r w:rsidR="008013A5" w:rsidRPr="00174278">
          <w:rPr>
            <w:rStyle w:val="Hyperlink"/>
            <w:noProof/>
          </w:rPr>
          <w:t>Children</w:t>
        </w:r>
        <w:r w:rsidR="008013A5">
          <w:rPr>
            <w:noProof/>
            <w:webHidden/>
          </w:rPr>
          <w:tab/>
        </w:r>
        <w:r w:rsidR="008013A5">
          <w:rPr>
            <w:noProof/>
            <w:webHidden/>
          </w:rPr>
          <w:fldChar w:fldCharType="begin"/>
        </w:r>
        <w:r w:rsidR="008013A5">
          <w:rPr>
            <w:noProof/>
            <w:webHidden/>
          </w:rPr>
          <w:instrText xml:space="preserve"> PAGEREF _Toc13486718 \h </w:instrText>
        </w:r>
        <w:r w:rsidR="008013A5">
          <w:rPr>
            <w:noProof/>
            <w:webHidden/>
          </w:rPr>
        </w:r>
        <w:r w:rsidR="008013A5">
          <w:rPr>
            <w:noProof/>
            <w:webHidden/>
          </w:rPr>
          <w:fldChar w:fldCharType="separate"/>
        </w:r>
        <w:r w:rsidR="008013A5">
          <w:rPr>
            <w:noProof/>
            <w:webHidden/>
          </w:rPr>
          <w:t>26</w:t>
        </w:r>
        <w:r w:rsidR="008013A5">
          <w:rPr>
            <w:noProof/>
            <w:webHidden/>
          </w:rPr>
          <w:fldChar w:fldCharType="end"/>
        </w:r>
      </w:hyperlink>
    </w:p>
    <w:p w14:paraId="4376AF76" w14:textId="76FE004E"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19" w:history="1">
        <w:r w:rsidR="008013A5" w:rsidRPr="00174278">
          <w:rPr>
            <w:rStyle w:val="Hyperlink"/>
            <w:noProof/>
          </w:rPr>
          <w:t>4.9</w:t>
        </w:r>
        <w:r w:rsidR="008013A5">
          <w:rPr>
            <w:rFonts w:asciiTheme="minorHAnsi" w:eastAsiaTheme="minorEastAsia" w:hAnsiTheme="minorHAnsi" w:cstheme="minorBidi"/>
            <w:noProof/>
            <w:sz w:val="24"/>
            <w:szCs w:val="24"/>
          </w:rPr>
          <w:tab/>
        </w:r>
        <w:r w:rsidR="008013A5" w:rsidRPr="00174278">
          <w:rPr>
            <w:rStyle w:val="Hyperlink"/>
            <w:noProof/>
          </w:rPr>
          <w:t>Pregnancy or lactation</w:t>
        </w:r>
        <w:r w:rsidR="008013A5">
          <w:rPr>
            <w:noProof/>
            <w:webHidden/>
          </w:rPr>
          <w:tab/>
        </w:r>
        <w:r w:rsidR="008013A5">
          <w:rPr>
            <w:noProof/>
            <w:webHidden/>
          </w:rPr>
          <w:fldChar w:fldCharType="begin"/>
        </w:r>
        <w:r w:rsidR="008013A5">
          <w:rPr>
            <w:noProof/>
            <w:webHidden/>
          </w:rPr>
          <w:instrText xml:space="preserve"> PAGEREF _Toc13486719 \h </w:instrText>
        </w:r>
        <w:r w:rsidR="008013A5">
          <w:rPr>
            <w:noProof/>
            <w:webHidden/>
          </w:rPr>
        </w:r>
        <w:r w:rsidR="008013A5">
          <w:rPr>
            <w:noProof/>
            <w:webHidden/>
          </w:rPr>
          <w:fldChar w:fldCharType="separate"/>
        </w:r>
        <w:r w:rsidR="008013A5">
          <w:rPr>
            <w:noProof/>
            <w:webHidden/>
          </w:rPr>
          <w:t>28</w:t>
        </w:r>
        <w:r w:rsidR="008013A5">
          <w:rPr>
            <w:noProof/>
            <w:webHidden/>
          </w:rPr>
          <w:fldChar w:fldCharType="end"/>
        </w:r>
      </w:hyperlink>
    </w:p>
    <w:p w14:paraId="3B362AD8" w14:textId="2F587281"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20" w:history="1">
        <w:r w:rsidR="008013A5" w:rsidRPr="00174278">
          <w:rPr>
            <w:rStyle w:val="Hyperlink"/>
            <w:noProof/>
          </w:rPr>
          <w:t>4.10</w:t>
        </w:r>
        <w:r w:rsidR="008013A5">
          <w:rPr>
            <w:rFonts w:asciiTheme="minorHAnsi" w:eastAsiaTheme="minorEastAsia" w:hAnsiTheme="minorHAnsi" w:cstheme="minorBidi"/>
            <w:noProof/>
            <w:sz w:val="24"/>
            <w:szCs w:val="24"/>
          </w:rPr>
          <w:tab/>
        </w:r>
        <w:r w:rsidR="008013A5" w:rsidRPr="00174278">
          <w:rPr>
            <w:rStyle w:val="Hyperlink"/>
            <w:noProof/>
          </w:rPr>
          <w:t>Extrapulmonary TB</w:t>
        </w:r>
        <w:r w:rsidR="008013A5">
          <w:rPr>
            <w:noProof/>
            <w:webHidden/>
          </w:rPr>
          <w:tab/>
        </w:r>
        <w:r w:rsidR="008013A5">
          <w:rPr>
            <w:noProof/>
            <w:webHidden/>
          </w:rPr>
          <w:fldChar w:fldCharType="begin"/>
        </w:r>
        <w:r w:rsidR="008013A5">
          <w:rPr>
            <w:noProof/>
            <w:webHidden/>
          </w:rPr>
          <w:instrText xml:space="preserve"> PAGEREF _Toc13486720 \h </w:instrText>
        </w:r>
        <w:r w:rsidR="008013A5">
          <w:rPr>
            <w:noProof/>
            <w:webHidden/>
          </w:rPr>
        </w:r>
        <w:r w:rsidR="008013A5">
          <w:rPr>
            <w:noProof/>
            <w:webHidden/>
          </w:rPr>
          <w:fldChar w:fldCharType="separate"/>
        </w:r>
        <w:r w:rsidR="008013A5">
          <w:rPr>
            <w:noProof/>
            <w:webHidden/>
          </w:rPr>
          <w:t>30</w:t>
        </w:r>
        <w:r w:rsidR="008013A5">
          <w:rPr>
            <w:noProof/>
            <w:webHidden/>
          </w:rPr>
          <w:fldChar w:fldCharType="end"/>
        </w:r>
      </w:hyperlink>
    </w:p>
    <w:p w14:paraId="2816664E" w14:textId="7FFDC386"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21" w:history="1">
        <w:r w:rsidR="008013A5" w:rsidRPr="00174278">
          <w:rPr>
            <w:rStyle w:val="Hyperlink"/>
            <w:noProof/>
          </w:rPr>
          <w:t>4.11</w:t>
        </w:r>
        <w:r w:rsidR="008013A5">
          <w:rPr>
            <w:rFonts w:asciiTheme="minorHAnsi" w:eastAsiaTheme="minorEastAsia" w:hAnsiTheme="minorHAnsi" w:cstheme="minorBidi"/>
            <w:noProof/>
            <w:sz w:val="24"/>
            <w:szCs w:val="24"/>
          </w:rPr>
          <w:tab/>
        </w:r>
        <w:r w:rsidR="008013A5" w:rsidRPr="00174278">
          <w:rPr>
            <w:rStyle w:val="Hyperlink"/>
            <w:noProof/>
          </w:rPr>
          <w:t>Co-morbidities (HIV, chronic renal disease and insufficiency, hepatitis C)</w:t>
        </w:r>
        <w:r w:rsidR="008013A5">
          <w:rPr>
            <w:noProof/>
            <w:webHidden/>
          </w:rPr>
          <w:tab/>
        </w:r>
        <w:r w:rsidR="008013A5">
          <w:rPr>
            <w:noProof/>
            <w:webHidden/>
          </w:rPr>
          <w:fldChar w:fldCharType="begin"/>
        </w:r>
        <w:r w:rsidR="008013A5">
          <w:rPr>
            <w:noProof/>
            <w:webHidden/>
          </w:rPr>
          <w:instrText xml:space="preserve"> PAGEREF _Toc13486721 \h </w:instrText>
        </w:r>
        <w:r w:rsidR="008013A5">
          <w:rPr>
            <w:noProof/>
            <w:webHidden/>
          </w:rPr>
        </w:r>
        <w:r w:rsidR="008013A5">
          <w:rPr>
            <w:noProof/>
            <w:webHidden/>
          </w:rPr>
          <w:fldChar w:fldCharType="separate"/>
        </w:r>
        <w:r w:rsidR="008013A5">
          <w:rPr>
            <w:noProof/>
            <w:webHidden/>
          </w:rPr>
          <w:t>31</w:t>
        </w:r>
        <w:r w:rsidR="008013A5">
          <w:rPr>
            <w:noProof/>
            <w:webHidden/>
          </w:rPr>
          <w:fldChar w:fldCharType="end"/>
        </w:r>
      </w:hyperlink>
    </w:p>
    <w:p w14:paraId="7E5F7CE6" w14:textId="0D2B56CF"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22" w:history="1">
        <w:r w:rsidR="008013A5" w:rsidRPr="00174278">
          <w:rPr>
            <w:rStyle w:val="Hyperlink"/>
            <w:noProof/>
          </w:rPr>
          <w:t>4.12</w:t>
        </w:r>
        <w:r w:rsidR="008013A5">
          <w:rPr>
            <w:rFonts w:asciiTheme="minorHAnsi" w:eastAsiaTheme="minorEastAsia" w:hAnsiTheme="minorHAnsi" w:cstheme="minorBidi"/>
            <w:noProof/>
            <w:sz w:val="24"/>
            <w:szCs w:val="24"/>
          </w:rPr>
          <w:tab/>
        </w:r>
        <w:r w:rsidR="008013A5" w:rsidRPr="00174278">
          <w:rPr>
            <w:rStyle w:val="Hyperlink"/>
            <w:noProof/>
          </w:rPr>
          <w:t>Definitions: culture conversion, treatment outcome definitions and recurrence</w:t>
        </w:r>
        <w:r w:rsidR="008013A5">
          <w:rPr>
            <w:noProof/>
            <w:webHidden/>
          </w:rPr>
          <w:tab/>
        </w:r>
        <w:r w:rsidR="008013A5">
          <w:rPr>
            <w:noProof/>
            <w:webHidden/>
          </w:rPr>
          <w:fldChar w:fldCharType="begin"/>
        </w:r>
        <w:r w:rsidR="008013A5">
          <w:rPr>
            <w:noProof/>
            <w:webHidden/>
          </w:rPr>
          <w:instrText xml:space="preserve"> PAGEREF _Toc13486722 \h </w:instrText>
        </w:r>
        <w:r w:rsidR="008013A5">
          <w:rPr>
            <w:noProof/>
            <w:webHidden/>
          </w:rPr>
        </w:r>
        <w:r w:rsidR="008013A5">
          <w:rPr>
            <w:noProof/>
            <w:webHidden/>
          </w:rPr>
          <w:fldChar w:fldCharType="separate"/>
        </w:r>
        <w:r w:rsidR="008013A5">
          <w:rPr>
            <w:noProof/>
            <w:webHidden/>
          </w:rPr>
          <w:t>32</w:t>
        </w:r>
        <w:r w:rsidR="008013A5">
          <w:rPr>
            <w:noProof/>
            <w:webHidden/>
          </w:rPr>
          <w:fldChar w:fldCharType="end"/>
        </w:r>
      </w:hyperlink>
    </w:p>
    <w:p w14:paraId="30477718" w14:textId="2BD49B3A" w:rsidR="008013A5" w:rsidRDefault="002C65F9">
      <w:pPr>
        <w:pStyle w:val="TOC1"/>
        <w:rPr>
          <w:rFonts w:asciiTheme="minorHAnsi" w:eastAsiaTheme="minorEastAsia" w:hAnsiTheme="minorHAnsi" w:cstheme="minorBidi"/>
          <w:noProof/>
          <w:sz w:val="24"/>
          <w:szCs w:val="24"/>
        </w:rPr>
      </w:pPr>
      <w:hyperlink w:anchor="_Toc13486723" w:history="1">
        <w:r w:rsidR="008013A5" w:rsidRPr="00174278">
          <w:rPr>
            <w:rStyle w:val="Hyperlink"/>
            <w:noProof/>
          </w:rPr>
          <w:t>Treatment education and patient consent</w:t>
        </w:r>
        <w:r w:rsidR="008013A5">
          <w:rPr>
            <w:noProof/>
            <w:webHidden/>
          </w:rPr>
          <w:tab/>
        </w:r>
        <w:r w:rsidR="008013A5">
          <w:rPr>
            <w:noProof/>
            <w:webHidden/>
          </w:rPr>
          <w:fldChar w:fldCharType="begin"/>
        </w:r>
        <w:r w:rsidR="008013A5">
          <w:rPr>
            <w:noProof/>
            <w:webHidden/>
          </w:rPr>
          <w:instrText xml:space="preserve"> PAGEREF _Toc13486723 \h </w:instrText>
        </w:r>
        <w:r w:rsidR="008013A5">
          <w:rPr>
            <w:noProof/>
            <w:webHidden/>
          </w:rPr>
        </w:r>
        <w:r w:rsidR="008013A5">
          <w:rPr>
            <w:noProof/>
            <w:webHidden/>
          </w:rPr>
          <w:fldChar w:fldCharType="separate"/>
        </w:r>
        <w:r w:rsidR="008013A5">
          <w:rPr>
            <w:noProof/>
            <w:webHidden/>
          </w:rPr>
          <w:t>35</w:t>
        </w:r>
        <w:r w:rsidR="008013A5">
          <w:rPr>
            <w:noProof/>
            <w:webHidden/>
          </w:rPr>
          <w:fldChar w:fldCharType="end"/>
        </w:r>
      </w:hyperlink>
    </w:p>
    <w:p w14:paraId="40B0B128" w14:textId="295604E1"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24" w:history="1">
        <w:r w:rsidR="008013A5" w:rsidRPr="00174278">
          <w:rPr>
            <w:rStyle w:val="Hyperlink"/>
            <w:noProof/>
          </w:rPr>
          <w:t>4.13</w:t>
        </w:r>
        <w:r w:rsidR="008013A5">
          <w:rPr>
            <w:rFonts w:asciiTheme="minorHAnsi" w:eastAsiaTheme="minorEastAsia" w:hAnsiTheme="minorHAnsi" w:cstheme="minorBidi"/>
            <w:noProof/>
            <w:sz w:val="24"/>
            <w:szCs w:val="24"/>
          </w:rPr>
          <w:tab/>
        </w:r>
        <w:r w:rsidR="008013A5" w:rsidRPr="00174278">
          <w:rPr>
            <w:rStyle w:val="Hyperlink"/>
            <w:noProof/>
          </w:rPr>
          <w:t>Treatment education material</w:t>
        </w:r>
        <w:r w:rsidR="008013A5">
          <w:rPr>
            <w:noProof/>
            <w:webHidden/>
          </w:rPr>
          <w:tab/>
        </w:r>
        <w:r w:rsidR="008013A5">
          <w:rPr>
            <w:noProof/>
            <w:webHidden/>
          </w:rPr>
          <w:fldChar w:fldCharType="begin"/>
        </w:r>
        <w:r w:rsidR="008013A5">
          <w:rPr>
            <w:noProof/>
            <w:webHidden/>
          </w:rPr>
          <w:instrText xml:space="preserve"> PAGEREF _Toc13486724 \h </w:instrText>
        </w:r>
        <w:r w:rsidR="008013A5">
          <w:rPr>
            <w:noProof/>
            <w:webHidden/>
          </w:rPr>
        </w:r>
        <w:r w:rsidR="008013A5">
          <w:rPr>
            <w:noProof/>
            <w:webHidden/>
          </w:rPr>
          <w:fldChar w:fldCharType="separate"/>
        </w:r>
        <w:r w:rsidR="008013A5">
          <w:rPr>
            <w:noProof/>
            <w:webHidden/>
          </w:rPr>
          <w:t>35</w:t>
        </w:r>
        <w:r w:rsidR="008013A5">
          <w:rPr>
            <w:noProof/>
            <w:webHidden/>
          </w:rPr>
          <w:fldChar w:fldCharType="end"/>
        </w:r>
      </w:hyperlink>
    </w:p>
    <w:p w14:paraId="5589126A" w14:textId="65F45F50"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25" w:history="1">
        <w:r w:rsidR="008013A5" w:rsidRPr="00174278">
          <w:rPr>
            <w:rStyle w:val="Hyperlink"/>
            <w:noProof/>
          </w:rPr>
          <w:t>4.14</w:t>
        </w:r>
        <w:r w:rsidR="008013A5">
          <w:rPr>
            <w:rFonts w:asciiTheme="minorHAnsi" w:eastAsiaTheme="minorEastAsia" w:hAnsiTheme="minorHAnsi" w:cstheme="minorBidi"/>
            <w:noProof/>
            <w:sz w:val="24"/>
            <w:szCs w:val="24"/>
          </w:rPr>
          <w:tab/>
        </w:r>
        <w:r w:rsidR="008013A5" w:rsidRPr="00174278">
          <w:rPr>
            <w:rStyle w:val="Hyperlink"/>
            <w:rFonts w:cstheme="minorHAnsi"/>
            <w:noProof/>
          </w:rPr>
          <w:t>Patient consent</w:t>
        </w:r>
        <w:r w:rsidR="008013A5">
          <w:rPr>
            <w:noProof/>
            <w:webHidden/>
          </w:rPr>
          <w:tab/>
        </w:r>
        <w:r w:rsidR="008013A5">
          <w:rPr>
            <w:noProof/>
            <w:webHidden/>
          </w:rPr>
          <w:fldChar w:fldCharType="begin"/>
        </w:r>
        <w:r w:rsidR="008013A5">
          <w:rPr>
            <w:noProof/>
            <w:webHidden/>
          </w:rPr>
          <w:instrText xml:space="preserve"> PAGEREF _Toc13486725 \h </w:instrText>
        </w:r>
        <w:r w:rsidR="008013A5">
          <w:rPr>
            <w:noProof/>
            <w:webHidden/>
          </w:rPr>
        </w:r>
        <w:r w:rsidR="008013A5">
          <w:rPr>
            <w:noProof/>
            <w:webHidden/>
          </w:rPr>
          <w:fldChar w:fldCharType="separate"/>
        </w:r>
        <w:r w:rsidR="008013A5">
          <w:rPr>
            <w:noProof/>
            <w:webHidden/>
          </w:rPr>
          <w:t>35</w:t>
        </w:r>
        <w:r w:rsidR="008013A5">
          <w:rPr>
            <w:noProof/>
            <w:webHidden/>
          </w:rPr>
          <w:fldChar w:fldCharType="end"/>
        </w:r>
      </w:hyperlink>
    </w:p>
    <w:p w14:paraId="06943FE8" w14:textId="15B810A5" w:rsidR="008013A5" w:rsidRDefault="002C65F9">
      <w:pPr>
        <w:pStyle w:val="TOC1"/>
        <w:tabs>
          <w:tab w:val="left" w:pos="440"/>
        </w:tabs>
        <w:rPr>
          <w:rFonts w:asciiTheme="minorHAnsi" w:eastAsiaTheme="minorEastAsia" w:hAnsiTheme="minorHAnsi" w:cstheme="minorBidi"/>
          <w:noProof/>
          <w:sz w:val="24"/>
          <w:szCs w:val="24"/>
        </w:rPr>
      </w:pPr>
      <w:hyperlink w:anchor="_Toc13486726" w:history="1">
        <w:r w:rsidR="008013A5" w:rsidRPr="00174278">
          <w:rPr>
            <w:rStyle w:val="Hyperlink"/>
            <w:noProof/>
          </w:rPr>
          <w:t>5</w:t>
        </w:r>
        <w:r w:rsidR="008013A5">
          <w:rPr>
            <w:rFonts w:asciiTheme="minorHAnsi" w:eastAsiaTheme="minorEastAsia" w:hAnsiTheme="minorHAnsi" w:cstheme="minorBidi"/>
            <w:noProof/>
            <w:sz w:val="24"/>
            <w:szCs w:val="24"/>
          </w:rPr>
          <w:tab/>
        </w:r>
        <w:r w:rsidR="008013A5" w:rsidRPr="00174278">
          <w:rPr>
            <w:rStyle w:val="Hyperlink"/>
            <w:noProof/>
          </w:rPr>
          <w:t>Baseline evaluation and monitoring treatment</w:t>
        </w:r>
        <w:r w:rsidR="008013A5">
          <w:rPr>
            <w:noProof/>
            <w:webHidden/>
          </w:rPr>
          <w:tab/>
        </w:r>
        <w:r w:rsidR="008013A5">
          <w:rPr>
            <w:noProof/>
            <w:webHidden/>
          </w:rPr>
          <w:fldChar w:fldCharType="begin"/>
        </w:r>
        <w:r w:rsidR="008013A5">
          <w:rPr>
            <w:noProof/>
            <w:webHidden/>
          </w:rPr>
          <w:instrText xml:space="preserve"> PAGEREF _Toc13486726 \h </w:instrText>
        </w:r>
        <w:r w:rsidR="008013A5">
          <w:rPr>
            <w:noProof/>
            <w:webHidden/>
          </w:rPr>
        </w:r>
        <w:r w:rsidR="008013A5">
          <w:rPr>
            <w:noProof/>
            <w:webHidden/>
          </w:rPr>
          <w:fldChar w:fldCharType="separate"/>
        </w:r>
        <w:r w:rsidR="008013A5">
          <w:rPr>
            <w:noProof/>
            <w:webHidden/>
          </w:rPr>
          <w:t>36</w:t>
        </w:r>
        <w:r w:rsidR="008013A5">
          <w:rPr>
            <w:noProof/>
            <w:webHidden/>
          </w:rPr>
          <w:fldChar w:fldCharType="end"/>
        </w:r>
      </w:hyperlink>
    </w:p>
    <w:p w14:paraId="00646121" w14:textId="1057B1E6"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27" w:history="1">
        <w:r w:rsidR="008013A5" w:rsidRPr="00174278">
          <w:rPr>
            <w:rStyle w:val="Hyperlink"/>
            <w:noProof/>
          </w:rPr>
          <w:t>5.1</w:t>
        </w:r>
        <w:r w:rsidR="008013A5">
          <w:rPr>
            <w:rFonts w:asciiTheme="minorHAnsi" w:eastAsiaTheme="minorEastAsia" w:hAnsiTheme="minorHAnsi" w:cstheme="minorBidi"/>
            <w:noProof/>
            <w:sz w:val="24"/>
            <w:szCs w:val="24"/>
          </w:rPr>
          <w:tab/>
        </w:r>
        <w:r w:rsidR="008013A5" w:rsidRPr="00174278">
          <w:rPr>
            <w:rStyle w:val="Hyperlink"/>
            <w:noProof/>
          </w:rPr>
          <w:t>Monitoring schedule for patient follow-up</w:t>
        </w:r>
        <w:r w:rsidR="008013A5">
          <w:rPr>
            <w:noProof/>
            <w:webHidden/>
          </w:rPr>
          <w:tab/>
        </w:r>
        <w:r w:rsidR="008013A5">
          <w:rPr>
            <w:noProof/>
            <w:webHidden/>
          </w:rPr>
          <w:fldChar w:fldCharType="begin"/>
        </w:r>
        <w:r w:rsidR="008013A5">
          <w:rPr>
            <w:noProof/>
            <w:webHidden/>
          </w:rPr>
          <w:instrText xml:space="preserve"> PAGEREF _Toc13486727 \h </w:instrText>
        </w:r>
        <w:r w:rsidR="008013A5">
          <w:rPr>
            <w:noProof/>
            <w:webHidden/>
          </w:rPr>
        </w:r>
        <w:r w:rsidR="008013A5">
          <w:rPr>
            <w:noProof/>
            <w:webHidden/>
          </w:rPr>
          <w:fldChar w:fldCharType="separate"/>
        </w:r>
        <w:r w:rsidR="008013A5">
          <w:rPr>
            <w:noProof/>
            <w:webHidden/>
          </w:rPr>
          <w:t>36</w:t>
        </w:r>
        <w:r w:rsidR="008013A5">
          <w:rPr>
            <w:noProof/>
            <w:webHidden/>
          </w:rPr>
          <w:fldChar w:fldCharType="end"/>
        </w:r>
      </w:hyperlink>
    </w:p>
    <w:p w14:paraId="25EEEB28" w14:textId="07DC4D37" w:rsidR="008013A5" w:rsidRDefault="002C65F9">
      <w:pPr>
        <w:pStyle w:val="TOC1"/>
        <w:tabs>
          <w:tab w:val="left" w:pos="440"/>
        </w:tabs>
        <w:rPr>
          <w:rFonts w:asciiTheme="minorHAnsi" w:eastAsiaTheme="minorEastAsia" w:hAnsiTheme="minorHAnsi" w:cstheme="minorBidi"/>
          <w:noProof/>
          <w:sz w:val="24"/>
          <w:szCs w:val="24"/>
        </w:rPr>
      </w:pPr>
      <w:hyperlink w:anchor="_Toc13486728" w:history="1">
        <w:r w:rsidR="008013A5" w:rsidRPr="00174278">
          <w:rPr>
            <w:rStyle w:val="Hyperlink"/>
            <w:noProof/>
          </w:rPr>
          <w:t>6</w:t>
        </w:r>
        <w:r w:rsidR="008013A5">
          <w:rPr>
            <w:rFonts w:asciiTheme="minorHAnsi" w:eastAsiaTheme="minorEastAsia" w:hAnsiTheme="minorHAnsi" w:cstheme="minorBidi"/>
            <w:noProof/>
            <w:sz w:val="24"/>
            <w:szCs w:val="24"/>
          </w:rPr>
          <w:tab/>
        </w:r>
        <w:r w:rsidR="008013A5" w:rsidRPr="00174278">
          <w:rPr>
            <w:rStyle w:val="Hyperlink"/>
            <w:noProof/>
          </w:rPr>
          <w:t>Drug safety and the management of adverse events</w:t>
        </w:r>
        <w:r w:rsidR="008013A5">
          <w:rPr>
            <w:noProof/>
            <w:webHidden/>
          </w:rPr>
          <w:tab/>
        </w:r>
        <w:r w:rsidR="008013A5">
          <w:rPr>
            <w:noProof/>
            <w:webHidden/>
          </w:rPr>
          <w:fldChar w:fldCharType="begin"/>
        </w:r>
        <w:r w:rsidR="008013A5">
          <w:rPr>
            <w:noProof/>
            <w:webHidden/>
          </w:rPr>
          <w:instrText xml:space="preserve"> PAGEREF _Toc13486728 \h </w:instrText>
        </w:r>
        <w:r w:rsidR="008013A5">
          <w:rPr>
            <w:noProof/>
            <w:webHidden/>
          </w:rPr>
        </w:r>
        <w:r w:rsidR="008013A5">
          <w:rPr>
            <w:noProof/>
            <w:webHidden/>
          </w:rPr>
          <w:fldChar w:fldCharType="separate"/>
        </w:r>
        <w:r w:rsidR="008013A5">
          <w:rPr>
            <w:noProof/>
            <w:webHidden/>
          </w:rPr>
          <w:t>39</w:t>
        </w:r>
        <w:r w:rsidR="008013A5">
          <w:rPr>
            <w:noProof/>
            <w:webHidden/>
          </w:rPr>
          <w:fldChar w:fldCharType="end"/>
        </w:r>
      </w:hyperlink>
    </w:p>
    <w:p w14:paraId="59C031E7" w14:textId="2457EF5E"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29" w:history="1">
        <w:r w:rsidR="008013A5" w:rsidRPr="00174278">
          <w:rPr>
            <w:rStyle w:val="Hyperlink"/>
            <w:noProof/>
          </w:rPr>
          <w:t>6.1</w:t>
        </w:r>
        <w:r w:rsidR="008013A5">
          <w:rPr>
            <w:rFonts w:asciiTheme="minorHAnsi" w:eastAsiaTheme="minorEastAsia" w:hAnsiTheme="minorHAnsi" w:cstheme="minorBidi"/>
            <w:noProof/>
            <w:sz w:val="24"/>
            <w:szCs w:val="24"/>
          </w:rPr>
          <w:tab/>
        </w:r>
        <w:r w:rsidR="008013A5" w:rsidRPr="00174278">
          <w:rPr>
            <w:rStyle w:val="Hyperlink"/>
            <w:noProof/>
          </w:rPr>
          <w:t>Scope of safety data collection and definitions</w:t>
        </w:r>
        <w:r w:rsidR="008013A5">
          <w:rPr>
            <w:noProof/>
            <w:webHidden/>
          </w:rPr>
          <w:tab/>
        </w:r>
        <w:r w:rsidR="008013A5">
          <w:rPr>
            <w:noProof/>
            <w:webHidden/>
          </w:rPr>
          <w:fldChar w:fldCharType="begin"/>
        </w:r>
        <w:r w:rsidR="008013A5">
          <w:rPr>
            <w:noProof/>
            <w:webHidden/>
          </w:rPr>
          <w:instrText xml:space="preserve"> PAGEREF _Toc13486729 \h </w:instrText>
        </w:r>
        <w:r w:rsidR="008013A5">
          <w:rPr>
            <w:noProof/>
            <w:webHidden/>
          </w:rPr>
        </w:r>
        <w:r w:rsidR="008013A5">
          <w:rPr>
            <w:noProof/>
            <w:webHidden/>
          </w:rPr>
          <w:fldChar w:fldCharType="separate"/>
        </w:r>
        <w:r w:rsidR="008013A5">
          <w:rPr>
            <w:noProof/>
            <w:webHidden/>
          </w:rPr>
          <w:t>39</w:t>
        </w:r>
        <w:r w:rsidR="008013A5">
          <w:rPr>
            <w:noProof/>
            <w:webHidden/>
          </w:rPr>
          <w:fldChar w:fldCharType="end"/>
        </w:r>
      </w:hyperlink>
    </w:p>
    <w:p w14:paraId="3D474103" w14:textId="3DB932DC"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30" w:history="1">
        <w:r w:rsidR="008013A5" w:rsidRPr="00174278">
          <w:rPr>
            <w:rStyle w:val="Hyperlink"/>
            <w:noProof/>
          </w:rPr>
          <w:t>6.2</w:t>
        </w:r>
        <w:r w:rsidR="008013A5">
          <w:rPr>
            <w:rFonts w:asciiTheme="minorHAnsi" w:eastAsiaTheme="minorEastAsia" w:hAnsiTheme="minorHAnsi" w:cstheme="minorBidi"/>
            <w:noProof/>
            <w:sz w:val="24"/>
            <w:szCs w:val="24"/>
          </w:rPr>
          <w:tab/>
        </w:r>
        <w:r w:rsidR="008013A5" w:rsidRPr="00174278">
          <w:rPr>
            <w:rStyle w:val="Hyperlink"/>
            <w:rFonts w:cstheme="minorHAnsi"/>
            <w:noProof/>
          </w:rPr>
          <w:t>Grading SAEs and assigning causality</w:t>
        </w:r>
        <w:r w:rsidR="008013A5">
          <w:rPr>
            <w:noProof/>
            <w:webHidden/>
          </w:rPr>
          <w:tab/>
        </w:r>
        <w:r w:rsidR="008013A5">
          <w:rPr>
            <w:noProof/>
            <w:webHidden/>
          </w:rPr>
          <w:fldChar w:fldCharType="begin"/>
        </w:r>
        <w:r w:rsidR="008013A5">
          <w:rPr>
            <w:noProof/>
            <w:webHidden/>
          </w:rPr>
          <w:instrText xml:space="preserve"> PAGEREF _Toc13486730 \h </w:instrText>
        </w:r>
        <w:r w:rsidR="008013A5">
          <w:rPr>
            <w:noProof/>
            <w:webHidden/>
          </w:rPr>
        </w:r>
        <w:r w:rsidR="008013A5">
          <w:rPr>
            <w:noProof/>
            <w:webHidden/>
          </w:rPr>
          <w:fldChar w:fldCharType="separate"/>
        </w:r>
        <w:r w:rsidR="008013A5">
          <w:rPr>
            <w:noProof/>
            <w:webHidden/>
          </w:rPr>
          <w:t>40</w:t>
        </w:r>
        <w:r w:rsidR="008013A5">
          <w:rPr>
            <w:noProof/>
            <w:webHidden/>
          </w:rPr>
          <w:fldChar w:fldCharType="end"/>
        </w:r>
      </w:hyperlink>
    </w:p>
    <w:p w14:paraId="7195DE9D" w14:textId="411D49E9"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31" w:history="1">
        <w:r w:rsidR="008013A5" w:rsidRPr="00174278">
          <w:rPr>
            <w:rStyle w:val="Hyperlink"/>
            <w:noProof/>
          </w:rPr>
          <w:t>6.3</w:t>
        </w:r>
        <w:r w:rsidR="008013A5">
          <w:rPr>
            <w:rFonts w:asciiTheme="minorHAnsi" w:eastAsiaTheme="minorEastAsia" w:hAnsiTheme="minorHAnsi" w:cstheme="minorBidi"/>
            <w:noProof/>
            <w:sz w:val="24"/>
            <w:szCs w:val="24"/>
          </w:rPr>
          <w:tab/>
        </w:r>
        <w:r w:rsidR="008013A5" w:rsidRPr="00174278">
          <w:rPr>
            <w:rStyle w:val="Hyperlink"/>
            <w:noProof/>
          </w:rPr>
          <w:t>Clinical management of adverse events of interest</w:t>
        </w:r>
        <w:r w:rsidR="008013A5">
          <w:rPr>
            <w:noProof/>
            <w:webHidden/>
          </w:rPr>
          <w:tab/>
        </w:r>
        <w:r w:rsidR="008013A5">
          <w:rPr>
            <w:noProof/>
            <w:webHidden/>
          </w:rPr>
          <w:fldChar w:fldCharType="begin"/>
        </w:r>
        <w:r w:rsidR="008013A5">
          <w:rPr>
            <w:noProof/>
            <w:webHidden/>
          </w:rPr>
          <w:instrText xml:space="preserve"> PAGEREF _Toc13486731 \h </w:instrText>
        </w:r>
        <w:r w:rsidR="008013A5">
          <w:rPr>
            <w:noProof/>
            <w:webHidden/>
          </w:rPr>
        </w:r>
        <w:r w:rsidR="008013A5">
          <w:rPr>
            <w:noProof/>
            <w:webHidden/>
          </w:rPr>
          <w:fldChar w:fldCharType="separate"/>
        </w:r>
        <w:r w:rsidR="008013A5">
          <w:rPr>
            <w:noProof/>
            <w:webHidden/>
          </w:rPr>
          <w:t>41</w:t>
        </w:r>
        <w:r w:rsidR="008013A5">
          <w:rPr>
            <w:noProof/>
            <w:webHidden/>
          </w:rPr>
          <w:fldChar w:fldCharType="end"/>
        </w:r>
      </w:hyperlink>
    </w:p>
    <w:p w14:paraId="1D8A14AA" w14:textId="5D6637EC" w:rsidR="008013A5" w:rsidRDefault="002C65F9">
      <w:pPr>
        <w:pStyle w:val="TOC2"/>
        <w:tabs>
          <w:tab w:val="left" w:pos="880"/>
          <w:tab w:val="right" w:leader="dot" w:pos="9350"/>
        </w:tabs>
        <w:rPr>
          <w:rFonts w:asciiTheme="minorHAnsi" w:eastAsiaTheme="minorEastAsia" w:hAnsiTheme="minorHAnsi" w:cstheme="minorBidi"/>
          <w:noProof/>
          <w:sz w:val="24"/>
          <w:szCs w:val="24"/>
        </w:rPr>
      </w:pPr>
      <w:hyperlink w:anchor="_Toc13486732" w:history="1">
        <w:r w:rsidR="008013A5" w:rsidRPr="00174278">
          <w:rPr>
            <w:rStyle w:val="Hyperlink"/>
            <w:noProof/>
          </w:rPr>
          <w:t>6.4</w:t>
        </w:r>
        <w:r w:rsidR="008013A5">
          <w:rPr>
            <w:rFonts w:asciiTheme="minorHAnsi" w:eastAsiaTheme="minorEastAsia" w:hAnsiTheme="minorHAnsi" w:cstheme="minorBidi"/>
            <w:noProof/>
            <w:sz w:val="24"/>
            <w:szCs w:val="24"/>
          </w:rPr>
          <w:tab/>
        </w:r>
        <w:r w:rsidR="008013A5" w:rsidRPr="00174278">
          <w:rPr>
            <w:rStyle w:val="Hyperlink"/>
            <w:noProof/>
          </w:rPr>
          <w:t>Frequent adverse events</w:t>
        </w:r>
        <w:r w:rsidR="008013A5">
          <w:rPr>
            <w:noProof/>
            <w:webHidden/>
          </w:rPr>
          <w:tab/>
        </w:r>
        <w:r w:rsidR="008013A5">
          <w:rPr>
            <w:noProof/>
            <w:webHidden/>
          </w:rPr>
          <w:fldChar w:fldCharType="begin"/>
        </w:r>
        <w:r w:rsidR="008013A5">
          <w:rPr>
            <w:noProof/>
            <w:webHidden/>
          </w:rPr>
          <w:instrText xml:space="preserve"> PAGEREF _Toc13486732 \h </w:instrText>
        </w:r>
        <w:r w:rsidR="008013A5">
          <w:rPr>
            <w:noProof/>
            <w:webHidden/>
          </w:rPr>
        </w:r>
        <w:r w:rsidR="008013A5">
          <w:rPr>
            <w:noProof/>
            <w:webHidden/>
          </w:rPr>
          <w:fldChar w:fldCharType="separate"/>
        </w:r>
        <w:r w:rsidR="008013A5">
          <w:rPr>
            <w:noProof/>
            <w:webHidden/>
          </w:rPr>
          <w:t>59</w:t>
        </w:r>
        <w:r w:rsidR="008013A5">
          <w:rPr>
            <w:noProof/>
            <w:webHidden/>
          </w:rPr>
          <w:fldChar w:fldCharType="end"/>
        </w:r>
      </w:hyperlink>
    </w:p>
    <w:p w14:paraId="55477953" w14:textId="75C4F42B" w:rsidR="008013A5" w:rsidRDefault="002C65F9">
      <w:pPr>
        <w:pStyle w:val="TOC1"/>
        <w:tabs>
          <w:tab w:val="left" w:pos="440"/>
        </w:tabs>
        <w:rPr>
          <w:rFonts w:asciiTheme="minorHAnsi" w:eastAsiaTheme="minorEastAsia" w:hAnsiTheme="minorHAnsi" w:cstheme="minorBidi"/>
          <w:noProof/>
          <w:sz w:val="24"/>
          <w:szCs w:val="24"/>
        </w:rPr>
      </w:pPr>
      <w:hyperlink w:anchor="_Toc13486733" w:history="1">
        <w:r w:rsidR="008013A5" w:rsidRPr="00174278">
          <w:rPr>
            <w:rStyle w:val="Hyperlink"/>
            <w:noProof/>
          </w:rPr>
          <w:t>7</w:t>
        </w:r>
        <w:r w:rsidR="008013A5">
          <w:rPr>
            <w:rFonts w:asciiTheme="minorHAnsi" w:eastAsiaTheme="minorEastAsia" w:hAnsiTheme="minorHAnsi" w:cstheme="minorBidi"/>
            <w:noProof/>
            <w:sz w:val="24"/>
            <w:szCs w:val="24"/>
          </w:rPr>
          <w:tab/>
        </w:r>
        <w:r w:rsidR="008013A5" w:rsidRPr="00174278">
          <w:rPr>
            <w:rStyle w:val="Hyperlink"/>
            <w:noProof/>
          </w:rPr>
          <w:t>References</w:t>
        </w:r>
        <w:r w:rsidR="008013A5">
          <w:rPr>
            <w:noProof/>
            <w:webHidden/>
          </w:rPr>
          <w:tab/>
        </w:r>
        <w:r w:rsidR="008013A5">
          <w:rPr>
            <w:noProof/>
            <w:webHidden/>
          </w:rPr>
          <w:fldChar w:fldCharType="begin"/>
        </w:r>
        <w:r w:rsidR="008013A5">
          <w:rPr>
            <w:noProof/>
            <w:webHidden/>
          </w:rPr>
          <w:instrText xml:space="preserve"> PAGEREF _Toc13486733 \h </w:instrText>
        </w:r>
        <w:r w:rsidR="008013A5">
          <w:rPr>
            <w:noProof/>
            <w:webHidden/>
          </w:rPr>
        </w:r>
        <w:r w:rsidR="008013A5">
          <w:rPr>
            <w:noProof/>
            <w:webHidden/>
          </w:rPr>
          <w:fldChar w:fldCharType="separate"/>
        </w:r>
        <w:r w:rsidR="008013A5">
          <w:rPr>
            <w:noProof/>
            <w:webHidden/>
          </w:rPr>
          <w:t>66</w:t>
        </w:r>
        <w:r w:rsidR="008013A5">
          <w:rPr>
            <w:noProof/>
            <w:webHidden/>
          </w:rPr>
          <w:fldChar w:fldCharType="end"/>
        </w:r>
      </w:hyperlink>
    </w:p>
    <w:p w14:paraId="32064E81" w14:textId="5B866F88" w:rsidR="008013A5" w:rsidRDefault="002C65F9">
      <w:pPr>
        <w:pStyle w:val="TOC2"/>
        <w:tabs>
          <w:tab w:val="right" w:leader="dot" w:pos="9350"/>
        </w:tabs>
        <w:rPr>
          <w:rFonts w:asciiTheme="minorHAnsi" w:eastAsiaTheme="minorEastAsia" w:hAnsiTheme="minorHAnsi" w:cstheme="minorBidi"/>
          <w:noProof/>
          <w:sz w:val="24"/>
          <w:szCs w:val="24"/>
        </w:rPr>
      </w:pPr>
      <w:hyperlink w:anchor="_Toc13486734" w:history="1">
        <w:r w:rsidR="008013A5" w:rsidRPr="00174278">
          <w:rPr>
            <w:rStyle w:val="Hyperlink"/>
            <w:noProof/>
          </w:rPr>
          <w:t>Weight-Based Dosing in Children</w:t>
        </w:r>
        <w:r w:rsidR="008013A5">
          <w:rPr>
            <w:noProof/>
            <w:webHidden/>
          </w:rPr>
          <w:tab/>
        </w:r>
        <w:r w:rsidR="008013A5">
          <w:rPr>
            <w:noProof/>
            <w:webHidden/>
          </w:rPr>
          <w:fldChar w:fldCharType="begin"/>
        </w:r>
        <w:r w:rsidR="008013A5">
          <w:rPr>
            <w:noProof/>
            <w:webHidden/>
          </w:rPr>
          <w:instrText xml:space="preserve"> PAGEREF _Toc13486734 \h </w:instrText>
        </w:r>
        <w:r w:rsidR="008013A5">
          <w:rPr>
            <w:noProof/>
            <w:webHidden/>
          </w:rPr>
        </w:r>
        <w:r w:rsidR="008013A5">
          <w:rPr>
            <w:noProof/>
            <w:webHidden/>
          </w:rPr>
          <w:fldChar w:fldCharType="separate"/>
        </w:r>
        <w:r w:rsidR="008013A5">
          <w:rPr>
            <w:noProof/>
            <w:webHidden/>
          </w:rPr>
          <w:t>67</w:t>
        </w:r>
        <w:r w:rsidR="008013A5">
          <w:rPr>
            <w:noProof/>
            <w:webHidden/>
          </w:rPr>
          <w:fldChar w:fldCharType="end"/>
        </w:r>
      </w:hyperlink>
    </w:p>
    <w:p w14:paraId="5B77FBA8" w14:textId="59C49ACD" w:rsidR="0083231A" w:rsidRPr="00C74CD4" w:rsidRDefault="0083231A" w:rsidP="0513D106">
      <w:pPr>
        <w:rPr>
          <w:rFonts w:asciiTheme="minorHAnsi" w:hAnsiTheme="minorHAnsi"/>
          <w:b/>
          <w:bCs/>
          <w:color w:val="000000" w:themeColor="text1"/>
          <w:sz w:val="28"/>
          <w:szCs w:val="28"/>
        </w:rPr>
      </w:pPr>
      <w:r w:rsidRPr="00C74CD4">
        <w:rPr>
          <w:rFonts w:asciiTheme="minorHAnsi" w:hAnsiTheme="minorHAnsi"/>
          <w:b/>
          <w:bCs/>
          <w:color w:val="000000" w:themeColor="text1"/>
          <w:sz w:val="28"/>
          <w:szCs w:val="28"/>
        </w:rPr>
        <w:fldChar w:fldCharType="end"/>
      </w:r>
    </w:p>
    <w:p w14:paraId="55918E8C" w14:textId="245F878E" w:rsidR="00062DF5" w:rsidRPr="00C74CD4" w:rsidRDefault="00F72348" w:rsidP="009C09A0">
      <w:pPr>
        <w:pStyle w:val="Heading1"/>
        <w:numPr>
          <w:ilvl w:val="0"/>
          <w:numId w:val="0"/>
        </w:numPr>
        <w:spacing w:line="360" w:lineRule="auto"/>
        <w:ind w:left="432"/>
        <w:rPr>
          <w:rFonts w:asciiTheme="minorHAnsi" w:hAnsiTheme="minorHAnsi"/>
        </w:rPr>
      </w:pPr>
      <w:bookmarkStart w:id="1" w:name="_Toc424728180"/>
      <w:r w:rsidRPr="00C74CD4">
        <w:rPr>
          <w:rFonts w:asciiTheme="minorHAnsi" w:hAnsiTheme="minorHAnsi"/>
        </w:rPr>
        <w:br w:type="page"/>
      </w:r>
      <w:bookmarkStart w:id="2" w:name="_Toc12792940"/>
      <w:bookmarkStart w:id="3" w:name="_Toc12952348"/>
      <w:bookmarkStart w:id="4" w:name="_Toc13486699"/>
      <w:r w:rsidR="0513D106" w:rsidRPr="00C74CD4">
        <w:rPr>
          <w:rFonts w:asciiTheme="minorHAnsi" w:hAnsiTheme="minorHAnsi"/>
        </w:rPr>
        <w:lastRenderedPageBreak/>
        <w:t>Table of tables</w:t>
      </w:r>
      <w:bookmarkEnd w:id="1"/>
      <w:bookmarkEnd w:id="2"/>
      <w:bookmarkEnd w:id="3"/>
      <w:bookmarkEnd w:id="4"/>
    </w:p>
    <w:p w14:paraId="748FCE91" w14:textId="11CDAA40" w:rsidR="00227348" w:rsidRDefault="002C4FED">
      <w:pPr>
        <w:pStyle w:val="TableofFigures"/>
        <w:tabs>
          <w:tab w:val="right" w:leader="dot" w:pos="9350"/>
        </w:tabs>
        <w:rPr>
          <w:rFonts w:asciiTheme="minorHAnsi" w:eastAsiaTheme="minorEastAsia" w:hAnsiTheme="minorHAnsi" w:cstheme="minorBidi"/>
          <w:noProof/>
          <w:color w:val="auto"/>
          <w:sz w:val="24"/>
          <w:szCs w:val="24"/>
        </w:rPr>
      </w:pPr>
      <w:r w:rsidRPr="00C74CD4">
        <w:rPr>
          <w:rFonts w:asciiTheme="minorHAnsi" w:hAnsiTheme="minorHAnsi"/>
          <w:color w:val="000000" w:themeColor="text1"/>
        </w:rPr>
        <w:fldChar w:fldCharType="begin"/>
      </w:r>
      <w:r w:rsidRPr="00C74CD4">
        <w:rPr>
          <w:rFonts w:asciiTheme="minorHAnsi" w:hAnsiTheme="minorHAnsi"/>
          <w:color w:val="000000" w:themeColor="text1"/>
        </w:rPr>
        <w:instrText xml:space="preserve"> TOC \h \z \t "Heading 3" \c </w:instrText>
      </w:r>
      <w:r w:rsidRPr="00C74CD4">
        <w:rPr>
          <w:rFonts w:asciiTheme="minorHAnsi" w:hAnsiTheme="minorHAnsi"/>
          <w:color w:val="000000" w:themeColor="text1"/>
        </w:rPr>
        <w:fldChar w:fldCharType="separate"/>
      </w:r>
      <w:hyperlink w:anchor="_Toc13486759" w:history="1">
        <w:r w:rsidR="00227348" w:rsidRPr="004A40D6">
          <w:rPr>
            <w:rStyle w:val="Hyperlink"/>
            <w:noProof/>
          </w:rPr>
          <w:t>Table 1 Possible drug-drug interactions with bedaquiline</w:t>
        </w:r>
        <w:r w:rsidR="00227348">
          <w:rPr>
            <w:noProof/>
            <w:webHidden/>
          </w:rPr>
          <w:tab/>
        </w:r>
        <w:r w:rsidR="00227348">
          <w:rPr>
            <w:noProof/>
            <w:webHidden/>
          </w:rPr>
          <w:fldChar w:fldCharType="begin"/>
        </w:r>
        <w:r w:rsidR="00227348">
          <w:rPr>
            <w:noProof/>
            <w:webHidden/>
          </w:rPr>
          <w:instrText xml:space="preserve"> PAGEREF _Toc13486759 \h </w:instrText>
        </w:r>
        <w:r w:rsidR="00227348">
          <w:rPr>
            <w:noProof/>
            <w:webHidden/>
          </w:rPr>
        </w:r>
        <w:r w:rsidR="00227348">
          <w:rPr>
            <w:noProof/>
            <w:webHidden/>
          </w:rPr>
          <w:fldChar w:fldCharType="separate"/>
        </w:r>
        <w:r w:rsidR="00227348">
          <w:rPr>
            <w:noProof/>
            <w:webHidden/>
          </w:rPr>
          <w:t>8</w:t>
        </w:r>
        <w:r w:rsidR="00227348">
          <w:rPr>
            <w:noProof/>
            <w:webHidden/>
          </w:rPr>
          <w:fldChar w:fldCharType="end"/>
        </w:r>
      </w:hyperlink>
    </w:p>
    <w:p w14:paraId="4BF48A6F" w14:textId="254D4F8C"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0" w:history="1">
        <w:r w:rsidR="00227348" w:rsidRPr="004A40D6">
          <w:rPr>
            <w:rStyle w:val="Hyperlink"/>
            <w:noProof/>
          </w:rPr>
          <w:t>Table 2 Possible drug-drug interactions between antiretrovirals and bedaquiline</w:t>
        </w:r>
        <w:r w:rsidR="00227348">
          <w:rPr>
            <w:noProof/>
            <w:webHidden/>
          </w:rPr>
          <w:tab/>
        </w:r>
        <w:r w:rsidR="00227348">
          <w:rPr>
            <w:noProof/>
            <w:webHidden/>
          </w:rPr>
          <w:fldChar w:fldCharType="begin"/>
        </w:r>
        <w:r w:rsidR="00227348">
          <w:rPr>
            <w:noProof/>
            <w:webHidden/>
          </w:rPr>
          <w:instrText xml:space="preserve"> PAGEREF _Toc13486760 \h </w:instrText>
        </w:r>
        <w:r w:rsidR="00227348">
          <w:rPr>
            <w:noProof/>
            <w:webHidden/>
          </w:rPr>
        </w:r>
        <w:r w:rsidR="00227348">
          <w:rPr>
            <w:noProof/>
            <w:webHidden/>
          </w:rPr>
          <w:fldChar w:fldCharType="separate"/>
        </w:r>
        <w:r w:rsidR="00227348">
          <w:rPr>
            <w:noProof/>
            <w:webHidden/>
          </w:rPr>
          <w:t>8</w:t>
        </w:r>
        <w:r w:rsidR="00227348">
          <w:rPr>
            <w:noProof/>
            <w:webHidden/>
          </w:rPr>
          <w:fldChar w:fldCharType="end"/>
        </w:r>
      </w:hyperlink>
    </w:p>
    <w:p w14:paraId="7F6FA49B" w14:textId="378AF27B"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1" w:history="1">
        <w:r w:rsidR="00227348" w:rsidRPr="004A40D6">
          <w:rPr>
            <w:rStyle w:val="Hyperlink"/>
            <w:noProof/>
          </w:rPr>
          <w:t>Table 3 Non-TB drugs that when used with linezolid may result in serotonergic syndrome</w:t>
        </w:r>
        <w:r w:rsidR="00227348">
          <w:rPr>
            <w:noProof/>
            <w:webHidden/>
          </w:rPr>
          <w:tab/>
        </w:r>
        <w:r w:rsidR="00227348">
          <w:rPr>
            <w:noProof/>
            <w:webHidden/>
          </w:rPr>
          <w:fldChar w:fldCharType="begin"/>
        </w:r>
        <w:r w:rsidR="00227348">
          <w:rPr>
            <w:noProof/>
            <w:webHidden/>
          </w:rPr>
          <w:instrText xml:space="preserve"> PAGEREF _Toc13486761 \h </w:instrText>
        </w:r>
        <w:r w:rsidR="00227348">
          <w:rPr>
            <w:noProof/>
            <w:webHidden/>
          </w:rPr>
        </w:r>
        <w:r w:rsidR="00227348">
          <w:rPr>
            <w:noProof/>
            <w:webHidden/>
          </w:rPr>
          <w:fldChar w:fldCharType="separate"/>
        </w:r>
        <w:r w:rsidR="00227348">
          <w:rPr>
            <w:noProof/>
            <w:webHidden/>
          </w:rPr>
          <w:t>10</w:t>
        </w:r>
        <w:r w:rsidR="00227348">
          <w:rPr>
            <w:noProof/>
            <w:webHidden/>
          </w:rPr>
          <w:fldChar w:fldCharType="end"/>
        </w:r>
      </w:hyperlink>
    </w:p>
    <w:p w14:paraId="790AB7CE" w14:textId="70ABB454"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2" w:history="1">
        <w:r w:rsidR="00227348" w:rsidRPr="004A40D6">
          <w:rPr>
            <w:rStyle w:val="Hyperlink"/>
            <w:iCs/>
            <w:noProof/>
          </w:rPr>
          <w:t xml:space="preserve">Table </w:t>
        </w:r>
        <w:r w:rsidR="00227348" w:rsidRPr="004A40D6">
          <w:rPr>
            <w:rStyle w:val="Hyperlink"/>
            <w:noProof/>
          </w:rPr>
          <w:t>4</w:t>
        </w:r>
        <w:r w:rsidR="00227348" w:rsidRPr="004A40D6">
          <w:rPr>
            <w:rStyle w:val="Hyperlink"/>
            <w:iCs/>
            <w:noProof/>
          </w:rPr>
          <w:t xml:space="preserve"> Contraindications for TB drugs commonly used in all-oral STRs</w:t>
        </w:r>
        <w:r w:rsidR="00227348" w:rsidRPr="004A40D6">
          <w:rPr>
            <w:rStyle w:val="Hyperlink"/>
            <w:iCs/>
            <w:noProof/>
            <w:vertAlign w:val="superscript"/>
          </w:rPr>
          <w:t>*</w:t>
        </w:r>
        <w:r w:rsidR="00227348">
          <w:rPr>
            <w:noProof/>
            <w:webHidden/>
          </w:rPr>
          <w:tab/>
        </w:r>
        <w:r w:rsidR="00227348">
          <w:rPr>
            <w:noProof/>
            <w:webHidden/>
          </w:rPr>
          <w:fldChar w:fldCharType="begin"/>
        </w:r>
        <w:r w:rsidR="00227348">
          <w:rPr>
            <w:noProof/>
            <w:webHidden/>
          </w:rPr>
          <w:instrText xml:space="preserve"> PAGEREF _Toc13486762 \h </w:instrText>
        </w:r>
        <w:r w:rsidR="00227348">
          <w:rPr>
            <w:noProof/>
            <w:webHidden/>
          </w:rPr>
        </w:r>
        <w:r w:rsidR="00227348">
          <w:rPr>
            <w:noProof/>
            <w:webHidden/>
          </w:rPr>
          <w:fldChar w:fldCharType="separate"/>
        </w:r>
        <w:r w:rsidR="00227348">
          <w:rPr>
            <w:noProof/>
            <w:webHidden/>
          </w:rPr>
          <w:t>13</w:t>
        </w:r>
        <w:r w:rsidR="00227348">
          <w:rPr>
            <w:noProof/>
            <w:webHidden/>
          </w:rPr>
          <w:fldChar w:fldCharType="end"/>
        </w:r>
      </w:hyperlink>
    </w:p>
    <w:p w14:paraId="2B3A5073" w14:textId="2783039B"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3" w:history="1">
        <w:r w:rsidR="00227348" w:rsidRPr="004A40D6">
          <w:rPr>
            <w:rStyle w:val="Hyperlink"/>
            <w:rFonts w:cstheme="minorHAnsi"/>
            <w:noProof/>
          </w:rPr>
          <w:t>Table 5 Non-TB drugs that have potential to cause QT prolongation or affect the heart rhythm</w:t>
        </w:r>
        <w:r w:rsidR="00227348">
          <w:rPr>
            <w:noProof/>
            <w:webHidden/>
          </w:rPr>
          <w:tab/>
        </w:r>
        <w:r w:rsidR="00227348">
          <w:rPr>
            <w:noProof/>
            <w:webHidden/>
          </w:rPr>
          <w:fldChar w:fldCharType="begin"/>
        </w:r>
        <w:r w:rsidR="00227348">
          <w:rPr>
            <w:noProof/>
            <w:webHidden/>
          </w:rPr>
          <w:instrText xml:space="preserve"> PAGEREF _Toc13486763 \h </w:instrText>
        </w:r>
        <w:r w:rsidR="00227348">
          <w:rPr>
            <w:noProof/>
            <w:webHidden/>
          </w:rPr>
        </w:r>
        <w:r w:rsidR="00227348">
          <w:rPr>
            <w:noProof/>
            <w:webHidden/>
          </w:rPr>
          <w:fldChar w:fldCharType="separate"/>
        </w:r>
        <w:r w:rsidR="00227348">
          <w:rPr>
            <w:noProof/>
            <w:webHidden/>
          </w:rPr>
          <w:t>15</w:t>
        </w:r>
        <w:r w:rsidR="00227348">
          <w:rPr>
            <w:noProof/>
            <w:webHidden/>
          </w:rPr>
          <w:fldChar w:fldCharType="end"/>
        </w:r>
      </w:hyperlink>
    </w:p>
    <w:p w14:paraId="772D13EE" w14:textId="542F8873"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4" w:history="1">
        <w:r w:rsidR="00227348" w:rsidRPr="004A40D6">
          <w:rPr>
            <w:rStyle w:val="Hyperlink"/>
            <w:noProof/>
          </w:rPr>
          <w:t>Table 6  Post-end-of treatment schedule</w:t>
        </w:r>
        <w:r w:rsidR="00227348">
          <w:rPr>
            <w:noProof/>
            <w:webHidden/>
          </w:rPr>
          <w:tab/>
        </w:r>
        <w:r w:rsidR="00227348">
          <w:rPr>
            <w:noProof/>
            <w:webHidden/>
          </w:rPr>
          <w:fldChar w:fldCharType="begin"/>
        </w:r>
        <w:r w:rsidR="00227348">
          <w:rPr>
            <w:noProof/>
            <w:webHidden/>
          </w:rPr>
          <w:instrText xml:space="preserve"> PAGEREF _Toc13486764 \h </w:instrText>
        </w:r>
        <w:r w:rsidR="00227348">
          <w:rPr>
            <w:noProof/>
            <w:webHidden/>
          </w:rPr>
        </w:r>
        <w:r w:rsidR="00227348">
          <w:rPr>
            <w:noProof/>
            <w:webHidden/>
          </w:rPr>
          <w:fldChar w:fldCharType="separate"/>
        </w:r>
        <w:r w:rsidR="00227348">
          <w:rPr>
            <w:noProof/>
            <w:webHidden/>
          </w:rPr>
          <w:t>18</w:t>
        </w:r>
        <w:r w:rsidR="00227348">
          <w:rPr>
            <w:noProof/>
            <w:webHidden/>
          </w:rPr>
          <w:fldChar w:fldCharType="end"/>
        </w:r>
      </w:hyperlink>
    </w:p>
    <w:p w14:paraId="17628E98" w14:textId="4C23ED50"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5" w:history="1">
        <w:r w:rsidR="00227348" w:rsidRPr="004A40D6">
          <w:rPr>
            <w:rStyle w:val="Hyperlink"/>
            <w:noProof/>
          </w:rPr>
          <w:t>Table 7 Dosing of  the TB drugs used in all-oral STRs for patients older than 14 years</w:t>
        </w:r>
        <w:r w:rsidR="00227348">
          <w:rPr>
            <w:noProof/>
            <w:webHidden/>
          </w:rPr>
          <w:tab/>
        </w:r>
        <w:r w:rsidR="00227348">
          <w:rPr>
            <w:noProof/>
            <w:webHidden/>
          </w:rPr>
          <w:fldChar w:fldCharType="begin"/>
        </w:r>
        <w:r w:rsidR="00227348">
          <w:rPr>
            <w:noProof/>
            <w:webHidden/>
          </w:rPr>
          <w:instrText xml:space="preserve"> PAGEREF _Toc13486765 \h </w:instrText>
        </w:r>
        <w:r w:rsidR="00227348">
          <w:rPr>
            <w:noProof/>
            <w:webHidden/>
          </w:rPr>
        </w:r>
        <w:r w:rsidR="00227348">
          <w:rPr>
            <w:noProof/>
            <w:webHidden/>
          </w:rPr>
          <w:fldChar w:fldCharType="separate"/>
        </w:r>
        <w:r w:rsidR="00227348">
          <w:rPr>
            <w:noProof/>
            <w:webHidden/>
          </w:rPr>
          <w:t>26</w:t>
        </w:r>
        <w:r w:rsidR="00227348">
          <w:rPr>
            <w:noProof/>
            <w:webHidden/>
          </w:rPr>
          <w:fldChar w:fldCharType="end"/>
        </w:r>
      </w:hyperlink>
    </w:p>
    <w:p w14:paraId="3B051DE2" w14:textId="64E7DE37"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6" w:history="1">
        <w:r w:rsidR="00227348" w:rsidRPr="004A40D6">
          <w:rPr>
            <w:rStyle w:val="Hyperlink"/>
            <w:noProof/>
          </w:rPr>
          <w:t>Table 8 Treatment of pregnant or lactating women with new and repurposed drugs</w:t>
        </w:r>
        <w:r w:rsidR="00227348">
          <w:rPr>
            <w:noProof/>
            <w:webHidden/>
          </w:rPr>
          <w:tab/>
        </w:r>
        <w:r w:rsidR="00227348">
          <w:rPr>
            <w:noProof/>
            <w:webHidden/>
          </w:rPr>
          <w:fldChar w:fldCharType="begin"/>
        </w:r>
        <w:r w:rsidR="00227348">
          <w:rPr>
            <w:noProof/>
            <w:webHidden/>
          </w:rPr>
          <w:instrText xml:space="preserve"> PAGEREF _Toc13486766 \h </w:instrText>
        </w:r>
        <w:r w:rsidR="00227348">
          <w:rPr>
            <w:noProof/>
            <w:webHidden/>
          </w:rPr>
        </w:r>
        <w:r w:rsidR="00227348">
          <w:rPr>
            <w:noProof/>
            <w:webHidden/>
          </w:rPr>
          <w:fldChar w:fldCharType="separate"/>
        </w:r>
        <w:r w:rsidR="00227348">
          <w:rPr>
            <w:noProof/>
            <w:webHidden/>
          </w:rPr>
          <w:t>29</w:t>
        </w:r>
        <w:r w:rsidR="00227348">
          <w:rPr>
            <w:noProof/>
            <w:webHidden/>
          </w:rPr>
          <w:fldChar w:fldCharType="end"/>
        </w:r>
      </w:hyperlink>
    </w:p>
    <w:p w14:paraId="4E583793" w14:textId="59F6AA48"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7" w:history="1">
        <w:r w:rsidR="00227348" w:rsidRPr="004A40D6">
          <w:rPr>
            <w:rStyle w:val="Hyperlink"/>
            <w:noProof/>
          </w:rPr>
          <w:t>Table 9 Extrapulmonary TB and the drugs commonly used in all-oral STR</w:t>
        </w:r>
        <w:r w:rsidR="00227348">
          <w:rPr>
            <w:noProof/>
            <w:webHidden/>
          </w:rPr>
          <w:tab/>
        </w:r>
        <w:r w:rsidR="00227348">
          <w:rPr>
            <w:noProof/>
            <w:webHidden/>
          </w:rPr>
          <w:fldChar w:fldCharType="begin"/>
        </w:r>
        <w:r w:rsidR="00227348">
          <w:rPr>
            <w:noProof/>
            <w:webHidden/>
          </w:rPr>
          <w:instrText xml:space="preserve"> PAGEREF _Toc13486767 \h </w:instrText>
        </w:r>
        <w:r w:rsidR="00227348">
          <w:rPr>
            <w:noProof/>
            <w:webHidden/>
          </w:rPr>
        </w:r>
        <w:r w:rsidR="00227348">
          <w:rPr>
            <w:noProof/>
            <w:webHidden/>
          </w:rPr>
          <w:fldChar w:fldCharType="separate"/>
        </w:r>
        <w:r w:rsidR="00227348">
          <w:rPr>
            <w:noProof/>
            <w:webHidden/>
          </w:rPr>
          <w:t>30</w:t>
        </w:r>
        <w:r w:rsidR="00227348">
          <w:rPr>
            <w:noProof/>
            <w:webHidden/>
          </w:rPr>
          <w:fldChar w:fldCharType="end"/>
        </w:r>
      </w:hyperlink>
    </w:p>
    <w:p w14:paraId="2958DF64" w14:textId="13DE7A28"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8" w:history="1">
        <w:r w:rsidR="00227348" w:rsidRPr="004A40D6">
          <w:rPr>
            <w:rStyle w:val="Hyperlink"/>
            <w:noProof/>
          </w:rPr>
          <w:t>Table 10 Special populations</w:t>
        </w:r>
        <w:r w:rsidR="00227348">
          <w:rPr>
            <w:noProof/>
            <w:webHidden/>
          </w:rPr>
          <w:tab/>
        </w:r>
        <w:r w:rsidR="00227348">
          <w:rPr>
            <w:noProof/>
            <w:webHidden/>
          </w:rPr>
          <w:fldChar w:fldCharType="begin"/>
        </w:r>
        <w:r w:rsidR="00227348">
          <w:rPr>
            <w:noProof/>
            <w:webHidden/>
          </w:rPr>
          <w:instrText xml:space="preserve"> PAGEREF _Toc13486768 \h </w:instrText>
        </w:r>
        <w:r w:rsidR="00227348">
          <w:rPr>
            <w:noProof/>
            <w:webHidden/>
          </w:rPr>
        </w:r>
        <w:r w:rsidR="00227348">
          <w:rPr>
            <w:noProof/>
            <w:webHidden/>
          </w:rPr>
          <w:fldChar w:fldCharType="separate"/>
        </w:r>
        <w:r w:rsidR="00227348">
          <w:rPr>
            <w:noProof/>
            <w:webHidden/>
          </w:rPr>
          <w:t>31</w:t>
        </w:r>
        <w:r w:rsidR="00227348">
          <w:rPr>
            <w:noProof/>
            <w:webHidden/>
          </w:rPr>
          <w:fldChar w:fldCharType="end"/>
        </w:r>
      </w:hyperlink>
    </w:p>
    <w:p w14:paraId="517EC2C3" w14:textId="1F601E46"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69" w:history="1">
        <w:r w:rsidR="00227348" w:rsidRPr="004A40D6">
          <w:rPr>
            <w:rStyle w:val="Hyperlink"/>
            <w:noProof/>
          </w:rPr>
          <w:t xml:space="preserve">Table 11 </w:t>
        </w:r>
        <w:r w:rsidR="00227348" w:rsidRPr="004A40D6">
          <w:rPr>
            <w:rStyle w:val="Hyperlink"/>
            <w:iCs/>
            <w:noProof/>
          </w:rPr>
          <w:t>Monitoring schedule</w:t>
        </w:r>
        <w:r w:rsidR="00227348">
          <w:rPr>
            <w:noProof/>
            <w:webHidden/>
          </w:rPr>
          <w:tab/>
        </w:r>
        <w:r w:rsidR="00227348">
          <w:rPr>
            <w:noProof/>
            <w:webHidden/>
          </w:rPr>
          <w:fldChar w:fldCharType="begin"/>
        </w:r>
        <w:r w:rsidR="00227348">
          <w:rPr>
            <w:noProof/>
            <w:webHidden/>
          </w:rPr>
          <w:instrText xml:space="preserve"> PAGEREF _Toc13486769 \h </w:instrText>
        </w:r>
        <w:r w:rsidR="00227348">
          <w:rPr>
            <w:noProof/>
            <w:webHidden/>
          </w:rPr>
        </w:r>
        <w:r w:rsidR="00227348">
          <w:rPr>
            <w:noProof/>
            <w:webHidden/>
          </w:rPr>
          <w:fldChar w:fldCharType="separate"/>
        </w:r>
        <w:r w:rsidR="00227348">
          <w:rPr>
            <w:noProof/>
            <w:webHidden/>
          </w:rPr>
          <w:t>37</w:t>
        </w:r>
        <w:r w:rsidR="00227348">
          <w:rPr>
            <w:noProof/>
            <w:webHidden/>
          </w:rPr>
          <w:fldChar w:fldCharType="end"/>
        </w:r>
      </w:hyperlink>
    </w:p>
    <w:p w14:paraId="07029EF7" w14:textId="48D02542"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0" w:history="1">
        <w:r w:rsidR="00227348" w:rsidRPr="004A40D6">
          <w:rPr>
            <w:rStyle w:val="Hyperlink"/>
            <w:noProof/>
          </w:rPr>
          <w:t>Table 12 General definition of severity</w:t>
        </w:r>
        <w:r w:rsidR="00227348">
          <w:rPr>
            <w:noProof/>
            <w:webHidden/>
          </w:rPr>
          <w:tab/>
        </w:r>
        <w:r w:rsidR="00227348">
          <w:rPr>
            <w:noProof/>
            <w:webHidden/>
          </w:rPr>
          <w:fldChar w:fldCharType="begin"/>
        </w:r>
        <w:r w:rsidR="00227348">
          <w:rPr>
            <w:noProof/>
            <w:webHidden/>
          </w:rPr>
          <w:instrText xml:space="preserve"> PAGEREF _Toc13486770 \h </w:instrText>
        </w:r>
        <w:r w:rsidR="00227348">
          <w:rPr>
            <w:noProof/>
            <w:webHidden/>
          </w:rPr>
        </w:r>
        <w:r w:rsidR="00227348">
          <w:rPr>
            <w:noProof/>
            <w:webHidden/>
          </w:rPr>
          <w:fldChar w:fldCharType="separate"/>
        </w:r>
        <w:r w:rsidR="00227348">
          <w:rPr>
            <w:noProof/>
            <w:webHidden/>
          </w:rPr>
          <w:t>40</w:t>
        </w:r>
        <w:r w:rsidR="00227348">
          <w:rPr>
            <w:noProof/>
            <w:webHidden/>
          </w:rPr>
          <w:fldChar w:fldCharType="end"/>
        </w:r>
      </w:hyperlink>
    </w:p>
    <w:p w14:paraId="0A992155" w14:textId="550E4594"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1" w:history="1">
        <w:r w:rsidR="00227348" w:rsidRPr="004A40D6">
          <w:rPr>
            <w:rStyle w:val="Hyperlink"/>
            <w:iCs/>
            <w:noProof/>
          </w:rPr>
          <w:t>Table 13 Causality categories definition</w:t>
        </w:r>
        <w:r w:rsidR="00227348">
          <w:rPr>
            <w:noProof/>
            <w:webHidden/>
          </w:rPr>
          <w:tab/>
        </w:r>
        <w:r w:rsidR="00227348">
          <w:rPr>
            <w:noProof/>
            <w:webHidden/>
          </w:rPr>
          <w:fldChar w:fldCharType="begin"/>
        </w:r>
        <w:r w:rsidR="00227348">
          <w:rPr>
            <w:noProof/>
            <w:webHidden/>
          </w:rPr>
          <w:instrText xml:space="preserve"> PAGEREF _Toc13486771 \h </w:instrText>
        </w:r>
        <w:r w:rsidR="00227348">
          <w:rPr>
            <w:noProof/>
            <w:webHidden/>
          </w:rPr>
        </w:r>
        <w:r w:rsidR="00227348">
          <w:rPr>
            <w:noProof/>
            <w:webHidden/>
          </w:rPr>
          <w:fldChar w:fldCharType="separate"/>
        </w:r>
        <w:r w:rsidR="00227348">
          <w:rPr>
            <w:noProof/>
            <w:webHidden/>
          </w:rPr>
          <w:t>41</w:t>
        </w:r>
        <w:r w:rsidR="00227348">
          <w:rPr>
            <w:noProof/>
            <w:webHidden/>
          </w:rPr>
          <w:fldChar w:fldCharType="end"/>
        </w:r>
      </w:hyperlink>
    </w:p>
    <w:p w14:paraId="2FA064D0" w14:textId="1FB29F77"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2" w:history="1">
        <w:r w:rsidR="00227348" w:rsidRPr="004A40D6">
          <w:rPr>
            <w:rStyle w:val="Hyperlink"/>
            <w:noProof/>
          </w:rPr>
          <w:t xml:space="preserve">Table 14 </w:t>
        </w:r>
        <w:r w:rsidR="00227348" w:rsidRPr="004A40D6">
          <w:rPr>
            <w:rStyle w:val="Hyperlink"/>
            <w:iCs/>
            <w:noProof/>
          </w:rPr>
          <w:t>Clinical management of peripheral neuropathy according to severity grading</w:t>
        </w:r>
        <w:r w:rsidR="00227348">
          <w:rPr>
            <w:noProof/>
            <w:webHidden/>
          </w:rPr>
          <w:tab/>
        </w:r>
        <w:r w:rsidR="00227348">
          <w:rPr>
            <w:noProof/>
            <w:webHidden/>
          </w:rPr>
          <w:fldChar w:fldCharType="begin"/>
        </w:r>
        <w:r w:rsidR="00227348">
          <w:rPr>
            <w:noProof/>
            <w:webHidden/>
          </w:rPr>
          <w:instrText xml:space="preserve"> PAGEREF _Toc13486772 \h </w:instrText>
        </w:r>
        <w:r w:rsidR="00227348">
          <w:rPr>
            <w:noProof/>
            <w:webHidden/>
          </w:rPr>
        </w:r>
        <w:r w:rsidR="00227348">
          <w:rPr>
            <w:noProof/>
            <w:webHidden/>
          </w:rPr>
          <w:fldChar w:fldCharType="separate"/>
        </w:r>
        <w:r w:rsidR="00227348">
          <w:rPr>
            <w:noProof/>
            <w:webHidden/>
          </w:rPr>
          <w:t>42</w:t>
        </w:r>
        <w:r w:rsidR="00227348">
          <w:rPr>
            <w:noProof/>
            <w:webHidden/>
          </w:rPr>
          <w:fldChar w:fldCharType="end"/>
        </w:r>
      </w:hyperlink>
    </w:p>
    <w:p w14:paraId="37485C79" w14:textId="3BE9D420"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3" w:history="1">
        <w:r w:rsidR="00227348" w:rsidRPr="004A40D6">
          <w:rPr>
            <w:rStyle w:val="Hyperlink"/>
            <w:noProof/>
          </w:rPr>
          <w:t xml:space="preserve">Table 15 </w:t>
        </w:r>
        <w:r w:rsidR="00227348" w:rsidRPr="004A40D6">
          <w:rPr>
            <w:rStyle w:val="Hyperlink"/>
            <w:iCs/>
            <w:noProof/>
          </w:rPr>
          <w:t>Clinical management of myelosuppression according to severity grading</w:t>
        </w:r>
        <w:r w:rsidR="00227348">
          <w:rPr>
            <w:noProof/>
            <w:webHidden/>
          </w:rPr>
          <w:tab/>
        </w:r>
        <w:r w:rsidR="00227348">
          <w:rPr>
            <w:noProof/>
            <w:webHidden/>
          </w:rPr>
          <w:fldChar w:fldCharType="begin"/>
        </w:r>
        <w:r w:rsidR="00227348">
          <w:rPr>
            <w:noProof/>
            <w:webHidden/>
          </w:rPr>
          <w:instrText xml:space="preserve"> PAGEREF _Toc13486773 \h </w:instrText>
        </w:r>
        <w:r w:rsidR="00227348">
          <w:rPr>
            <w:noProof/>
            <w:webHidden/>
          </w:rPr>
        </w:r>
        <w:r w:rsidR="00227348">
          <w:rPr>
            <w:noProof/>
            <w:webHidden/>
          </w:rPr>
          <w:fldChar w:fldCharType="separate"/>
        </w:r>
        <w:r w:rsidR="00227348">
          <w:rPr>
            <w:noProof/>
            <w:webHidden/>
          </w:rPr>
          <w:t>45</w:t>
        </w:r>
        <w:r w:rsidR="00227348">
          <w:rPr>
            <w:noProof/>
            <w:webHidden/>
          </w:rPr>
          <w:fldChar w:fldCharType="end"/>
        </w:r>
      </w:hyperlink>
    </w:p>
    <w:p w14:paraId="6E1070C9" w14:textId="7A529E49"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4" w:history="1">
        <w:r w:rsidR="00227348" w:rsidRPr="004A40D6">
          <w:rPr>
            <w:rStyle w:val="Hyperlink"/>
            <w:noProof/>
          </w:rPr>
          <w:t xml:space="preserve">Table 16 </w:t>
        </w:r>
        <w:r w:rsidR="00227348" w:rsidRPr="004A40D6">
          <w:rPr>
            <w:rStyle w:val="Hyperlink"/>
            <w:iCs/>
            <w:noProof/>
          </w:rPr>
          <w:t>Clinical management of prolonged QT interval according to severity grading</w:t>
        </w:r>
        <w:r w:rsidR="00227348">
          <w:rPr>
            <w:noProof/>
            <w:webHidden/>
          </w:rPr>
          <w:tab/>
        </w:r>
        <w:r w:rsidR="00227348">
          <w:rPr>
            <w:noProof/>
            <w:webHidden/>
          </w:rPr>
          <w:fldChar w:fldCharType="begin"/>
        </w:r>
        <w:r w:rsidR="00227348">
          <w:rPr>
            <w:noProof/>
            <w:webHidden/>
          </w:rPr>
          <w:instrText xml:space="preserve"> PAGEREF _Toc13486774 \h </w:instrText>
        </w:r>
        <w:r w:rsidR="00227348">
          <w:rPr>
            <w:noProof/>
            <w:webHidden/>
          </w:rPr>
        </w:r>
        <w:r w:rsidR="00227348">
          <w:rPr>
            <w:noProof/>
            <w:webHidden/>
          </w:rPr>
          <w:fldChar w:fldCharType="separate"/>
        </w:r>
        <w:r w:rsidR="00227348">
          <w:rPr>
            <w:noProof/>
            <w:webHidden/>
          </w:rPr>
          <w:t>51</w:t>
        </w:r>
        <w:r w:rsidR="00227348">
          <w:rPr>
            <w:noProof/>
            <w:webHidden/>
          </w:rPr>
          <w:fldChar w:fldCharType="end"/>
        </w:r>
      </w:hyperlink>
    </w:p>
    <w:p w14:paraId="07C3BF44" w14:textId="4FA1F5A7"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5" w:history="1">
        <w:r w:rsidR="00227348" w:rsidRPr="004A40D6">
          <w:rPr>
            <w:rStyle w:val="Hyperlink"/>
            <w:noProof/>
          </w:rPr>
          <w:t xml:space="preserve">Table 17 </w:t>
        </w:r>
        <w:r w:rsidR="00227348" w:rsidRPr="004A40D6">
          <w:rPr>
            <w:rStyle w:val="Hyperlink"/>
            <w:iCs/>
            <w:noProof/>
          </w:rPr>
          <w:t>Clinical management of optic nerve disorder according to severity grading</w:t>
        </w:r>
        <w:r w:rsidR="00227348">
          <w:rPr>
            <w:noProof/>
            <w:webHidden/>
          </w:rPr>
          <w:tab/>
        </w:r>
        <w:r w:rsidR="00227348">
          <w:rPr>
            <w:noProof/>
            <w:webHidden/>
          </w:rPr>
          <w:fldChar w:fldCharType="begin"/>
        </w:r>
        <w:r w:rsidR="00227348">
          <w:rPr>
            <w:noProof/>
            <w:webHidden/>
          </w:rPr>
          <w:instrText xml:space="preserve"> PAGEREF _Toc13486775 \h </w:instrText>
        </w:r>
        <w:r w:rsidR="00227348">
          <w:rPr>
            <w:noProof/>
            <w:webHidden/>
          </w:rPr>
        </w:r>
        <w:r w:rsidR="00227348">
          <w:rPr>
            <w:noProof/>
            <w:webHidden/>
          </w:rPr>
          <w:fldChar w:fldCharType="separate"/>
        </w:r>
        <w:r w:rsidR="00227348">
          <w:rPr>
            <w:noProof/>
            <w:webHidden/>
          </w:rPr>
          <w:t>53</w:t>
        </w:r>
        <w:r w:rsidR="00227348">
          <w:rPr>
            <w:noProof/>
            <w:webHidden/>
          </w:rPr>
          <w:fldChar w:fldCharType="end"/>
        </w:r>
      </w:hyperlink>
    </w:p>
    <w:p w14:paraId="7B8D4B12" w14:textId="2231D902"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6" w:history="1">
        <w:r w:rsidR="00227348" w:rsidRPr="004A40D6">
          <w:rPr>
            <w:rStyle w:val="Hyperlink"/>
            <w:noProof/>
          </w:rPr>
          <w:t xml:space="preserve">Table 18 </w:t>
        </w:r>
        <w:r w:rsidR="00227348" w:rsidRPr="004A40D6">
          <w:rPr>
            <w:rStyle w:val="Hyperlink"/>
            <w:iCs/>
            <w:noProof/>
          </w:rPr>
          <w:t>Clinical management of elevated liver enzymes according to severity grading</w:t>
        </w:r>
        <w:r w:rsidR="00227348">
          <w:rPr>
            <w:noProof/>
            <w:webHidden/>
          </w:rPr>
          <w:tab/>
        </w:r>
        <w:r w:rsidR="00227348">
          <w:rPr>
            <w:noProof/>
            <w:webHidden/>
          </w:rPr>
          <w:fldChar w:fldCharType="begin"/>
        </w:r>
        <w:r w:rsidR="00227348">
          <w:rPr>
            <w:noProof/>
            <w:webHidden/>
          </w:rPr>
          <w:instrText xml:space="preserve"> PAGEREF _Toc13486776 \h </w:instrText>
        </w:r>
        <w:r w:rsidR="00227348">
          <w:rPr>
            <w:noProof/>
            <w:webHidden/>
          </w:rPr>
        </w:r>
        <w:r w:rsidR="00227348">
          <w:rPr>
            <w:noProof/>
            <w:webHidden/>
          </w:rPr>
          <w:fldChar w:fldCharType="separate"/>
        </w:r>
        <w:r w:rsidR="00227348">
          <w:rPr>
            <w:noProof/>
            <w:webHidden/>
          </w:rPr>
          <w:t>54</w:t>
        </w:r>
        <w:r w:rsidR="00227348">
          <w:rPr>
            <w:noProof/>
            <w:webHidden/>
          </w:rPr>
          <w:fldChar w:fldCharType="end"/>
        </w:r>
      </w:hyperlink>
    </w:p>
    <w:p w14:paraId="7685FAA8" w14:textId="1B9D5C6F"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7" w:history="1">
        <w:r w:rsidR="00227348" w:rsidRPr="004A40D6">
          <w:rPr>
            <w:rStyle w:val="Hyperlink"/>
            <w:noProof/>
          </w:rPr>
          <w:t xml:space="preserve">Table 21 </w:t>
        </w:r>
        <w:r w:rsidR="00227348" w:rsidRPr="004A40D6">
          <w:rPr>
            <w:rStyle w:val="Hyperlink"/>
            <w:iCs/>
            <w:noProof/>
          </w:rPr>
          <w:t>Clinical management of hypokalemia according to severity grading</w:t>
        </w:r>
        <w:r w:rsidR="00227348">
          <w:rPr>
            <w:noProof/>
            <w:webHidden/>
          </w:rPr>
          <w:tab/>
        </w:r>
        <w:r w:rsidR="00227348">
          <w:rPr>
            <w:noProof/>
            <w:webHidden/>
          </w:rPr>
          <w:fldChar w:fldCharType="begin"/>
        </w:r>
        <w:r w:rsidR="00227348">
          <w:rPr>
            <w:noProof/>
            <w:webHidden/>
          </w:rPr>
          <w:instrText xml:space="preserve"> PAGEREF _Toc13486777 \h </w:instrText>
        </w:r>
        <w:r w:rsidR="00227348">
          <w:rPr>
            <w:noProof/>
            <w:webHidden/>
          </w:rPr>
        </w:r>
        <w:r w:rsidR="00227348">
          <w:rPr>
            <w:noProof/>
            <w:webHidden/>
          </w:rPr>
          <w:fldChar w:fldCharType="separate"/>
        </w:r>
        <w:r w:rsidR="00227348">
          <w:rPr>
            <w:noProof/>
            <w:webHidden/>
          </w:rPr>
          <w:t>55</w:t>
        </w:r>
        <w:r w:rsidR="00227348">
          <w:rPr>
            <w:noProof/>
            <w:webHidden/>
          </w:rPr>
          <w:fldChar w:fldCharType="end"/>
        </w:r>
      </w:hyperlink>
    </w:p>
    <w:p w14:paraId="0CEDE875" w14:textId="0927D323"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8" w:history="1">
        <w:r w:rsidR="00227348" w:rsidRPr="004A40D6">
          <w:rPr>
            <w:rStyle w:val="Hyperlink"/>
            <w:noProof/>
          </w:rPr>
          <w:t xml:space="preserve">Table 22 </w:t>
        </w:r>
        <w:r w:rsidR="00227348" w:rsidRPr="004A40D6">
          <w:rPr>
            <w:rStyle w:val="Hyperlink"/>
            <w:iCs/>
            <w:noProof/>
          </w:rPr>
          <w:t>Clinical management of hypomagnesemia according to severity grading</w:t>
        </w:r>
        <w:r w:rsidR="00227348">
          <w:rPr>
            <w:noProof/>
            <w:webHidden/>
          </w:rPr>
          <w:tab/>
        </w:r>
        <w:r w:rsidR="00227348">
          <w:rPr>
            <w:noProof/>
            <w:webHidden/>
          </w:rPr>
          <w:fldChar w:fldCharType="begin"/>
        </w:r>
        <w:r w:rsidR="00227348">
          <w:rPr>
            <w:noProof/>
            <w:webHidden/>
          </w:rPr>
          <w:instrText xml:space="preserve"> PAGEREF _Toc13486778 \h </w:instrText>
        </w:r>
        <w:r w:rsidR="00227348">
          <w:rPr>
            <w:noProof/>
            <w:webHidden/>
          </w:rPr>
        </w:r>
        <w:r w:rsidR="00227348">
          <w:rPr>
            <w:noProof/>
            <w:webHidden/>
          </w:rPr>
          <w:fldChar w:fldCharType="separate"/>
        </w:r>
        <w:r w:rsidR="00227348">
          <w:rPr>
            <w:noProof/>
            <w:webHidden/>
          </w:rPr>
          <w:t>56</w:t>
        </w:r>
        <w:r w:rsidR="00227348">
          <w:rPr>
            <w:noProof/>
            <w:webHidden/>
          </w:rPr>
          <w:fldChar w:fldCharType="end"/>
        </w:r>
      </w:hyperlink>
    </w:p>
    <w:p w14:paraId="1DFB99DC" w14:textId="24527031"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79" w:history="1">
        <w:r w:rsidR="00227348" w:rsidRPr="004A40D6">
          <w:rPr>
            <w:rStyle w:val="Hyperlink"/>
            <w:noProof/>
          </w:rPr>
          <w:t xml:space="preserve">Table 23 </w:t>
        </w:r>
        <w:r w:rsidR="00227348" w:rsidRPr="004A40D6">
          <w:rPr>
            <w:rStyle w:val="Hyperlink"/>
            <w:iCs/>
            <w:noProof/>
          </w:rPr>
          <w:t>Potassium replacement therapy</w:t>
        </w:r>
        <w:r w:rsidR="00227348">
          <w:rPr>
            <w:noProof/>
            <w:webHidden/>
          </w:rPr>
          <w:tab/>
        </w:r>
        <w:r w:rsidR="00227348">
          <w:rPr>
            <w:noProof/>
            <w:webHidden/>
          </w:rPr>
          <w:fldChar w:fldCharType="begin"/>
        </w:r>
        <w:r w:rsidR="00227348">
          <w:rPr>
            <w:noProof/>
            <w:webHidden/>
          </w:rPr>
          <w:instrText xml:space="preserve"> PAGEREF _Toc13486779 \h </w:instrText>
        </w:r>
        <w:r w:rsidR="00227348">
          <w:rPr>
            <w:noProof/>
            <w:webHidden/>
          </w:rPr>
        </w:r>
        <w:r w:rsidR="00227348">
          <w:rPr>
            <w:noProof/>
            <w:webHidden/>
          </w:rPr>
          <w:fldChar w:fldCharType="separate"/>
        </w:r>
        <w:r w:rsidR="00227348">
          <w:rPr>
            <w:noProof/>
            <w:webHidden/>
          </w:rPr>
          <w:t>56</w:t>
        </w:r>
        <w:r w:rsidR="00227348">
          <w:rPr>
            <w:noProof/>
            <w:webHidden/>
          </w:rPr>
          <w:fldChar w:fldCharType="end"/>
        </w:r>
      </w:hyperlink>
    </w:p>
    <w:p w14:paraId="584A6017" w14:textId="20294747"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80" w:history="1">
        <w:r w:rsidR="00227348" w:rsidRPr="004A40D6">
          <w:rPr>
            <w:rStyle w:val="Hyperlink"/>
            <w:noProof/>
          </w:rPr>
          <w:t xml:space="preserve">Table 24 </w:t>
        </w:r>
        <w:r w:rsidR="00227348" w:rsidRPr="004A40D6">
          <w:rPr>
            <w:rStyle w:val="Hyperlink"/>
            <w:iCs/>
            <w:noProof/>
          </w:rPr>
          <w:t>Magnesium replacement therapy</w:t>
        </w:r>
        <w:r w:rsidR="00227348">
          <w:rPr>
            <w:noProof/>
            <w:webHidden/>
          </w:rPr>
          <w:tab/>
        </w:r>
        <w:r w:rsidR="00227348">
          <w:rPr>
            <w:noProof/>
            <w:webHidden/>
          </w:rPr>
          <w:fldChar w:fldCharType="begin"/>
        </w:r>
        <w:r w:rsidR="00227348">
          <w:rPr>
            <w:noProof/>
            <w:webHidden/>
          </w:rPr>
          <w:instrText xml:space="preserve"> PAGEREF _Toc13486780 \h </w:instrText>
        </w:r>
        <w:r w:rsidR="00227348">
          <w:rPr>
            <w:noProof/>
            <w:webHidden/>
          </w:rPr>
        </w:r>
        <w:r w:rsidR="00227348">
          <w:rPr>
            <w:noProof/>
            <w:webHidden/>
          </w:rPr>
          <w:fldChar w:fldCharType="separate"/>
        </w:r>
        <w:r w:rsidR="00227348">
          <w:rPr>
            <w:noProof/>
            <w:webHidden/>
          </w:rPr>
          <w:t>57</w:t>
        </w:r>
        <w:r w:rsidR="00227348">
          <w:rPr>
            <w:noProof/>
            <w:webHidden/>
          </w:rPr>
          <w:fldChar w:fldCharType="end"/>
        </w:r>
      </w:hyperlink>
    </w:p>
    <w:p w14:paraId="38554406" w14:textId="6F1924C7"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81" w:history="1">
        <w:r w:rsidR="00227348" w:rsidRPr="004A40D6">
          <w:rPr>
            <w:rStyle w:val="Hyperlink"/>
            <w:noProof/>
          </w:rPr>
          <w:t xml:space="preserve">Table 25 </w:t>
        </w:r>
        <w:r w:rsidR="00227348" w:rsidRPr="004A40D6">
          <w:rPr>
            <w:rStyle w:val="Hyperlink"/>
            <w:iCs/>
            <w:noProof/>
          </w:rPr>
          <w:t>Clinical management of hypothyroidism according to severity grading</w:t>
        </w:r>
        <w:r w:rsidR="00227348">
          <w:rPr>
            <w:noProof/>
            <w:webHidden/>
          </w:rPr>
          <w:tab/>
        </w:r>
        <w:r w:rsidR="00227348">
          <w:rPr>
            <w:noProof/>
            <w:webHidden/>
          </w:rPr>
          <w:fldChar w:fldCharType="begin"/>
        </w:r>
        <w:r w:rsidR="00227348">
          <w:rPr>
            <w:noProof/>
            <w:webHidden/>
          </w:rPr>
          <w:instrText xml:space="preserve"> PAGEREF _Toc13486781 \h </w:instrText>
        </w:r>
        <w:r w:rsidR="00227348">
          <w:rPr>
            <w:noProof/>
            <w:webHidden/>
          </w:rPr>
        </w:r>
        <w:r w:rsidR="00227348">
          <w:rPr>
            <w:noProof/>
            <w:webHidden/>
          </w:rPr>
          <w:fldChar w:fldCharType="separate"/>
        </w:r>
        <w:r w:rsidR="00227348">
          <w:rPr>
            <w:noProof/>
            <w:webHidden/>
          </w:rPr>
          <w:t>57</w:t>
        </w:r>
        <w:r w:rsidR="00227348">
          <w:rPr>
            <w:noProof/>
            <w:webHidden/>
          </w:rPr>
          <w:fldChar w:fldCharType="end"/>
        </w:r>
      </w:hyperlink>
    </w:p>
    <w:p w14:paraId="3A1F62B6" w14:textId="301D1A3E" w:rsidR="00227348" w:rsidRDefault="002C65F9">
      <w:pPr>
        <w:pStyle w:val="TableofFigures"/>
        <w:tabs>
          <w:tab w:val="right" w:leader="dot" w:pos="9350"/>
        </w:tabs>
        <w:rPr>
          <w:rFonts w:asciiTheme="minorHAnsi" w:eastAsiaTheme="minorEastAsia" w:hAnsiTheme="minorHAnsi" w:cstheme="minorBidi"/>
          <w:noProof/>
          <w:color w:val="auto"/>
          <w:sz w:val="24"/>
          <w:szCs w:val="24"/>
        </w:rPr>
      </w:pPr>
      <w:hyperlink w:anchor="_Toc13486782" w:history="1">
        <w:r w:rsidR="00227348" w:rsidRPr="004A40D6">
          <w:rPr>
            <w:rStyle w:val="Hyperlink"/>
            <w:noProof/>
          </w:rPr>
          <w:t xml:space="preserve">Table 26 List of </w:t>
        </w:r>
        <w:r w:rsidR="00227348" w:rsidRPr="004A40D6">
          <w:rPr>
            <w:rStyle w:val="Hyperlink"/>
            <w:noProof/>
            <w:lang w:eastAsia="ko-KR"/>
          </w:rPr>
          <w:t>most frequent</w:t>
        </w:r>
        <w:r w:rsidR="00227348" w:rsidRPr="004A40D6">
          <w:rPr>
            <w:rStyle w:val="Hyperlink"/>
            <w:noProof/>
          </w:rPr>
          <w:t xml:space="preserve"> adverse events</w:t>
        </w:r>
        <w:r w:rsidR="00227348">
          <w:rPr>
            <w:noProof/>
            <w:webHidden/>
          </w:rPr>
          <w:tab/>
        </w:r>
        <w:r w:rsidR="00227348">
          <w:rPr>
            <w:noProof/>
            <w:webHidden/>
          </w:rPr>
          <w:fldChar w:fldCharType="begin"/>
        </w:r>
        <w:r w:rsidR="00227348">
          <w:rPr>
            <w:noProof/>
            <w:webHidden/>
          </w:rPr>
          <w:instrText xml:space="preserve"> PAGEREF _Toc13486782 \h </w:instrText>
        </w:r>
        <w:r w:rsidR="00227348">
          <w:rPr>
            <w:noProof/>
            <w:webHidden/>
          </w:rPr>
        </w:r>
        <w:r w:rsidR="00227348">
          <w:rPr>
            <w:noProof/>
            <w:webHidden/>
          </w:rPr>
          <w:fldChar w:fldCharType="separate"/>
        </w:r>
        <w:r w:rsidR="00227348">
          <w:rPr>
            <w:noProof/>
            <w:webHidden/>
          </w:rPr>
          <w:t>59</w:t>
        </w:r>
        <w:r w:rsidR="00227348">
          <w:rPr>
            <w:noProof/>
            <w:webHidden/>
          </w:rPr>
          <w:fldChar w:fldCharType="end"/>
        </w:r>
      </w:hyperlink>
    </w:p>
    <w:p w14:paraId="4DD05482" w14:textId="19B94B70" w:rsidR="00981D9C" w:rsidRPr="00C74CD4" w:rsidRDefault="002C4FED" w:rsidP="009C09A0">
      <w:pPr>
        <w:pStyle w:val="Heading1"/>
        <w:numPr>
          <w:ilvl w:val="0"/>
          <w:numId w:val="0"/>
        </w:numPr>
        <w:spacing w:line="360" w:lineRule="auto"/>
        <w:ind w:left="432"/>
        <w:rPr>
          <w:rFonts w:asciiTheme="minorHAnsi" w:hAnsiTheme="minorHAnsi"/>
        </w:rPr>
      </w:pPr>
      <w:r w:rsidRPr="00C74CD4">
        <w:rPr>
          <w:rFonts w:asciiTheme="minorHAnsi" w:hAnsiTheme="minorHAnsi"/>
        </w:rPr>
        <w:fldChar w:fldCharType="end"/>
      </w:r>
    </w:p>
    <w:p w14:paraId="4C46DC96" w14:textId="77777777" w:rsidR="00981D9C" w:rsidRPr="00C74CD4" w:rsidRDefault="00981D9C" w:rsidP="00981D9C">
      <w:pPr>
        <w:rPr>
          <w:rFonts w:asciiTheme="minorHAnsi" w:hAnsiTheme="minorHAnsi"/>
          <w:color w:val="000000" w:themeColor="text1"/>
        </w:rPr>
      </w:pPr>
    </w:p>
    <w:p w14:paraId="355DC1C6" w14:textId="35A31C42" w:rsidR="00A001F9" w:rsidRPr="00C74CD4" w:rsidRDefault="00F72348" w:rsidP="00003170">
      <w:pPr>
        <w:pStyle w:val="Heading1"/>
        <w:numPr>
          <w:ilvl w:val="0"/>
          <w:numId w:val="0"/>
        </w:numPr>
        <w:ind w:left="432"/>
        <w:rPr>
          <w:rFonts w:asciiTheme="minorHAnsi" w:hAnsiTheme="minorHAnsi"/>
        </w:rPr>
      </w:pPr>
      <w:r w:rsidRPr="00C74CD4">
        <w:rPr>
          <w:rFonts w:asciiTheme="minorHAnsi" w:hAnsiTheme="minorHAnsi"/>
        </w:rPr>
        <w:br w:type="page"/>
      </w:r>
      <w:bookmarkStart w:id="5" w:name="_Toc12952349"/>
      <w:bookmarkStart w:id="6" w:name="_Toc13486700"/>
      <w:bookmarkStart w:id="7" w:name="_Toc12792941"/>
      <w:r w:rsidR="00C21E58" w:rsidRPr="00C74CD4">
        <w:rPr>
          <w:rFonts w:asciiTheme="minorHAnsi" w:hAnsiTheme="minorHAnsi"/>
        </w:rPr>
        <w:lastRenderedPageBreak/>
        <w:t>List of Appendices</w:t>
      </w:r>
      <w:bookmarkEnd w:id="5"/>
      <w:bookmarkEnd w:id="6"/>
      <w:r w:rsidR="00A001F9" w:rsidRPr="00C74CD4">
        <w:rPr>
          <w:rFonts w:asciiTheme="minorHAnsi" w:hAnsiTheme="minorHAnsi"/>
        </w:rPr>
        <w:t xml:space="preserve"> </w:t>
      </w:r>
    </w:p>
    <w:p w14:paraId="0742CE65" w14:textId="578D62A7" w:rsidR="0091647D" w:rsidRPr="00C74CD4" w:rsidRDefault="0083231A">
      <w:pPr>
        <w:pStyle w:val="TOC1"/>
        <w:rPr>
          <w:rFonts w:asciiTheme="minorHAnsi" w:eastAsiaTheme="minorEastAsia" w:hAnsiTheme="minorHAnsi" w:cstheme="minorBidi"/>
          <w:noProof/>
          <w:sz w:val="24"/>
          <w:szCs w:val="24"/>
        </w:rPr>
      </w:pPr>
      <w:r w:rsidRPr="00C74CD4">
        <w:rPr>
          <w:rFonts w:asciiTheme="minorHAnsi" w:hAnsiTheme="minorHAnsi"/>
        </w:rPr>
        <w:fldChar w:fldCharType="begin"/>
      </w:r>
      <w:r w:rsidRPr="00C74CD4">
        <w:rPr>
          <w:rFonts w:asciiTheme="minorHAnsi" w:hAnsiTheme="minorHAnsi"/>
        </w:rPr>
        <w:instrText xml:space="preserve"> TOC \h \z \u \t "Heading 4,1,Heading 6,2" </w:instrText>
      </w:r>
      <w:r w:rsidRPr="00C74CD4">
        <w:rPr>
          <w:rFonts w:asciiTheme="minorHAnsi" w:hAnsiTheme="minorHAnsi"/>
        </w:rPr>
        <w:fldChar w:fldCharType="separate"/>
      </w:r>
      <w:hyperlink w:anchor="_Toc13076958" w:history="1">
        <w:r w:rsidR="0091647D" w:rsidRPr="00C74CD4">
          <w:rPr>
            <w:rStyle w:val="Hyperlink"/>
            <w:rFonts w:asciiTheme="minorHAnsi" w:hAnsiTheme="minorHAnsi"/>
            <w:noProof/>
          </w:rPr>
          <w:t>Appendix 1: Pediatric Dosing Recommendations</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_Toc13076958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70</w:t>
        </w:r>
        <w:r w:rsidR="0091647D" w:rsidRPr="00C74CD4">
          <w:rPr>
            <w:rFonts w:asciiTheme="minorHAnsi" w:hAnsiTheme="minorHAnsi"/>
            <w:noProof/>
            <w:webHidden/>
          </w:rPr>
          <w:fldChar w:fldCharType="end"/>
        </w:r>
      </w:hyperlink>
    </w:p>
    <w:p w14:paraId="28F4AED4" w14:textId="22F72BEA"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59" w:history="1">
        <w:r w:rsidR="0091647D" w:rsidRPr="00C74CD4">
          <w:rPr>
            <w:rStyle w:val="Hyperlink"/>
            <w:rFonts w:asciiTheme="minorHAnsi" w:hAnsiTheme="minorHAnsi"/>
            <w:noProof/>
          </w:rPr>
          <w:t>Table 1a: Levofloxacin</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_Toc13076959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70</w:t>
        </w:r>
        <w:r w:rsidR="0091647D" w:rsidRPr="00C74CD4">
          <w:rPr>
            <w:rFonts w:asciiTheme="minorHAnsi" w:hAnsiTheme="minorHAnsi"/>
            <w:noProof/>
            <w:webHidden/>
          </w:rPr>
          <w:fldChar w:fldCharType="end"/>
        </w:r>
      </w:hyperlink>
    </w:p>
    <w:p w14:paraId="4DE3CAB4" w14:textId="2FEA403E"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0" w:history="1">
        <w:r w:rsidR="0091647D" w:rsidRPr="00C74CD4">
          <w:rPr>
            <w:rStyle w:val="Hyperlink"/>
            <w:rFonts w:asciiTheme="minorHAnsi" w:hAnsiTheme="minorHAnsi"/>
            <w:noProof/>
          </w:rPr>
          <w:t>Table 1b: Moxifloxacin</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_Toc13076960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71</w:t>
        </w:r>
        <w:r w:rsidR="0091647D" w:rsidRPr="00C74CD4">
          <w:rPr>
            <w:rFonts w:asciiTheme="minorHAnsi" w:hAnsiTheme="minorHAnsi"/>
            <w:noProof/>
            <w:webHidden/>
          </w:rPr>
          <w:fldChar w:fldCharType="end"/>
        </w:r>
      </w:hyperlink>
    </w:p>
    <w:p w14:paraId="36E428C1" w14:textId="2FE96FA2"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1" w:history="1">
        <w:r w:rsidR="0091647D" w:rsidRPr="00C74CD4">
          <w:rPr>
            <w:rStyle w:val="Hyperlink"/>
            <w:rFonts w:asciiTheme="minorHAnsi" w:hAnsiTheme="minorHAnsi"/>
            <w:noProof/>
          </w:rPr>
          <w:t>Table 1c: Linezolid</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_Toc13076961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72</w:t>
        </w:r>
        <w:r w:rsidR="0091647D" w:rsidRPr="00C74CD4">
          <w:rPr>
            <w:rFonts w:asciiTheme="minorHAnsi" w:hAnsiTheme="minorHAnsi"/>
            <w:noProof/>
            <w:webHidden/>
          </w:rPr>
          <w:fldChar w:fldCharType="end"/>
        </w:r>
      </w:hyperlink>
    </w:p>
    <w:p w14:paraId="69FC4FAC" w14:textId="3FB03D43"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2" w:history="1">
        <w:r w:rsidR="0091647D" w:rsidRPr="00C74CD4">
          <w:rPr>
            <w:rStyle w:val="Hyperlink"/>
            <w:rFonts w:asciiTheme="minorHAnsi" w:hAnsiTheme="minorHAnsi"/>
            <w:noProof/>
          </w:rPr>
          <w:t>Table 1d: Bedaquiline</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_Toc13076962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73</w:t>
        </w:r>
        <w:r w:rsidR="0091647D" w:rsidRPr="00C74CD4">
          <w:rPr>
            <w:rFonts w:asciiTheme="minorHAnsi" w:hAnsiTheme="minorHAnsi"/>
            <w:noProof/>
            <w:webHidden/>
          </w:rPr>
          <w:fldChar w:fldCharType="end"/>
        </w:r>
      </w:hyperlink>
    </w:p>
    <w:p w14:paraId="0F897857" w14:textId="07E33E80"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3" w:history="1">
        <w:r w:rsidR="0091647D" w:rsidRPr="00C74CD4">
          <w:rPr>
            <w:rStyle w:val="Hyperlink"/>
            <w:rFonts w:asciiTheme="minorHAnsi" w:hAnsiTheme="minorHAnsi"/>
            <w:noProof/>
          </w:rPr>
          <w:t>Table 1e: Clofazimine</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_Toc13076963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74</w:t>
        </w:r>
        <w:r w:rsidR="0091647D" w:rsidRPr="00C74CD4">
          <w:rPr>
            <w:rFonts w:asciiTheme="minorHAnsi" w:hAnsiTheme="minorHAnsi"/>
            <w:noProof/>
            <w:webHidden/>
          </w:rPr>
          <w:fldChar w:fldCharType="end"/>
        </w:r>
      </w:hyperlink>
    </w:p>
    <w:p w14:paraId="27DA68F0" w14:textId="66A77E05"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4" w:history="1">
        <w:r w:rsidR="0091647D" w:rsidRPr="00C74CD4">
          <w:rPr>
            <w:rStyle w:val="Hyperlink"/>
            <w:rFonts w:asciiTheme="minorHAnsi" w:hAnsiTheme="minorHAnsi"/>
            <w:noProof/>
          </w:rPr>
          <w:t>Table 1f: Cycloserine</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_Toc13076964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74</w:t>
        </w:r>
        <w:r w:rsidR="0091647D" w:rsidRPr="00C74CD4">
          <w:rPr>
            <w:rFonts w:asciiTheme="minorHAnsi" w:hAnsiTheme="minorHAnsi"/>
            <w:noProof/>
            <w:webHidden/>
          </w:rPr>
          <w:fldChar w:fldCharType="end"/>
        </w:r>
      </w:hyperlink>
    </w:p>
    <w:p w14:paraId="00F89609" w14:textId="451124BB"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5" w:history="1">
        <w:r w:rsidR="0091647D" w:rsidRPr="00C74CD4">
          <w:rPr>
            <w:rStyle w:val="Hyperlink"/>
            <w:rFonts w:asciiTheme="minorHAnsi" w:hAnsiTheme="minorHAnsi"/>
            <w:noProof/>
          </w:rPr>
          <w:t>Table 1g: Delamanid</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_Toc13076965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75</w:t>
        </w:r>
        <w:r w:rsidR="0091647D" w:rsidRPr="00C74CD4">
          <w:rPr>
            <w:rFonts w:asciiTheme="minorHAnsi" w:hAnsiTheme="minorHAnsi"/>
            <w:noProof/>
            <w:webHidden/>
          </w:rPr>
          <w:fldChar w:fldCharType="end"/>
        </w:r>
      </w:hyperlink>
    </w:p>
    <w:p w14:paraId="5BA07863" w14:textId="436BC405"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6" w:history="1">
        <w:r w:rsidR="0091647D" w:rsidRPr="00C74CD4">
          <w:rPr>
            <w:rStyle w:val="Hyperlink"/>
            <w:rFonts w:asciiTheme="minorHAnsi" w:hAnsiTheme="minorHAnsi"/>
            <w:noProof/>
          </w:rPr>
          <w:t>Table 1h: Ethambutol</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_Toc13076966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76</w:t>
        </w:r>
        <w:r w:rsidR="0091647D" w:rsidRPr="00C74CD4">
          <w:rPr>
            <w:rFonts w:asciiTheme="minorHAnsi" w:hAnsiTheme="minorHAnsi"/>
            <w:noProof/>
            <w:webHidden/>
          </w:rPr>
          <w:fldChar w:fldCharType="end"/>
        </w:r>
      </w:hyperlink>
    </w:p>
    <w:p w14:paraId="363752BF" w14:textId="06FD771D"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7" w:history="1">
        <w:r w:rsidR="0091647D" w:rsidRPr="00C74CD4">
          <w:rPr>
            <w:rStyle w:val="Hyperlink"/>
            <w:rFonts w:asciiTheme="minorHAnsi" w:hAnsiTheme="minorHAnsi"/>
            <w:noProof/>
          </w:rPr>
          <w:t>Table 1i: Pyrazinamide</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_Toc13076967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77</w:t>
        </w:r>
        <w:r w:rsidR="0091647D" w:rsidRPr="00C74CD4">
          <w:rPr>
            <w:rFonts w:asciiTheme="minorHAnsi" w:hAnsiTheme="minorHAnsi"/>
            <w:noProof/>
            <w:webHidden/>
          </w:rPr>
          <w:fldChar w:fldCharType="end"/>
        </w:r>
      </w:hyperlink>
    </w:p>
    <w:p w14:paraId="036E3418" w14:textId="544EA1CA"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8" w:history="1">
        <w:r w:rsidR="0091647D" w:rsidRPr="00C74CD4">
          <w:rPr>
            <w:rStyle w:val="Hyperlink"/>
            <w:rFonts w:asciiTheme="minorHAnsi" w:hAnsiTheme="minorHAnsi"/>
            <w:noProof/>
          </w:rPr>
          <w:t>Table 1j: Ethionamide</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_Toc13076968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78</w:t>
        </w:r>
        <w:r w:rsidR="0091647D" w:rsidRPr="00C74CD4">
          <w:rPr>
            <w:rFonts w:asciiTheme="minorHAnsi" w:hAnsiTheme="minorHAnsi"/>
            <w:noProof/>
            <w:webHidden/>
          </w:rPr>
          <w:fldChar w:fldCharType="end"/>
        </w:r>
      </w:hyperlink>
    </w:p>
    <w:p w14:paraId="35D133DE" w14:textId="595329B2"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69" w:history="1">
        <w:r w:rsidR="0091647D" w:rsidRPr="00C74CD4">
          <w:rPr>
            <w:rStyle w:val="Hyperlink"/>
            <w:rFonts w:asciiTheme="minorHAnsi" w:hAnsiTheme="minorHAnsi"/>
            <w:noProof/>
          </w:rPr>
          <w:t>Table 1k: PAS</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_Toc13076969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79</w:t>
        </w:r>
        <w:r w:rsidR="0091647D" w:rsidRPr="00C74CD4">
          <w:rPr>
            <w:rFonts w:asciiTheme="minorHAnsi" w:hAnsiTheme="minorHAnsi"/>
            <w:noProof/>
            <w:webHidden/>
          </w:rPr>
          <w:fldChar w:fldCharType="end"/>
        </w:r>
      </w:hyperlink>
    </w:p>
    <w:p w14:paraId="35BF9980" w14:textId="351E5940"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70" w:history="1">
        <w:r w:rsidR="0091647D" w:rsidRPr="00C74CD4">
          <w:rPr>
            <w:rStyle w:val="Hyperlink"/>
            <w:rFonts w:asciiTheme="minorHAnsi" w:hAnsiTheme="minorHAnsi"/>
            <w:noProof/>
          </w:rPr>
          <w:t>Table 1l: Meropenem</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_Toc13076970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80</w:t>
        </w:r>
        <w:r w:rsidR="0091647D" w:rsidRPr="00C74CD4">
          <w:rPr>
            <w:rFonts w:asciiTheme="minorHAnsi" w:hAnsiTheme="minorHAnsi"/>
            <w:noProof/>
            <w:webHidden/>
          </w:rPr>
          <w:fldChar w:fldCharType="end"/>
        </w:r>
      </w:hyperlink>
    </w:p>
    <w:p w14:paraId="127092C7" w14:textId="0D568411"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71" w:history="1">
        <w:r w:rsidR="0091647D" w:rsidRPr="00C74CD4">
          <w:rPr>
            <w:rStyle w:val="Hyperlink"/>
            <w:rFonts w:asciiTheme="minorHAnsi" w:hAnsiTheme="minorHAnsi"/>
            <w:noProof/>
          </w:rPr>
          <w:t>Table 1m: Amikacin</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_Toc13076971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80</w:t>
        </w:r>
        <w:r w:rsidR="0091647D" w:rsidRPr="00C74CD4">
          <w:rPr>
            <w:rFonts w:asciiTheme="minorHAnsi" w:hAnsiTheme="minorHAnsi"/>
            <w:noProof/>
            <w:webHidden/>
          </w:rPr>
          <w:fldChar w:fldCharType="end"/>
        </w:r>
      </w:hyperlink>
    </w:p>
    <w:p w14:paraId="03BB9684" w14:textId="3899C077"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72" w:history="1">
        <w:r w:rsidR="0091647D" w:rsidRPr="00C74CD4">
          <w:rPr>
            <w:rStyle w:val="Hyperlink"/>
            <w:rFonts w:asciiTheme="minorHAnsi" w:hAnsiTheme="minorHAnsi"/>
            <w:noProof/>
          </w:rPr>
          <w:t>Table 1n: Isoniazid</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_Toc13076972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81</w:t>
        </w:r>
        <w:r w:rsidR="0091647D" w:rsidRPr="00C74CD4">
          <w:rPr>
            <w:rFonts w:asciiTheme="minorHAnsi" w:hAnsiTheme="minorHAnsi"/>
            <w:noProof/>
            <w:webHidden/>
          </w:rPr>
          <w:fldChar w:fldCharType="end"/>
        </w:r>
      </w:hyperlink>
    </w:p>
    <w:p w14:paraId="4E89FE99" w14:textId="368BBFC3" w:rsidR="0091647D" w:rsidRPr="00C74CD4" w:rsidRDefault="002C65F9">
      <w:pPr>
        <w:pStyle w:val="TOC1"/>
        <w:rPr>
          <w:rFonts w:asciiTheme="minorHAnsi" w:eastAsiaTheme="minorEastAsia" w:hAnsiTheme="minorHAnsi" w:cstheme="minorBidi"/>
          <w:noProof/>
          <w:sz w:val="24"/>
          <w:szCs w:val="24"/>
        </w:rPr>
      </w:pPr>
      <w:hyperlink w:anchor="_Toc13076973" w:history="1">
        <w:r w:rsidR="0091647D" w:rsidRPr="00C74CD4">
          <w:rPr>
            <w:rStyle w:val="Hyperlink"/>
            <w:rFonts w:asciiTheme="minorHAnsi" w:hAnsiTheme="minorHAnsi"/>
            <w:noProof/>
          </w:rPr>
          <w:t>Appendix 2.  Designing longer treatment regimens (LTRs)</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_Toc13076973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82</w:t>
        </w:r>
        <w:r w:rsidR="0091647D" w:rsidRPr="00C74CD4">
          <w:rPr>
            <w:rFonts w:asciiTheme="minorHAnsi" w:hAnsiTheme="minorHAnsi"/>
            <w:noProof/>
            <w:webHidden/>
          </w:rPr>
          <w:fldChar w:fldCharType="end"/>
        </w:r>
      </w:hyperlink>
    </w:p>
    <w:p w14:paraId="1EF919B6" w14:textId="13EFB01E"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74" w:history="1">
        <w:r w:rsidR="0091647D" w:rsidRPr="00C74CD4">
          <w:rPr>
            <w:rStyle w:val="Hyperlink"/>
            <w:rFonts w:asciiTheme="minorHAnsi" w:hAnsiTheme="minorHAnsi"/>
            <w:noProof/>
          </w:rPr>
          <w:t>Table 2a: Hierarchical grouping of medicines recommended for the treatment of RR-/MDR-TB (adapted from WHO 2019 treatment guidelines for DR-TB)</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_Toc13076974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82</w:t>
        </w:r>
        <w:r w:rsidR="0091647D" w:rsidRPr="00C74CD4">
          <w:rPr>
            <w:rFonts w:asciiTheme="minorHAnsi" w:hAnsiTheme="minorHAnsi"/>
            <w:noProof/>
            <w:webHidden/>
          </w:rPr>
          <w:fldChar w:fldCharType="end"/>
        </w:r>
      </w:hyperlink>
    </w:p>
    <w:p w14:paraId="555C24B2" w14:textId="344113DD"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75" w:history="1">
        <w:r w:rsidR="0091647D" w:rsidRPr="00C74CD4">
          <w:rPr>
            <w:rStyle w:val="Hyperlink"/>
            <w:rFonts w:asciiTheme="minorHAnsi" w:hAnsiTheme="minorHAnsi"/>
            <w:noProof/>
          </w:rPr>
          <w:t>Table 2b: Steps for building an LTR</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_Toc13076975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84</w:t>
        </w:r>
        <w:r w:rsidR="0091647D" w:rsidRPr="00C74CD4">
          <w:rPr>
            <w:rFonts w:asciiTheme="minorHAnsi" w:hAnsiTheme="minorHAnsi"/>
            <w:noProof/>
            <w:webHidden/>
          </w:rPr>
          <w:fldChar w:fldCharType="end"/>
        </w:r>
      </w:hyperlink>
    </w:p>
    <w:p w14:paraId="4AF8A8BD" w14:textId="6BD01645" w:rsidR="0091647D" w:rsidRPr="00C74CD4" w:rsidRDefault="002C65F9">
      <w:pPr>
        <w:pStyle w:val="TOC2"/>
        <w:tabs>
          <w:tab w:val="right" w:leader="dot" w:pos="9350"/>
        </w:tabs>
        <w:rPr>
          <w:rFonts w:asciiTheme="minorHAnsi" w:eastAsiaTheme="minorEastAsia" w:hAnsiTheme="minorHAnsi" w:cstheme="minorBidi"/>
          <w:noProof/>
          <w:sz w:val="24"/>
          <w:szCs w:val="24"/>
        </w:rPr>
      </w:pPr>
      <w:hyperlink w:anchor="_Toc13076976" w:history="1">
        <w:r w:rsidR="0091647D" w:rsidRPr="00C74CD4">
          <w:rPr>
            <w:rStyle w:val="Hyperlink"/>
            <w:rFonts w:asciiTheme="minorHAnsi" w:hAnsiTheme="minorHAnsi"/>
            <w:noProof/>
          </w:rPr>
          <w:t>Table 2c: Interpretation of phenotypic and genotypic DST results</w:t>
        </w:r>
        <w:r w:rsidR="0091647D" w:rsidRPr="00C74CD4">
          <w:rPr>
            <w:rFonts w:asciiTheme="minorHAnsi" w:hAnsiTheme="minorHAnsi"/>
            <w:noProof/>
            <w:webHidden/>
          </w:rPr>
          <w:tab/>
        </w:r>
        <w:r w:rsidR="0091647D" w:rsidRPr="00C74CD4">
          <w:rPr>
            <w:rFonts w:asciiTheme="minorHAnsi" w:hAnsiTheme="minorHAnsi"/>
            <w:noProof/>
            <w:webHidden/>
          </w:rPr>
          <w:fldChar w:fldCharType="begin"/>
        </w:r>
        <w:r w:rsidR="0091647D" w:rsidRPr="00C74CD4">
          <w:rPr>
            <w:rFonts w:asciiTheme="minorHAnsi" w:hAnsiTheme="minorHAnsi"/>
            <w:noProof/>
            <w:webHidden/>
          </w:rPr>
          <w:instrText xml:space="preserve"> PAGEREF _Toc13076976 \h </w:instrText>
        </w:r>
        <w:r w:rsidR="0091647D" w:rsidRPr="00C74CD4">
          <w:rPr>
            <w:rFonts w:asciiTheme="minorHAnsi" w:hAnsiTheme="minorHAnsi"/>
            <w:noProof/>
            <w:webHidden/>
          </w:rPr>
        </w:r>
        <w:r w:rsidR="0091647D" w:rsidRPr="00C74CD4">
          <w:rPr>
            <w:rFonts w:asciiTheme="minorHAnsi" w:hAnsiTheme="minorHAnsi"/>
            <w:noProof/>
            <w:webHidden/>
          </w:rPr>
          <w:fldChar w:fldCharType="separate"/>
        </w:r>
        <w:r w:rsidR="0091647D" w:rsidRPr="00C74CD4">
          <w:rPr>
            <w:rFonts w:asciiTheme="minorHAnsi" w:hAnsiTheme="minorHAnsi"/>
            <w:noProof/>
            <w:webHidden/>
          </w:rPr>
          <w:t>86</w:t>
        </w:r>
        <w:r w:rsidR="0091647D" w:rsidRPr="00C74CD4">
          <w:rPr>
            <w:rFonts w:asciiTheme="minorHAnsi" w:hAnsiTheme="minorHAnsi"/>
            <w:noProof/>
            <w:webHidden/>
          </w:rPr>
          <w:fldChar w:fldCharType="end"/>
        </w:r>
      </w:hyperlink>
    </w:p>
    <w:p w14:paraId="4F327712" w14:textId="23DA42D6" w:rsidR="00DE5FDC" w:rsidRDefault="0083231A" w:rsidP="00DE5FDC">
      <w:pPr>
        <w:pStyle w:val="Heading1"/>
        <w:numPr>
          <w:ilvl w:val="0"/>
          <w:numId w:val="0"/>
        </w:numPr>
        <w:ind w:left="432"/>
        <w:rPr>
          <w:rFonts w:asciiTheme="minorHAnsi" w:hAnsiTheme="minorHAnsi"/>
        </w:rPr>
      </w:pPr>
      <w:r w:rsidRPr="00C74CD4">
        <w:rPr>
          <w:rFonts w:asciiTheme="minorHAnsi" w:hAnsiTheme="minorHAnsi"/>
        </w:rPr>
        <w:lastRenderedPageBreak/>
        <w:fldChar w:fldCharType="end"/>
      </w:r>
      <w:bookmarkStart w:id="8" w:name="_Toc12952352"/>
      <w:bookmarkStart w:id="9" w:name="_Ref12952960"/>
    </w:p>
    <w:p w14:paraId="42149A30" w14:textId="60591866" w:rsidR="00DE5FDC" w:rsidRDefault="00DE5FDC" w:rsidP="00DE5FDC">
      <w:pPr>
        <w:pStyle w:val="Heading1"/>
        <w:numPr>
          <w:ilvl w:val="0"/>
          <w:numId w:val="0"/>
        </w:numPr>
        <w:ind w:left="432"/>
        <w:rPr>
          <w:rFonts w:asciiTheme="minorHAnsi" w:hAnsiTheme="minorHAnsi"/>
        </w:rPr>
      </w:pPr>
    </w:p>
    <w:p w14:paraId="0DD5E68B" w14:textId="77777777" w:rsidR="00DE5FDC" w:rsidRDefault="00DE5FDC" w:rsidP="00DE5FDC">
      <w:pPr>
        <w:pStyle w:val="Heading1"/>
        <w:numPr>
          <w:ilvl w:val="0"/>
          <w:numId w:val="0"/>
        </w:numPr>
        <w:ind w:left="432" w:hanging="432"/>
      </w:pPr>
    </w:p>
    <w:p w14:paraId="2EBAB7E8" w14:textId="77777777" w:rsidR="0091647D" w:rsidRDefault="0091647D" w:rsidP="00DE5FDC">
      <w:pPr>
        <w:pStyle w:val="Heading1"/>
        <w:numPr>
          <w:ilvl w:val="0"/>
          <w:numId w:val="0"/>
        </w:numPr>
        <w:ind w:left="432" w:hanging="432"/>
      </w:pPr>
    </w:p>
    <w:p w14:paraId="55894CC5" w14:textId="5BDFAB47" w:rsidR="001F1E9B" w:rsidRPr="00B85017" w:rsidRDefault="0513D106" w:rsidP="00DE5FDC">
      <w:pPr>
        <w:pStyle w:val="Heading1"/>
        <w:numPr>
          <w:ilvl w:val="0"/>
          <w:numId w:val="0"/>
        </w:numPr>
        <w:ind w:left="432" w:hanging="432"/>
      </w:pPr>
      <w:bookmarkStart w:id="10" w:name="_Toc13486701"/>
      <w:r w:rsidRPr="00B85017">
        <w:t>Acknowledgements</w:t>
      </w:r>
      <w:bookmarkEnd w:id="7"/>
      <w:bookmarkEnd w:id="8"/>
      <w:bookmarkEnd w:id="9"/>
      <w:bookmarkEnd w:id="10"/>
      <w:r w:rsidR="004636D3">
        <w:t xml:space="preserve"> </w:t>
      </w:r>
    </w:p>
    <w:p w14:paraId="78A8EC35" w14:textId="77777777" w:rsidR="00840AD7" w:rsidRPr="00B85017" w:rsidRDefault="00840AD7" w:rsidP="00840AD7">
      <w:pPr>
        <w:contextualSpacing/>
        <w:rPr>
          <w:color w:val="000000" w:themeColor="text1"/>
        </w:rPr>
      </w:pPr>
      <w:r w:rsidRPr="00B85017">
        <w:rPr>
          <w:color w:val="000000" w:themeColor="text1"/>
        </w:rPr>
        <w:t xml:space="preserve">This guide has been derived from the </w:t>
      </w:r>
      <w:r w:rsidRPr="00B85017">
        <w:rPr>
          <w:i/>
          <w:color w:val="000000" w:themeColor="text1"/>
        </w:rPr>
        <w:t>endTB Clinical and Programmatic Guide for Patient Management with New TB Drugs.</w:t>
      </w:r>
      <w:r w:rsidRPr="00B85017">
        <w:rPr>
          <w:rStyle w:val="FootnoteReference"/>
          <w:color w:val="000000" w:themeColor="text1"/>
        </w:rPr>
        <w:footnoteReference w:id="2"/>
      </w:r>
      <w:r w:rsidRPr="00B85017">
        <w:rPr>
          <w:i/>
          <w:color w:val="000000" w:themeColor="text1"/>
        </w:rPr>
        <w:t xml:space="preserve"> </w:t>
      </w:r>
      <w:r w:rsidRPr="00B85017">
        <w:rPr>
          <w:color w:val="000000" w:themeColor="text1"/>
        </w:rPr>
        <w:t xml:space="preserve">The endTB project is generously supported by Unitaid. Website: </w:t>
      </w:r>
      <w:hyperlink r:id="rId14">
        <w:r w:rsidRPr="00B85017">
          <w:rPr>
            <w:rStyle w:val="Hyperlink"/>
            <w:color w:val="000000" w:themeColor="text1"/>
          </w:rPr>
          <w:t>www.unitaid.eu</w:t>
        </w:r>
      </w:hyperlink>
      <w:r w:rsidRPr="00B85017">
        <w:rPr>
          <w:color w:val="000000" w:themeColor="text1"/>
        </w:rPr>
        <w:t xml:space="preserve">  </w:t>
      </w:r>
    </w:p>
    <w:p w14:paraId="037AB434" w14:textId="77777777" w:rsidR="00840AD7" w:rsidRPr="00B85017" w:rsidRDefault="00840AD7" w:rsidP="00840AD7">
      <w:pPr>
        <w:contextualSpacing/>
        <w:rPr>
          <w:color w:val="000000" w:themeColor="text1"/>
        </w:rPr>
      </w:pPr>
    </w:p>
    <w:p w14:paraId="155FE79D" w14:textId="77777777" w:rsidR="00840AD7" w:rsidRPr="00B85017" w:rsidRDefault="00840AD7" w:rsidP="00840AD7">
      <w:pPr>
        <w:contextualSpacing/>
        <w:rPr>
          <w:color w:val="000000" w:themeColor="text1"/>
        </w:rPr>
      </w:pPr>
      <w:r w:rsidRPr="00B85017">
        <w:rPr>
          <w:color w:val="000000" w:themeColor="text1"/>
        </w:rPr>
        <w:t xml:space="preserve">The guide also uses material from a revised edition of the MSF/PIH Guide Tuberculosis: Practical Guide for Clinicians, Nurses, Laboratory Technicians and Medical Auxilliaries (publication pending in 2019). </w:t>
      </w:r>
    </w:p>
    <w:p w14:paraId="7D2A7A75" w14:textId="77777777" w:rsidR="005A7FD5" w:rsidRPr="00623D67" w:rsidRDefault="005A7FD5" w:rsidP="00F465C0">
      <w:pPr>
        <w:rPr>
          <w:color w:val="000000" w:themeColor="text1"/>
          <w:sz w:val="28"/>
          <w:szCs w:val="28"/>
        </w:rPr>
      </w:pPr>
    </w:p>
    <w:p w14:paraId="61A8E6EB" w14:textId="3FD0433B" w:rsidR="001F1E9B" w:rsidRPr="00623D67" w:rsidRDefault="00623D67" w:rsidP="00003170">
      <w:pPr>
        <w:rPr>
          <w:rFonts w:asciiTheme="minorHAnsi" w:hAnsiTheme="minorHAnsi" w:cstheme="minorHAnsi"/>
          <w:b/>
          <w:bCs/>
          <w:color w:val="000000" w:themeColor="text1"/>
        </w:rPr>
      </w:pPr>
      <w:r w:rsidRPr="00623D67">
        <w:rPr>
          <w:rFonts w:asciiTheme="minorHAnsi" w:hAnsiTheme="minorHAnsi" w:cstheme="minorHAnsi"/>
          <w:b/>
          <w:bCs/>
          <w:color w:val="000000" w:themeColor="text1"/>
          <w:sz w:val="28"/>
          <w:szCs w:val="28"/>
        </w:rPr>
        <w:t>Authors and Contributors</w:t>
      </w:r>
    </w:p>
    <w:p w14:paraId="16DF89C9" w14:textId="516CBF11" w:rsidR="004636D3" w:rsidRPr="00623D67" w:rsidRDefault="004636D3" w:rsidP="004636D3">
      <w:pPr>
        <w:rPr>
          <w:vertAlign w:val="superscript"/>
        </w:rPr>
      </w:pPr>
      <w:r>
        <w:t xml:space="preserve">The </w:t>
      </w:r>
      <w:r w:rsidRPr="00B85017">
        <w:rPr>
          <w:i/>
          <w:iCs/>
          <w:color w:val="000000" w:themeColor="text1"/>
        </w:rPr>
        <w:t>Clinical Guide for All-oral Shorter MDR-TB Regimens</w:t>
      </w:r>
      <w:r>
        <w:rPr>
          <w:color w:val="000000" w:themeColor="text1"/>
        </w:rPr>
        <w:t xml:space="preserve"> was authored and</w:t>
      </w:r>
      <w:r>
        <w:t xml:space="preserve"> produced in a collaborative effort by </w:t>
      </w:r>
      <w:r w:rsidR="005C7784">
        <w:t>Mercedes Becerra</w:t>
      </w:r>
      <w:r w:rsidR="005C7784" w:rsidRPr="005C7784">
        <w:rPr>
          <w:vertAlign w:val="superscript"/>
        </w:rPr>
        <w:t>1</w:t>
      </w:r>
      <w:r w:rsidR="005C7784">
        <w:t xml:space="preserve">, </w:t>
      </w:r>
      <w:r>
        <w:t>Clare</w:t>
      </w:r>
      <w:r w:rsidR="00623D67">
        <w:t xml:space="preserve"> </w:t>
      </w:r>
      <w:r>
        <w:t>Flanagan</w:t>
      </w:r>
      <w:r>
        <w:rPr>
          <w:vertAlign w:val="superscript"/>
        </w:rPr>
        <w:t>3</w:t>
      </w:r>
      <w:r>
        <w:t>, Molly Franke</w:t>
      </w:r>
      <w:r>
        <w:rPr>
          <w:vertAlign w:val="superscript"/>
        </w:rPr>
        <w:t>1</w:t>
      </w:r>
      <w:r>
        <w:t xml:space="preserve">, </w:t>
      </w:r>
      <w:r w:rsidR="005C7784">
        <w:t>Jennifer Furin</w:t>
      </w:r>
      <w:r w:rsidR="005C7784" w:rsidRPr="005C7784">
        <w:rPr>
          <w:vertAlign w:val="superscript"/>
        </w:rPr>
        <w:t>8</w:t>
      </w:r>
      <w:r w:rsidR="005C7784">
        <w:t>, Lorenzo Guglielmetti</w:t>
      </w:r>
      <w:r w:rsidR="005C7784" w:rsidRPr="005C7784">
        <w:rPr>
          <w:vertAlign w:val="superscript"/>
        </w:rPr>
        <w:t>2</w:t>
      </w:r>
      <w:r w:rsidR="005C7784">
        <w:t xml:space="preserve">, </w:t>
      </w:r>
      <w:r>
        <w:t>Catherine Hewison</w:t>
      </w:r>
      <w:r>
        <w:rPr>
          <w:vertAlign w:val="superscript"/>
        </w:rPr>
        <w:t>2</w:t>
      </w:r>
      <w:r>
        <w:t>, Helena Huerga</w:t>
      </w:r>
      <w:r>
        <w:rPr>
          <w:vertAlign w:val="superscript"/>
        </w:rPr>
        <w:t>5</w:t>
      </w:r>
      <w:r>
        <w:t>,</w:t>
      </w:r>
      <w:r w:rsidR="005C7784">
        <w:t xml:space="preserve"> Salmaan Keshavjee</w:t>
      </w:r>
      <w:r w:rsidR="005C7784" w:rsidRPr="005C7784">
        <w:rPr>
          <w:vertAlign w:val="superscript"/>
        </w:rPr>
        <w:t>1,9</w:t>
      </w:r>
      <w:r w:rsidR="005C7784">
        <w:t>,</w:t>
      </w:r>
      <w:r>
        <w:t xml:space="preserve"> </w:t>
      </w:r>
      <w:r w:rsidR="00623D67">
        <w:t>Palwasha Khan</w:t>
      </w:r>
      <w:r w:rsidR="00623D67">
        <w:rPr>
          <w:vertAlign w:val="superscript"/>
        </w:rPr>
        <w:t>4</w:t>
      </w:r>
      <w:r w:rsidR="00623D67">
        <w:t xml:space="preserve">, </w:t>
      </w:r>
      <w:r>
        <w:t>Uzma Khan</w:t>
      </w:r>
      <w:r>
        <w:rPr>
          <w:vertAlign w:val="superscript"/>
        </w:rPr>
        <w:t>4</w:t>
      </w:r>
      <w:r>
        <w:t xml:space="preserve">, </w:t>
      </w:r>
      <w:r w:rsidR="005C7784">
        <w:t>James Mbabazi</w:t>
      </w:r>
      <w:r w:rsidR="005C7784" w:rsidRPr="005C7784">
        <w:rPr>
          <w:vertAlign w:val="superscript"/>
        </w:rPr>
        <w:t>3</w:t>
      </w:r>
      <w:r w:rsidR="005C7784">
        <w:t xml:space="preserve">, </w:t>
      </w:r>
      <w:r>
        <w:t>Sarah McAnaw</w:t>
      </w:r>
      <w:r>
        <w:rPr>
          <w:vertAlign w:val="superscript"/>
        </w:rPr>
        <w:t>3</w:t>
      </w:r>
      <w:r>
        <w:t>, Carole Mitnick</w:t>
      </w:r>
      <w:r>
        <w:rPr>
          <w:vertAlign w:val="superscript"/>
        </w:rPr>
        <w:t>1</w:t>
      </w:r>
      <w:r>
        <w:t xml:space="preserve">, </w:t>
      </w:r>
      <w:r w:rsidRPr="00CA556F">
        <w:t>Nataliya Morozova</w:t>
      </w:r>
      <w:r>
        <w:rPr>
          <w:vertAlign w:val="superscript"/>
        </w:rPr>
        <w:t>3</w:t>
      </w:r>
      <w:r w:rsidRPr="00CA556F">
        <w:t>, Elna Osso</w:t>
      </w:r>
      <w:r>
        <w:rPr>
          <w:vertAlign w:val="superscript"/>
        </w:rPr>
        <w:t>1</w:t>
      </w:r>
      <w:r w:rsidRPr="00CA556F">
        <w:t>, Michael Rich</w:t>
      </w:r>
      <w:r>
        <w:rPr>
          <w:vertAlign w:val="superscript"/>
        </w:rPr>
        <w:t>1,3,6</w:t>
      </w:r>
      <w:r w:rsidRPr="00CA556F">
        <w:t xml:space="preserve">, </w:t>
      </w:r>
      <w:r>
        <w:t>K.J. Seung</w:t>
      </w:r>
      <w:r>
        <w:rPr>
          <w:vertAlign w:val="superscript"/>
        </w:rPr>
        <w:t>1,3,6,7</w:t>
      </w:r>
      <w:r>
        <w:t>, Megan Striplin</w:t>
      </w:r>
      <w:r>
        <w:rPr>
          <w:vertAlign w:val="superscript"/>
        </w:rPr>
        <w:t>3</w:t>
      </w:r>
      <w:r>
        <w:t>, Francis Varaine</w:t>
      </w:r>
      <w:r>
        <w:rPr>
          <w:vertAlign w:val="superscript"/>
        </w:rPr>
        <w:t>2</w:t>
      </w:r>
      <w:r>
        <w:t>, and Askar Yedibayev</w:t>
      </w:r>
      <w:r>
        <w:rPr>
          <w:vertAlign w:val="superscript"/>
        </w:rPr>
        <w:t>3</w:t>
      </w:r>
      <w:r>
        <w:t xml:space="preserve">. </w:t>
      </w:r>
    </w:p>
    <w:p w14:paraId="18B5A1D7" w14:textId="77777777" w:rsidR="004636D3" w:rsidRDefault="004636D3" w:rsidP="00CB2F8E">
      <w:pPr>
        <w:pStyle w:val="ListParagraph"/>
        <w:numPr>
          <w:ilvl w:val="0"/>
          <w:numId w:val="32"/>
        </w:numPr>
        <w:spacing w:before="0" w:after="160" w:line="259" w:lineRule="auto"/>
        <w:jc w:val="left"/>
        <w:rPr>
          <w:sz w:val="18"/>
          <w:szCs w:val="18"/>
        </w:rPr>
        <w:sectPr w:rsidR="004636D3" w:rsidSect="0083231A">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pPr>
    </w:p>
    <w:p w14:paraId="0B0E62F7" w14:textId="77777777" w:rsidR="004636D3" w:rsidRPr="000C65DB" w:rsidRDefault="004636D3" w:rsidP="00CB2F8E">
      <w:pPr>
        <w:pStyle w:val="ListParagraph"/>
        <w:numPr>
          <w:ilvl w:val="0"/>
          <w:numId w:val="32"/>
        </w:numPr>
        <w:spacing w:before="0" w:after="160" w:line="259" w:lineRule="auto"/>
        <w:jc w:val="left"/>
        <w:rPr>
          <w:sz w:val="18"/>
          <w:szCs w:val="18"/>
        </w:rPr>
      </w:pPr>
      <w:r w:rsidRPr="000C65DB">
        <w:rPr>
          <w:sz w:val="18"/>
          <w:szCs w:val="18"/>
        </w:rPr>
        <w:t xml:space="preserve">Harvard Medical School </w:t>
      </w:r>
    </w:p>
    <w:p w14:paraId="41F75780" w14:textId="77777777" w:rsidR="004636D3" w:rsidRPr="000C65DB" w:rsidRDefault="004636D3" w:rsidP="00CB2F8E">
      <w:pPr>
        <w:pStyle w:val="ListParagraph"/>
        <w:numPr>
          <w:ilvl w:val="0"/>
          <w:numId w:val="32"/>
        </w:numPr>
        <w:spacing w:before="0" w:after="160" w:line="259" w:lineRule="auto"/>
        <w:jc w:val="left"/>
        <w:rPr>
          <w:sz w:val="18"/>
          <w:szCs w:val="18"/>
          <w:lang w:val="fr-FR"/>
        </w:rPr>
      </w:pPr>
      <w:r w:rsidRPr="000C65DB">
        <w:rPr>
          <w:sz w:val="18"/>
          <w:szCs w:val="18"/>
          <w:lang w:val="fr-FR"/>
        </w:rPr>
        <w:t xml:space="preserve">Médecins Sans Frontières </w:t>
      </w:r>
    </w:p>
    <w:p w14:paraId="48E4A510" w14:textId="77777777" w:rsidR="004636D3" w:rsidRPr="000C65DB" w:rsidRDefault="004636D3" w:rsidP="00CB2F8E">
      <w:pPr>
        <w:pStyle w:val="ListParagraph"/>
        <w:numPr>
          <w:ilvl w:val="0"/>
          <w:numId w:val="32"/>
        </w:numPr>
        <w:spacing w:before="0" w:after="160" w:line="259" w:lineRule="auto"/>
        <w:jc w:val="left"/>
        <w:rPr>
          <w:sz w:val="18"/>
          <w:szCs w:val="18"/>
        </w:rPr>
      </w:pPr>
      <w:r w:rsidRPr="000C65DB">
        <w:rPr>
          <w:sz w:val="18"/>
          <w:szCs w:val="18"/>
        </w:rPr>
        <w:t>Partners In Health</w:t>
      </w:r>
    </w:p>
    <w:p w14:paraId="069D2F4F" w14:textId="7E210D4A" w:rsidR="004636D3" w:rsidRPr="000C65DB" w:rsidRDefault="004636D3" w:rsidP="00CB2F8E">
      <w:pPr>
        <w:pStyle w:val="ListParagraph"/>
        <w:numPr>
          <w:ilvl w:val="0"/>
          <w:numId w:val="32"/>
        </w:numPr>
        <w:spacing w:before="0" w:after="160" w:line="259" w:lineRule="auto"/>
        <w:jc w:val="left"/>
        <w:rPr>
          <w:sz w:val="18"/>
          <w:szCs w:val="18"/>
        </w:rPr>
      </w:pPr>
      <w:r w:rsidRPr="000C65DB">
        <w:rPr>
          <w:sz w:val="18"/>
          <w:szCs w:val="18"/>
        </w:rPr>
        <w:t xml:space="preserve">Interactive Research </w:t>
      </w:r>
      <w:r w:rsidR="000D1EBB">
        <w:rPr>
          <w:sz w:val="18"/>
          <w:szCs w:val="18"/>
        </w:rPr>
        <w:t>and Development</w:t>
      </w:r>
    </w:p>
    <w:p w14:paraId="572C8AAB" w14:textId="77777777" w:rsidR="004636D3" w:rsidRPr="000C65DB" w:rsidRDefault="004636D3" w:rsidP="00CB2F8E">
      <w:pPr>
        <w:pStyle w:val="ListParagraph"/>
        <w:numPr>
          <w:ilvl w:val="0"/>
          <w:numId w:val="32"/>
        </w:numPr>
        <w:spacing w:before="0" w:after="160" w:line="259" w:lineRule="auto"/>
        <w:jc w:val="left"/>
        <w:rPr>
          <w:sz w:val="18"/>
          <w:szCs w:val="18"/>
        </w:rPr>
      </w:pPr>
      <w:r w:rsidRPr="000C65DB">
        <w:rPr>
          <w:sz w:val="18"/>
          <w:szCs w:val="18"/>
        </w:rPr>
        <w:t>Epicentre</w:t>
      </w:r>
    </w:p>
    <w:p w14:paraId="62D098F6" w14:textId="77777777" w:rsidR="004636D3" w:rsidRDefault="004636D3" w:rsidP="00CB2F8E">
      <w:pPr>
        <w:pStyle w:val="ListParagraph"/>
        <w:numPr>
          <w:ilvl w:val="0"/>
          <w:numId w:val="32"/>
        </w:numPr>
        <w:spacing w:before="0" w:after="160" w:line="259" w:lineRule="auto"/>
        <w:jc w:val="left"/>
        <w:rPr>
          <w:sz w:val="18"/>
          <w:szCs w:val="18"/>
        </w:rPr>
      </w:pPr>
      <w:r w:rsidRPr="000C65DB">
        <w:rPr>
          <w:sz w:val="18"/>
          <w:szCs w:val="18"/>
        </w:rPr>
        <w:t>Brigham and Women’s Hospital</w:t>
      </w:r>
    </w:p>
    <w:p w14:paraId="77890336" w14:textId="59B5FEE3" w:rsidR="004636D3" w:rsidRDefault="004636D3" w:rsidP="00CB2F8E">
      <w:pPr>
        <w:pStyle w:val="ListParagraph"/>
        <w:numPr>
          <w:ilvl w:val="0"/>
          <w:numId w:val="32"/>
        </w:numPr>
        <w:spacing w:before="0" w:after="160" w:line="259" w:lineRule="auto"/>
        <w:jc w:val="left"/>
        <w:rPr>
          <w:sz w:val="18"/>
          <w:szCs w:val="18"/>
        </w:rPr>
      </w:pPr>
      <w:r>
        <w:rPr>
          <w:sz w:val="18"/>
          <w:szCs w:val="18"/>
        </w:rPr>
        <w:t>Eugene Bell Foundation</w:t>
      </w:r>
    </w:p>
    <w:p w14:paraId="360033D1" w14:textId="4FFC8426" w:rsidR="005C7784" w:rsidRDefault="005C7784" w:rsidP="00CB2F8E">
      <w:pPr>
        <w:pStyle w:val="ListParagraph"/>
        <w:numPr>
          <w:ilvl w:val="0"/>
          <w:numId w:val="32"/>
        </w:numPr>
        <w:spacing w:before="0" w:after="160" w:line="259" w:lineRule="auto"/>
        <w:jc w:val="left"/>
        <w:rPr>
          <w:sz w:val="18"/>
          <w:szCs w:val="18"/>
        </w:rPr>
      </w:pPr>
      <w:r>
        <w:rPr>
          <w:sz w:val="18"/>
          <w:szCs w:val="18"/>
        </w:rPr>
        <w:t>Sentinel Project</w:t>
      </w:r>
    </w:p>
    <w:p w14:paraId="25667A07" w14:textId="6388F973" w:rsidR="005C7784" w:rsidRDefault="005C7784" w:rsidP="00CB2F8E">
      <w:pPr>
        <w:pStyle w:val="ListParagraph"/>
        <w:numPr>
          <w:ilvl w:val="0"/>
          <w:numId w:val="32"/>
        </w:numPr>
        <w:spacing w:before="0" w:after="160" w:line="259" w:lineRule="auto"/>
        <w:jc w:val="left"/>
        <w:rPr>
          <w:sz w:val="18"/>
          <w:szCs w:val="18"/>
        </w:rPr>
      </w:pPr>
      <w:r>
        <w:rPr>
          <w:sz w:val="18"/>
          <w:szCs w:val="18"/>
        </w:rPr>
        <w:t>Center for Global Health Delivery - Dubai</w:t>
      </w:r>
    </w:p>
    <w:p w14:paraId="2D4DB33F" w14:textId="6D93BFAD" w:rsidR="004636D3" w:rsidRDefault="004636D3" w:rsidP="008069D8">
      <w:pPr>
        <w:pStyle w:val="ListParagraph"/>
        <w:spacing w:before="0" w:after="160" w:line="259" w:lineRule="auto"/>
        <w:jc w:val="left"/>
        <w:rPr>
          <w:sz w:val="18"/>
          <w:szCs w:val="18"/>
        </w:rPr>
      </w:pPr>
    </w:p>
    <w:p w14:paraId="582D3779" w14:textId="77777777" w:rsidR="005C7784" w:rsidRDefault="005C7784" w:rsidP="008069D8">
      <w:pPr>
        <w:pStyle w:val="ListParagraph"/>
        <w:spacing w:before="0" w:after="160" w:line="259" w:lineRule="auto"/>
        <w:jc w:val="left"/>
        <w:rPr>
          <w:sz w:val="18"/>
          <w:szCs w:val="18"/>
        </w:rPr>
      </w:pPr>
    </w:p>
    <w:p w14:paraId="5B8BD6BD" w14:textId="77777777" w:rsidR="008069D8" w:rsidRDefault="008069D8" w:rsidP="008069D8">
      <w:pPr>
        <w:spacing w:before="0" w:after="160" w:line="259" w:lineRule="auto"/>
        <w:jc w:val="left"/>
        <w:rPr>
          <w:sz w:val="18"/>
          <w:szCs w:val="18"/>
        </w:rPr>
      </w:pPr>
    </w:p>
    <w:p w14:paraId="4DEDEF5E" w14:textId="3E6248B3" w:rsidR="008069D8" w:rsidRPr="008069D8" w:rsidRDefault="008069D8" w:rsidP="008069D8">
      <w:pPr>
        <w:spacing w:before="0" w:after="160" w:line="259" w:lineRule="auto"/>
        <w:jc w:val="left"/>
        <w:rPr>
          <w:sz w:val="18"/>
          <w:szCs w:val="18"/>
        </w:rPr>
        <w:sectPr w:rsidR="008069D8" w:rsidRPr="008069D8" w:rsidSect="000D6CF4">
          <w:type w:val="continuous"/>
          <w:pgSz w:w="12240" w:h="15840"/>
          <w:pgMar w:top="1440" w:right="1440" w:bottom="1440" w:left="1440" w:header="720" w:footer="720" w:gutter="0"/>
          <w:cols w:num="2" w:space="720"/>
          <w:docGrid w:linePitch="360"/>
        </w:sectPr>
      </w:pPr>
      <w:bookmarkStart w:id="11" w:name="_GoBack"/>
      <w:bookmarkEnd w:id="11"/>
    </w:p>
    <w:p w14:paraId="0F30214A" w14:textId="59F3BDF0" w:rsidR="001F1E9B" w:rsidRPr="00B85017" w:rsidRDefault="0513D106" w:rsidP="00003170">
      <w:pPr>
        <w:pStyle w:val="Heading1"/>
        <w:numPr>
          <w:ilvl w:val="0"/>
          <w:numId w:val="0"/>
        </w:numPr>
      </w:pPr>
      <w:bookmarkStart w:id="12" w:name="_Toc12792942"/>
      <w:bookmarkStart w:id="13" w:name="_Toc12952353"/>
      <w:bookmarkStart w:id="14" w:name="_Toc13486702"/>
      <w:r w:rsidRPr="00B85017">
        <w:lastRenderedPageBreak/>
        <w:t>List of abbreviations</w:t>
      </w:r>
      <w:bookmarkStart w:id="15" w:name="h.2et92p0" w:colFirst="0" w:colLast="0"/>
      <w:bookmarkEnd w:id="12"/>
      <w:bookmarkEnd w:id="13"/>
      <w:bookmarkEnd w:id="14"/>
      <w:bookmarkEnd w:id="15"/>
    </w:p>
    <w:p w14:paraId="3DEF7175" w14:textId="1078791C" w:rsidR="00320909" w:rsidRPr="00582B29" w:rsidRDefault="00320909" w:rsidP="0F08DC3A">
      <w:pPr>
        <w:snapToGrid w:val="0"/>
        <w:spacing w:before="0" w:after="0"/>
        <w:rPr>
          <w:rFonts w:asciiTheme="minorHAnsi" w:hAnsiTheme="minorHAnsi"/>
          <w:b/>
          <w:bCs/>
          <w:color w:val="000000" w:themeColor="text1"/>
          <w:sz w:val="21"/>
          <w:szCs w:val="21"/>
        </w:rPr>
      </w:pPr>
      <w:r w:rsidRPr="0F08DC3A">
        <w:rPr>
          <w:rFonts w:asciiTheme="minorHAnsi" w:hAnsiTheme="minorHAnsi"/>
          <w:b/>
          <w:bCs/>
          <w:color w:val="000000" w:themeColor="text1"/>
          <w:sz w:val="21"/>
          <w:szCs w:val="21"/>
        </w:rPr>
        <w:t>ADSM</w:t>
      </w:r>
      <w:r w:rsidRPr="00582B29">
        <w:rPr>
          <w:rFonts w:asciiTheme="minorHAnsi" w:hAnsiTheme="minorHAnsi"/>
          <w:b/>
          <w:bCs/>
          <w:color w:val="000000" w:themeColor="text1"/>
          <w:sz w:val="21"/>
          <w:szCs w:val="21"/>
        </w:rPr>
        <w:tab/>
      </w:r>
      <w:r w:rsidRPr="00582B29">
        <w:rPr>
          <w:rFonts w:asciiTheme="minorHAnsi" w:hAnsiTheme="minorHAnsi"/>
          <w:b/>
          <w:bCs/>
          <w:color w:val="000000" w:themeColor="text1"/>
          <w:sz w:val="21"/>
          <w:szCs w:val="21"/>
        </w:rPr>
        <w:tab/>
      </w:r>
      <w:r w:rsidRPr="00582B29">
        <w:rPr>
          <w:rFonts w:asciiTheme="minorHAnsi" w:hAnsiTheme="minorHAnsi"/>
          <w:b/>
          <w:bCs/>
          <w:color w:val="000000" w:themeColor="text1"/>
          <w:sz w:val="21"/>
          <w:szCs w:val="21"/>
        </w:rPr>
        <w:tab/>
      </w:r>
      <w:r w:rsidRPr="0F08DC3A">
        <w:rPr>
          <w:rFonts w:asciiTheme="minorHAnsi" w:hAnsiTheme="minorHAnsi"/>
          <w:color w:val="000000" w:themeColor="text1"/>
          <w:sz w:val="21"/>
          <w:szCs w:val="21"/>
        </w:rPr>
        <w:t xml:space="preserve">active </w:t>
      </w:r>
      <w:r w:rsidR="1375BD82" w:rsidRPr="0F08DC3A">
        <w:rPr>
          <w:rFonts w:asciiTheme="minorHAnsi" w:hAnsiTheme="minorHAnsi"/>
          <w:color w:val="000000" w:themeColor="text1"/>
          <w:sz w:val="21"/>
          <w:szCs w:val="21"/>
        </w:rPr>
        <w:t>TB</w:t>
      </w:r>
      <w:r w:rsidRPr="0F08DC3A">
        <w:rPr>
          <w:rFonts w:asciiTheme="minorHAnsi" w:hAnsiTheme="minorHAnsi"/>
          <w:color w:val="000000" w:themeColor="text1"/>
          <w:sz w:val="21"/>
          <w:szCs w:val="21"/>
        </w:rPr>
        <w:t xml:space="preserve"> Drug</w:t>
      </w:r>
      <w:r w:rsidR="00A05A40" w:rsidRPr="0F08DC3A">
        <w:rPr>
          <w:rFonts w:asciiTheme="minorHAnsi" w:hAnsiTheme="minorHAnsi"/>
          <w:color w:val="000000" w:themeColor="text1"/>
          <w:sz w:val="21"/>
          <w:szCs w:val="21"/>
        </w:rPr>
        <w:t>-</w:t>
      </w:r>
      <w:r w:rsidRPr="0F08DC3A">
        <w:rPr>
          <w:rFonts w:asciiTheme="minorHAnsi" w:hAnsiTheme="minorHAnsi"/>
          <w:color w:val="000000" w:themeColor="text1"/>
          <w:sz w:val="21"/>
          <w:szCs w:val="21"/>
        </w:rPr>
        <w:t>Safety Monitoring and Management</w:t>
      </w:r>
    </w:p>
    <w:p w14:paraId="4479CDBB" w14:textId="62359DB1"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ACTG</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AIDS Clinical Trial Group</w:t>
      </w:r>
    </w:p>
    <w:p w14:paraId="0FD6469B"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AE</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Adverse Event</w:t>
      </w:r>
    </w:p>
    <w:p w14:paraId="2A5F6501"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ADL</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Activities of daily living</w:t>
      </w:r>
    </w:p>
    <w:p w14:paraId="28B28FC9"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ALT</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Alanine aminotransferase</w:t>
      </w:r>
    </w:p>
    <w:p w14:paraId="6542E33D"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Am</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Amikacin</w:t>
      </w:r>
    </w:p>
    <w:p w14:paraId="52149777"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Amx</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Amoxicillin</w:t>
      </w:r>
    </w:p>
    <w:p w14:paraId="7B03972E"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ART</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Anti-retroviral therapy</w:t>
      </w:r>
    </w:p>
    <w:p w14:paraId="53CBAF94"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ARV</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Anti-retroviral</w:t>
      </w:r>
    </w:p>
    <w:p w14:paraId="481BA1F3" w14:textId="645BDC6E"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AST</w:t>
      </w:r>
      <w:r w:rsidR="003A30F5" w:rsidRPr="00582B29">
        <w:rPr>
          <w:rFonts w:asciiTheme="minorHAnsi" w:hAnsiTheme="minorHAnsi"/>
          <w:color w:val="000000" w:themeColor="text1"/>
          <w:sz w:val="21"/>
          <w:szCs w:val="21"/>
        </w:rPr>
        <w:tab/>
      </w:r>
      <w:r w:rsidR="003A30F5" w:rsidRPr="00582B29">
        <w:rPr>
          <w:rFonts w:asciiTheme="minorHAnsi" w:hAnsiTheme="minorHAnsi"/>
          <w:color w:val="000000" w:themeColor="text1"/>
          <w:sz w:val="21"/>
          <w:szCs w:val="21"/>
        </w:rPr>
        <w:tab/>
      </w:r>
      <w:r w:rsidR="003A30F5" w:rsidRPr="00582B29">
        <w:rPr>
          <w:rFonts w:asciiTheme="minorHAnsi" w:hAnsiTheme="minorHAnsi"/>
          <w:color w:val="000000" w:themeColor="text1"/>
          <w:sz w:val="21"/>
          <w:szCs w:val="21"/>
        </w:rPr>
        <w:tab/>
        <w:t>Aspartate aminotrans</w:t>
      </w:r>
      <w:r w:rsidRPr="00582B29">
        <w:rPr>
          <w:rFonts w:asciiTheme="minorHAnsi" w:hAnsiTheme="minorHAnsi"/>
          <w:color w:val="000000" w:themeColor="text1"/>
          <w:sz w:val="21"/>
          <w:szCs w:val="21"/>
        </w:rPr>
        <w:t>ferase</w:t>
      </w:r>
    </w:p>
    <w:p w14:paraId="6720B14E"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AZT</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Zidovudine</w:t>
      </w:r>
    </w:p>
    <w:p w14:paraId="6C3EE8DB"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Bdq</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Bedaquiline</w:t>
      </w:r>
    </w:p>
    <w:p w14:paraId="44780C80"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BMI</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Body Mass Index</w:t>
      </w:r>
    </w:p>
    <w:p w14:paraId="4C84568D"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BPNS</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Brief Peripheral Neuropathy Screen</w:t>
      </w:r>
    </w:p>
    <w:p w14:paraId="4DA763A7" w14:textId="5A9D4D2F" w:rsidR="39F5B6C0" w:rsidRPr="00582B29" w:rsidRDefault="29E89846" w:rsidP="00B30947">
      <w:pPr>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 xml:space="preserve">BSA </w:t>
      </w:r>
      <w:r w:rsidR="00A05A40" w:rsidRPr="00582B29">
        <w:rPr>
          <w:rFonts w:asciiTheme="minorHAnsi" w:hAnsiTheme="minorHAnsi"/>
          <w:b/>
          <w:bCs/>
          <w:color w:val="000000" w:themeColor="text1"/>
          <w:sz w:val="21"/>
          <w:szCs w:val="21"/>
        </w:rPr>
        <w:tab/>
      </w:r>
      <w:r w:rsidR="00A05A40" w:rsidRPr="00582B29">
        <w:rPr>
          <w:rFonts w:asciiTheme="minorHAnsi" w:hAnsiTheme="minorHAnsi"/>
          <w:b/>
          <w:bCs/>
          <w:color w:val="000000" w:themeColor="text1"/>
          <w:sz w:val="21"/>
          <w:szCs w:val="21"/>
        </w:rPr>
        <w:tab/>
      </w:r>
      <w:r w:rsidR="00A05A40" w:rsidRPr="00582B29">
        <w:rPr>
          <w:rFonts w:asciiTheme="minorHAnsi" w:hAnsiTheme="minorHAnsi"/>
          <w:b/>
          <w:bCs/>
          <w:color w:val="000000" w:themeColor="text1"/>
          <w:sz w:val="21"/>
          <w:szCs w:val="21"/>
        </w:rPr>
        <w:tab/>
      </w:r>
      <w:r w:rsidRPr="00582B29">
        <w:rPr>
          <w:rFonts w:asciiTheme="minorHAnsi" w:hAnsiTheme="minorHAnsi"/>
          <w:color w:val="000000" w:themeColor="text1"/>
          <w:sz w:val="21"/>
          <w:szCs w:val="21"/>
        </w:rPr>
        <w:t>Body Surface Area</w:t>
      </w:r>
    </w:p>
    <w:p w14:paraId="0BF94714"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Cfx</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Clofazimine</w:t>
      </w:r>
    </w:p>
    <w:p w14:paraId="7528744C"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Clv</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Clavulanate</w:t>
      </w:r>
    </w:p>
    <w:p w14:paraId="2C0283FE"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Cm</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Capreomycin</w:t>
      </w:r>
    </w:p>
    <w:p w14:paraId="778E6ED4"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Cln</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Cilastatin</w:t>
      </w:r>
    </w:p>
    <w:p w14:paraId="2E3EA6C4"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CNS</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Central Nervous System</w:t>
      </w:r>
    </w:p>
    <w:p w14:paraId="34906879"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Cs</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Cycloserine</w:t>
      </w:r>
    </w:p>
    <w:p w14:paraId="2304B76F"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CTCAE</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Common Terminology Criteria for Adverse Events</w:t>
      </w:r>
    </w:p>
    <w:p w14:paraId="06FDF020"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CYP</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Cytochrome P450</w:t>
      </w:r>
    </w:p>
    <w:p w14:paraId="56F1A416"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d4T</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Stavudine</w:t>
      </w:r>
    </w:p>
    <w:p w14:paraId="37BBE3A1" w14:textId="58541B96" w:rsidR="00446443" w:rsidRPr="00582B29" w:rsidRDefault="00446443" w:rsidP="415BAB1B">
      <w:pPr>
        <w:snapToGrid w:val="0"/>
        <w:spacing w:before="0" w:after="0"/>
        <w:rPr>
          <w:rFonts w:asciiTheme="minorHAnsi" w:hAnsiTheme="minorHAnsi"/>
          <w:bCs/>
          <w:color w:val="000000" w:themeColor="text1"/>
          <w:sz w:val="21"/>
          <w:szCs w:val="21"/>
        </w:rPr>
      </w:pPr>
      <w:r w:rsidRPr="00582B29">
        <w:rPr>
          <w:rFonts w:asciiTheme="minorHAnsi" w:hAnsiTheme="minorHAnsi"/>
          <w:b/>
          <w:bCs/>
          <w:color w:val="000000" w:themeColor="text1"/>
          <w:sz w:val="21"/>
          <w:szCs w:val="21"/>
        </w:rPr>
        <w:t>DAA</w:t>
      </w:r>
      <w:r w:rsidRPr="00582B29">
        <w:rPr>
          <w:rFonts w:asciiTheme="minorHAnsi" w:hAnsiTheme="minorHAnsi"/>
          <w:b/>
          <w:bCs/>
          <w:color w:val="000000" w:themeColor="text1"/>
          <w:sz w:val="21"/>
          <w:szCs w:val="21"/>
        </w:rPr>
        <w:tab/>
      </w:r>
      <w:r w:rsidRPr="00582B29">
        <w:rPr>
          <w:rFonts w:asciiTheme="minorHAnsi" w:hAnsiTheme="minorHAnsi"/>
          <w:b/>
          <w:bCs/>
          <w:color w:val="000000" w:themeColor="text1"/>
          <w:sz w:val="21"/>
          <w:szCs w:val="21"/>
        </w:rPr>
        <w:tab/>
      </w:r>
      <w:r w:rsidRPr="00582B29">
        <w:rPr>
          <w:rFonts w:asciiTheme="minorHAnsi" w:hAnsiTheme="minorHAnsi"/>
          <w:b/>
          <w:bCs/>
          <w:color w:val="000000" w:themeColor="text1"/>
          <w:sz w:val="21"/>
          <w:szCs w:val="21"/>
        </w:rPr>
        <w:tab/>
      </w:r>
      <w:r w:rsidR="004C195B" w:rsidRPr="00582B29">
        <w:rPr>
          <w:rFonts w:asciiTheme="minorHAnsi" w:hAnsiTheme="minorHAnsi"/>
          <w:color w:val="000000" w:themeColor="text1"/>
          <w:sz w:val="21"/>
          <w:szCs w:val="21"/>
        </w:rPr>
        <w:t>Direct-acting Antivirals</w:t>
      </w:r>
    </w:p>
    <w:p w14:paraId="0F30BD22" w14:textId="3E186E55"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ddI</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Didanosine</w:t>
      </w:r>
    </w:p>
    <w:p w14:paraId="5BD46C5C"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DIP</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Distal interphalangeal</w:t>
      </w:r>
    </w:p>
    <w:p w14:paraId="7F4DE94C"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Dlm</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Delamanid</w:t>
      </w:r>
    </w:p>
    <w:p w14:paraId="6AFC0DAE"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DMID</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lang w:val="en-GB" w:eastAsia="fr-CH"/>
        </w:rPr>
        <w:t>Division of Microbiology and Infectious Diseases</w:t>
      </w:r>
    </w:p>
    <w:p w14:paraId="62A5BCD4"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DR-TB</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Drug-resistant Tuberculosis</w:t>
      </w:r>
    </w:p>
    <w:p w14:paraId="0B49EB28"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DST</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Drug Susceptibility Testing</w:t>
      </w:r>
    </w:p>
    <w:p w14:paraId="2DCF24B7"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E</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Ethambutol</w:t>
      </w:r>
    </w:p>
    <w:p w14:paraId="7EC04962"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ECG</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Electrocardiogram</w:t>
      </w:r>
    </w:p>
    <w:p w14:paraId="008E85F9" w14:textId="77777777" w:rsidR="001F1E9B" w:rsidRPr="00582B29" w:rsidRDefault="001F1E9B" w:rsidP="0513D106">
      <w:pPr>
        <w:snapToGrid w:val="0"/>
        <w:spacing w:before="0" w:after="0"/>
        <w:rPr>
          <w:rFonts w:asciiTheme="minorHAnsi" w:hAnsiTheme="minorHAnsi"/>
          <w:color w:val="000000" w:themeColor="text1"/>
          <w:sz w:val="21"/>
          <w:szCs w:val="21"/>
          <w:lang w:val="es-PE"/>
        </w:rPr>
      </w:pPr>
      <w:r w:rsidRPr="00582B29">
        <w:rPr>
          <w:rFonts w:asciiTheme="minorHAnsi" w:hAnsiTheme="minorHAnsi"/>
          <w:b/>
          <w:bCs/>
          <w:color w:val="000000" w:themeColor="text1"/>
          <w:sz w:val="21"/>
          <w:szCs w:val="21"/>
          <w:lang w:val="es-PE"/>
        </w:rPr>
        <w:t>EFV</w:t>
      </w:r>
      <w:r w:rsidRPr="00582B29">
        <w:rPr>
          <w:rFonts w:asciiTheme="minorHAnsi" w:hAnsiTheme="minorHAnsi"/>
          <w:color w:val="000000" w:themeColor="text1"/>
          <w:sz w:val="21"/>
          <w:szCs w:val="21"/>
          <w:lang w:val="es-PE"/>
        </w:rPr>
        <w:tab/>
      </w:r>
      <w:r w:rsidRPr="00582B29">
        <w:rPr>
          <w:rFonts w:asciiTheme="minorHAnsi" w:hAnsiTheme="minorHAnsi"/>
          <w:color w:val="000000" w:themeColor="text1"/>
          <w:sz w:val="21"/>
          <w:szCs w:val="21"/>
          <w:lang w:val="es-PE"/>
        </w:rPr>
        <w:tab/>
      </w:r>
      <w:r w:rsidRPr="00582B29">
        <w:rPr>
          <w:rFonts w:asciiTheme="minorHAnsi" w:hAnsiTheme="minorHAnsi"/>
          <w:color w:val="000000" w:themeColor="text1"/>
          <w:sz w:val="21"/>
          <w:szCs w:val="21"/>
          <w:lang w:val="es-PE"/>
        </w:rPr>
        <w:tab/>
        <w:t>Efavirenz</w:t>
      </w:r>
    </w:p>
    <w:p w14:paraId="76B64160" w14:textId="2123BD85" w:rsidR="001F1E9B" w:rsidRPr="00582B29" w:rsidRDefault="001F1E9B" w:rsidP="0513D106">
      <w:pPr>
        <w:snapToGrid w:val="0"/>
        <w:spacing w:before="0" w:after="0"/>
        <w:rPr>
          <w:rFonts w:asciiTheme="minorHAnsi" w:hAnsiTheme="minorHAnsi"/>
          <w:color w:val="000000" w:themeColor="text1"/>
          <w:sz w:val="21"/>
          <w:szCs w:val="21"/>
          <w:lang w:val="es-PE"/>
        </w:rPr>
      </w:pPr>
      <w:r w:rsidRPr="00582B29">
        <w:rPr>
          <w:rFonts w:asciiTheme="minorHAnsi" w:hAnsiTheme="minorHAnsi"/>
          <w:b/>
          <w:bCs/>
          <w:color w:val="000000" w:themeColor="text1"/>
          <w:sz w:val="21"/>
          <w:szCs w:val="21"/>
          <w:lang w:val="es-PE"/>
        </w:rPr>
        <w:t>EMA</w:t>
      </w:r>
      <w:r w:rsidRPr="00582B29">
        <w:rPr>
          <w:rFonts w:asciiTheme="minorHAnsi" w:hAnsiTheme="minorHAnsi"/>
          <w:color w:val="000000" w:themeColor="text1"/>
          <w:sz w:val="21"/>
          <w:szCs w:val="21"/>
          <w:lang w:val="es-PE"/>
        </w:rPr>
        <w:t xml:space="preserve">            </w:t>
      </w:r>
      <w:r w:rsidRPr="00582B29">
        <w:rPr>
          <w:rFonts w:asciiTheme="minorHAnsi" w:hAnsiTheme="minorHAnsi"/>
          <w:color w:val="000000" w:themeColor="text1"/>
          <w:sz w:val="21"/>
          <w:szCs w:val="21"/>
          <w:lang w:val="es-PE"/>
        </w:rPr>
        <w:tab/>
      </w:r>
      <w:r w:rsidRPr="00582B29">
        <w:rPr>
          <w:rFonts w:asciiTheme="minorHAnsi" w:hAnsiTheme="minorHAnsi"/>
          <w:color w:val="000000" w:themeColor="text1"/>
          <w:sz w:val="21"/>
          <w:szCs w:val="21"/>
          <w:lang w:val="es-PE"/>
        </w:rPr>
        <w:tab/>
        <w:t>European Medicines Agency</w:t>
      </w:r>
    </w:p>
    <w:p w14:paraId="732A5FC5" w14:textId="0F21BA0F" w:rsidR="006602D9" w:rsidRPr="00582B29" w:rsidRDefault="006602D9" w:rsidP="0513D106">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EMR</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Electronic medical record</w:t>
      </w:r>
    </w:p>
    <w:p w14:paraId="48F6E840"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endTB</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Expand New Drugs for TB</w:t>
      </w:r>
    </w:p>
    <w:p w14:paraId="4338C5AD" w14:textId="77777777" w:rsidR="005A27BC" w:rsidRPr="00582B29" w:rsidRDefault="005A27BC" w:rsidP="0513D106">
      <w:pPr>
        <w:snapToGrid w:val="0"/>
        <w:spacing w:before="0" w:after="0"/>
        <w:rPr>
          <w:rFonts w:asciiTheme="minorHAnsi" w:hAnsiTheme="minorHAnsi"/>
          <w:b/>
          <w:bCs/>
          <w:color w:val="000000" w:themeColor="text1"/>
          <w:sz w:val="21"/>
          <w:szCs w:val="21"/>
        </w:rPr>
      </w:pPr>
      <w:r w:rsidRPr="00582B29">
        <w:rPr>
          <w:rFonts w:asciiTheme="minorHAnsi" w:hAnsiTheme="minorHAnsi"/>
          <w:b/>
          <w:bCs/>
          <w:color w:val="000000" w:themeColor="text1"/>
          <w:sz w:val="21"/>
          <w:szCs w:val="21"/>
        </w:rPr>
        <w:t>EPO</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Erythropoietin</w:t>
      </w:r>
    </w:p>
    <w:p w14:paraId="7404634C"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Eto</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Ethionamide</w:t>
      </w:r>
    </w:p>
    <w:p w14:paraId="67625890"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FDA</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United States Food and Drug Administration</w:t>
      </w:r>
    </w:p>
    <w:p w14:paraId="42EC7330"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FQ</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Fluoroquinolone</w:t>
      </w:r>
    </w:p>
    <w:p w14:paraId="040BE157"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GI</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Gastrointestinal</w:t>
      </w:r>
    </w:p>
    <w:p w14:paraId="56D08578"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H</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Isoniazid</w:t>
      </w:r>
    </w:p>
    <w:p w14:paraId="595A6678" w14:textId="27724A64" w:rsidR="004C3EA7" w:rsidRPr="00582B29" w:rsidRDefault="004C3EA7" w:rsidP="00F72348">
      <w:pPr>
        <w:snapToGrid w:val="0"/>
        <w:spacing w:before="0" w:after="0"/>
        <w:rPr>
          <w:rFonts w:asciiTheme="minorHAnsi" w:hAnsiTheme="minorHAnsi"/>
          <w:b/>
          <w:bCs/>
          <w:color w:val="000000" w:themeColor="text1"/>
          <w:sz w:val="21"/>
          <w:szCs w:val="21"/>
        </w:rPr>
      </w:pPr>
      <w:r w:rsidRPr="00582B29">
        <w:rPr>
          <w:rFonts w:asciiTheme="minorHAnsi" w:hAnsiTheme="minorHAnsi"/>
          <w:b/>
          <w:bCs/>
          <w:color w:val="000000" w:themeColor="text1"/>
          <w:sz w:val="21"/>
          <w:szCs w:val="21"/>
        </w:rPr>
        <w:t>H</w:t>
      </w:r>
      <w:r w:rsidRPr="00582B29">
        <w:rPr>
          <w:rFonts w:asciiTheme="minorHAnsi" w:hAnsiTheme="minorHAnsi"/>
          <w:b/>
          <w:bCs/>
          <w:color w:val="000000" w:themeColor="text1"/>
          <w:sz w:val="21"/>
          <w:szCs w:val="21"/>
          <w:vertAlign w:val="superscript"/>
        </w:rPr>
        <w:t>h</w:t>
      </w:r>
      <w:r w:rsidRPr="00582B29">
        <w:rPr>
          <w:rFonts w:asciiTheme="minorHAnsi" w:hAnsiTheme="minorHAnsi"/>
          <w:b/>
          <w:bCs/>
          <w:color w:val="000000" w:themeColor="text1"/>
          <w:sz w:val="21"/>
          <w:szCs w:val="21"/>
        </w:rPr>
        <w:t xml:space="preserve"> </w:t>
      </w:r>
      <w:r w:rsidRPr="00582B29">
        <w:rPr>
          <w:rFonts w:asciiTheme="minorHAnsi" w:hAnsiTheme="minorHAnsi"/>
          <w:b/>
          <w:bCs/>
          <w:color w:val="000000" w:themeColor="text1"/>
          <w:sz w:val="21"/>
          <w:szCs w:val="21"/>
        </w:rPr>
        <w:tab/>
      </w:r>
      <w:r w:rsidRPr="00582B29">
        <w:rPr>
          <w:rFonts w:asciiTheme="minorHAnsi" w:hAnsiTheme="minorHAnsi"/>
          <w:b/>
          <w:bCs/>
          <w:color w:val="000000" w:themeColor="text1"/>
          <w:sz w:val="21"/>
          <w:szCs w:val="21"/>
        </w:rPr>
        <w:tab/>
      </w:r>
      <w:r w:rsidRPr="00582B29">
        <w:rPr>
          <w:rFonts w:asciiTheme="minorHAnsi" w:hAnsiTheme="minorHAnsi"/>
          <w:b/>
          <w:bCs/>
          <w:color w:val="000000" w:themeColor="text1"/>
          <w:sz w:val="21"/>
          <w:szCs w:val="21"/>
        </w:rPr>
        <w:tab/>
      </w:r>
      <w:r w:rsidRPr="00582B29">
        <w:rPr>
          <w:rFonts w:asciiTheme="minorHAnsi" w:hAnsiTheme="minorHAnsi"/>
          <w:color w:val="000000" w:themeColor="text1"/>
          <w:sz w:val="21"/>
          <w:szCs w:val="21"/>
        </w:rPr>
        <w:t>High-dose isoniazid</w:t>
      </w:r>
    </w:p>
    <w:p w14:paraId="189D35A5" w14:textId="3E6B0915"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lastRenderedPageBreak/>
        <w:t>HIV</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00D814E1">
        <w:rPr>
          <w:rFonts w:asciiTheme="minorHAnsi" w:hAnsiTheme="minorHAnsi"/>
          <w:color w:val="000000" w:themeColor="text1"/>
          <w:sz w:val="21"/>
          <w:szCs w:val="21"/>
        </w:rPr>
        <w:tab/>
      </w:r>
      <w:r w:rsidRPr="00582B29">
        <w:rPr>
          <w:rFonts w:asciiTheme="minorHAnsi" w:hAnsiTheme="minorHAnsi"/>
          <w:color w:val="000000" w:themeColor="text1"/>
          <w:sz w:val="21"/>
          <w:szCs w:val="21"/>
        </w:rPr>
        <w:t>Human Immunodeficiency Virus</w:t>
      </w:r>
    </w:p>
    <w:p w14:paraId="621FC7BE" w14:textId="61C0642E" w:rsidR="001F1E9B" w:rsidRPr="00582B29" w:rsidRDefault="00DC581F"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Ipm</w:t>
      </w:r>
      <w:r w:rsidR="001F1E9B" w:rsidRPr="00582B29">
        <w:rPr>
          <w:rFonts w:asciiTheme="minorHAnsi" w:hAnsiTheme="minorHAnsi"/>
          <w:color w:val="000000" w:themeColor="text1"/>
          <w:sz w:val="21"/>
          <w:szCs w:val="21"/>
        </w:rPr>
        <w:tab/>
      </w:r>
      <w:r w:rsidR="001F1E9B" w:rsidRPr="00582B29">
        <w:rPr>
          <w:rFonts w:asciiTheme="minorHAnsi" w:hAnsiTheme="minorHAnsi"/>
          <w:color w:val="000000" w:themeColor="text1"/>
          <w:sz w:val="21"/>
          <w:szCs w:val="21"/>
        </w:rPr>
        <w:tab/>
      </w:r>
      <w:r w:rsidR="001F1E9B" w:rsidRPr="00582B29">
        <w:rPr>
          <w:rFonts w:asciiTheme="minorHAnsi" w:hAnsiTheme="minorHAnsi"/>
          <w:color w:val="000000" w:themeColor="text1"/>
          <w:sz w:val="21"/>
          <w:szCs w:val="21"/>
        </w:rPr>
        <w:tab/>
        <w:t>Imipenem</w:t>
      </w:r>
    </w:p>
    <w:p w14:paraId="783EA4D4"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IRD</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Interactive Research and Development</w:t>
      </w:r>
    </w:p>
    <w:p w14:paraId="16464CEF"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Km</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Kanamycin</w:t>
      </w:r>
    </w:p>
    <w:p w14:paraId="2202204D"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Lfx</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Levofloxacin</w:t>
      </w:r>
    </w:p>
    <w:p w14:paraId="3F9D945D" w14:textId="71E8186C" w:rsidR="003A30F5" w:rsidRPr="00582B29" w:rsidRDefault="003A30F5" w:rsidP="0513D106">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LLN</w:t>
      </w:r>
      <w:r w:rsidRPr="00582B29">
        <w:rPr>
          <w:rFonts w:asciiTheme="minorHAnsi" w:hAnsiTheme="minorHAnsi"/>
          <w:b/>
          <w:bCs/>
          <w:color w:val="000000" w:themeColor="text1"/>
          <w:sz w:val="21"/>
          <w:szCs w:val="21"/>
        </w:rPr>
        <w:tab/>
      </w:r>
      <w:r w:rsidRPr="00582B29">
        <w:rPr>
          <w:rFonts w:asciiTheme="minorHAnsi" w:hAnsiTheme="minorHAnsi"/>
          <w:bCs/>
          <w:color w:val="000000" w:themeColor="text1"/>
          <w:sz w:val="21"/>
          <w:szCs w:val="21"/>
        </w:rPr>
        <w:tab/>
      </w:r>
      <w:r w:rsidRPr="00582B29">
        <w:rPr>
          <w:rFonts w:asciiTheme="minorHAnsi" w:hAnsiTheme="minorHAnsi"/>
          <w:bCs/>
          <w:color w:val="000000" w:themeColor="text1"/>
          <w:sz w:val="21"/>
          <w:szCs w:val="21"/>
        </w:rPr>
        <w:tab/>
      </w:r>
      <w:r w:rsidRPr="00582B29">
        <w:rPr>
          <w:rFonts w:asciiTheme="minorHAnsi" w:hAnsiTheme="minorHAnsi"/>
          <w:color w:val="000000" w:themeColor="text1"/>
          <w:sz w:val="21"/>
          <w:szCs w:val="21"/>
        </w:rPr>
        <w:t>Lower Limit of Normal</w:t>
      </w:r>
    </w:p>
    <w:p w14:paraId="6FFDD3E1" w14:textId="572A63F4" w:rsidR="000A384C" w:rsidRPr="00582B29" w:rsidRDefault="000A384C" w:rsidP="0513D106">
      <w:pPr>
        <w:snapToGrid w:val="0"/>
        <w:spacing w:before="0" w:after="0"/>
        <w:rPr>
          <w:rFonts w:asciiTheme="minorHAnsi" w:hAnsiTheme="minorHAnsi"/>
          <w:b/>
          <w:bCs/>
          <w:color w:val="000000" w:themeColor="text1"/>
          <w:sz w:val="21"/>
          <w:szCs w:val="21"/>
        </w:rPr>
      </w:pPr>
      <w:r w:rsidRPr="00582B29">
        <w:rPr>
          <w:rFonts w:asciiTheme="minorHAnsi" w:hAnsiTheme="minorHAnsi"/>
          <w:b/>
          <w:bCs/>
          <w:color w:val="000000" w:themeColor="text1"/>
          <w:sz w:val="21"/>
          <w:szCs w:val="21"/>
        </w:rPr>
        <w:t>LTR</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Longer treatment regimen</w:t>
      </w:r>
    </w:p>
    <w:p w14:paraId="469DFBA5" w14:textId="1B518EFA"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Lzd</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Linezolid</w:t>
      </w:r>
    </w:p>
    <w:p w14:paraId="64EB051A"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MDR</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Multidrug-resistance</w:t>
      </w:r>
    </w:p>
    <w:p w14:paraId="272FA890" w14:textId="104989FF"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MDR-TB</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 xml:space="preserve">Multidrug-resistant </w:t>
      </w:r>
      <w:r w:rsidR="00F17BE6" w:rsidRPr="00582B29">
        <w:rPr>
          <w:rFonts w:asciiTheme="minorHAnsi" w:hAnsiTheme="minorHAnsi"/>
          <w:color w:val="000000" w:themeColor="text1"/>
          <w:sz w:val="21"/>
          <w:szCs w:val="21"/>
        </w:rPr>
        <w:t>t</w:t>
      </w:r>
      <w:r w:rsidRPr="00582B29">
        <w:rPr>
          <w:rFonts w:asciiTheme="minorHAnsi" w:hAnsiTheme="minorHAnsi"/>
          <w:color w:val="000000" w:themeColor="text1"/>
          <w:sz w:val="21"/>
          <w:szCs w:val="21"/>
        </w:rPr>
        <w:t>uberculosis</w:t>
      </w:r>
    </w:p>
    <w:p w14:paraId="6A62684A" w14:textId="069FA96A" w:rsidR="001F1E9B" w:rsidRPr="00582B29" w:rsidRDefault="001F1E9B" w:rsidP="4B53EB66">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Mfx</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Moxifloxacin</w:t>
      </w:r>
    </w:p>
    <w:p w14:paraId="36330506" w14:textId="76FD15C6" w:rsidR="00B059F4" w:rsidRPr="00582B29" w:rsidRDefault="00B059F4" w:rsidP="4B53EB66">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Mfx</w:t>
      </w:r>
      <w:r w:rsidRPr="00582B29">
        <w:rPr>
          <w:rFonts w:asciiTheme="minorHAnsi" w:hAnsiTheme="minorHAnsi"/>
          <w:b/>
          <w:bCs/>
          <w:color w:val="000000" w:themeColor="text1"/>
          <w:sz w:val="21"/>
          <w:szCs w:val="21"/>
          <w:vertAlign w:val="superscript"/>
        </w:rPr>
        <w:t>h</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004C3EA7" w:rsidRPr="00582B29">
        <w:rPr>
          <w:rFonts w:asciiTheme="minorHAnsi" w:hAnsiTheme="minorHAnsi"/>
          <w:color w:val="000000" w:themeColor="text1"/>
          <w:sz w:val="21"/>
          <w:szCs w:val="21"/>
        </w:rPr>
        <w:t>H</w:t>
      </w:r>
      <w:r w:rsidRPr="00582B29">
        <w:rPr>
          <w:rFonts w:asciiTheme="minorHAnsi" w:hAnsiTheme="minorHAnsi"/>
          <w:color w:val="000000" w:themeColor="text1"/>
          <w:sz w:val="21"/>
          <w:szCs w:val="21"/>
        </w:rPr>
        <w:t>igh-dose</w:t>
      </w:r>
      <w:r w:rsidR="004C3EA7" w:rsidRPr="00582B29">
        <w:rPr>
          <w:rFonts w:asciiTheme="minorHAnsi" w:hAnsiTheme="minorHAnsi"/>
          <w:color w:val="000000" w:themeColor="text1"/>
          <w:sz w:val="21"/>
          <w:szCs w:val="21"/>
        </w:rPr>
        <w:t xml:space="preserve"> moxifloxacin</w:t>
      </w:r>
    </w:p>
    <w:p w14:paraId="5C47BFC4" w14:textId="77777777" w:rsidR="001F1E9B" w:rsidRPr="00582B29" w:rsidRDefault="001F1E9B" w:rsidP="4B53EB66">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MSF</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Médecins Sans Frontières</w:t>
      </w:r>
    </w:p>
    <w:p w14:paraId="479496B9" w14:textId="77777777" w:rsidR="001F1E9B" w:rsidRPr="00582B29" w:rsidRDefault="001F1E9B" w:rsidP="0513D106">
      <w:pPr>
        <w:snapToGrid w:val="0"/>
        <w:spacing w:before="0" w:after="0"/>
        <w:rPr>
          <w:rFonts w:asciiTheme="minorHAnsi" w:hAnsiTheme="minorHAnsi"/>
          <w:color w:val="000000" w:themeColor="text1"/>
          <w:sz w:val="21"/>
          <w:szCs w:val="21"/>
          <w:lang w:val="en-GB"/>
        </w:rPr>
      </w:pPr>
      <w:r w:rsidRPr="00582B29">
        <w:rPr>
          <w:rFonts w:asciiTheme="minorHAnsi" w:hAnsiTheme="minorHAnsi"/>
          <w:b/>
          <w:bCs/>
          <w:color w:val="000000" w:themeColor="text1"/>
          <w:sz w:val="21"/>
          <w:szCs w:val="21"/>
          <w:lang w:val="en-GB"/>
        </w:rPr>
        <w:t>MTB/RIF</w:t>
      </w:r>
      <w:r w:rsidRPr="00582B29">
        <w:rPr>
          <w:rFonts w:asciiTheme="minorHAnsi" w:hAnsiTheme="minorHAnsi"/>
          <w:color w:val="000000" w:themeColor="text1"/>
          <w:sz w:val="21"/>
          <w:szCs w:val="21"/>
          <w:lang w:val="en-GB"/>
        </w:rPr>
        <w:t xml:space="preserve">     </w:t>
      </w:r>
      <w:r w:rsidRPr="00582B29">
        <w:rPr>
          <w:rFonts w:asciiTheme="minorHAnsi" w:hAnsiTheme="minorHAnsi"/>
          <w:color w:val="000000" w:themeColor="text1"/>
          <w:sz w:val="21"/>
          <w:szCs w:val="21"/>
          <w:lang w:val="en-GB"/>
        </w:rPr>
        <w:tab/>
      </w:r>
      <w:r w:rsidRPr="00582B29">
        <w:rPr>
          <w:rFonts w:asciiTheme="minorHAnsi" w:hAnsiTheme="minorHAnsi"/>
          <w:color w:val="000000" w:themeColor="text1"/>
          <w:sz w:val="21"/>
          <w:szCs w:val="21"/>
          <w:lang w:val="en-GB"/>
        </w:rPr>
        <w:tab/>
        <w:t>Mycobacterium Tuberculosis/Rifampicin</w:t>
      </w:r>
    </w:p>
    <w:p w14:paraId="2A670CDA" w14:textId="77777777" w:rsidR="00FA67F1" w:rsidRPr="00582B29" w:rsidRDefault="00FA67F1" w:rsidP="0513D106">
      <w:pPr>
        <w:snapToGrid w:val="0"/>
        <w:spacing w:before="0" w:after="0"/>
        <w:rPr>
          <w:rFonts w:asciiTheme="minorHAnsi" w:hAnsiTheme="minorHAnsi"/>
          <w:color w:val="000000" w:themeColor="text1"/>
          <w:sz w:val="21"/>
          <w:szCs w:val="21"/>
          <w:lang w:val="en-GB"/>
        </w:rPr>
      </w:pPr>
      <w:r w:rsidRPr="00582B29">
        <w:rPr>
          <w:rFonts w:asciiTheme="minorHAnsi" w:hAnsiTheme="minorHAnsi"/>
          <w:b/>
          <w:bCs/>
          <w:color w:val="000000" w:themeColor="text1"/>
          <w:sz w:val="21"/>
          <w:szCs w:val="21"/>
          <w:lang w:val="en-GB"/>
        </w:rPr>
        <w:t>MWF</w:t>
      </w:r>
      <w:r w:rsidRPr="00582B29">
        <w:rPr>
          <w:rFonts w:asciiTheme="minorHAnsi" w:hAnsiTheme="minorHAnsi"/>
          <w:color w:val="000000" w:themeColor="text1"/>
          <w:sz w:val="21"/>
          <w:szCs w:val="21"/>
          <w:lang w:val="en-GB"/>
        </w:rPr>
        <w:tab/>
      </w:r>
      <w:r w:rsidRPr="00582B29">
        <w:rPr>
          <w:rFonts w:asciiTheme="minorHAnsi" w:hAnsiTheme="minorHAnsi"/>
          <w:color w:val="000000" w:themeColor="text1"/>
          <w:sz w:val="21"/>
          <w:szCs w:val="21"/>
          <w:lang w:val="en-GB"/>
        </w:rPr>
        <w:tab/>
      </w:r>
      <w:r w:rsidRPr="00582B29">
        <w:rPr>
          <w:rFonts w:asciiTheme="minorHAnsi" w:hAnsiTheme="minorHAnsi"/>
          <w:color w:val="000000" w:themeColor="text1"/>
          <w:sz w:val="21"/>
          <w:szCs w:val="21"/>
          <w:lang w:val="en-GB"/>
        </w:rPr>
        <w:tab/>
      </w:r>
      <w:r w:rsidRPr="00582B29">
        <w:rPr>
          <w:rFonts w:asciiTheme="minorHAnsi" w:hAnsiTheme="minorHAnsi"/>
          <w:color w:val="000000" w:themeColor="text1"/>
          <w:sz w:val="21"/>
          <w:szCs w:val="21"/>
        </w:rPr>
        <w:t>Monday-Wednesday-Friday</w:t>
      </w:r>
    </w:p>
    <w:p w14:paraId="13B4657C"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NTP</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National Tuberculosis Program</w:t>
      </w:r>
    </w:p>
    <w:p w14:paraId="0AA5F0D6"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NVP</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Nevirapine</w:t>
      </w:r>
    </w:p>
    <w:p w14:paraId="1B14EA5B"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Ofx</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Ofloxacin</w:t>
      </w:r>
    </w:p>
    <w:p w14:paraId="0C6F69C5"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PAS</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Para-Aminosalicylic Acid</w:t>
      </w:r>
    </w:p>
    <w:p w14:paraId="293973B3" w14:textId="10C4D4E4"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PIH</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Partners In Health</w:t>
      </w:r>
    </w:p>
    <w:p w14:paraId="6A27EF44" w14:textId="04F8749F" w:rsidR="00314C8E" w:rsidRPr="00582B29" w:rsidRDefault="00314C8E" w:rsidP="00F72348">
      <w:pPr>
        <w:snapToGrid w:val="0"/>
        <w:spacing w:before="0" w:after="0"/>
        <w:rPr>
          <w:rFonts w:asciiTheme="minorHAnsi" w:hAnsiTheme="minorHAnsi"/>
          <w:color w:val="000000" w:themeColor="text1"/>
          <w:sz w:val="21"/>
          <w:szCs w:val="21"/>
        </w:rPr>
      </w:pPr>
      <w:r w:rsidRPr="00582B29">
        <w:rPr>
          <w:rFonts w:asciiTheme="minorHAnsi" w:hAnsiTheme="minorHAnsi"/>
          <w:b/>
          <w:color w:val="000000" w:themeColor="text1"/>
          <w:sz w:val="21"/>
          <w:szCs w:val="21"/>
        </w:rPr>
        <w:t>PLHIV</w:t>
      </w:r>
      <w:r w:rsidRPr="00582B29">
        <w:rPr>
          <w:rFonts w:asciiTheme="minorHAnsi" w:hAnsiTheme="minorHAnsi"/>
          <w:b/>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People living with HIV</w:t>
      </w:r>
    </w:p>
    <w:p w14:paraId="4A9EA099" w14:textId="2FBE2BD7" w:rsidR="00314C8E" w:rsidRPr="00582B29" w:rsidRDefault="00314C8E" w:rsidP="00F72348">
      <w:pPr>
        <w:snapToGrid w:val="0"/>
        <w:spacing w:before="0" w:after="0"/>
        <w:rPr>
          <w:rFonts w:asciiTheme="minorHAnsi" w:hAnsiTheme="minorHAnsi"/>
          <w:color w:val="000000" w:themeColor="text1"/>
          <w:sz w:val="21"/>
          <w:szCs w:val="21"/>
          <w:lang w:val="es-PE"/>
        </w:rPr>
      </w:pPr>
      <w:r w:rsidRPr="00582B29">
        <w:rPr>
          <w:rFonts w:asciiTheme="minorHAnsi" w:hAnsiTheme="minorHAnsi"/>
          <w:b/>
          <w:bCs/>
          <w:color w:val="000000" w:themeColor="text1"/>
          <w:sz w:val="21"/>
          <w:szCs w:val="21"/>
          <w:lang w:val="es-PE"/>
        </w:rPr>
        <w:t>PO</w:t>
      </w:r>
      <w:r w:rsidRPr="00582B29">
        <w:rPr>
          <w:rFonts w:asciiTheme="minorHAnsi" w:hAnsiTheme="minorHAnsi"/>
          <w:color w:val="000000" w:themeColor="text1"/>
          <w:sz w:val="21"/>
          <w:szCs w:val="21"/>
          <w:lang w:val="es-PE"/>
        </w:rPr>
        <w:tab/>
      </w:r>
      <w:r w:rsidRPr="00582B29">
        <w:rPr>
          <w:rFonts w:asciiTheme="minorHAnsi" w:hAnsiTheme="minorHAnsi"/>
          <w:color w:val="000000" w:themeColor="text1"/>
          <w:sz w:val="21"/>
          <w:szCs w:val="21"/>
          <w:lang w:val="es-PE"/>
        </w:rPr>
        <w:tab/>
      </w:r>
      <w:r w:rsidRPr="00582B29">
        <w:rPr>
          <w:rFonts w:asciiTheme="minorHAnsi" w:hAnsiTheme="minorHAnsi"/>
          <w:color w:val="000000" w:themeColor="text1"/>
          <w:sz w:val="21"/>
          <w:szCs w:val="21"/>
          <w:lang w:val="es-PE"/>
        </w:rPr>
        <w:tab/>
        <w:t>Per os</w:t>
      </w:r>
    </w:p>
    <w:p w14:paraId="1C18584C" w14:textId="77777777" w:rsidR="001F1E9B" w:rsidRPr="00582B29" w:rsidRDefault="001F1E9B" w:rsidP="0513D106">
      <w:pPr>
        <w:snapToGrid w:val="0"/>
        <w:spacing w:before="0" w:after="0"/>
        <w:rPr>
          <w:rFonts w:asciiTheme="minorHAnsi" w:hAnsiTheme="minorHAnsi"/>
          <w:color w:val="000000" w:themeColor="text1"/>
          <w:sz w:val="21"/>
          <w:szCs w:val="21"/>
          <w:lang w:val="es-PE"/>
        </w:rPr>
      </w:pPr>
      <w:r w:rsidRPr="00582B29">
        <w:rPr>
          <w:rFonts w:asciiTheme="minorHAnsi" w:hAnsiTheme="minorHAnsi"/>
          <w:b/>
          <w:bCs/>
          <w:color w:val="000000" w:themeColor="text1"/>
          <w:sz w:val="21"/>
          <w:szCs w:val="21"/>
          <w:lang w:val="es-PE"/>
        </w:rPr>
        <w:t>Pto</w:t>
      </w:r>
      <w:r w:rsidRPr="00582B29">
        <w:rPr>
          <w:rFonts w:asciiTheme="minorHAnsi" w:hAnsiTheme="minorHAnsi"/>
          <w:color w:val="000000" w:themeColor="text1"/>
          <w:sz w:val="21"/>
          <w:szCs w:val="21"/>
          <w:lang w:val="es-PE"/>
        </w:rPr>
        <w:tab/>
      </w:r>
      <w:r w:rsidRPr="00582B29">
        <w:rPr>
          <w:rFonts w:asciiTheme="minorHAnsi" w:hAnsiTheme="minorHAnsi"/>
          <w:color w:val="000000" w:themeColor="text1"/>
          <w:sz w:val="21"/>
          <w:szCs w:val="21"/>
          <w:lang w:val="es-PE"/>
        </w:rPr>
        <w:tab/>
      </w:r>
      <w:r w:rsidRPr="00582B29">
        <w:rPr>
          <w:rFonts w:asciiTheme="minorHAnsi" w:hAnsiTheme="minorHAnsi"/>
          <w:color w:val="000000" w:themeColor="text1"/>
          <w:sz w:val="21"/>
          <w:szCs w:val="21"/>
          <w:lang w:val="es-PE"/>
        </w:rPr>
        <w:tab/>
        <w:t>Prothionamide</w:t>
      </w:r>
    </w:p>
    <w:p w14:paraId="35FC346A" w14:textId="77777777" w:rsidR="001F1E9B" w:rsidRPr="00582B29" w:rsidRDefault="001F1E9B" w:rsidP="0513D106">
      <w:pPr>
        <w:snapToGrid w:val="0"/>
        <w:spacing w:before="0" w:after="0"/>
        <w:rPr>
          <w:rFonts w:asciiTheme="minorHAnsi" w:hAnsiTheme="minorHAnsi"/>
          <w:color w:val="000000" w:themeColor="text1"/>
          <w:sz w:val="21"/>
          <w:szCs w:val="21"/>
          <w:lang w:val="es-PE"/>
        </w:rPr>
      </w:pPr>
      <w:r w:rsidRPr="00582B29">
        <w:rPr>
          <w:rFonts w:asciiTheme="minorHAnsi" w:hAnsiTheme="minorHAnsi"/>
          <w:b/>
          <w:bCs/>
          <w:color w:val="000000" w:themeColor="text1"/>
          <w:sz w:val="21"/>
          <w:szCs w:val="21"/>
          <w:lang w:val="es-PE"/>
        </w:rPr>
        <w:t>PV</w:t>
      </w:r>
      <w:r w:rsidRPr="00582B29">
        <w:rPr>
          <w:rFonts w:asciiTheme="minorHAnsi" w:hAnsiTheme="minorHAnsi"/>
          <w:color w:val="000000" w:themeColor="text1"/>
          <w:sz w:val="21"/>
          <w:szCs w:val="21"/>
          <w:lang w:val="es-PE"/>
        </w:rPr>
        <w:t xml:space="preserve">               </w:t>
      </w:r>
      <w:r w:rsidRPr="00582B29">
        <w:rPr>
          <w:rFonts w:asciiTheme="minorHAnsi" w:hAnsiTheme="minorHAnsi"/>
          <w:color w:val="000000" w:themeColor="text1"/>
          <w:sz w:val="21"/>
          <w:szCs w:val="21"/>
          <w:lang w:val="es-PE"/>
        </w:rPr>
        <w:tab/>
      </w:r>
      <w:r w:rsidRPr="00582B29">
        <w:rPr>
          <w:rFonts w:asciiTheme="minorHAnsi" w:hAnsiTheme="minorHAnsi"/>
          <w:color w:val="000000" w:themeColor="text1"/>
          <w:sz w:val="21"/>
          <w:szCs w:val="21"/>
          <w:lang w:val="es-PE"/>
        </w:rPr>
        <w:tab/>
        <w:t>Pharmacovigilance</w:t>
      </w:r>
    </w:p>
    <w:p w14:paraId="2773A465" w14:textId="703FB3D5"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QTcF</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QT interval Fridericia’s correction</w:t>
      </w:r>
    </w:p>
    <w:p w14:paraId="56E2D50F" w14:textId="57661A80" w:rsidR="00F17BE6" w:rsidRPr="00582B29" w:rsidRDefault="00F17BE6" w:rsidP="00F72348">
      <w:pPr>
        <w:snapToGrid w:val="0"/>
        <w:spacing w:before="0" w:after="0"/>
        <w:rPr>
          <w:rFonts w:asciiTheme="minorHAnsi" w:hAnsiTheme="minorHAnsi"/>
          <w:color w:val="000000" w:themeColor="text1"/>
          <w:sz w:val="21"/>
          <w:szCs w:val="21"/>
        </w:rPr>
      </w:pPr>
      <w:r w:rsidRPr="00582B29">
        <w:rPr>
          <w:rFonts w:asciiTheme="minorHAnsi" w:hAnsiTheme="minorHAnsi"/>
          <w:b/>
          <w:color w:val="000000" w:themeColor="text1"/>
          <w:sz w:val="21"/>
          <w:szCs w:val="21"/>
        </w:rPr>
        <w:t>RR-TB</w:t>
      </w:r>
      <w:r w:rsidRPr="00582B29">
        <w:rPr>
          <w:rFonts w:asciiTheme="minorHAnsi" w:hAnsiTheme="minorHAnsi"/>
          <w:b/>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Rifampicin-resistant TB</w:t>
      </w:r>
    </w:p>
    <w:p w14:paraId="1A768106"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S</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Streptomycin</w:t>
      </w:r>
    </w:p>
    <w:p w14:paraId="7828D049" w14:textId="156E07DB"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SAE</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Serious Adverse Event</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p>
    <w:p w14:paraId="09F46121" w14:textId="786E3840" w:rsidR="0513D106" w:rsidRPr="00582B29" w:rsidRDefault="001F1E9B" w:rsidP="00966EB6">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SLD</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Second Line Drug</w:t>
      </w:r>
    </w:p>
    <w:p w14:paraId="2838E06C" w14:textId="10496741"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SSRI</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Selective Serotonin Re-uptake Inhibitor</w:t>
      </w:r>
    </w:p>
    <w:p w14:paraId="6B0AD365" w14:textId="2C93BD20" w:rsidR="000A384C" w:rsidRDefault="000A384C"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STR</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Shorter treatment regimen</w:t>
      </w:r>
    </w:p>
    <w:p w14:paraId="3F3FFA32" w14:textId="6567F23C" w:rsidR="00B376AF" w:rsidRPr="00B376AF" w:rsidRDefault="00B376AF" w:rsidP="00F72348">
      <w:pPr>
        <w:snapToGrid w:val="0"/>
        <w:spacing w:before="0" w:after="0"/>
        <w:rPr>
          <w:rFonts w:asciiTheme="minorHAnsi" w:hAnsiTheme="minorHAnsi"/>
          <w:color w:val="000000" w:themeColor="text1"/>
          <w:sz w:val="21"/>
          <w:szCs w:val="21"/>
        </w:rPr>
      </w:pPr>
      <w:r w:rsidRPr="00B376AF">
        <w:rPr>
          <w:rFonts w:asciiTheme="minorHAnsi" w:hAnsiTheme="minorHAnsi"/>
          <w:b/>
          <w:bCs/>
          <w:color w:val="000000" w:themeColor="text1"/>
          <w:sz w:val="21"/>
          <w:szCs w:val="21"/>
        </w:rPr>
        <w:t>SUSAR</w:t>
      </w:r>
      <w:r>
        <w:rPr>
          <w:rFonts w:asciiTheme="minorHAnsi" w:hAnsiTheme="minorHAnsi"/>
          <w:b/>
          <w:bCs/>
          <w:color w:val="000000" w:themeColor="text1"/>
          <w:sz w:val="21"/>
          <w:szCs w:val="21"/>
        </w:rPr>
        <w:tab/>
      </w:r>
      <w:r>
        <w:rPr>
          <w:rFonts w:asciiTheme="minorHAnsi" w:hAnsiTheme="minorHAnsi"/>
          <w:b/>
          <w:bCs/>
          <w:color w:val="000000" w:themeColor="text1"/>
          <w:sz w:val="21"/>
          <w:szCs w:val="21"/>
        </w:rPr>
        <w:tab/>
      </w:r>
      <w:r>
        <w:rPr>
          <w:rFonts w:asciiTheme="minorHAnsi" w:hAnsiTheme="minorHAnsi"/>
          <w:b/>
          <w:bCs/>
          <w:color w:val="000000" w:themeColor="text1"/>
          <w:sz w:val="21"/>
          <w:szCs w:val="21"/>
        </w:rPr>
        <w:tab/>
      </w:r>
      <w:r>
        <w:rPr>
          <w:rFonts w:asciiTheme="minorHAnsi" w:hAnsiTheme="minorHAnsi"/>
          <w:color w:val="000000" w:themeColor="text1"/>
          <w:sz w:val="21"/>
          <w:szCs w:val="21"/>
        </w:rPr>
        <w:t xml:space="preserve">Suspected-Unexpected </w:t>
      </w:r>
      <w:r w:rsidR="00D814E1">
        <w:rPr>
          <w:rFonts w:asciiTheme="minorHAnsi" w:hAnsiTheme="minorHAnsi"/>
          <w:color w:val="000000" w:themeColor="text1"/>
          <w:sz w:val="21"/>
          <w:szCs w:val="21"/>
        </w:rPr>
        <w:t>SAEE</w:t>
      </w:r>
    </w:p>
    <w:p w14:paraId="29066926"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TB</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Tuberculosis</w:t>
      </w:r>
    </w:p>
    <w:p w14:paraId="458ABE98" w14:textId="15A83716" w:rsidR="00205D49" w:rsidRPr="00582B29" w:rsidRDefault="00205D49"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Trd</w:t>
      </w:r>
      <w:r w:rsidRPr="00582B29">
        <w:rPr>
          <w:rFonts w:asciiTheme="minorHAnsi" w:hAnsiTheme="minorHAnsi"/>
          <w:bCs/>
          <w:color w:val="000000" w:themeColor="text1"/>
          <w:sz w:val="21"/>
          <w:szCs w:val="21"/>
        </w:rPr>
        <w:tab/>
      </w:r>
      <w:r w:rsidRPr="00582B29">
        <w:rPr>
          <w:rFonts w:asciiTheme="minorHAnsi" w:hAnsiTheme="minorHAnsi"/>
          <w:bCs/>
          <w:color w:val="000000" w:themeColor="text1"/>
          <w:sz w:val="21"/>
          <w:szCs w:val="21"/>
        </w:rPr>
        <w:tab/>
      </w:r>
      <w:r w:rsidRPr="00582B29">
        <w:rPr>
          <w:rFonts w:asciiTheme="minorHAnsi" w:hAnsiTheme="minorHAnsi"/>
          <w:bCs/>
          <w:color w:val="000000" w:themeColor="text1"/>
          <w:sz w:val="21"/>
          <w:szCs w:val="21"/>
        </w:rPr>
        <w:tab/>
      </w:r>
      <w:r w:rsidRPr="00582B29">
        <w:rPr>
          <w:rFonts w:asciiTheme="minorHAnsi" w:hAnsiTheme="minorHAnsi"/>
          <w:color w:val="000000" w:themeColor="text1"/>
          <w:sz w:val="21"/>
          <w:szCs w:val="21"/>
        </w:rPr>
        <w:t>Terizidone</w:t>
      </w:r>
    </w:p>
    <w:p w14:paraId="75FCAF71"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TDF</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Tenofovir</w:t>
      </w:r>
    </w:p>
    <w:p w14:paraId="79E37DAE"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TSH</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Thyroid Stimulating Hormone</w:t>
      </w:r>
    </w:p>
    <w:p w14:paraId="27597153"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ULN</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Upper Limit of Normal</w:t>
      </w:r>
    </w:p>
    <w:p w14:paraId="2D5D5365"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WHO</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World Health Organization</w:t>
      </w:r>
    </w:p>
    <w:p w14:paraId="70552626"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XDR</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Extensive Drug Resistance</w:t>
      </w:r>
    </w:p>
    <w:p w14:paraId="0DA5858E"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XDR-TB</w:t>
      </w:r>
      <w:r w:rsidRPr="00582B29">
        <w:rPr>
          <w:rFonts w:asciiTheme="minorHAnsi" w:hAnsiTheme="minorHAnsi"/>
          <w:color w:val="000000" w:themeColor="text1"/>
          <w:sz w:val="21"/>
          <w:szCs w:val="21"/>
        </w:rPr>
        <w:t xml:space="preserve">      </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Extensively Drug-resistant Tuberculosis</w:t>
      </w:r>
    </w:p>
    <w:p w14:paraId="220154E8" w14:textId="77777777" w:rsidR="001F1E9B" w:rsidRPr="00582B29" w:rsidRDefault="001F1E9B" w:rsidP="00F72348">
      <w:pPr>
        <w:snapToGrid w:val="0"/>
        <w:spacing w:before="0" w:after="0"/>
        <w:rPr>
          <w:rFonts w:asciiTheme="minorHAnsi" w:hAnsiTheme="minorHAnsi"/>
          <w:color w:val="000000" w:themeColor="text1"/>
          <w:sz w:val="21"/>
          <w:szCs w:val="21"/>
        </w:rPr>
      </w:pPr>
      <w:r w:rsidRPr="00582B29">
        <w:rPr>
          <w:rFonts w:asciiTheme="minorHAnsi" w:hAnsiTheme="minorHAnsi"/>
          <w:b/>
          <w:bCs/>
          <w:color w:val="000000" w:themeColor="text1"/>
          <w:sz w:val="21"/>
          <w:szCs w:val="21"/>
        </w:rPr>
        <w:t>Z</w:t>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r>
      <w:r w:rsidRPr="00582B29">
        <w:rPr>
          <w:rFonts w:asciiTheme="minorHAnsi" w:hAnsiTheme="minorHAnsi"/>
          <w:color w:val="000000" w:themeColor="text1"/>
          <w:sz w:val="21"/>
          <w:szCs w:val="21"/>
        </w:rPr>
        <w:tab/>
        <w:t>Pyrazinamide</w:t>
      </w:r>
    </w:p>
    <w:p w14:paraId="62D745B6" w14:textId="6C5D8795" w:rsidR="00EB156F" w:rsidRPr="00B85017" w:rsidRDefault="00F530D3" w:rsidP="00003170">
      <w:pPr>
        <w:pStyle w:val="Heading1"/>
        <w:rPr>
          <w:smallCaps/>
          <w:spacing w:val="5"/>
        </w:rPr>
      </w:pPr>
      <w:r w:rsidRPr="00582B29">
        <w:rPr>
          <w:rFonts w:asciiTheme="minorHAnsi" w:hAnsiTheme="minorHAnsi"/>
          <w:sz w:val="24"/>
          <w:szCs w:val="24"/>
        </w:rPr>
        <w:br w:type="page"/>
      </w:r>
      <w:bookmarkStart w:id="16" w:name="_Toc12792943"/>
      <w:bookmarkStart w:id="17" w:name="_Toc12952354"/>
      <w:bookmarkStart w:id="18" w:name="_Toc13486703"/>
      <w:r w:rsidR="6A814265" w:rsidRPr="00B85017">
        <w:lastRenderedPageBreak/>
        <w:t>Introduction</w:t>
      </w:r>
      <w:bookmarkEnd w:id="16"/>
      <w:bookmarkEnd w:id="17"/>
      <w:bookmarkEnd w:id="18"/>
    </w:p>
    <w:p w14:paraId="243365EA" w14:textId="28BD6CC5" w:rsidR="007F15A7" w:rsidRPr="00DE5FDC" w:rsidRDefault="004A44BE" w:rsidP="00CA6661">
      <w:p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In 2019 the WHO published new consolidated guidelines on treatment of drug-resistant </w:t>
      </w:r>
      <w:r w:rsidR="002741DD" w:rsidRPr="00DE5FDC">
        <w:rPr>
          <w:rFonts w:asciiTheme="minorHAnsi" w:hAnsiTheme="minorHAnsi" w:cstheme="minorHAnsi"/>
          <w:color w:val="000000" w:themeColor="text1"/>
        </w:rPr>
        <w:t xml:space="preserve">tuberculosis </w:t>
      </w:r>
      <w:r w:rsidRPr="00DE5FDC">
        <w:rPr>
          <w:rFonts w:asciiTheme="minorHAnsi" w:hAnsiTheme="minorHAnsi" w:cstheme="minorHAnsi"/>
          <w:color w:val="000000" w:themeColor="text1"/>
        </w:rPr>
        <w:t>(DR-TB).</w:t>
      </w:r>
      <w:bookmarkStart w:id="19" w:name="_Ref12801326"/>
      <w:r w:rsidR="000B201C" w:rsidRPr="00DE5FDC">
        <w:rPr>
          <w:rStyle w:val="FootnoteReference"/>
          <w:rFonts w:asciiTheme="minorHAnsi" w:hAnsiTheme="minorHAnsi" w:cstheme="minorHAnsi"/>
          <w:color w:val="000000" w:themeColor="text1"/>
          <w:sz w:val="22"/>
        </w:rPr>
        <w:footnoteReference w:id="3"/>
      </w:r>
      <w:bookmarkEnd w:id="19"/>
      <w:r w:rsidRPr="00DE5FDC">
        <w:rPr>
          <w:rFonts w:asciiTheme="minorHAnsi" w:hAnsiTheme="minorHAnsi" w:cstheme="minorHAnsi"/>
          <w:color w:val="000000" w:themeColor="text1"/>
        </w:rPr>
        <w:t xml:space="preserve"> </w:t>
      </w:r>
      <w:r w:rsidR="0022770E" w:rsidRPr="00DE5FDC">
        <w:rPr>
          <w:rFonts w:asciiTheme="minorHAnsi" w:hAnsiTheme="minorHAnsi" w:cstheme="minorHAnsi"/>
          <w:color w:val="000000" w:themeColor="text1"/>
        </w:rPr>
        <w:t xml:space="preserve">The new recommendations </w:t>
      </w:r>
      <w:r w:rsidR="00831782" w:rsidRPr="00DE5FDC">
        <w:rPr>
          <w:rFonts w:asciiTheme="minorHAnsi" w:hAnsiTheme="minorHAnsi" w:cstheme="minorHAnsi"/>
          <w:color w:val="000000" w:themeColor="text1"/>
        </w:rPr>
        <w:t xml:space="preserve">provide an option for the </w:t>
      </w:r>
      <w:r w:rsidR="00FF1F77" w:rsidRPr="00DE5FDC">
        <w:rPr>
          <w:rFonts w:asciiTheme="minorHAnsi" w:hAnsiTheme="minorHAnsi" w:cstheme="minorHAnsi"/>
          <w:color w:val="000000" w:themeColor="text1"/>
        </w:rPr>
        <w:t>treat</w:t>
      </w:r>
      <w:r w:rsidR="007E11D3" w:rsidRPr="00DE5FDC">
        <w:rPr>
          <w:rFonts w:asciiTheme="minorHAnsi" w:hAnsiTheme="minorHAnsi" w:cstheme="minorHAnsi"/>
          <w:color w:val="000000" w:themeColor="text1"/>
        </w:rPr>
        <w:t>ment of</w:t>
      </w:r>
      <w:r w:rsidR="00FF1F77" w:rsidRPr="00DE5FDC">
        <w:rPr>
          <w:rFonts w:asciiTheme="minorHAnsi" w:hAnsiTheme="minorHAnsi" w:cstheme="minorHAnsi"/>
          <w:color w:val="000000" w:themeColor="text1"/>
        </w:rPr>
        <w:t xml:space="preserve"> </w:t>
      </w:r>
      <w:r w:rsidR="006B6872" w:rsidRPr="00DE5FDC">
        <w:rPr>
          <w:rFonts w:asciiTheme="minorHAnsi" w:hAnsiTheme="minorHAnsi" w:cstheme="minorHAnsi"/>
          <w:color w:val="000000" w:themeColor="text1"/>
        </w:rPr>
        <w:t>rifampicin-resistant</w:t>
      </w:r>
      <w:r w:rsidR="003544BA" w:rsidRPr="00DE5FDC">
        <w:rPr>
          <w:rFonts w:asciiTheme="minorHAnsi" w:hAnsiTheme="minorHAnsi" w:cstheme="minorHAnsi"/>
          <w:color w:val="000000" w:themeColor="text1"/>
        </w:rPr>
        <w:t xml:space="preserve"> tuberculosis </w:t>
      </w:r>
      <w:r w:rsidR="006B6872" w:rsidRPr="00DE5FDC">
        <w:rPr>
          <w:rFonts w:asciiTheme="minorHAnsi" w:hAnsiTheme="minorHAnsi" w:cstheme="minorHAnsi"/>
          <w:color w:val="000000" w:themeColor="text1"/>
        </w:rPr>
        <w:t xml:space="preserve">(RR-TB) and </w:t>
      </w:r>
      <w:r w:rsidR="002741DD" w:rsidRPr="00DE5FDC">
        <w:rPr>
          <w:rFonts w:asciiTheme="minorHAnsi" w:hAnsiTheme="minorHAnsi" w:cstheme="minorHAnsi"/>
          <w:color w:val="000000" w:themeColor="text1"/>
        </w:rPr>
        <w:t>m</w:t>
      </w:r>
      <w:r w:rsidR="00F17BE6" w:rsidRPr="00DE5FDC">
        <w:rPr>
          <w:rFonts w:asciiTheme="minorHAnsi" w:hAnsiTheme="minorHAnsi" w:cstheme="minorHAnsi"/>
          <w:color w:val="000000" w:themeColor="text1"/>
        </w:rPr>
        <w:t>ultidrug-resistant tuberculosis (</w:t>
      </w:r>
      <w:r w:rsidR="006B6872" w:rsidRPr="00DE5FDC">
        <w:rPr>
          <w:rFonts w:asciiTheme="minorHAnsi" w:hAnsiTheme="minorHAnsi" w:cstheme="minorHAnsi"/>
          <w:color w:val="000000" w:themeColor="text1"/>
        </w:rPr>
        <w:t>MDR-TB</w:t>
      </w:r>
      <w:r w:rsidR="00F17BE6" w:rsidRPr="00DE5FDC">
        <w:rPr>
          <w:rFonts w:asciiTheme="minorHAnsi" w:hAnsiTheme="minorHAnsi" w:cstheme="minorHAnsi"/>
          <w:color w:val="000000" w:themeColor="text1"/>
        </w:rPr>
        <w:t>)</w:t>
      </w:r>
      <w:r w:rsidR="002741DD" w:rsidRPr="00DE5FDC">
        <w:rPr>
          <w:rFonts w:asciiTheme="minorHAnsi" w:hAnsiTheme="minorHAnsi" w:cstheme="minorHAnsi"/>
          <w:color w:val="000000" w:themeColor="text1"/>
        </w:rPr>
        <w:t xml:space="preserve"> with all-oral shorter </w:t>
      </w:r>
      <w:r w:rsidR="00634641" w:rsidRPr="00DE5FDC">
        <w:rPr>
          <w:rFonts w:asciiTheme="minorHAnsi" w:hAnsiTheme="minorHAnsi" w:cstheme="minorHAnsi"/>
          <w:color w:val="000000" w:themeColor="text1"/>
        </w:rPr>
        <w:t xml:space="preserve">treatment </w:t>
      </w:r>
      <w:r w:rsidR="002741DD" w:rsidRPr="00DE5FDC">
        <w:rPr>
          <w:rFonts w:asciiTheme="minorHAnsi" w:hAnsiTheme="minorHAnsi" w:cstheme="minorHAnsi"/>
          <w:color w:val="000000" w:themeColor="text1"/>
        </w:rPr>
        <w:t xml:space="preserve">regimens </w:t>
      </w:r>
      <w:r w:rsidR="00634641" w:rsidRPr="00DE5FDC">
        <w:rPr>
          <w:rFonts w:asciiTheme="minorHAnsi" w:hAnsiTheme="minorHAnsi" w:cstheme="minorHAnsi"/>
          <w:color w:val="000000" w:themeColor="text1"/>
        </w:rPr>
        <w:t xml:space="preserve">(STRs) </w:t>
      </w:r>
      <w:r w:rsidR="002741DD" w:rsidRPr="00DE5FDC">
        <w:rPr>
          <w:rFonts w:asciiTheme="minorHAnsi" w:hAnsiTheme="minorHAnsi" w:cstheme="minorHAnsi"/>
          <w:color w:val="000000" w:themeColor="text1"/>
        </w:rPr>
        <w:t xml:space="preserve">under </w:t>
      </w:r>
      <w:r w:rsidR="00CA6661" w:rsidRPr="00DE5FDC">
        <w:rPr>
          <w:rFonts w:asciiTheme="minorHAnsi" w:hAnsiTheme="minorHAnsi" w:cstheme="minorHAnsi"/>
          <w:color w:val="000000" w:themeColor="text1"/>
        </w:rPr>
        <w:t>“</w:t>
      </w:r>
      <w:r w:rsidR="002741DD" w:rsidRPr="00DE5FDC">
        <w:rPr>
          <w:rFonts w:asciiTheme="minorHAnsi" w:hAnsiTheme="minorHAnsi" w:cstheme="minorHAnsi"/>
          <w:color w:val="000000" w:themeColor="text1"/>
        </w:rPr>
        <w:t xml:space="preserve">operational research </w:t>
      </w:r>
      <w:r w:rsidR="003544BA" w:rsidRPr="00DE5FDC">
        <w:rPr>
          <w:rFonts w:asciiTheme="minorHAnsi" w:hAnsiTheme="minorHAnsi" w:cstheme="minorHAnsi"/>
          <w:color w:val="000000" w:themeColor="text1"/>
        </w:rPr>
        <w:t>conditions</w:t>
      </w:r>
      <w:r w:rsidR="00CA6661" w:rsidRPr="00DE5FDC">
        <w:rPr>
          <w:rFonts w:asciiTheme="minorHAnsi" w:hAnsiTheme="minorHAnsi" w:cstheme="minorHAnsi"/>
          <w:color w:val="000000" w:themeColor="text1"/>
        </w:rPr>
        <w:t>”</w:t>
      </w:r>
      <w:r w:rsidR="002741DD" w:rsidRPr="00DE5FDC">
        <w:rPr>
          <w:rFonts w:asciiTheme="minorHAnsi" w:hAnsiTheme="minorHAnsi" w:cstheme="minorHAnsi"/>
          <w:color w:val="000000" w:themeColor="text1"/>
        </w:rPr>
        <w:t xml:space="preserve">. </w:t>
      </w:r>
      <w:r w:rsidR="00B7502C" w:rsidRPr="00DE5FDC">
        <w:rPr>
          <w:rFonts w:asciiTheme="minorHAnsi" w:hAnsiTheme="minorHAnsi" w:cstheme="minorHAnsi"/>
          <w:color w:val="000000" w:themeColor="text1"/>
        </w:rPr>
        <w:t>This</w:t>
      </w:r>
      <w:r w:rsidR="0513D106" w:rsidRPr="00DE5FDC">
        <w:rPr>
          <w:rFonts w:asciiTheme="minorHAnsi" w:hAnsiTheme="minorHAnsi" w:cstheme="minorHAnsi"/>
          <w:color w:val="000000" w:themeColor="text1"/>
        </w:rPr>
        <w:t xml:space="preserve"> </w:t>
      </w:r>
      <w:r w:rsidR="00137CE5" w:rsidRPr="00DE5FDC">
        <w:rPr>
          <w:rFonts w:asciiTheme="minorHAnsi" w:hAnsiTheme="minorHAnsi" w:cstheme="minorHAnsi"/>
          <w:color w:val="000000" w:themeColor="text1"/>
        </w:rPr>
        <w:t xml:space="preserve">clinical </w:t>
      </w:r>
      <w:r w:rsidR="0513D106" w:rsidRPr="00DE5FDC">
        <w:rPr>
          <w:rFonts w:asciiTheme="minorHAnsi" w:hAnsiTheme="minorHAnsi" w:cstheme="minorHAnsi"/>
          <w:color w:val="000000" w:themeColor="text1"/>
        </w:rPr>
        <w:t xml:space="preserve">guide </w:t>
      </w:r>
      <w:r w:rsidR="00B7502C" w:rsidRPr="00DE5FDC">
        <w:rPr>
          <w:rFonts w:asciiTheme="minorHAnsi" w:hAnsiTheme="minorHAnsi" w:cstheme="minorHAnsi"/>
          <w:color w:val="000000" w:themeColor="text1"/>
        </w:rPr>
        <w:t xml:space="preserve">is aimed at </w:t>
      </w:r>
      <w:r w:rsidR="0513D106" w:rsidRPr="00DE5FDC">
        <w:rPr>
          <w:rFonts w:asciiTheme="minorHAnsi" w:hAnsiTheme="minorHAnsi" w:cstheme="minorHAnsi"/>
          <w:color w:val="000000" w:themeColor="text1"/>
        </w:rPr>
        <w:t xml:space="preserve">physicians </w:t>
      </w:r>
      <w:r w:rsidR="00D768A7" w:rsidRPr="00DE5FDC">
        <w:rPr>
          <w:rFonts w:asciiTheme="minorHAnsi" w:hAnsiTheme="minorHAnsi" w:cstheme="minorHAnsi"/>
          <w:color w:val="000000" w:themeColor="text1"/>
        </w:rPr>
        <w:t xml:space="preserve">and other health care professionals </w:t>
      </w:r>
      <w:r w:rsidR="00137CE5" w:rsidRPr="00DE5FDC">
        <w:rPr>
          <w:rFonts w:asciiTheme="minorHAnsi" w:hAnsiTheme="minorHAnsi" w:cstheme="minorHAnsi"/>
          <w:color w:val="000000" w:themeColor="text1"/>
        </w:rPr>
        <w:t>that are using</w:t>
      </w:r>
      <w:r w:rsidR="0513D106" w:rsidRPr="00DE5FDC">
        <w:rPr>
          <w:rFonts w:asciiTheme="minorHAnsi" w:hAnsiTheme="minorHAnsi" w:cstheme="minorHAnsi"/>
          <w:color w:val="000000" w:themeColor="text1"/>
        </w:rPr>
        <w:t xml:space="preserve"> </w:t>
      </w:r>
      <w:r w:rsidR="00280FAF" w:rsidRPr="00DE5FDC">
        <w:rPr>
          <w:rFonts w:asciiTheme="minorHAnsi" w:hAnsiTheme="minorHAnsi" w:cstheme="minorHAnsi"/>
          <w:color w:val="000000" w:themeColor="text1"/>
        </w:rPr>
        <w:t xml:space="preserve">all-oral </w:t>
      </w:r>
      <w:r w:rsidR="00634641" w:rsidRPr="00DE5FDC">
        <w:rPr>
          <w:rFonts w:asciiTheme="minorHAnsi" w:hAnsiTheme="minorHAnsi" w:cstheme="minorHAnsi"/>
          <w:color w:val="000000" w:themeColor="text1"/>
        </w:rPr>
        <w:t>STRs</w:t>
      </w:r>
      <w:r w:rsidR="00FA4922" w:rsidRPr="00DE5FDC">
        <w:rPr>
          <w:rFonts w:asciiTheme="minorHAnsi" w:hAnsiTheme="minorHAnsi" w:cstheme="minorHAnsi"/>
          <w:color w:val="000000" w:themeColor="text1"/>
        </w:rPr>
        <w:t xml:space="preserve"> </w:t>
      </w:r>
      <w:r w:rsidR="00280FAF" w:rsidRPr="00DE5FDC">
        <w:rPr>
          <w:rFonts w:asciiTheme="minorHAnsi" w:hAnsiTheme="minorHAnsi" w:cstheme="minorHAnsi"/>
          <w:color w:val="000000" w:themeColor="text1"/>
        </w:rPr>
        <w:t>under operational research conditions</w:t>
      </w:r>
      <w:r w:rsidR="00137CE5" w:rsidRPr="00DE5FDC">
        <w:rPr>
          <w:rFonts w:asciiTheme="minorHAnsi" w:hAnsiTheme="minorHAnsi" w:cstheme="minorHAnsi"/>
          <w:color w:val="000000" w:themeColor="text1"/>
        </w:rPr>
        <w:t xml:space="preserve"> to treat patients with RR-/MDR-TB</w:t>
      </w:r>
      <w:r w:rsidR="0513D106" w:rsidRPr="00DE5FDC">
        <w:rPr>
          <w:rFonts w:asciiTheme="minorHAnsi" w:hAnsiTheme="minorHAnsi" w:cstheme="minorHAnsi"/>
          <w:color w:val="000000" w:themeColor="text1"/>
        </w:rPr>
        <w:t>.</w:t>
      </w:r>
    </w:p>
    <w:p w14:paraId="6E6DF6D9" w14:textId="6A790504" w:rsidR="001F1E9B" w:rsidRPr="00DE5FDC" w:rsidRDefault="0513D106" w:rsidP="00CA6661">
      <w:pPr>
        <w:spacing w:line="269" w:lineRule="auto"/>
        <w:contextualSpacing/>
        <w:rPr>
          <w:rFonts w:asciiTheme="minorHAnsi" w:hAnsiTheme="minorHAnsi" w:cstheme="minorHAnsi"/>
          <w:color w:val="000000" w:themeColor="text1"/>
        </w:rPr>
      </w:pPr>
      <w:r w:rsidRPr="00DE5FDC">
        <w:rPr>
          <w:rFonts w:asciiTheme="minorHAnsi" w:hAnsiTheme="minorHAnsi" w:cstheme="minorHAnsi"/>
          <w:color w:val="000000" w:themeColor="text1"/>
        </w:rPr>
        <w:t>This guide provides the following instructions to aid the clinic</w:t>
      </w:r>
      <w:r w:rsidR="00137CE5" w:rsidRPr="00DE5FDC">
        <w:rPr>
          <w:rFonts w:asciiTheme="minorHAnsi" w:hAnsiTheme="minorHAnsi" w:cstheme="minorHAnsi"/>
          <w:color w:val="000000" w:themeColor="text1"/>
        </w:rPr>
        <w:t>al care provider</w:t>
      </w:r>
      <w:r w:rsidR="00E70F46" w:rsidRPr="00DE5FDC">
        <w:rPr>
          <w:rFonts w:asciiTheme="minorHAnsi" w:hAnsiTheme="minorHAnsi" w:cstheme="minorHAnsi"/>
          <w:color w:val="000000" w:themeColor="text1"/>
        </w:rPr>
        <w:t xml:space="preserve"> </w:t>
      </w:r>
      <w:r w:rsidR="00A17116" w:rsidRPr="00DE5FDC">
        <w:rPr>
          <w:rFonts w:asciiTheme="minorHAnsi" w:hAnsiTheme="minorHAnsi" w:cstheme="minorHAnsi"/>
          <w:color w:val="000000" w:themeColor="text1"/>
        </w:rPr>
        <w:t>in</w:t>
      </w:r>
      <w:r w:rsidRPr="00DE5FDC">
        <w:rPr>
          <w:rFonts w:asciiTheme="minorHAnsi" w:hAnsiTheme="minorHAnsi" w:cstheme="minorHAnsi"/>
          <w:color w:val="000000" w:themeColor="text1"/>
        </w:rPr>
        <w:t>:</w:t>
      </w:r>
    </w:p>
    <w:p w14:paraId="0BA3E7E9" w14:textId="20A7F607" w:rsidR="001F1E9B" w:rsidRPr="00DE5FDC" w:rsidRDefault="0513D106" w:rsidP="00CA6661">
      <w:pPr>
        <w:pStyle w:val="ListBullet"/>
        <w:tabs>
          <w:tab w:val="clear" w:pos="360"/>
          <w:tab w:val="num" w:pos="720"/>
        </w:tabs>
        <w:spacing w:line="269" w:lineRule="auto"/>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Identif</w:t>
      </w:r>
      <w:r w:rsidR="00A17116" w:rsidRPr="00DE5FDC">
        <w:rPr>
          <w:rFonts w:asciiTheme="minorHAnsi" w:hAnsiTheme="minorHAnsi" w:cstheme="minorHAnsi"/>
          <w:color w:val="000000" w:themeColor="text1"/>
        </w:rPr>
        <w:t xml:space="preserve">ying </w:t>
      </w:r>
      <w:r w:rsidR="00A4780C" w:rsidRPr="00DE5FDC">
        <w:rPr>
          <w:rFonts w:asciiTheme="minorHAnsi" w:hAnsiTheme="minorHAnsi" w:cstheme="minorHAnsi"/>
          <w:color w:val="000000" w:themeColor="text1"/>
        </w:rPr>
        <w:t xml:space="preserve">patients that </w:t>
      </w:r>
      <w:r w:rsidR="00137CE5" w:rsidRPr="00DE5FDC">
        <w:rPr>
          <w:rFonts w:asciiTheme="minorHAnsi" w:hAnsiTheme="minorHAnsi" w:cstheme="minorHAnsi"/>
          <w:color w:val="000000" w:themeColor="text1"/>
        </w:rPr>
        <w:t>are candidates for use of an</w:t>
      </w:r>
      <w:r w:rsidR="00A4780C" w:rsidRPr="00DE5FDC">
        <w:rPr>
          <w:rFonts w:asciiTheme="minorHAnsi" w:hAnsiTheme="minorHAnsi" w:cstheme="minorHAnsi"/>
          <w:color w:val="000000" w:themeColor="text1"/>
        </w:rPr>
        <w:t xml:space="preserve"> all-oral </w:t>
      </w:r>
      <w:r w:rsidR="00137CE5" w:rsidRPr="00DE5FDC">
        <w:rPr>
          <w:rFonts w:asciiTheme="minorHAnsi" w:hAnsiTheme="minorHAnsi" w:cstheme="minorHAnsi"/>
          <w:color w:val="000000" w:themeColor="text1"/>
        </w:rPr>
        <w:t>STR.</w:t>
      </w:r>
    </w:p>
    <w:p w14:paraId="2A048513" w14:textId="66962BA7" w:rsidR="001F1E9B" w:rsidRPr="00DE5FDC" w:rsidRDefault="00A4780C" w:rsidP="00CA6661">
      <w:pPr>
        <w:pStyle w:val="ListBullet"/>
        <w:tabs>
          <w:tab w:val="clear" w:pos="360"/>
          <w:tab w:val="num" w:pos="720"/>
        </w:tabs>
        <w:spacing w:line="269" w:lineRule="auto"/>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Design</w:t>
      </w:r>
      <w:r w:rsidR="00452962" w:rsidRPr="00DE5FDC">
        <w:rPr>
          <w:rFonts w:asciiTheme="minorHAnsi" w:hAnsiTheme="minorHAnsi" w:cstheme="minorHAnsi"/>
          <w:color w:val="000000" w:themeColor="text1"/>
        </w:rPr>
        <w:t>ing</w:t>
      </w:r>
      <w:r w:rsidR="00E0026A" w:rsidRPr="00DE5FDC">
        <w:rPr>
          <w:rFonts w:asciiTheme="minorHAnsi" w:hAnsiTheme="minorHAnsi" w:cstheme="minorHAnsi"/>
          <w:color w:val="000000" w:themeColor="text1"/>
        </w:rPr>
        <w:t xml:space="preserve"> </w:t>
      </w:r>
      <w:r w:rsidR="0025169F" w:rsidRPr="00DE5FDC">
        <w:rPr>
          <w:rFonts w:asciiTheme="minorHAnsi" w:hAnsiTheme="minorHAnsi" w:cstheme="minorHAnsi"/>
          <w:color w:val="000000" w:themeColor="text1"/>
        </w:rPr>
        <w:t>all</w:t>
      </w:r>
      <w:r w:rsidR="009401E0" w:rsidRPr="00DE5FDC">
        <w:rPr>
          <w:rFonts w:asciiTheme="minorHAnsi" w:hAnsiTheme="minorHAnsi" w:cstheme="minorHAnsi"/>
          <w:color w:val="000000" w:themeColor="text1"/>
        </w:rPr>
        <w:t>-</w:t>
      </w:r>
      <w:r w:rsidR="0025169F" w:rsidRPr="00DE5FDC">
        <w:rPr>
          <w:rFonts w:asciiTheme="minorHAnsi" w:hAnsiTheme="minorHAnsi" w:cstheme="minorHAnsi"/>
          <w:color w:val="000000" w:themeColor="text1"/>
        </w:rPr>
        <w:t>oral STRs</w:t>
      </w:r>
      <w:r w:rsidR="00E0026A" w:rsidRPr="00DE5FDC">
        <w:rPr>
          <w:rFonts w:asciiTheme="minorHAnsi" w:hAnsiTheme="minorHAnsi" w:cstheme="minorHAnsi"/>
          <w:color w:val="000000" w:themeColor="text1"/>
        </w:rPr>
        <w:t xml:space="preserve"> to be used in </w:t>
      </w:r>
      <w:r w:rsidR="00AD5097" w:rsidRPr="00DE5FDC">
        <w:rPr>
          <w:rFonts w:asciiTheme="minorHAnsi" w:hAnsiTheme="minorHAnsi" w:cstheme="minorHAnsi"/>
          <w:color w:val="000000" w:themeColor="text1"/>
        </w:rPr>
        <w:t xml:space="preserve">a </w:t>
      </w:r>
      <w:r w:rsidR="00E0026A" w:rsidRPr="00DE5FDC">
        <w:rPr>
          <w:rFonts w:asciiTheme="minorHAnsi" w:hAnsiTheme="minorHAnsi" w:cstheme="minorHAnsi"/>
          <w:color w:val="000000" w:themeColor="text1"/>
        </w:rPr>
        <w:t>program</w:t>
      </w:r>
      <w:r w:rsidR="00AD5097" w:rsidRPr="00DE5FDC">
        <w:rPr>
          <w:rFonts w:asciiTheme="minorHAnsi" w:hAnsiTheme="minorHAnsi" w:cstheme="minorHAnsi"/>
          <w:color w:val="000000" w:themeColor="text1"/>
        </w:rPr>
        <w:t>matic setting</w:t>
      </w:r>
      <w:r w:rsidR="0513D106" w:rsidRPr="00DE5FDC">
        <w:rPr>
          <w:rFonts w:asciiTheme="minorHAnsi" w:hAnsiTheme="minorHAnsi" w:cstheme="minorHAnsi"/>
          <w:color w:val="000000" w:themeColor="text1"/>
        </w:rPr>
        <w:t>.</w:t>
      </w:r>
    </w:p>
    <w:p w14:paraId="1A76B24E" w14:textId="046EDAED" w:rsidR="00137CE5" w:rsidRPr="00DE5FDC" w:rsidRDefault="00137CE5" w:rsidP="00CA6661">
      <w:pPr>
        <w:pStyle w:val="ListBullet"/>
        <w:tabs>
          <w:tab w:val="clear" w:pos="360"/>
          <w:tab w:val="num" w:pos="720"/>
        </w:tabs>
        <w:spacing w:line="269" w:lineRule="auto"/>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Adjust</w:t>
      </w:r>
      <w:r w:rsidR="00452962" w:rsidRPr="00DE5FDC">
        <w:rPr>
          <w:rFonts w:asciiTheme="minorHAnsi" w:hAnsiTheme="minorHAnsi" w:cstheme="minorHAnsi"/>
          <w:color w:val="000000" w:themeColor="text1"/>
        </w:rPr>
        <w:t>ing</w:t>
      </w:r>
      <w:r w:rsidRPr="00DE5FDC">
        <w:rPr>
          <w:rFonts w:asciiTheme="minorHAnsi" w:hAnsiTheme="minorHAnsi" w:cstheme="minorHAnsi"/>
          <w:color w:val="000000" w:themeColor="text1"/>
        </w:rPr>
        <w:t xml:space="preserve"> all-oral STRs based on individual patient characteristics</w:t>
      </w:r>
      <w:r w:rsidR="00452962"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 including co-morbidities and tolerance to the medications.</w:t>
      </w:r>
    </w:p>
    <w:p w14:paraId="0A7202EC" w14:textId="69E8D37B" w:rsidR="001F1E9B" w:rsidRPr="00DE5FDC" w:rsidRDefault="0513D106" w:rsidP="00CA6661">
      <w:pPr>
        <w:pStyle w:val="ListBullet"/>
        <w:tabs>
          <w:tab w:val="clear" w:pos="360"/>
          <w:tab w:val="num" w:pos="720"/>
        </w:tabs>
        <w:spacing w:line="269" w:lineRule="auto"/>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Implement</w:t>
      </w:r>
      <w:r w:rsidR="00452962" w:rsidRPr="00DE5FDC">
        <w:rPr>
          <w:rFonts w:asciiTheme="minorHAnsi" w:hAnsiTheme="minorHAnsi" w:cstheme="minorHAnsi"/>
          <w:color w:val="000000" w:themeColor="text1"/>
        </w:rPr>
        <w:t>ing</w:t>
      </w:r>
      <w:r w:rsidRPr="00DE5FDC">
        <w:rPr>
          <w:rFonts w:asciiTheme="minorHAnsi" w:hAnsiTheme="minorHAnsi" w:cstheme="minorHAnsi"/>
          <w:color w:val="000000" w:themeColor="text1"/>
        </w:rPr>
        <w:t xml:space="preserve"> close monitoring of patients for response to treatment and for potential adverse events</w:t>
      </w:r>
      <w:r w:rsidR="0063198B" w:rsidRPr="00DE5FDC">
        <w:rPr>
          <w:rFonts w:asciiTheme="minorHAnsi" w:hAnsiTheme="minorHAnsi" w:cstheme="minorHAnsi"/>
          <w:color w:val="000000" w:themeColor="text1"/>
        </w:rPr>
        <w:t xml:space="preserve"> (AEs)</w:t>
      </w:r>
      <w:r w:rsidRPr="00DE5FDC">
        <w:rPr>
          <w:rFonts w:asciiTheme="minorHAnsi" w:hAnsiTheme="minorHAnsi" w:cstheme="minorHAnsi"/>
          <w:color w:val="000000" w:themeColor="text1"/>
        </w:rPr>
        <w:t>.</w:t>
      </w:r>
    </w:p>
    <w:p w14:paraId="00D6B717" w14:textId="1AA617E7" w:rsidR="0045155F" w:rsidRPr="00DE5FDC" w:rsidRDefault="009401E0" w:rsidP="00F4325F">
      <w:pPr>
        <w:pStyle w:val="ListBullet"/>
        <w:tabs>
          <w:tab w:val="clear" w:pos="360"/>
          <w:tab w:val="num" w:pos="720"/>
        </w:tabs>
        <w:spacing w:line="269" w:lineRule="auto"/>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Assur</w:t>
      </w:r>
      <w:r w:rsidR="00AD5097" w:rsidRPr="00DE5FDC">
        <w:rPr>
          <w:rFonts w:asciiTheme="minorHAnsi" w:hAnsiTheme="minorHAnsi" w:cstheme="minorHAnsi"/>
          <w:color w:val="000000" w:themeColor="text1"/>
        </w:rPr>
        <w:t>ing</w:t>
      </w:r>
      <w:r w:rsidR="00E0026A" w:rsidRPr="00DE5FDC">
        <w:rPr>
          <w:rFonts w:asciiTheme="minorHAnsi" w:hAnsiTheme="minorHAnsi" w:cstheme="minorHAnsi"/>
          <w:color w:val="000000" w:themeColor="text1"/>
        </w:rPr>
        <w:t xml:space="preserve"> </w:t>
      </w:r>
      <w:r w:rsidR="00137CE5" w:rsidRPr="00DE5FDC">
        <w:rPr>
          <w:rFonts w:asciiTheme="minorHAnsi" w:hAnsiTheme="minorHAnsi" w:cstheme="minorHAnsi"/>
          <w:color w:val="000000" w:themeColor="text1"/>
        </w:rPr>
        <w:t xml:space="preserve">treatment is implemented under </w:t>
      </w:r>
      <w:r w:rsidR="00E0026A" w:rsidRPr="00DE5FDC">
        <w:rPr>
          <w:rFonts w:asciiTheme="minorHAnsi" w:hAnsiTheme="minorHAnsi" w:cstheme="minorHAnsi"/>
          <w:color w:val="000000" w:themeColor="text1"/>
        </w:rPr>
        <w:t>operational research conditions</w:t>
      </w:r>
      <w:r w:rsidRPr="00DE5FDC">
        <w:rPr>
          <w:rFonts w:asciiTheme="minorHAnsi" w:hAnsiTheme="minorHAnsi" w:cstheme="minorHAnsi"/>
          <w:color w:val="000000" w:themeColor="text1"/>
        </w:rPr>
        <w:t>.</w:t>
      </w:r>
      <w:bookmarkStart w:id="20" w:name="h.tyjcwt" w:colFirst="0" w:colLast="0"/>
      <w:bookmarkEnd w:id="20"/>
    </w:p>
    <w:p w14:paraId="46DB8A35" w14:textId="568D6569" w:rsidR="00416558" w:rsidRPr="00DE5FDC" w:rsidRDefault="00BD27FA" w:rsidP="00CA6661">
      <w:pPr>
        <w:adjustRightInd w:val="0"/>
        <w:spacing w:before="0" w:after="200" w:line="269" w:lineRule="auto"/>
        <w:contextualSpacing/>
        <w:jc w:val="left"/>
        <w:rPr>
          <w:rFonts w:asciiTheme="minorHAnsi" w:hAnsiTheme="minorHAnsi" w:cstheme="minorHAnsi"/>
          <w:color w:val="000000" w:themeColor="text1"/>
        </w:rPr>
      </w:pPr>
      <w:r w:rsidRPr="00DE5FDC">
        <w:rPr>
          <w:rFonts w:asciiTheme="minorHAnsi" w:hAnsiTheme="minorHAnsi" w:cstheme="minorHAnsi"/>
          <w:color w:val="000000" w:themeColor="text1"/>
        </w:rPr>
        <w:t xml:space="preserve">The implementation of all-oral STRs under operational research conditions is not complicated and </w:t>
      </w:r>
      <w:r w:rsidR="00AA5719" w:rsidRPr="00DE5FDC">
        <w:rPr>
          <w:rFonts w:asciiTheme="minorHAnsi" w:hAnsiTheme="minorHAnsi" w:cstheme="minorHAnsi"/>
          <w:color w:val="000000" w:themeColor="text1"/>
        </w:rPr>
        <w:t xml:space="preserve">is </w:t>
      </w:r>
      <w:r w:rsidRPr="00DE5FDC">
        <w:rPr>
          <w:rFonts w:asciiTheme="minorHAnsi" w:hAnsiTheme="minorHAnsi" w:cstheme="minorHAnsi"/>
          <w:color w:val="000000" w:themeColor="text1"/>
        </w:rPr>
        <w:t xml:space="preserve">very similar to </w:t>
      </w:r>
      <w:r w:rsidR="00AA5719" w:rsidRPr="00DE5FDC">
        <w:rPr>
          <w:rFonts w:asciiTheme="minorHAnsi" w:hAnsiTheme="minorHAnsi" w:cstheme="minorHAnsi"/>
          <w:color w:val="000000" w:themeColor="text1"/>
        </w:rPr>
        <w:t xml:space="preserve">implementing </w:t>
      </w:r>
      <w:r w:rsidRPr="00DE5FDC">
        <w:rPr>
          <w:rFonts w:asciiTheme="minorHAnsi" w:hAnsiTheme="minorHAnsi" w:cstheme="minorHAnsi"/>
          <w:color w:val="000000" w:themeColor="text1"/>
        </w:rPr>
        <w:t xml:space="preserve">the standard </w:t>
      </w:r>
      <w:r w:rsidR="00AA5719" w:rsidRPr="00DE5FDC">
        <w:rPr>
          <w:rFonts w:asciiTheme="minorHAnsi" w:hAnsiTheme="minorHAnsi" w:cstheme="minorHAnsi"/>
          <w:color w:val="000000" w:themeColor="text1"/>
        </w:rPr>
        <w:t>conditions</w:t>
      </w:r>
      <w:r w:rsidRPr="00DE5FDC">
        <w:rPr>
          <w:rFonts w:asciiTheme="minorHAnsi" w:hAnsiTheme="minorHAnsi" w:cstheme="minorHAnsi"/>
          <w:color w:val="000000" w:themeColor="text1"/>
        </w:rPr>
        <w:t xml:space="preserve"> </w:t>
      </w:r>
      <w:r w:rsidR="003C3F9F" w:rsidRPr="00DE5FDC">
        <w:rPr>
          <w:rFonts w:asciiTheme="minorHAnsi" w:hAnsiTheme="minorHAnsi" w:cstheme="minorHAnsi"/>
          <w:color w:val="000000" w:themeColor="text1"/>
        </w:rPr>
        <w:t xml:space="preserve">of </w:t>
      </w:r>
      <w:r w:rsidRPr="00DE5FDC">
        <w:rPr>
          <w:rFonts w:asciiTheme="minorHAnsi" w:hAnsiTheme="minorHAnsi" w:cstheme="minorHAnsi"/>
          <w:color w:val="000000" w:themeColor="text1"/>
        </w:rPr>
        <w:t xml:space="preserve">good programmatic management of drug-resistant TB (PMDT). </w:t>
      </w:r>
      <w:bookmarkStart w:id="21" w:name="_Ref11078434"/>
      <w:r w:rsidR="00C10564" w:rsidRPr="00DE5FDC">
        <w:rPr>
          <w:rFonts w:asciiTheme="minorHAnsi" w:hAnsiTheme="minorHAnsi" w:cstheme="minorHAnsi"/>
          <w:color w:val="000000" w:themeColor="text1"/>
        </w:rPr>
        <w:t>A</w:t>
      </w:r>
      <w:r w:rsidRPr="00DE5FDC">
        <w:rPr>
          <w:rFonts w:asciiTheme="minorHAnsi" w:hAnsiTheme="minorHAnsi" w:cstheme="minorHAnsi"/>
          <w:color w:val="000000" w:themeColor="text1"/>
        </w:rPr>
        <w:t xml:space="preserve"> toolkit</w:t>
      </w:r>
      <w:r w:rsidR="00416558" w:rsidRPr="00DE5FDC">
        <w:rPr>
          <w:rFonts w:asciiTheme="minorHAnsi" w:hAnsiTheme="minorHAnsi" w:cstheme="minorHAnsi"/>
          <w:color w:val="000000" w:themeColor="text1"/>
        </w:rPr>
        <w:t xml:space="preserve"> for operational research of all-oral STRs</w:t>
      </w:r>
      <w:bookmarkStart w:id="22" w:name="_Ref11306298"/>
      <w:r w:rsidR="00C10564" w:rsidRPr="00DE5FDC">
        <w:rPr>
          <w:rFonts w:asciiTheme="minorHAnsi" w:hAnsiTheme="minorHAnsi" w:cstheme="minorHAnsi"/>
          <w:color w:val="000000" w:themeColor="text1"/>
        </w:rPr>
        <w:t xml:space="preserve"> will be published on the endTB website</w:t>
      </w:r>
      <w:r w:rsidR="00810A3C" w:rsidRPr="00DE5FDC">
        <w:rPr>
          <w:rStyle w:val="FootnoteReference"/>
          <w:rFonts w:asciiTheme="minorHAnsi" w:hAnsiTheme="minorHAnsi"/>
          <w:color w:val="000000" w:themeColor="text1"/>
          <w:sz w:val="22"/>
        </w:rPr>
        <w:footnoteReference w:id="4"/>
      </w:r>
      <w:bookmarkEnd w:id="21"/>
      <w:bookmarkEnd w:id="22"/>
      <w:r w:rsidR="00C571A7" w:rsidRPr="00DE5FDC">
        <w:rPr>
          <w:rFonts w:asciiTheme="minorHAnsi" w:hAnsiTheme="minorHAnsi" w:cstheme="minorHAnsi"/>
          <w:color w:val="000000" w:themeColor="text1"/>
        </w:rPr>
        <w:t xml:space="preserve"> </w:t>
      </w:r>
      <w:r w:rsidR="00C10564" w:rsidRPr="00DE5FDC">
        <w:rPr>
          <w:rFonts w:asciiTheme="minorHAnsi" w:hAnsiTheme="minorHAnsi" w:cstheme="minorHAnsi"/>
          <w:color w:val="000000" w:themeColor="text1"/>
        </w:rPr>
        <w:t xml:space="preserve">that </w:t>
      </w:r>
      <w:r w:rsidRPr="00DE5FDC">
        <w:rPr>
          <w:rFonts w:asciiTheme="minorHAnsi" w:hAnsiTheme="minorHAnsi" w:cstheme="minorHAnsi"/>
          <w:color w:val="000000" w:themeColor="text1"/>
        </w:rPr>
        <w:t xml:space="preserve">provides </w:t>
      </w:r>
      <w:r w:rsidR="00416558" w:rsidRPr="00DE5FDC">
        <w:rPr>
          <w:rFonts w:asciiTheme="minorHAnsi" w:hAnsiTheme="minorHAnsi" w:cstheme="minorHAnsi"/>
          <w:color w:val="000000" w:themeColor="text1"/>
        </w:rPr>
        <w:t xml:space="preserve">templates, examples and guidance of the elements needed to safely implement as well as monitor and evaluate all-oral STRs.  </w:t>
      </w:r>
      <w:r w:rsidR="00C10564" w:rsidRPr="00DE5FDC">
        <w:rPr>
          <w:rFonts w:asciiTheme="minorHAnsi" w:hAnsiTheme="minorHAnsi" w:cstheme="minorHAnsi"/>
          <w:color w:val="000000" w:themeColor="text1"/>
        </w:rPr>
        <w:t xml:space="preserve">The toolkit will be periodically updated. </w:t>
      </w:r>
    </w:p>
    <w:p w14:paraId="367FD231" w14:textId="77777777" w:rsidR="00416558" w:rsidRPr="00DE5FDC" w:rsidRDefault="00416558" w:rsidP="00CA6661">
      <w:pPr>
        <w:adjustRightInd w:val="0"/>
        <w:spacing w:before="0" w:after="200" w:line="269" w:lineRule="auto"/>
        <w:contextualSpacing/>
        <w:jc w:val="left"/>
        <w:rPr>
          <w:rFonts w:asciiTheme="minorHAnsi" w:hAnsiTheme="minorHAnsi" w:cstheme="minorHAnsi"/>
          <w:color w:val="000000" w:themeColor="text1"/>
        </w:rPr>
      </w:pPr>
    </w:p>
    <w:p w14:paraId="6C32A809" w14:textId="19448F74" w:rsidR="006A74A5" w:rsidRPr="00DE5FDC" w:rsidRDefault="00BD27FA" w:rsidP="00CA6661">
      <w:pPr>
        <w:adjustRightInd w:val="0"/>
        <w:spacing w:before="0" w:after="200" w:line="269" w:lineRule="auto"/>
        <w:contextualSpacing/>
        <w:jc w:val="left"/>
        <w:rPr>
          <w:rFonts w:asciiTheme="minorHAnsi" w:hAnsiTheme="minorHAnsi" w:cstheme="minorHAnsi"/>
          <w:color w:val="000000" w:themeColor="text1"/>
        </w:rPr>
      </w:pPr>
      <w:r w:rsidRPr="00DE5FDC">
        <w:rPr>
          <w:rFonts w:asciiTheme="minorHAnsi" w:hAnsiTheme="minorHAnsi" w:cstheme="minorHAnsi"/>
          <w:color w:val="000000" w:themeColor="text1"/>
        </w:rPr>
        <w:t xml:space="preserve">The elements of </w:t>
      </w:r>
      <w:r w:rsidR="00416558" w:rsidRPr="00DE5FDC">
        <w:rPr>
          <w:rFonts w:asciiTheme="minorHAnsi" w:hAnsiTheme="minorHAnsi" w:cstheme="minorHAnsi"/>
          <w:color w:val="000000" w:themeColor="text1"/>
        </w:rPr>
        <w:t xml:space="preserve">implementing all-oral STRs under </w:t>
      </w:r>
      <w:r w:rsidRPr="00DE5FDC">
        <w:rPr>
          <w:rFonts w:asciiTheme="minorHAnsi" w:hAnsiTheme="minorHAnsi" w:cstheme="minorHAnsi"/>
          <w:color w:val="000000" w:themeColor="text1"/>
        </w:rPr>
        <w:t>operational research</w:t>
      </w:r>
      <w:r w:rsidRPr="00DE5FDC">
        <w:rPr>
          <w:rFonts w:asciiTheme="minorHAnsi" w:hAnsiTheme="minorHAnsi"/>
          <w:color w:val="000000" w:themeColor="text1"/>
        </w:rPr>
        <w:t xml:space="preserve"> </w:t>
      </w:r>
      <w:r w:rsidRPr="00DE5FDC">
        <w:rPr>
          <w:rFonts w:asciiTheme="minorHAnsi" w:hAnsiTheme="minorHAnsi" w:cstheme="minorHAnsi"/>
          <w:color w:val="000000" w:themeColor="text1"/>
        </w:rPr>
        <w:t xml:space="preserve">conditions </w:t>
      </w:r>
      <w:r w:rsidR="004933AD" w:rsidRPr="00DE5FDC">
        <w:rPr>
          <w:rFonts w:asciiTheme="minorHAnsi" w:hAnsiTheme="minorHAnsi" w:cstheme="minorHAnsi"/>
          <w:color w:val="000000" w:themeColor="text1"/>
        </w:rPr>
        <w:t>include</w:t>
      </w:r>
      <w:r w:rsidR="00416558" w:rsidRPr="00DE5FDC">
        <w:rPr>
          <w:rFonts w:asciiTheme="minorHAnsi" w:hAnsiTheme="minorHAnsi" w:cstheme="minorHAnsi"/>
          <w:color w:val="000000" w:themeColor="text1"/>
        </w:rPr>
        <w:t>:</w:t>
      </w:r>
    </w:p>
    <w:p w14:paraId="380743EF" w14:textId="50DEF062" w:rsidR="00496B6B" w:rsidRPr="00DE5FDC" w:rsidRDefault="006A74A5" w:rsidP="00CB2F8E">
      <w:pPr>
        <w:pStyle w:val="ListParagraph"/>
        <w:numPr>
          <w:ilvl w:val="0"/>
          <w:numId w:val="19"/>
        </w:numPr>
        <w:rPr>
          <w:rFonts w:asciiTheme="minorHAnsi" w:hAnsiTheme="minorHAnsi" w:cstheme="minorHAnsi"/>
          <w:color w:val="000000" w:themeColor="text1"/>
        </w:rPr>
      </w:pPr>
      <w:r w:rsidRPr="00DE5FDC">
        <w:rPr>
          <w:rFonts w:asciiTheme="minorHAnsi" w:hAnsiTheme="minorHAnsi" w:cstheme="minorHAnsi"/>
          <w:b/>
          <w:bCs/>
          <w:color w:val="000000" w:themeColor="text1"/>
        </w:rPr>
        <w:t>A study protocol</w:t>
      </w:r>
      <w:r w:rsidR="008860AE" w:rsidRPr="00DE5FDC">
        <w:rPr>
          <w:rFonts w:asciiTheme="minorHAnsi" w:hAnsiTheme="minorHAnsi" w:cstheme="minorHAnsi"/>
          <w:color w:val="000000" w:themeColor="text1"/>
        </w:rPr>
        <w:t xml:space="preserve">. </w:t>
      </w:r>
      <w:r w:rsidR="003D2A46" w:rsidRPr="00DE5FDC">
        <w:rPr>
          <w:rFonts w:asciiTheme="minorHAnsi" w:hAnsiTheme="minorHAnsi" w:cstheme="minorHAnsi"/>
          <w:color w:val="000000" w:themeColor="text1"/>
        </w:rPr>
        <w:t>Templates of s</w:t>
      </w:r>
      <w:r w:rsidR="007B0FF1" w:rsidRPr="00DE5FDC">
        <w:rPr>
          <w:rFonts w:asciiTheme="minorHAnsi" w:hAnsiTheme="minorHAnsi" w:cstheme="minorHAnsi"/>
          <w:color w:val="000000" w:themeColor="text1"/>
        </w:rPr>
        <w:t>tudy protocol</w:t>
      </w:r>
      <w:r w:rsidR="003D2A46" w:rsidRPr="00DE5FDC">
        <w:rPr>
          <w:rFonts w:asciiTheme="minorHAnsi" w:hAnsiTheme="minorHAnsi" w:cstheme="minorHAnsi"/>
          <w:color w:val="000000" w:themeColor="text1"/>
        </w:rPr>
        <w:t>s</w:t>
      </w:r>
      <w:r w:rsidR="006576C7" w:rsidRPr="00DE5FDC">
        <w:rPr>
          <w:rFonts w:asciiTheme="minorHAnsi" w:hAnsiTheme="minorHAnsi" w:cstheme="minorHAnsi"/>
          <w:color w:val="000000" w:themeColor="text1"/>
        </w:rPr>
        <w:t xml:space="preserve"> </w:t>
      </w:r>
      <w:r w:rsidR="000D5B42" w:rsidRPr="00DE5FDC">
        <w:rPr>
          <w:rFonts w:asciiTheme="minorHAnsi" w:hAnsiTheme="minorHAnsi" w:cstheme="minorHAnsi"/>
          <w:color w:val="000000" w:themeColor="text1"/>
        </w:rPr>
        <w:t xml:space="preserve">for </w:t>
      </w:r>
      <w:r w:rsidR="006576C7" w:rsidRPr="00DE5FDC">
        <w:rPr>
          <w:rFonts w:asciiTheme="minorHAnsi" w:hAnsiTheme="minorHAnsi" w:cstheme="minorHAnsi"/>
          <w:color w:val="000000" w:themeColor="text1"/>
        </w:rPr>
        <w:t>all-oral STRs</w:t>
      </w:r>
      <w:r w:rsidR="007B0FF1" w:rsidRPr="00DE5FDC">
        <w:rPr>
          <w:rFonts w:asciiTheme="minorHAnsi" w:hAnsiTheme="minorHAnsi" w:cstheme="minorHAnsi"/>
          <w:color w:val="000000" w:themeColor="text1"/>
        </w:rPr>
        <w:t xml:space="preserve"> </w:t>
      </w:r>
      <w:r w:rsidR="000D5B42" w:rsidRPr="00DE5FDC">
        <w:rPr>
          <w:rFonts w:asciiTheme="minorHAnsi" w:hAnsiTheme="minorHAnsi" w:cstheme="minorHAnsi"/>
          <w:color w:val="000000" w:themeColor="text1"/>
        </w:rPr>
        <w:t>have been developed by</w:t>
      </w:r>
      <w:r w:rsidR="007B0FF1" w:rsidRPr="00DE5FDC">
        <w:rPr>
          <w:rFonts w:asciiTheme="minorHAnsi" w:hAnsiTheme="minorHAnsi" w:cstheme="minorHAnsi"/>
          <w:color w:val="000000" w:themeColor="text1"/>
        </w:rPr>
        <w:t xml:space="preserve"> endTB</w:t>
      </w:r>
      <w:r w:rsidR="00215BB3" w:rsidRPr="00DE5FDC">
        <w:rPr>
          <w:rFonts w:asciiTheme="minorHAnsi" w:hAnsiTheme="minorHAnsi"/>
          <w:color w:val="000000" w:themeColor="text1"/>
          <w:vertAlign w:val="superscript"/>
        </w:rPr>
        <w:fldChar w:fldCharType="begin"/>
      </w:r>
      <w:r w:rsidR="00215BB3" w:rsidRPr="00DE5FDC">
        <w:rPr>
          <w:rFonts w:asciiTheme="minorHAnsi" w:hAnsiTheme="minorHAnsi" w:cstheme="minorHAnsi"/>
          <w:color w:val="000000" w:themeColor="text1"/>
          <w:vertAlign w:val="superscript"/>
        </w:rPr>
        <w:instrText xml:space="preserve"> NOTEREF _Ref11078434 \h </w:instrText>
      </w:r>
      <w:r w:rsidR="00215BB3" w:rsidRPr="00DE5FDC">
        <w:rPr>
          <w:rFonts w:asciiTheme="minorHAnsi" w:hAnsiTheme="minorHAnsi"/>
          <w:color w:val="000000" w:themeColor="text1"/>
          <w:vertAlign w:val="superscript"/>
        </w:rPr>
        <w:instrText xml:space="preserve"> \* MERGEFORMAT </w:instrText>
      </w:r>
      <w:r w:rsidR="00215BB3" w:rsidRPr="00DE5FDC">
        <w:rPr>
          <w:rFonts w:asciiTheme="minorHAnsi" w:hAnsiTheme="minorHAnsi"/>
          <w:color w:val="000000" w:themeColor="text1"/>
          <w:vertAlign w:val="superscript"/>
        </w:rPr>
      </w:r>
      <w:r w:rsidR="00215BB3" w:rsidRPr="00DE5FDC">
        <w:rPr>
          <w:rFonts w:asciiTheme="minorHAnsi" w:hAnsiTheme="minorHAnsi"/>
          <w:color w:val="000000" w:themeColor="text1"/>
          <w:vertAlign w:val="superscript"/>
        </w:rPr>
        <w:fldChar w:fldCharType="separate"/>
      </w:r>
      <w:r w:rsidR="00C21E58" w:rsidRPr="00DE5FDC">
        <w:rPr>
          <w:rFonts w:asciiTheme="minorHAnsi" w:hAnsiTheme="minorHAnsi" w:cstheme="minorHAnsi"/>
          <w:color w:val="000000" w:themeColor="text1"/>
          <w:vertAlign w:val="superscript"/>
        </w:rPr>
        <w:t>3</w:t>
      </w:r>
      <w:r w:rsidR="00215BB3" w:rsidRPr="00DE5FDC">
        <w:rPr>
          <w:rFonts w:asciiTheme="minorHAnsi" w:hAnsiTheme="minorHAnsi"/>
          <w:color w:val="000000" w:themeColor="text1"/>
          <w:vertAlign w:val="superscript"/>
        </w:rPr>
        <w:fldChar w:fldCharType="end"/>
      </w:r>
      <w:r w:rsidR="007B0FF1" w:rsidRPr="00DE5FDC">
        <w:rPr>
          <w:rFonts w:asciiTheme="minorHAnsi" w:hAnsiTheme="minorHAnsi" w:cstheme="minorHAnsi"/>
          <w:color w:val="000000" w:themeColor="text1"/>
        </w:rPr>
        <w:t xml:space="preserve">, the </w:t>
      </w:r>
      <w:r w:rsidR="001C25FC" w:rsidRPr="00DE5FDC">
        <w:rPr>
          <w:rFonts w:asciiTheme="minorHAnsi" w:hAnsiTheme="minorHAnsi" w:cstheme="minorHAnsi"/>
          <w:color w:val="000000" w:themeColor="text1"/>
        </w:rPr>
        <w:t xml:space="preserve">StopTB Partnership and the </w:t>
      </w:r>
      <w:r w:rsidR="007B0FF1" w:rsidRPr="00DE5FDC">
        <w:rPr>
          <w:rFonts w:asciiTheme="minorHAnsi" w:hAnsiTheme="minorHAnsi" w:cstheme="minorHAnsi"/>
          <w:color w:val="000000" w:themeColor="text1"/>
        </w:rPr>
        <w:t>Global Drug-Resistant TB Initiative (GDI)</w:t>
      </w:r>
      <w:r w:rsidR="007B0FF1" w:rsidRPr="00DE5FDC">
        <w:rPr>
          <w:rStyle w:val="FootnoteReference"/>
          <w:rFonts w:asciiTheme="minorHAnsi" w:hAnsiTheme="minorHAnsi" w:cstheme="minorHAnsi"/>
          <w:color w:val="000000" w:themeColor="text1"/>
          <w:sz w:val="22"/>
        </w:rPr>
        <w:footnoteReference w:id="5"/>
      </w:r>
      <w:r w:rsidR="006576C7" w:rsidRPr="00DE5FDC">
        <w:rPr>
          <w:rFonts w:asciiTheme="minorHAnsi" w:hAnsiTheme="minorHAnsi" w:cstheme="minorHAnsi"/>
          <w:color w:val="000000" w:themeColor="text1"/>
        </w:rPr>
        <w:t xml:space="preserve">, USAID </w:t>
      </w:r>
      <w:r w:rsidR="006D107D" w:rsidRPr="00DE5FDC">
        <w:rPr>
          <w:rFonts w:asciiTheme="minorHAnsi" w:hAnsiTheme="minorHAnsi" w:cstheme="minorHAnsi"/>
          <w:color w:val="000000" w:themeColor="text1"/>
        </w:rPr>
        <w:t xml:space="preserve">as </w:t>
      </w:r>
      <w:r w:rsidR="00416558" w:rsidRPr="00DE5FDC">
        <w:rPr>
          <w:rFonts w:asciiTheme="minorHAnsi" w:hAnsiTheme="minorHAnsi" w:cstheme="minorHAnsi"/>
          <w:color w:val="000000" w:themeColor="text1"/>
        </w:rPr>
        <w:t xml:space="preserve">the </w:t>
      </w:r>
      <w:r w:rsidR="004E4C79" w:rsidRPr="00DE5FDC">
        <w:rPr>
          <w:rFonts w:asciiTheme="minorHAnsi" w:hAnsiTheme="minorHAnsi" w:cstheme="minorHAnsi"/>
          <w:color w:val="000000" w:themeColor="text1"/>
        </w:rPr>
        <w:t>DESTRoy</w:t>
      </w:r>
      <w:r w:rsidR="00496B6B" w:rsidRPr="00DE5FDC">
        <w:rPr>
          <w:rFonts w:asciiTheme="minorHAnsi" w:hAnsiTheme="minorHAnsi" w:cstheme="minorHAnsi"/>
          <w:color w:val="000000" w:themeColor="text1"/>
        </w:rPr>
        <w:t xml:space="preserve"> </w:t>
      </w:r>
      <w:r w:rsidR="004E4C79" w:rsidRPr="00DE5FDC">
        <w:rPr>
          <w:rFonts w:asciiTheme="minorHAnsi" w:hAnsiTheme="minorHAnsi" w:cstheme="minorHAnsi"/>
          <w:color w:val="000000" w:themeColor="text1"/>
        </w:rPr>
        <w:t>TB</w:t>
      </w:r>
      <w:r w:rsidR="00416558" w:rsidRPr="00DE5FDC">
        <w:rPr>
          <w:rFonts w:asciiTheme="minorHAnsi" w:hAnsiTheme="minorHAnsi" w:cstheme="minorHAnsi"/>
          <w:color w:val="000000" w:themeColor="text1"/>
        </w:rPr>
        <w:t xml:space="preserve"> protocol</w:t>
      </w:r>
      <w:r w:rsidR="00E30B51" w:rsidRPr="00DE5FDC">
        <w:rPr>
          <w:rStyle w:val="FootnoteReference"/>
          <w:rFonts w:asciiTheme="minorHAnsi" w:hAnsiTheme="minorHAnsi"/>
          <w:color w:val="000000" w:themeColor="text1"/>
          <w:sz w:val="22"/>
        </w:rPr>
        <w:footnoteReference w:id="6"/>
      </w:r>
      <w:r w:rsidR="00B161F5" w:rsidRPr="00DE5FDC">
        <w:rPr>
          <w:rFonts w:asciiTheme="minorHAnsi" w:hAnsiTheme="minorHAnsi" w:cstheme="minorHAnsi"/>
          <w:color w:val="000000" w:themeColor="text1"/>
        </w:rPr>
        <w:t xml:space="preserve"> </w:t>
      </w:r>
      <w:r w:rsidR="00496B6B" w:rsidRPr="00DE5FDC">
        <w:rPr>
          <w:rFonts w:asciiTheme="minorHAnsi" w:hAnsiTheme="minorHAnsi" w:cstheme="minorHAnsi"/>
          <w:color w:val="000000" w:themeColor="text1"/>
        </w:rPr>
        <w:t>and</w:t>
      </w:r>
      <w:r w:rsidR="003C3F9F" w:rsidRPr="00DE5FDC">
        <w:rPr>
          <w:rFonts w:asciiTheme="minorHAnsi" w:hAnsiTheme="minorHAnsi" w:cstheme="minorHAnsi"/>
          <w:color w:val="000000" w:themeColor="text1"/>
        </w:rPr>
        <w:t xml:space="preserve"> TDR, a Special Programme for Research and Training in Tropical Diseases hosted by the WHO</w:t>
      </w:r>
      <w:r w:rsidR="00E8442B" w:rsidRPr="00DE5FDC">
        <w:rPr>
          <w:rStyle w:val="FootnoteReference"/>
          <w:rFonts w:asciiTheme="minorHAnsi" w:hAnsiTheme="minorHAnsi"/>
          <w:color w:val="000000" w:themeColor="text1"/>
          <w:sz w:val="22"/>
        </w:rPr>
        <w:footnoteReference w:id="7"/>
      </w:r>
      <w:r w:rsidR="00EE7B67" w:rsidRPr="00DE5FDC">
        <w:rPr>
          <w:rFonts w:asciiTheme="minorHAnsi" w:hAnsiTheme="minorHAnsi" w:cstheme="minorHAnsi"/>
          <w:color w:val="000000" w:themeColor="text1"/>
        </w:rPr>
        <w:t xml:space="preserve">. </w:t>
      </w:r>
    </w:p>
    <w:p w14:paraId="31138A4C" w14:textId="3B874070" w:rsidR="00DA76DD" w:rsidRPr="00DE5FDC" w:rsidRDefault="00DA76DD" w:rsidP="00CB2F8E">
      <w:pPr>
        <w:pStyle w:val="ListParagraph"/>
        <w:numPr>
          <w:ilvl w:val="0"/>
          <w:numId w:val="19"/>
        </w:numPr>
        <w:rPr>
          <w:rFonts w:asciiTheme="minorHAnsi" w:hAnsiTheme="minorHAnsi" w:cstheme="minorHAnsi"/>
          <w:color w:val="000000" w:themeColor="text1"/>
        </w:rPr>
      </w:pPr>
      <w:r w:rsidRPr="00DE5FDC">
        <w:rPr>
          <w:rFonts w:asciiTheme="minorHAnsi" w:hAnsiTheme="minorHAnsi" w:cstheme="minorHAnsi"/>
          <w:b/>
          <w:bCs/>
          <w:color w:val="000000" w:themeColor="text1"/>
        </w:rPr>
        <w:t xml:space="preserve">A </w:t>
      </w:r>
      <w:r w:rsidR="009A345F" w:rsidRPr="00DE5FDC">
        <w:rPr>
          <w:rFonts w:asciiTheme="minorHAnsi" w:hAnsiTheme="minorHAnsi" w:cstheme="minorHAnsi"/>
          <w:b/>
          <w:bCs/>
          <w:color w:val="000000" w:themeColor="text1"/>
        </w:rPr>
        <w:t xml:space="preserve">patient </w:t>
      </w:r>
      <w:r w:rsidRPr="00DE5FDC">
        <w:rPr>
          <w:rFonts w:asciiTheme="minorHAnsi" w:hAnsiTheme="minorHAnsi" w:cstheme="minorHAnsi"/>
          <w:b/>
          <w:bCs/>
          <w:color w:val="000000" w:themeColor="text1"/>
        </w:rPr>
        <w:t>consent process</w:t>
      </w:r>
      <w:r w:rsidRPr="00DE5FDC">
        <w:rPr>
          <w:rFonts w:asciiTheme="minorHAnsi" w:hAnsiTheme="minorHAnsi" w:cstheme="minorHAnsi"/>
          <w:color w:val="000000" w:themeColor="text1"/>
        </w:rPr>
        <w:t>. A consenting process as per local requirements</w:t>
      </w:r>
      <w:r w:rsidR="00683FA6" w:rsidRPr="00DE5FDC">
        <w:rPr>
          <w:rFonts w:asciiTheme="minorHAnsi" w:hAnsiTheme="minorHAnsi" w:cstheme="minorHAnsi"/>
          <w:color w:val="000000" w:themeColor="text1"/>
        </w:rPr>
        <w:t xml:space="preserve"> is </w:t>
      </w:r>
      <w:r w:rsidR="001D0291" w:rsidRPr="00DE5FDC">
        <w:rPr>
          <w:rFonts w:asciiTheme="minorHAnsi" w:hAnsiTheme="minorHAnsi" w:cstheme="minorHAnsi"/>
          <w:color w:val="000000" w:themeColor="text1"/>
        </w:rPr>
        <w:t xml:space="preserve">a minimum </w:t>
      </w:r>
      <w:r w:rsidR="00683FA6" w:rsidRPr="00DE5FDC">
        <w:rPr>
          <w:rFonts w:asciiTheme="minorHAnsi" w:hAnsiTheme="minorHAnsi" w:cstheme="minorHAnsi"/>
          <w:color w:val="000000" w:themeColor="text1"/>
        </w:rPr>
        <w:t>requir</w:t>
      </w:r>
      <w:r w:rsidR="001D0291" w:rsidRPr="00DE5FDC">
        <w:rPr>
          <w:rFonts w:asciiTheme="minorHAnsi" w:hAnsiTheme="minorHAnsi" w:cstheme="minorHAnsi"/>
          <w:color w:val="000000" w:themeColor="text1"/>
        </w:rPr>
        <w:t>ement</w:t>
      </w:r>
      <w:r w:rsidR="00683FA6" w:rsidRPr="00DE5FDC">
        <w:rPr>
          <w:rFonts w:asciiTheme="minorHAnsi" w:hAnsiTheme="minorHAnsi" w:cstheme="minorHAnsi"/>
          <w:color w:val="000000" w:themeColor="text1"/>
        </w:rPr>
        <w:t xml:space="preserve">. </w:t>
      </w:r>
      <w:r w:rsidR="00E61ECE" w:rsidRPr="00DE5FDC">
        <w:rPr>
          <w:rFonts w:asciiTheme="minorHAnsi" w:hAnsiTheme="minorHAnsi" w:cstheme="minorHAnsi"/>
          <w:color w:val="000000" w:themeColor="text1"/>
        </w:rPr>
        <w:t xml:space="preserve">The consent process </w:t>
      </w:r>
      <w:r w:rsidR="00137CE5" w:rsidRPr="00DE5FDC">
        <w:rPr>
          <w:rFonts w:asciiTheme="minorHAnsi" w:hAnsiTheme="minorHAnsi" w:cstheme="minorHAnsi"/>
          <w:color w:val="000000" w:themeColor="text1"/>
        </w:rPr>
        <w:t>is discussed in Section</w:t>
      </w:r>
      <w:r w:rsidR="001314CD" w:rsidRPr="00DE5FDC">
        <w:rPr>
          <w:rFonts w:asciiTheme="minorHAnsi" w:hAnsiTheme="minorHAnsi" w:cstheme="minorHAnsi"/>
          <w:color w:val="000000" w:themeColor="text1"/>
        </w:rPr>
        <w:t xml:space="preserve"> </w:t>
      </w:r>
      <w:r w:rsidR="001314CD" w:rsidRPr="00DE5FDC">
        <w:rPr>
          <w:rFonts w:asciiTheme="minorHAnsi" w:hAnsiTheme="minorHAnsi" w:cstheme="minorHAnsi"/>
          <w:color w:val="000000" w:themeColor="text1"/>
          <w:highlight w:val="cyan"/>
        </w:rPr>
        <w:fldChar w:fldCharType="begin"/>
      </w:r>
      <w:r w:rsidR="001314CD" w:rsidRPr="00DE5FDC">
        <w:rPr>
          <w:rFonts w:asciiTheme="minorHAnsi" w:hAnsiTheme="minorHAnsi" w:cstheme="minorHAnsi"/>
          <w:color w:val="000000" w:themeColor="text1"/>
        </w:rPr>
        <w:instrText xml:space="preserve"> REF _Ref12884886 \r \h </w:instrText>
      </w:r>
      <w:r w:rsidR="00DE5FDC">
        <w:rPr>
          <w:rFonts w:asciiTheme="minorHAnsi" w:hAnsiTheme="minorHAnsi" w:cstheme="minorHAnsi"/>
          <w:color w:val="000000" w:themeColor="text1"/>
          <w:highlight w:val="cyan"/>
        </w:rPr>
        <w:instrText xml:space="preserve"> \* MERGEFORMAT </w:instrText>
      </w:r>
      <w:r w:rsidR="001314CD" w:rsidRPr="00DE5FDC">
        <w:rPr>
          <w:rFonts w:asciiTheme="minorHAnsi" w:hAnsiTheme="minorHAnsi" w:cstheme="minorHAnsi"/>
          <w:color w:val="000000" w:themeColor="text1"/>
          <w:highlight w:val="cyan"/>
        </w:rPr>
      </w:r>
      <w:r w:rsidR="001314CD" w:rsidRPr="00DE5FDC">
        <w:rPr>
          <w:rFonts w:asciiTheme="minorHAnsi" w:hAnsiTheme="minorHAnsi" w:cstheme="minorHAnsi"/>
          <w:color w:val="000000" w:themeColor="text1"/>
          <w:highlight w:val="cyan"/>
        </w:rPr>
        <w:fldChar w:fldCharType="separate"/>
      </w:r>
      <w:r w:rsidR="001314CD" w:rsidRPr="00DE5FDC">
        <w:rPr>
          <w:rFonts w:asciiTheme="minorHAnsi" w:hAnsiTheme="minorHAnsi" w:cstheme="minorHAnsi"/>
          <w:color w:val="000000" w:themeColor="text1"/>
        </w:rPr>
        <w:t>5.2</w:t>
      </w:r>
      <w:r w:rsidR="001314CD" w:rsidRPr="00DE5FDC">
        <w:rPr>
          <w:rFonts w:asciiTheme="minorHAnsi" w:hAnsiTheme="minorHAnsi" w:cstheme="minorHAnsi"/>
          <w:color w:val="000000" w:themeColor="text1"/>
          <w:highlight w:val="cyan"/>
        </w:rPr>
        <w:fldChar w:fldCharType="end"/>
      </w:r>
      <w:r w:rsidR="00137CE5" w:rsidRPr="00DE5FDC">
        <w:rPr>
          <w:rFonts w:asciiTheme="minorHAnsi" w:hAnsiTheme="minorHAnsi" w:cstheme="minorHAnsi"/>
          <w:color w:val="000000" w:themeColor="text1"/>
        </w:rPr>
        <w:t>.</w:t>
      </w:r>
    </w:p>
    <w:p w14:paraId="76EDB579" w14:textId="314C17D7" w:rsidR="008860AE" w:rsidRPr="00DE5FDC" w:rsidRDefault="00CE0593" w:rsidP="00CB2F8E">
      <w:pPr>
        <w:pStyle w:val="ListParagraph"/>
        <w:numPr>
          <w:ilvl w:val="0"/>
          <w:numId w:val="19"/>
        </w:numPr>
        <w:rPr>
          <w:rFonts w:asciiTheme="minorHAnsi" w:hAnsiTheme="minorHAnsi" w:cstheme="minorHAnsi"/>
          <w:color w:val="000000" w:themeColor="text1"/>
        </w:rPr>
      </w:pPr>
      <w:r w:rsidRPr="00DE5FDC">
        <w:rPr>
          <w:rFonts w:asciiTheme="minorHAnsi" w:hAnsiTheme="minorHAnsi" w:cstheme="minorHAnsi"/>
          <w:b/>
          <w:bCs/>
          <w:color w:val="000000" w:themeColor="text1"/>
        </w:rPr>
        <w:t xml:space="preserve">A list of all the data points or variables that the program will collect to evaluate the shorter regimen. </w:t>
      </w:r>
      <w:r w:rsidRPr="00DE5FDC">
        <w:rPr>
          <w:rFonts w:asciiTheme="minorHAnsi" w:hAnsiTheme="minorHAnsi" w:cstheme="minorHAnsi"/>
          <w:color w:val="000000" w:themeColor="text1"/>
        </w:rPr>
        <w:t xml:space="preserve">This </w:t>
      </w:r>
      <w:r w:rsidR="003C3F9F" w:rsidRPr="00DE5FDC">
        <w:rPr>
          <w:rFonts w:asciiTheme="minorHAnsi" w:hAnsiTheme="minorHAnsi" w:cstheme="minorHAnsi"/>
          <w:color w:val="000000" w:themeColor="text1"/>
        </w:rPr>
        <w:t xml:space="preserve">list of </w:t>
      </w:r>
      <w:r w:rsidR="003C34EA" w:rsidRPr="00DE5FDC">
        <w:rPr>
          <w:rFonts w:asciiTheme="minorHAnsi" w:hAnsiTheme="minorHAnsi" w:cstheme="minorHAnsi"/>
          <w:color w:val="000000" w:themeColor="text1"/>
        </w:rPr>
        <w:t>variables</w:t>
      </w:r>
      <w:r w:rsidR="003C3F9F" w:rsidRPr="00DE5FDC">
        <w:rPr>
          <w:rFonts w:asciiTheme="minorHAnsi" w:hAnsiTheme="minorHAnsi" w:cstheme="minorHAnsi"/>
          <w:color w:val="000000" w:themeColor="text1"/>
        </w:rPr>
        <w:t xml:space="preserve"> is</w:t>
      </w:r>
      <w:r w:rsidRPr="00DE5FDC">
        <w:rPr>
          <w:rFonts w:asciiTheme="minorHAnsi" w:hAnsiTheme="minorHAnsi" w:cstheme="minorHAnsi"/>
          <w:color w:val="000000" w:themeColor="text1"/>
        </w:rPr>
        <w:t xml:space="preserve"> known as a ”</w:t>
      </w:r>
      <w:r w:rsidR="008860AE" w:rsidRPr="00DE5FDC">
        <w:rPr>
          <w:rFonts w:asciiTheme="minorHAnsi" w:hAnsiTheme="minorHAnsi" w:cstheme="minorHAnsi"/>
          <w:color w:val="000000" w:themeColor="text1"/>
        </w:rPr>
        <w:t xml:space="preserve"> data</w:t>
      </w:r>
      <w:r w:rsidR="00E54C16" w:rsidRPr="00DE5FDC">
        <w:rPr>
          <w:rFonts w:asciiTheme="minorHAnsi" w:hAnsiTheme="minorHAnsi" w:cstheme="minorHAnsi"/>
          <w:color w:val="000000" w:themeColor="text1"/>
        </w:rPr>
        <w:t>-</w:t>
      </w:r>
      <w:r w:rsidR="008860AE" w:rsidRPr="00DE5FDC">
        <w:rPr>
          <w:rFonts w:asciiTheme="minorHAnsi" w:hAnsiTheme="minorHAnsi" w:cstheme="minorHAnsi"/>
          <w:color w:val="000000" w:themeColor="text1"/>
        </w:rPr>
        <w:t>dictionary</w:t>
      </w:r>
      <w:r w:rsidRPr="00DE5FDC">
        <w:rPr>
          <w:rFonts w:asciiTheme="minorHAnsi" w:hAnsiTheme="minorHAnsi" w:cstheme="minorHAnsi"/>
          <w:color w:val="000000" w:themeColor="text1"/>
        </w:rPr>
        <w:t>”</w:t>
      </w:r>
      <w:r w:rsidR="00235EF4" w:rsidRPr="00DE5FDC">
        <w:rPr>
          <w:rFonts w:asciiTheme="minorHAnsi" w:hAnsiTheme="minorHAnsi" w:cstheme="minorHAnsi"/>
          <w:color w:val="000000" w:themeColor="text1"/>
        </w:rPr>
        <w:t xml:space="preserve">. </w:t>
      </w:r>
      <w:r w:rsidRPr="00DE5FDC">
        <w:rPr>
          <w:rFonts w:asciiTheme="minorHAnsi" w:hAnsiTheme="minorHAnsi" w:cstheme="minorHAnsi"/>
          <w:color w:val="000000" w:themeColor="text1"/>
        </w:rPr>
        <w:t>Th</w:t>
      </w:r>
      <w:r w:rsidR="003C3F9F" w:rsidRPr="00DE5FDC">
        <w:rPr>
          <w:rFonts w:asciiTheme="minorHAnsi" w:hAnsiTheme="minorHAnsi" w:cstheme="minorHAnsi"/>
          <w:color w:val="000000" w:themeColor="text1"/>
        </w:rPr>
        <w:t>e</w:t>
      </w:r>
      <w:r w:rsidRPr="00DE5FDC">
        <w:rPr>
          <w:rFonts w:asciiTheme="minorHAnsi" w:hAnsiTheme="minorHAnsi" w:cstheme="minorHAnsi"/>
          <w:color w:val="000000" w:themeColor="text1"/>
        </w:rPr>
        <w:t xml:space="preserve"> d</w:t>
      </w:r>
      <w:r w:rsidR="00235EF4" w:rsidRPr="00DE5FDC">
        <w:rPr>
          <w:rFonts w:asciiTheme="minorHAnsi" w:hAnsiTheme="minorHAnsi" w:cstheme="minorHAnsi"/>
          <w:color w:val="000000" w:themeColor="text1"/>
        </w:rPr>
        <w:t xml:space="preserve"> data</w:t>
      </w:r>
      <w:r w:rsidR="009337B4" w:rsidRPr="00DE5FDC">
        <w:rPr>
          <w:rFonts w:asciiTheme="minorHAnsi" w:hAnsiTheme="minorHAnsi" w:cstheme="minorHAnsi"/>
          <w:color w:val="000000" w:themeColor="text1"/>
        </w:rPr>
        <w:t>-</w:t>
      </w:r>
      <w:r w:rsidR="00235EF4" w:rsidRPr="00DE5FDC">
        <w:rPr>
          <w:rFonts w:asciiTheme="minorHAnsi" w:hAnsiTheme="minorHAnsi" w:cstheme="minorHAnsi"/>
          <w:color w:val="000000" w:themeColor="text1"/>
        </w:rPr>
        <w:t>dictionary</w:t>
      </w:r>
      <w:r w:rsidR="008860AE" w:rsidRPr="00DE5FDC">
        <w:rPr>
          <w:rFonts w:asciiTheme="minorHAnsi" w:hAnsiTheme="minorHAnsi" w:cstheme="minorHAnsi"/>
          <w:color w:val="000000" w:themeColor="text1"/>
        </w:rPr>
        <w:t xml:space="preserve"> </w:t>
      </w:r>
      <w:r w:rsidR="00235EF4" w:rsidRPr="00DE5FDC">
        <w:rPr>
          <w:rFonts w:asciiTheme="minorHAnsi" w:hAnsiTheme="minorHAnsi" w:cstheme="minorHAnsi"/>
          <w:color w:val="000000" w:themeColor="text1"/>
        </w:rPr>
        <w:t xml:space="preserve">is </w:t>
      </w:r>
      <w:r w:rsidR="004938DD" w:rsidRPr="00DE5FDC">
        <w:rPr>
          <w:rFonts w:asciiTheme="minorHAnsi" w:hAnsiTheme="minorHAnsi" w:cstheme="minorHAnsi"/>
          <w:color w:val="000000" w:themeColor="text1"/>
        </w:rPr>
        <w:t xml:space="preserve">defined </w:t>
      </w:r>
      <w:r w:rsidR="004938DD" w:rsidRPr="00DE5FDC">
        <w:rPr>
          <w:rFonts w:asciiTheme="minorHAnsi" w:hAnsiTheme="minorHAnsi" w:cstheme="minorHAnsi"/>
          <w:color w:val="000000" w:themeColor="text1"/>
        </w:rPr>
        <w:lastRenderedPageBreak/>
        <w:t>ahead of</w:t>
      </w:r>
      <w:r w:rsidR="00683FA6" w:rsidRPr="00DE5FDC">
        <w:rPr>
          <w:rFonts w:asciiTheme="minorHAnsi" w:hAnsiTheme="minorHAnsi" w:cstheme="minorHAnsi"/>
          <w:color w:val="000000" w:themeColor="text1"/>
        </w:rPr>
        <w:t xml:space="preserve"> </w:t>
      </w:r>
      <w:r w:rsidRPr="00DE5FDC">
        <w:rPr>
          <w:rFonts w:asciiTheme="minorHAnsi" w:hAnsiTheme="minorHAnsi" w:cstheme="minorHAnsi"/>
          <w:color w:val="000000" w:themeColor="text1"/>
        </w:rPr>
        <w:t xml:space="preserve">the </w:t>
      </w:r>
      <w:r w:rsidR="00875039" w:rsidRPr="00DE5FDC">
        <w:rPr>
          <w:rFonts w:asciiTheme="minorHAnsi" w:hAnsiTheme="minorHAnsi" w:cstheme="minorHAnsi"/>
          <w:color w:val="000000" w:themeColor="text1"/>
        </w:rPr>
        <w:t>implementation</w:t>
      </w:r>
      <w:r w:rsidR="004B0DC8" w:rsidRPr="00DE5FDC">
        <w:rPr>
          <w:rFonts w:asciiTheme="minorHAnsi" w:hAnsiTheme="minorHAnsi" w:cstheme="minorHAnsi"/>
          <w:color w:val="000000" w:themeColor="text1"/>
        </w:rPr>
        <w:t xml:space="preserve"> of the all-oral STR</w:t>
      </w:r>
      <w:r w:rsidR="004938DD" w:rsidRPr="00DE5FDC">
        <w:rPr>
          <w:rFonts w:asciiTheme="minorHAnsi" w:hAnsiTheme="minorHAnsi" w:cstheme="minorHAnsi"/>
          <w:color w:val="000000" w:themeColor="text1"/>
        </w:rPr>
        <w:t>.</w:t>
      </w:r>
      <w:r w:rsidR="00466D49" w:rsidRPr="00DE5FDC">
        <w:rPr>
          <w:rFonts w:asciiTheme="minorHAnsi" w:hAnsiTheme="minorHAnsi" w:cstheme="minorHAnsi"/>
          <w:color w:val="000000" w:themeColor="text1"/>
        </w:rPr>
        <w:t xml:space="preserve"> </w:t>
      </w:r>
      <w:r w:rsidR="00C571A7" w:rsidRPr="00DE5FDC">
        <w:rPr>
          <w:rFonts w:asciiTheme="minorHAnsi" w:hAnsiTheme="minorHAnsi" w:cstheme="minorHAnsi"/>
          <w:color w:val="000000" w:themeColor="text1"/>
        </w:rPr>
        <w:t>Examples of data-dictionaries are provided on the endTB website.</w:t>
      </w:r>
    </w:p>
    <w:p w14:paraId="5B3C2B41" w14:textId="2913824F" w:rsidR="008860AE" w:rsidRPr="00DE5FDC" w:rsidRDefault="00235EF4" w:rsidP="00CB2F8E">
      <w:pPr>
        <w:pStyle w:val="ListParagraph"/>
        <w:numPr>
          <w:ilvl w:val="0"/>
          <w:numId w:val="19"/>
        </w:numPr>
        <w:rPr>
          <w:rFonts w:asciiTheme="minorHAnsi" w:hAnsiTheme="minorHAnsi" w:cstheme="minorHAnsi"/>
          <w:color w:val="000000" w:themeColor="text1"/>
        </w:rPr>
      </w:pPr>
      <w:r w:rsidRPr="00DE5FDC">
        <w:rPr>
          <w:rFonts w:asciiTheme="minorHAnsi" w:hAnsiTheme="minorHAnsi" w:cstheme="minorHAnsi"/>
          <w:b/>
          <w:bCs/>
          <w:color w:val="000000" w:themeColor="text1"/>
        </w:rPr>
        <w:t>Data collection forms.</w:t>
      </w:r>
      <w:r w:rsidRPr="00DE5FDC">
        <w:rPr>
          <w:rFonts w:asciiTheme="minorHAnsi" w:hAnsiTheme="minorHAnsi" w:cstheme="minorHAnsi"/>
          <w:color w:val="000000" w:themeColor="text1"/>
        </w:rPr>
        <w:t xml:space="preserve"> </w:t>
      </w:r>
      <w:r w:rsidR="00AE5E28" w:rsidRPr="00DE5FDC">
        <w:rPr>
          <w:rFonts w:asciiTheme="minorHAnsi" w:hAnsiTheme="minorHAnsi" w:cstheme="minorHAnsi"/>
          <w:color w:val="000000" w:themeColor="text1"/>
        </w:rPr>
        <w:t>Enrolment</w:t>
      </w:r>
      <w:r w:rsidR="006E2B7C" w:rsidRPr="00DE5FDC">
        <w:rPr>
          <w:rFonts w:asciiTheme="minorHAnsi" w:hAnsiTheme="minorHAnsi" w:cstheme="minorHAnsi"/>
          <w:color w:val="000000" w:themeColor="text1"/>
        </w:rPr>
        <w:t>,</w:t>
      </w:r>
      <w:r w:rsidR="00AE5E28" w:rsidRPr="00DE5FDC">
        <w:rPr>
          <w:rFonts w:asciiTheme="minorHAnsi" w:hAnsiTheme="minorHAnsi" w:cstheme="minorHAnsi"/>
          <w:color w:val="000000" w:themeColor="text1"/>
        </w:rPr>
        <w:t xml:space="preserve"> follow-up</w:t>
      </w:r>
      <w:r w:rsidRPr="00DE5FDC">
        <w:rPr>
          <w:rFonts w:asciiTheme="minorHAnsi" w:hAnsiTheme="minorHAnsi" w:cstheme="minorHAnsi"/>
          <w:color w:val="000000" w:themeColor="text1"/>
        </w:rPr>
        <w:t>, treatment outcome</w:t>
      </w:r>
      <w:r w:rsidR="008A247B" w:rsidRPr="00DE5FDC">
        <w:rPr>
          <w:rFonts w:asciiTheme="minorHAnsi" w:hAnsiTheme="minorHAnsi" w:cstheme="minorHAnsi"/>
          <w:color w:val="000000" w:themeColor="text1"/>
        </w:rPr>
        <w:t xml:space="preserve">, quarterly post-treatment follow-up </w:t>
      </w:r>
      <w:r w:rsidR="004915E7" w:rsidRPr="00DE5FDC">
        <w:rPr>
          <w:rFonts w:asciiTheme="minorHAnsi" w:hAnsiTheme="minorHAnsi" w:cstheme="minorHAnsi"/>
          <w:color w:val="000000" w:themeColor="text1"/>
        </w:rPr>
        <w:t>and po</w:t>
      </w:r>
      <w:r w:rsidR="00C866C8" w:rsidRPr="00DE5FDC">
        <w:rPr>
          <w:rFonts w:asciiTheme="minorHAnsi" w:hAnsiTheme="minorHAnsi" w:cstheme="minorHAnsi"/>
          <w:color w:val="000000" w:themeColor="text1"/>
        </w:rPr>
        <w:t>st-</w:t>
      </w:r>
      <w:r w:rsidR="004915E7" w:rsidRPr="00DE5FDC">
        <w:rPr>
          <w:rFonts w:asciiTheme="minorHAnsi" w:hAnsiTheme="minorHAnsi" w:cstheme="minorHAnsi"/>
          <w:color w:val="000000" w:themeColor="text1"/>
        </w:rPr>
        <w:t>end</w:t>
      </w:r>
      <w:r w:rsidR="0067730F" w:rsidRPr="00DE5FDC">
        <w:rPr>
          <w:rFonts w:asciiTheme="minorHAnsi" w:hAnsiTheme="minorHAnsi" w:cstheme="minorHAnsi"/>
          <w:color w:val="000000" w:themeColor="text1"/>
        </w:rPr>
        <w:t>-</w:t>
      </w:r>
      <w:r w:rsidR="004915E7" w:rsidRPr="00DE5FDC">
        <w:rPr>
          <w:rFonts w:asciiTheme="minorHAnsi" w:hAnsiTheme="minorHAnsi" w:cstheme="minorHAnsi"/>
          <w:color w:val="000000" w:themeColor="text1"/>
        </w:rPr>
        <w:t>of</w:t>
      </w:r>
      <w:r w:rsidR="0067730F" w:rsidRPr="00DE5FDC">
        <w:rPr>
          <w:rFonts w:asciiTheme="minorHAnsi" w:hAnsiTheme="minorHAnsi" w:cstheme="minorHAnsi"/>
          <w:color w:val="000000" w:themeColor="text1"/>
        </w:rPr>
        <w:t>-</w:t>
      </w:r>
      <w:r w:rsidR="004915E7" w:rsidRPr="00DE5FDC">
        <w:rPr>
          <w:rFonts w:asciiTheme="minorHAnsi" w:hAnsiTheme="minorHAnsi" w:cstheme="minorHAnsi"/>
          <w:color w:val="000000" w:themeColor="text1"/>
        </w:rPr>
        <w:t>treatment</w:t>
      </w:r>
      <w:r w:rsidR="00AE5E28" w:rsidRPr="00DE5FDC">
        <w:rPr>
          <w:rFonts w:asciiTheme="minorHAnsi" w:hAnsiTheme="minorHAnsi" w:cstheme="minorHAnsi"/>
          <w:color w:val="000000" w:themeColor="text1"/>
        </w:rPr>
        <w:t xml:space="preserve"> forms</w:t>
      </w:r>
      <w:r w:rsidR="004915E7" w:rsidRPr="00DE5FDC">
        <w:rPr>
          <w:rFonts w:asciiTheme="minorHAnsi" w:hAnsiTheme="minorHAnsi" w:cstheme="minorHAnsi"/>
          <w:color w:val="000000" w:themeColor="text1"/>
        </w:rPr>
        <w:t xml:space="preserve"> are all required</w:t>
      </w:r>
      <w:r w:rsidR="004F75B5" w:rsidRPr="00DE5FDC">
        <w:rPr>
          <w:rFonts w:asciiTheme="minorHAnsi" w:hAnsiTheme="minorHAnsi" w:cstheme="minorHAnsi"/>
          <w:color w:val="000000" w:themeColor="text1"/>
        </w:rPr>
        <w:t xml:space="preserve">. Enrollment and follow-up forms can be the same forms used in the programmatic management drug-resistant TB (PMDT) or be specially designed forms to ease the collection of data or link to an electronic medical record (EMR).  </w:t>
      </w:r>
    </w:p>
    <w:p w14:paraId="3FFAABEB" w14:textId="311F10AE" w:rsidR="006A74A5" w:rsidRPr="00DE5FDC" w:rsidRDefault="006A74A5" w:rsidP="00CB2F8E">
      <w:pPr>
        <w:pStyle w:val="ListParagraph"/>
        <w:numPr>
          <w:ilvl w:val="0"/>
          <w:numId w:val="19"/>
        </w:numPr>
        <w:adjustRightInd w:val="0"/>
        <w:spacing w:before="0" w:after="200" w:line="269" w:lineRule="auto"/>
        <w:jc w:val="left"/>
        <w:rPr>
          <w:rFonts w:asciiTheme="minorHAnsi" w:hAnsiTheme="minorHAnsi" w:cstheme="minorHAnsi"/>
          <w:color w:val="000000" w:themeColor="text1"/>
        </w:rPr>
      </w:pPr>
      <w:r w:rsidRPr="00DE5FDC">
        <w:rPr>
          <w:rFonts w:asciiTheme="minorHAnsi" w:hAnsiTheme="minorHAnsi" w:cstheme="minorHAnsi"/>
          <w:b/>
          <w:bCs/>
          <w:color w:val="000000" w:themeColor="text1"/>
        </w:rPr>
        <w:t>A clinical treatment guide</w:t>
      </w:r>
      <w:r w:rsidR="004F75B5" w:rsidRPr="00DE5FDC">
        <w:rPr>
          <w:rFonts w:asciiTheme="minorHAnsi" w:hAnsiTheme="minorHAnsi" w:cstheme="minorHAnsi"/>
          <w:b/>
          <w:bCs/>
          <w:color w:val="000000" w:themeColor="text1"/>
        </w:rPr>
        <w:t xml:space="preserve"> on all-oral STR</w:t>
      </w:r>
      <w:r w:rsidR="00466D49" w:rsidRPr="00DE5FDC">
        <w:rPr>
          <w:rFonts w:asciiTheme="minorHAnsi" w:hAnsiTheme="minorHAnsi" w:cstheme="minorHAnsi"/>
          <w:color w:val="000000" w:themeColor="text1"/>
        </w:rPr>
        <w:t>. T</w:t>
      </w:r>
      <w:r w:rsidR="00EE52A0" w:rsidRPr="00DE5FDC">
        <w:rPr>
          <w:rFonts w:asciiTheme="minorHAnsi" w:hAnsiTheme="minorHAnsi" w:cstheme="minorHAnsi"/>
          <w:color w:val="000000" w:themeColor="text1"/>
        </w:rPr>
        <w:t xml:space="preserve">his guide </w:t>
      </w:r>
      <w:r w:rsidR="004F75B5" w:rsidRPr="00DE5FDC">
        <w:rPr>
          <w:rFonts w:asciiTheme="minorHAnsi" w:hAnsiTheme="minorHAnsi" w:cstheme="minorHAnsi"/>
          <w:color w:val="000000" w:themeColor="text1"/>
        </w:rPr>
        <w:t>is designed to be used as a template that can be easily modified for the specific needs of a country</w:t>
      </w:r>
      <w:r w:rsidR="00EE52A0" w:rsidRPr="00DE5FDC">
        <w:rPr>
          <w:rFonts w:asciiTheme="minorHAnsi" w:hAnsiTheme="minorHAnsi" w:cstheme="minorHAnsi"/>
          <w:color w:val="000000" w:themeColor="text1"/>
        </w:rPr>
        <w:t>.</w:t>
      </w:r>
      <w:r w:rsidR="00462608" w:rsidRPr="00DE5FDC">
        <w:rPr>
          <w:rFonts w:asciiTheme="minorHAnsi" w:hAnsiTheme="minorHAnsi" w:cstheme="minorHAnsi"/>
          <w:color w:val="000000" w:themeColor="text1"/>
        </w:rPr>
        <w:t xml:space="preserve">  </w:t>
      </w:r>
      <w:r w:rsidR="00326627" w:rsidRPr="00DE5FDC">
        <w:rPr>
          <w:rFonts w:asciiTheme="minorHAnsi" w:hAnsiTheme="minorHAnsi" w:cstheme="minorHAnsi"/>
          <w:color w:val="000000" w:themeColor="text1"/>
        </w:rPr>
        <w:t xml:space="preserve">A copy in </w:t>
      </w:r>
      <w:r w:rsidR="00130A55" w:rsidRPr="00DE5FDC">
        <w:rPr>
          <w:rFonts w:asciiTheme="minorHAnsi" w:hAnsiTheme="minorHAnsi" w:cstheme="minorHAnsi"/>
          <w:color w:val="000000" w:themeColor="text1"/>
        </w:rPr>
        <w:t>Microsoft W</w:t>
      </w:r>
      <w:r w:rsidR="00326627" w:rsidRPr="00DE5FDC">
        <w:rPr>
          <w:rFonts w:asciiTheme="minorHAnsi" w:hAnsiTheme="minorHAnsi" w:cstheme="minorHAnsi"/>
          <w:color w:val="000000" w:themeColor="text1"/>
        </w:rPr>
        <w:t>ord</w:t>
      </w:r>
      <w:r w:rsidR="00130A55" w:rsidRPr="00DE5FDC">
        <w:rPr>
          <w:rFonts w:asciiTheme="minorHAnsi" w:hAnsiTheme="minorHAnsi" w:cstheme="minorHAnsi"/>
          <w:color w:val="000000" w:themeColor="text1"/>
        </w:rPr>
        <w:t xml:space="preserve"> format</w:t>
      </w:r>
      <w:r w:rsidR="00326627" w:rsidRPr="00DE5FDC">
        <w:rPr>
          <w:rFonts w:asciiTheme="minorHAnsi" w:hAnsiTheme="minorHAnsi" w:cstheme="minorHAnsi"/>
          <w:color w:val="000000" w:themeColor="text1"/>
        </w:rPr>
        <w:t xml:space="preserve"> can be downloaded from the endTB website.</w:t>
      </w:r>
      <w:r w:rsidR="00E54C16" w:rsidRPr="00DE5FDC">
        <w:rPr>
          <w:rFonts w:asciiTheme="minorHAnsi" w:hAnsiTheme="minorHAnsi" w:cstheme="minorHAnsi"/>
          <w:color w:val="000000" w:themeColor="text1"/>
          <w:vertAlign w:val="superscript"/>
        </w:rPr>
        <w:fldChar w:fldCharType="begin"/>
      </w:r>
      <w:r w:rsidR="00E54C16" w:rsidRPr="00DE5FDC">
        <w:rPr>
          <w:rFonts w:asciiTheme="minorHAnsi" w:hAnsiTheme="minorHAnsi" w:cstheme="minorHAnsi"/>
          <w:color w:val="000000" w:themeColor="text1"/>
          <w:vertAlign w:val="superscript"/>
        </w:rPr>
        <w:instrText xml:space="preserve"> NOTEREF _Ref11078434 \h  \* MERGEFORMAT </w:instrText>
      </w:r>
      <w:r w:rsidR="00E54C16" w:rsidRPr="00DE5FDC">
        <w:rPr>
          <w:rFonts w:asciiTheme="minorHAnsi" w:hAnsiTheme="minorHAnsi" w:cstheme="minorHAnsi"/>
          <w:color w:val="000000" w:themeColor="text1"/>
          <w:vertAlign w:val="superscript"/>
        </w:rPr>
      </w:r>
      <w:r w:rsidR="00E54C16" w:rsidRPr="00DE5FDC">
        <w:rPr>
          <w:rFonts w:asciiTheme="minorHAnsi" w:hAnsiTheme="minorHAnsi" w:cstheme="minorHAnsi"/>
          <w:color w:val="000000" w:themeColor="text1"/>
          <w:vertAlign w:val="superscript"/>
        </w:rPr>
        <w:fldChar w:fldCharType="separate"/>
      </w:r>
      <w:r w:rsidR="00C21E58" w:rsidRPr="00DE5FDC">
        <w:rPr>
          <w:rFonts w:asciiTheme="minorHAnsi" w:hAnsiTheme="minorHAnsi" w:cstheme="minorHAnsi"/>
          <w:color w:val="000000" w:themeColor="text1"/>
          <w:vertAlign w:val="superscript"/>
        </w:rPr>
        <w:t>3</w:t>
      </w:r>
      <w:r w:rsidR="00E54C16" w:rsidRPr="00DE5FDC">
        <w:rPr>
          <w:rFonts w:asciiTheme="minorHAnsi" w:hAnsiTheme="minorHAnsi" w:cstheme="minorHAnsi"/>
          <w:color w:val="000000" w:themeColor="text1"/>
          <w:vertAlign w:val="superscript"/>
        </w:rPr>
        <w:fldChar w:fldCharType="end"/>
      </w:r>
      <w:r w:rsidR="00326627" w:rsidRPr="00DE5FDC">
        <w:rPr>
          <w:rFonts w:asciiTheme="minorHAnsi" w:hAnsiTheme="minorHAnsi" w:cstheme="minorHAnsi"/>
          <w:color w:val="000000" w:themeColor="text1"/>
        </w:rPr>
        <w:t xml:space="preserve"> </w:t>
      </w:r>
    </w:p>
    <w:p w14:paraId="2921E4E4" w14:textId="64C67067" w:rsidR="00137CE5" w:rsidRPr="00DE5FDC" w:rsidRDefault="00137CE5" w:rsidP="00CB2F8E">
      <w:pPr>
        <w:pStyle w:val="ListParagraph"/>
        <w:numPr>
          <w:ilvl w:val="0"/>
          <w:numId w:val="19"/>
        </w:numPr>
        <w:adjustRightInd w:val="0"/>
        <w:spacing w:before="0" w:after="200" w:line="269" w:lineRule="auto"/>
        <w:jc w:val="left"/>
        <w:rPr>
          <w:rFonts w:asciiTheme="minorHAnsi" w:hAnsiTheme="minorHAnsi" w:cstheme="minorHAnsi"/>
          <w:color w:val="000000" w:themeColor="text1"/>
        </w:rPr>
      </w:pPr>
      <w:r w:rsidRPr="00DE5FDC">
        <w:rPr>
          <w:rFonts w:asciiTheme="minorHAnsi" w:hAnsiTheme="minorHAnsi" w:cstheme="minorHAnsi"/>
          <w:b/>
          <w:bCs/>
          <w:color w:val="000000" w:themeColor="text1"/>
        </w:rPr>
        <w:t>Patient education material</w:t>
      </w:r>
      <w:r w:rsidRPr="00DE5FDC">
        <w:rPr>
          <w:rFonts w:asciiTheme="minorHAnsi" w:hAnsiTheme="minorHAnsi" w:cstheme="minorHAnsi"/>
          <w:color w:val="000000" w:themeColor="text1"/>
        </w:rPr>
        <w:t xml:space="preserve">. Also see Section </w:t>
      </w:r>
      <w:r w:rsidR="001314CD" w:rsidRPr="00DE5FDC">
        <w:rPr>
          <w:rFonts w:asciiTheme="minorHAnsi" w:hAnsiTheme="minorHAnsi" w:cstheme="minorHAnsi"/>
          <w:color w:val="000000" w:themeColor="text1"/>
        </w:rPr>
        <w:fldChar w:fldCharType="begin"/>
      </w:r>
      <w:r w:rsidR="001314CD" w:rsidRPr="00DE5FDC">
        <w:rPr>
          <w:rFonts w:asciiTheme="minorHAnsi" w:hAnsiTheme="minorHAnsi" w:cstheme="minorHAnsi"/>
          <w:color w:val="000000" w:themeColor="text1"/>
        </w:rPr>
        <w:instrText xml:space="preserve"> REF _Ref12884925 \r \h  \* MERGEFORMAT </w:instrText>
      </w:r>
      <w:r w:rsidR="001314CD" w:rsidRPr="00DE5FDC">
        <w:rPr>
          <w:rFonts w:asciiTheme="minorHAnsi" w:hAnsiTheme="minorHAnsi" w:cstheme="minorHAnsi"/>
          <w:color w:val="000000" w:themeColor="text1"/>
        </w:rPr>
      </w:r>
      <w:r w:rsidR="001314CD" w:rsidRPr="00DE5FDC">
        <w:rPr>
          <w:rFonts w:asciiTheme="minorHAnsi" w:hAnsiTheme="minorHAnsi" w:cstheme="minorHAnsi"/>
          <w:color w:val="000000" w:themeColor="text1"/>
        </w:rPr>
        <w:fldChar w:fldCharType="separate"/>
      </w:r>
      <w:r w:rsidR="001314CD" w:rsidRPr="00DE5FDC">
        <w:rPr>
          <w:rFonts w:asciiTheme="minorHAnsi" w:hAnsiTheme="minorHAnsi" w:cstheme="minorHAnsi"/>
          <w:color w:val="000000" w:themeColor="text1"/>
        </w:rPr>
        <w:t>5.1</w:t>
      </w:r>
      <w:r w:rsidR="001314CD" w:rsidRPr="00DE5FDC">
        <w:rPr>
          <w:rFonts w:asciiTheme="minorHAnsi" w:hAnsiTheme="minorHAnsi" w:cstheme="minorHAnsi"/>
          <w:color w:val="000000" w:themeColor="text1"/>
        </w:rPr>
        <w:fldChar w:fldCharType="end"/>
      </w:r>
      <w:r w:rsidRPr="00DE5FDC">
        <w:rPr>
          <w:rFonts w:asciiTheme="minorHAnsi" w:hAnsiTheme="minorHAnsi" w:cstheme="minorHAnsi"/>
          <w:color w:val="000000" w:themeColor="text1"/>
        </w:rPr>
        <w:t>.</w:t>
      </w:r>
    </w:p>
    <w:p w14:paraId="40FC4481" w14:textId="319BCFA4" w:rsidR="00725AA2" w:rsidRPr="00DE5FDC" w:rsidRDefault="00012882" w:rsidP="00CB2F8E">
      <w:pPr>
        <w:pStyle w:val="ListParagraph"/>
        <w:numPr>
          <w:ilvl w:val="0"/>
          <w:numId w:val="19"/>
        </w:numPr>
        <w:adjustRightInd w:val="0"/>
        <w:spacing w:before="0" w:after="200" w:line="269" w:lineRule="auto"/>
        <w:jc w:val="left"/>
        <w:rPr>
          <w:rFonts w:asciiTheme="minorHAnsi" w:hAnsiTheme="minorHAnsi" w:cstheme="minorHAnsi"/>
          <w:color w:val="000000" w:themeColor="text1"/>
        </w:rPr>
      </w:pPr>
      <w:r w:rsidRPr="00DE5FDC">
        <w:rPr>
          <w:rFonts w:asciiTheme="minorHAnsi" w:hAnsiTheme="minorHAnsi" w:cstheme="minorHAnsi"/>
          <w:b/>
          <w:bCs/>
          <w:color w:val="000000" w:themeColor="text1"/>
        </w:rPr>
        <w:t>A</w:t>
      </w:r>
      <w:r w:rsidRPr="00DE5FDC">
        <w:rPr>
          <w:rFonts w:asciiTheme="minorHAnsi" w:hAnsiTheme="minorHAnsi" w:cstheme="minorHAnsi"/>
          <w:color w:val="000000" w:themeColor="text1"/>
        </w:rPr>
        <w:t xml:space="preserve"> </w:t>
      </w:r>
      <w:r w:rsidRPr="00DE5FDC">
        <w:rPr>
          <w:rFonts w:asciiTheme="minorHAnsi" w:hAnsiTheme="minorHAnsi" w:cstheme="minorHAnsi"/>
          <w:b/>
          <w:bCs/>
          <w:color w:val="000000" w:themeColor="text1"/>
        </w:rPr>
        <w:t xml:space="preserve">system to </w:t>
      </w:r>
      <w:r w:rsidR="00CE0593" w:rsidRPr="00DE5FDC">
        <w:rPr>
          <w:rFonts w:asciiTheme="minorHAnsi" w:hAnsiTheme="minorHAnsi" w:cstheme="minorHAnsi"/>
          <w:b/>
          <w:bCs/>
          <w:color w:val="000000" w:themeColor="text1"/>
        </w:rPr>
        <w:t xml:space="preserve">monitor and </w:t>
      </w:r>
      <w:r w:rsidRPr="00DE5FDC">
        <w:rPr>
          <w:rFonts w:asciiTheme="minorHAnsi" w:hAnsiTheme="minorHAnsi" w:cstheme="minorHAnsi"/>
          <w:b/>
          <w:bCs/>
          <w:color w:val="000000" w:themeColor="text1"/>
        </w:rPr>
        <w:t>manage adverse events</w:t>
      </w:r>
      <w:r w:rsidR="00096027" w:rsidRPr="00DE5FDC">
        <w:rPr>
          <w:rFonts w:asciiTheme="minorHAnsi" w:hAnsiTheme="minorHAnsi" w:cstheme="minorHAnsi"/>
          <w:b/>
          <w:bCs/>
          <w:color w:val="000000" w:themeColor="text1"/>
        </w:rPr>
        <w:t xml:space="preserve"> and report serious ones</w:t>
      </w:r>
      <w:r w:rsidR="00096027" w:rsidRPr="00DE5FDC">
        <w:rPr>
          <w:rFonts w:asciiTheme="minorHAnsi" w:hAnsiTheme="minorHAnsi" w:cstheme="minorHAnsi"/>
          <w:color w:val="000000" w:themeColor="text1"/>
        </w:rPr>
        <w:t xml:space="preserve">.  </w:t>
      </w:r>
      <w:r w:rsidR="006A74A5" w:rsidRPr="00DE5FDC">
        <w:rPr>
          <w:rFonts w:asciiTheme="minorHAnsi" w:hAnsiTheme="minorHAnsi" w:cstheme="minorHAnsi"/>
          <w:color w:val="000000" w:themeColor="text1"/>
        </w:rPr>
        <w:t xml:space="preserve">At a minimum, </w:t>
      </w:r>
      <w:r w:rsidR="005C6527" w:rsidRPr="00DE5FDC">
        <w:rPr>
          <w:rFonts w:asciiTheme="minorHAnsi" w:hAnsiTheme="minorHAnsi" w:cstheme="minorHAnsi"/>
          <w:color w:val="000000" w:themeColor="text1"/>
        </w:rPr>
        <w:t>the core package of active TB Drug-Safety Monitoring and Management (aDSM)</w:t>
      </w:r>
      <w:bookmarkStart w:id="23" w:name="_Ref13487789"/>
      <w:r w:rsidR="007717ED" w:rsidRPr="00DE5FDC">
        <w:rPr>
          <w:rStyle w:val="FootnoteReference"/>
          <w:rFonts w:asciiTheme="minorHAnsi" w:hAnsiTheme="minorHAnsi" w:cstheme="minorHAnsi"/>
          <w:color w:val="000000" w:themeColor="text1"/>
          <w:sz w:val="22"/>
        </w:rPr>
        <w:footnoteReference w:id="8"/>
      </w:r>
      <w:bookmarkEnd w:id="23"/>
      <w:r w:rsidR="00C17CDF" w:rsidRPr="00DE5FDC">
        <w:rPr>
          <w:rFonts w:asciiTheme="minorHAnsi" w:hAnsiTheme="minorHAnsi" w:cstheme="minorHAnsi"/>
          <w:color w:val="000000" w:themeColor="text1"/>
        </w:rPr>
        <w:t xml:space="preserve"> should be implemented.</w:t>
      </w:r>
      <w:r w:rsidR="009616F8" w:rsidRPr="00DE5FDC">
        <w:rPr>
          <w:rFonts w:asciiTheme="minorHAnsi" w:hAnsiTheme="minorHAnsi" w:cstheme="minorHAnsi"/>
          <w:color w:val="000000" w:themeColor="text1"/>
        </w:rPr>
        <w:t xml:space="preserve"> See Section </w:t>
      </w:r>
      <w:r w:rsidR="009616F8" w:rsidRPr="00DE5FDC">
        <w:rPr>
          <w:rFonts w:asciiTheme="minorHAnsi" w:hAnsiTheme="minorHAnsi" w:cstheme="minorHAnsi"/>
          <w:color w:val="000000" w:themeColor="text1"/>
        </w:rPr>
        <w:fldChar w:fldCharType="begin"/>
      </w:r>
      <w:r w:rsidR="009616F8" w:rsidRPr="00DE5FDC">
        <w:rPr>
          <w:rFonts w:asciiTheme="minorHAnsi" w:hAnsiTheme="minorHAnsi" w:cstheme="minorHAnsi"/>
          <w:color w:val="000000" w:themeColor="text1"/>
        </w:rPr>
        <w:instrText xml:space="preserve"> REF _Ref426098403 \r \h </w:instrText>
      </w:r>
      <w:r w:rsidR="00DE5FDC">
        <w:rPr>
          <w:rFonts w:asciiTheme="minorHAnsi" w:hAnsiTheme="minorHAnsi" w:cstheme="minorHAnsi"/>
          <w:color w:val="000000" w:themeColor="text1"/>
        </w:rPr>
        <w:instrText xml:space="preserve"> \* MERGEFORMAT </w:instrText>
      </w:r>
      <w:r w:rsidR="009616F8" w:rsidRPr="00DE5FDC">
        <w:rPr>
          <w:rFonts w:asciiTheme="minorHAnsi" w:hAnsiTheme="minorHAnsi" w:cstheme="minorHAnsi"/>
          <w:color w:val="000000" w:themeColor="text1"/>
        </w:rPr>
      </w:r>
      <w:r w:rsidR="009616F8" w:rsidRPr="00DE5FDC">
        <w:rPr>
          <w:rFonts w:asciiTheme="minorHAnsi" w:hAnsiTheme="minorHAnsi" w:cstheme="minorHAnsi"/>
          <w:color w:val="000000" w:themeColor="text1"/>
        </w:rPr>
        <w:fldChar w:fldCharType="separate"/>
      </w:r>
      <w:r w:rsidR="00C21E58" w:rsidRPr="00DE5FDC">
        <w:rPr>
          <w:rFonts w:asciiTheme="minorHAnsi" w:hAnsiTheme="minorHAnsi" w:cstheme="minorHAnsi"/>
          <w:color w:val="000000" w:themeColor="text1"/>
        </w:rPr>
        <w:t>6</w:t>
      </w:r>
      <w:r w:rsidR="009616F8" w:rsidRPr="00DE5FDC">
        <w:rPr>
          <w:rFonts w:asciiTheme="minorHAnsi" w:hAnsiTheme="minorHAnsi" w:cstheme="minorHAnsi"/>
          <w:color w:val="000000" w:themeColor="text1"/>
        </w:rPr>
        <w:fldChar w:fldCharType="end"/>
      </w:r>
      <w:r w:rsidR="009616F8" w:rsidRPr="00DE5FDC">
        <w:rPr>
          <w:rFonts w:asciiTheme="minorHAnsi" w:hAnsiTheme="minorHAnsi" w:cstheme="minorHAnsi"/>
          <w:color w:val="000000" w:themeColor="text1"/>
        </w:rPr>
        <w:t xml:space="preserve"> and </w:t>
      </w:r>
      <w:r w:rsidR="009616F8" w:rsidRPr="00DE5FDC">
        <w:rPr>
          <w:rFonts w:asciiTheme="minorHAnsi" w:hAnsiTheme="minorHAnsi" w:cstheme="minorHAnsi"/>
          <w:color w:val="000000" w:themeColor="text1"/>
        </w:rPr>
        <w:fldChar w:fldCharType="begin"/>
      </w:r>
      <w:r w:rsidR="009616F8" w:rsidRPr="00DE5FDC">
        <w:rPr>
          <w:rFonts w:asciiTheme="minorHAnsi" w:hAnsiTheme="minorHAnsi" w:cstheme="minorHAnsi"/>
          <w:color w:val="000000" w:themeColor="text1"/>
        </w:rPr>
        <w:instrText xml:space="preserve"> REF _Ref426101855 \n \h </w:instrText>
      </w:r>
      <w:r w:rsidR="00DE5FDC">
        <w:rPr>
          <w:rFonts w:asciiTheme="minorHAnsi" w:hAnsiTheme="minorHAnsi" w:cstheme="minorHAnsi"/>
          <w:color w:val="000000" w:themeColor="text1"/>
        </w:rPr>
        <w:instrText xml:space="preserve"> \* MERGEFORMAT </w:instrText>
      </w:r>
      <w:r w:rsidR="009616F8" w:rsidRPr="00DE5FDC">
        <w:rPr>
          <w:rFonts w:asciiTheme="minorHAnsi" w:hAnsiTheme="minorHAnsi" w:cstheme="minorHAnsi"/>
          <w:color w:val="000000" w:themeColor="text1"/>
        </w:rPr>
      </w:r>
      <w:r w:rsidR="009616F8" w:rsidRPr="00DE5FDC">
        <w:rPr>
          <w:rFonts w:asciiTheme="minorHAnsi" w:hAnsiTheme="minorHAnsi" w:cstheme="minorHAnsi"/>
          <w:color w:val="000000" w:themeColor="text1"/>
        </w:rPr>
        <w:fldChar w:fldCharType="separate"/>
      </w:r>
      <w:r w:rsidR="00C21E58" w:rsidRPr="00DE5FDC">
        <w:rPr>
          <w:rFonts w:asciiTheme="minorHAnsi" w:hAnsiTheme="minorHAnsi" w:cstheme="minorHAnsi"/>
          <w:color w:val="000000" w:themeColor="text1"/>
        </w:rPr>
        <w:t>7</w:t>
      </w:r>
      <w:r w:rsidR="009616F8" w:rsidRPr="00DE5FDC">
        <w:rPr>
          <w:rFonts w:asciiTheme="minorHAnsi" w:hAnsiTheme="minorHAnsi" w:cstheme="minorHAnsi"/>
          <w:color w:val="000000" w:themeColor="text1"/>
        </w:rPr>
        <w:fldChar w:fldCharType="end"/>
      </w:r>
      <w:r w:rsidR="009616F8" w:rsidRPr="00DE5FDC">
        <w:rPr>
          <w:rFonts w:asciiTheme="minorHAnsi" w:hAnsiTheme="minorHAnsi" w:cstheme="minorHAnsi"/>
          <w:color w:val="000000" w:themeColor="text1"/>
        </w:rPr>
        <w:t xml:space="preserve"> for more details.</w:t>
      </w:r>
    </w:p>
    <w:p w14:paraId="165B8C56" w14:textId="416905C5" w:rsidR="00793D8E" w:rsidRPr="00DE5FDC" w:rsidRDefault="00725AA2" w:rsidP="00725AA2">
      <w:pPr>
        <w:adjustRightInd w:val="0"/>
        <w:spacing w:before="0" w:after="200" w:line="269" w:lineRule="auto"/>
        <w:jc w:val="left"/>
        <w:rPr>
          <w:rFonts w:asciiTheme="minorHAnsi" w:hAnsiTheme="minorHAnsi" w:cstheme="minorHAnsi"/>
          <w:color w:val="000000" w:themeColor="text1"/>
        </w:rPr>
      </w:pPr>
      <w:r w:rsidRPr="00DE5FDC">
        <w:rPr>
          <w:rFonts w:asciiTheme="minorHAnsi" w:hAnsiTheme="minorHAnsi" w:cstheme="minorHAnsi"/>
          <w:color w:val="000000" w:themeColor="text1"/>
        </w:rPr>
        <w:t xml:space="preserve">For programs </w:t>
      </w:r>
      <w:r w:rsidR="00F92378" w:rsidRPr="00DE5FDC">
        <w:rPr>
          <w:rFonts w:asciiTheme="minorHAnsi" w:hAnsiTheme="minorHAnsi" w:cstheme="minorHAnsi"/>
          <w:color w:val="000000" w:themeColor="text1"/>
        </w:rPr>
        <w:t>using</w:t>
      </w:r>
      <w:r w:rsidRPr="00DE5FDC">
        <w:rPr>
          <w:rFonts w:asciiTheme="minorHAnsi" w:hAnsiTheme="minorHAnsi" w:cstheme="minorHAnsi"/>
          <w:color w:val="000000" w:themeColor="text1"/>
        </w:rPr>
        <w:t xml:space="preserve"> a </w:t>
      </w:r>
      <w:r w:rsidR="00A67D3F" w:rsidRPr="00DE5FDC">
        <w:rPr>
          <w:rFonts w:asciiTheme="minorHAnsi" w:hAnsiTheme="minorHAnsi" w:cstheme="minorHAnsi"/>
          <w:color w:val="000000" w:themeColor="text1"/>
        </w:rPr>
        <w:t xml:space="preserve">combination </w:t>
      </w:r>
      <w:r w:rsidRPr="00DE5FDC">
        <w:rPr>
          <w:rFonts w:asciiTheme="minorHAnsi" w:hAnsiTheme="minorHAnsi" w:cstheme="minorHAnsi"/>
          <w:color w:val="000000" w:themeColor="text1"/>
        </w:rPr>
        <w:t xml:space="preserve">of all-oral STRs and injectable-containing STRs, this guide </w:t>
      </w:r>
      <w:r w:rsidR="0026351D" w:rsidRPr="00DE5FDC">
        <w:rPr>
          <w:rFonts w:asciiTheme="minorHAnsi" w:hAnsiTheme="minorHAnsi" w:cstheme="minorHAnsi"/>
          <w:color w:val="000000" w:themeColor="text1"/>
        </w:rPr>
        <w:t>advises</w:t>
      </w:r>
      <w:r w:rsidRPr="00DE5FDC">
        <w:rPr>
          <w:rFonts w:asciiTheme="minorHAnsi" w:hAnsiTheme="minorHAnsi" w:cstheme="minorHAnsi"/>
          <w:color w:val="000000" w:themeColor="text1"/>
        </w:rPr>
        <w:t xml:space="preserve"> </w:t>
      </w:r>
      <w:r w:rsidR="008E45DE" w:rsidRPr="00DE5FDC">
        <w:rPr>
          <w:rFonts w:asciiTheme="minorHAnsi" w:hAnsiTheme="minorHAnsi" w:cstheme="minorHAnsi"/>
          <w:color w:val="000000" w:themeColor="text1"/>
        </w:rPr>
        <w:t xml:space="preserve">to </w:t>
      </w:r>
      <w:r w:rsidRPr="00DE5FDC">
        <w:rPr>
          <w:rFonts w:asciiTheme="minorHAnsi" w:hAnsiTheme="minorHAnsi" w:cstheme="minorHAnsi"/>
          <w:color w:val="000000" w:themeColor="text1"/>
        </w:rPr>
        <w:t>us</w:t>
      </w:r>
      <w:r w:rsidR="008E45DE" w:rsidRPr="00DE5FDC">
        <w:rPr>
          <w:rFonts w:asciiTheme="minorHAnsi" w:hAnsiTheme="minorHAnsi" w:cstheme="minorHAnsi"/>
          <w:color w:val="000000" w:themeColor="text1"/>
        </w:rPr>
        <w:t>e</w:t>
      </w:r>
      <w:r w:rsidRPr="00DE5FDC">
        <w:rPr>
          <w:rFonts w:asciiTheme="minorHAnsi" w:hAnsiTheme="minorHAnsi" w:cstheme="minorHAnsi"/>
          <w:color w:val="000000" w:themeColor="text1"/>
        </w:rPr>
        <w:t xml:space="preserve"> the same </w:t>
      </w:r>
      <w:r w:rsidR="0026351D" w:rsidRPr="00DE5FDC">
        <w:rPr>
          <w:rFonts w:asciiTheme="minorHAnsi" w:hAnsiTheme="minorHAnsi" w:cstheme="minorHAnsi"/>
          <w:color w:val="000000" w:themeColor="text1"/>
        </w:rPr>
        <w:t>rigorous</w:t>
      </w:r>
      <w:r w:rsidR="008748CA" w:rsidRPr="00DE5FDC">
        <w:rPr>
          <w:rFonts w:asciiTheme="minorHAnsi" w:hAnsiTheme="minorHAnsi" w:cstheme="minorHAnsi"/>
          <w:color w:val="000000" w:themeColor="text1"/>
        </w:rPr>
        <w:t xml:space="preserve"> operational research conditions</w:t>
      </w:r>
      <w:r w:rsidR="0026351D" w:rsidRPr="00DE5FDC">
        <w:rPr>
          <w:rFonts w:asciiTheme="minorHAnsi" w:hAnsiTheme="minorHAnsi" w:cstheme="minorHAnsi"/>
          <w:color w:val="000000" w:themeColor="text1"/>
        </w:rPr>
        <w:t xml:space="preserve"> for both regimens</w:t>
      </w:r>
      <w:r w:rsidR="008748CA" w:rsidRPr="00DE5FDC">
        <w:rPr>
          <w:rFonts w:asciiTheme="minorHAnsi" w:hAnsiTheme="minorHAnsi" w:cstheme="minorHAnsi"/>
          <w:color w:val="000000" w:themeColor="text1"/>
        </w:rPr>
        <w:t xml:space="preserve">.  Additional monitoring will </w:t>
      </w:r>
      <w:r w:rsidR="009637C1" w:rsidRPr="00DE5FDC">
        <w:rPr>
          <w:rFonts w:asciiTheme="minorHAnsi" w:hAnsiTheme="minorHAnsi" w:cstheme="minorHAnsi"/>
          <w:color w:val="000000" w:themeColor="text1"/>
        </w:rPr>
        <w:t xml:space="preserve">be </w:t>
      </w:r>
      <w:r w:rsidR="00D1672C" w:rsidRPr="00DE5FDC">
        <w:rPr>
          <w:rFonts w:asciiTheme="minorHAnsi" w:hAnsiTheme="minorHAnsi" w:cstheme="minorHAnsi"/>
          <w:color w:val="000000" w:themeColor="text1"/>
        </w:rPr>
        <w:t xml:space="preserve">required </w:t>
      </w:r>
      <w:r w:rsidR="008748CA" w:rsidRPr="00DE5FDC">
        <w:rPr>
          <w:rFonts w:asciiTheme="minorHAnsi" w:hAnsiTheme="minorHAnsi" w:cstheme="minorHAnsi"/>
          <w:color w:val="000000" w:themeColor="text1"/>
        </w:rPr>
        <w:t>for injectable-containing STRs</w:t>
      </w:r>
      <w:r w:rsidR="0049785C" w:rsidRPr="00DE5FDC">
        <w:rPr>
          <w:rFonts w:asciiTheme="minorHAnsi" w:hAnsiTheme="minorHAnsi" w:cstheme="minorHAnsi"/>
          <w:color w:val="000000" w:themeColor="text1"/>
        </w:rPr>
        <w:t xml:space="preserve">. </w:t>
      </w:r>
      <w:r w:rsidR="008748CA" w:rsidRPr="00DE5FDC">
        <w:rPr>
          <w:rFonts w:asciiTheme="minorHAnsi" w:hAnsiTheme="minorHAnsi" w:cstheme="minorHAnsi"/>
          <w:color w:val="000000" w:themeColor="text1"/>
        </w:rPr>
        <w:t xml:space="preserve"> </w:t>
      </w:r>
    </w:p>
    <w:p w14:paraId="69103889" w14:textId="084B9239" w:rsidR="00AB1095" w:rsidRPr="00B85017" w:rsidRDefault="00793D8E" w:rsidP="00725AA2">
      <w:pPr>
        <w:adjustRightInd w:val="0"/>
        <w:spacing w:before="0" w:after="200" w:line="269" w:lineRule="auto"/>
        <w:jc w:val="left"/>
        <w:rPr>
          <w:rFonts w:asciiTheme="minorHAnsi" w:hAnsiTheme="minorHAnsi" w:cstheme="minorHAnsi"/>
          <w:color w:val="000000" w:themeColor="text1"/>
          <w:sz w:val="23"/>
          <w:szCs w:val="23"/>
        </w:rPr>
      </w:pPr>
      <w:r w:rsidRPr="00DE5FDC">
        <w:rPr>
          <w:rFonts w:asciiTheme="minorHAnsi" w:hAnsiTheme="minorHAnsi" w:cstheme="minorHAnsi"/>
          <w:color w:val="000000" w:themeColor="text1"/>
        </w:rPr>
        <w:t>The</w:t>
      </w:r>
      <w:r w:rsidR="00E76E4C" w:rsidRPr="00DE5FDC">
        <w:rPr>
          <w:rFonts w:asciiTheme="minorHAnsi" w:hAnsiTheme="minorHAnsi" w:cstheme="minorHAnsi"/>
          <w:color w:val="000000" w:themeColor="text1"/>
        </w:rPr>
        <w:t xml:space="preserve"> endTB Medical Committee</w:t>
      </w:r>
      <w:r w:rsidR="00E76E4C" w:rsidRPr="00DE5FDC">
        <w:rPr>
          <w:rStyle w:val="FootnoteReference"/>
          <w:rFonts w:asciiTheme="minorHAnsi" w:hAnsiTheme="minorHAnsi"/>
          <w:color w:val="000000" w:themeColor="text1"/>
          <w:sz w:val="22"/>
        </w:rPr>
        <w:footnoteReference w:id="9"/>
      </w:r>
      <w:r w:rsidR="00E76E4C" w:rsidRPr="00DE5FDC">
        <w:rPr>
          <w:rFonts w:asciiTheme="minorHAnsi" w:hAnsiTheme="minorHAnsi" w:cstheme="minorHAnsi"/>
          <w:color w:val="000000" w:themeColor="text1"/>
        </w:rPr>
        <w:t xml:space="preserve"> is available to provide advice on the design of all-oral STRs as well as advice on individual case management to the projects associated with Partners In Health (PIH), Médecins Sans Frontières (MSF), Interactive Research and Development (IRD).  For projects </w:t>
      </w:r>
      <w:r w:rsidR="000727BA" w:rsidRPr="00DE5FDC">
        <w:rPr>
          <w:rFonts w:asciiTheme="minorHAnsi" w:hAnsiTheme="minorHAnsi" w:cstheme="minorHAnsi"/>
          <w:color w:val="000000" w:themeColor="text1"/>
        </w:rPr>
        <w:t xml:space="preserve">not associated with these organizations but interested in using the endTB Medical Committee as a resource, the endTB Medical Committee </w:t>
      </w:r>
      <w:r w:rsidR="00CC6132" w:rsidRPr="00DE5FDC">
        <w:rPr>
          <w:rFonts w:asciiTheme="minorHAnsi" w:hAnsiTheme="minorHAnsi" w:cstheme="minorHAnsi"/>
          <w:color w:val="000000" w:themeColor="text1"/>
        </w:rPr>
        <w:t xml:space="preserve">may </w:t>
      </w:r>
      <w:r w:rsidR="000727BA" w:rsidRPr="00DE5FDC">
        <w:rPr>
          <w:rFonts w:asciiTheme="minorHAnsi" w:hAnsiTheme="minorHAnsi" w:cstheme="minorHAnsi"/>
          <w:color w:val="000000" w:themeColor="text1"/>
        </w:rPr>
        <w:t>be contacted to discuss an arrangement.</w:t>
      </w:r>
      <w:r w:rsidR="000727BA" w:rsidRPr="00B85017">
        <w:rPr>
          <w:rFonts w:asciiTheme="minorHAnsi" w:hAnsiTheme="minorHAnsi" w:cstheme="minorHAnsi"/>
          <w:color w:val="000000" w:themeColor="text1"/>
          <w:sz w:val="23"/>
          <w:szCs w:val="23"/>
        </w:rPr>
        <w:t xml:space="preserve">  </w:t>
      </w:r>
      <w:r w:rsidR="00AB1095" w:rsidRPr="00B85017">
        <w:rPr>
          <w:rFonts w:asciiTheme="minorHAnsi" w:hAnsiTheme="minorHAnsi" w:cstheme="minorHAnsi"/>
          <w:color w:val="000000" w:themeColor="text1"/>
          <w:sz w:val="23"/>
          <w:szCs w:val="23"/>
        </w:rPr>
        <w:br w:type="page"/>
      </w:r>
    </w:p>
    <w:p w14:paraId="3D8FBF1A" w14:textId="257B33C2" w:rsidR="005A32E0" w:rsidRPr="00003170" w:rsidRDefault="00696EC5" w:rsidP="00003170">
      <w:pPr>
        <w:pStyle w:val="Heading1"/>
      </w:pPr>
      <w:bookmarkStart w:id="24" w:name="_Toc12792944"/>
      <w:bookmarkStart w:id="25" w:name="_Toc12952355"/>
      <w:bookmarkStart w:id="26" w:name="_Toc13486704"/>
      <w:r w:rsidRPr="00003170">
        <w:lastRenderedPageBreak/>
        <w:t>Criteria to decide if an all-oral STR can be used in a patient</w:t>
      </w:r>
      <w:bookmarkEnd w:id="24"/>
      <w:bookmarkEnd w:id="25"/>
      <w:bookmarkEnd w:id="26"/>
      <w:r w:rsidR="6A814265" w:rsidRPr="00003170">
        <w:t> </w:t>
      </w:r>
    </w:p>
    <w:p w14:paraId="10ABF884" w14:textId="757466D6" w:rsidR="00B76E9D" w:rsidRPr="00DE5FDC" w:rsidRDefault="00503F19" w:rsidP="00576167">
      <w:p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All-oral STRs should only be used in patients who </w:t>
      </w:r>
      <w:r w:rsidR="00B85BCD" w:rsidRPr="00DE5FDC">
        <w:rPr>
          <w:rFonts w:asciiTheme="minorHAnsi" w:hAnsiTheme="minorHAnsi" w:cstheme="minorHAnsi"/>
          <w:color w:val="000000" w:themeColor="text1"/>
        </w:rPr>
        <w:t>consent to treatment</w:t>
      </w:r>
      <w:r w:rsidR="00944323" w:rsidRPr="00DE5FDC">
        <w:rPr>
          <w:rFonts w:asciiTheme="minorHAnsi" w:hAnsiTheme="minorHAnsi" w:cstheme="minorHAnsi"/>
          <w:color w:val="000000" w:themeColor="text1"/>
        </w:rPr>
        <w:t xml:space="preserve"> after being informed of the risk</w:t>
      </w:r>
      <w:r w:rsidR="005D1A19" w:rsidRPr="00DE5FDC">
        <w:rPr>
          <w:rFonts w:asciiTheme="minorHAnsi" w:hAnsiTheme="minorHAnsi" w:cstheme="minorHAnsi"/>
          <w:color w:val="000000" w:themeColor="text1"/>
        </w:rPr>
        <w:t xml:space="preserve">s/benefits of being treated </w:t>
      </w:r>
      <w:r w:rsidR="000406DB" w:rsidRPr="00DE5FDC">
        <w:rPr>
          <w:rFonts w:asciiTheme="minorHAnsi" w:hAnsiTheme="minorHAnsi" w:cstheme="minorHAnsi"/>
          <w:color w:val="000000" w:themeColor="text1"/>
        </w:rPr>
        <w:t xml:space="preserve">with </w:t>
      </w:r>
      <w:r w:rsidR="002F193F" w:rsidRPr="00DE5FDC">
        <w:rPr>
          <w:rFonts w:asciiTheme="minorHAnsi" w:hAnsiTheme="minorHAnsi" w:cstheme="minorHAnsi"/>
          <w:color w:val="000000" w:themeColor="text1"/>
        </w:rPr>
        <w:t>a regimen that is novel in nature</w:t>
      </w:r>
      <w:r w:rsidR="00A7239D" w:rsidRPr="00DE5FDC">
        <w:rPr>
          <w:rFonts w:asciiTheme="minorHAnsi" w:hAnsiTheme="minorHAnsi" w:cstheme="minorHAnsi"/>
          <w:color w:val="000000" w:themeColor="text1"/>
        </w:rPr>
        <w:t xml:space="preserve"> (also see Section </w:t>
      </w:r>
      <w:r w:rsidR="00C30730" w:rsidRPr="00DE5FDC">
        <w:rPr>
          <w:rFonts w:asciiTheme="minorHAnsi" w:hAnsiTheme="minorHAnsi" w:cstheme="minorHAnsi"/>
          <w:color w:val="000000" w:themeColor="text1"/>
        </w:rPr>
        <w:fldChar w:fldCharType="begin"/>
      </w:r>
      <w:r w:rsidR="00C30730" w:rsidRPr="00DE5FDC">
        <w:rPr>
          <w:rFonts w:asciiTheme="minorHAnsi" w:hAnsiTheme="minorHAnsi" w:cstheme="minorHAnsi"/>
          <w:color w:val="000000" w:themeColor="text1"/>
        </w:rPr>
        <w:instrText xml:space="preserve"> REF _Ref12884960 \r \h  \* MERGEFORMAT </w:instrText>
      </w:r>
      <w:r w:rsidR="00C30730" w:rsidRPr="00DE5FDC">
        <w:rPr>
          <w:rFonts w:asciiTheme="minorHAnsi" w:hAnsiTheme="minorHAnsi" w:cstheme="minorHAnsi"/>
          <w:color w:val="000000" w:themeColor="text1"/>
        </w:rPr>
      </w:r>
      <w:r w:rsidR="00C30730" w:rsidRPr="00DE5FDC">
        <w:rPr>
          <w:rFonts w:asciiTheme="minorHAnsi" w:hAnsiTheme="minorHAnsi" w:cstheme="minorHAnsi"/>
          <w:color w:val="000000" w:themeColor="text1"/>
        </w:rPr>
        <w:fldChar w:fldCharType="separate"/>
      </w:r>
      <w:r w:rsidR="00C30730" w:rsidRPr="00DE5FDC">
        <w:rPr>
          <w:rFonts w:asciiTheme="minorHAnsi" w:hAnsiTheme="minorHAnsi" w:cstheme="minorHAnsi"/>
          <w:color w:val="000000" w:themeColor="text1"/>
        </w:rPr>
        <w:t>5</w:t>
      </w:r>
      <w:r w:rsidR="00C30730" w:rsidRPr="00DE5FDC">
        <w:rPr>
          <w:rFonts w:asciiTheme="minorHAnsi" w:hAnsiTheme="minorHAnsi" w:cstheme="minorHAnsi"/>
          <w:color w:val="000000" w:themeColor="text1"/>
        </w:rPr>
        <w:fldChar w:fldCharType="end"/>
      </w:r>
      <w:r w:rsidR="003D7407" w:rsidRPr="00DE5FDC">
        <w:rPr>
          <w:rFonts w:asciiTheme="minorHAnsi" w:hAnsiTheme="minorHAnsi" w:cstheme="minorHAnsi"/>
          <w:color w:val="000000" w:themeColor="text1"/>
        </w:rPr>
        <w:t xml:space="preserve"> on patient consent and patient education</w:t>
      </w:r>
      <w:r w:rsidR="00A7239D" w:rsidRPr="00DE5FDC">
        <w:rPr>
          <w:rFonts w:asciiTheme="minorHAnsi" w:hAnsiTheme="minorHAnsi" w:cstheme="minorHAnsi"/>
          <w:color w:val="000000" w:themeColor="text1"/>
        </w:rPr>
        <w:t>)</w:t>
      </w:r>
      <w:r w:rsidR="002F193F" w:rsidRPr="00DE5FDC">
        <w:rPr>
          <w:rFonts w:asciiTheme="minorHAnsi" w:hAnsiTheme="minorHAnsi" w:cstheme="minorHAnsi"/>
          <w:color w:val="000000" w:themeColor="text1"/>
        </w:rPr>
        <w:t xml:space="preserve">. </w:t>
      </w:r>
    </w:p>
    <w:p w14:paraId="381E99AF" w14:textId="1BDFC28F" w:rsidR="00495845" w:rsidRPr="00DE5FDC" w:rsidRDefault="001172D3" w:rsidP="00576167">
      <w:p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All-oral STRs </w:t>
      </w:r>
      <w:r w:rsidR="006B21F4" w:rsidRPr="00DE5FDC">
        <w:rPr>
          <w:rFonts w:asciiTheme="minorHAnsi" w:hAnsiTheme="minorHAnsi" w:cstheme="minorHAnsi"/>
          <w:color w:val="000000" w:themeColor="text1"/>
        </w:rPr>
        <w:t>are</w:t>
      </w:r>
      <w:r w:rsidRPr="00DE5FDC">
        <w:rPr>
          <w:rFonts w:asciiTheme="minorHAnsi" w:hAnsiTheme="minorHAnsi" w:cstheme="minorHAnsi"/>
          <w:color w:val="000000" w:themeColor="text1"/>
        </w:rPr>
        <w:t xml:space="preserve"> </w:t>
      </w:r>
      <w:r w:rsidR="00503F19" w:rsidRPr="00DE5FDC">
        <w:rPr>
          <w:rFonts w:asciiTheme="minorHAnsi" w:hAnsiTheme="minorHAnsi" w:cstheme="minorHAnsi"/>
          <w:color w:val="000000" w:themeColor="text1"/>
        </w:rPr>
        <w:t>not</w:t>
      </w:r>
      <w:r w:rsidR="006B21F4" w:rsidRPr="00DE5FDC">
        <w:rPr>
          <w:rFonts w:asciiTheme="minorHAnsi" w:hAnsiTheme="minorHAnsi" w:cstheme="minorHAnsi"/>
          <w:color w:val="000000" w:themeColor="text1"/>
        </w:rPr>
        <w:t xml:space="preserve"> to</w:t>
      </w:r>
      <w:r w:rsidR="00503F19" w:rsidRPr="00DE5FDC">
        <w:rPr>
          <w:rFonts w:asciiTheme="minorHAnsi" w:hAnsiTheme="minorHAnsi" w:cstheme="minorHAnsi"/>
          <w:color w:val="000000" w:themeColor="text1"/>
        </w:rPr>
        <w:t xml:space="preserve"> be</w:t>
      </w:r>
      <w:r w:rsidR="00715BA3" w:rsidRPr="00DE5FDC">
        <w:rPr>
          <w:rFonts w:asciiTheme="minorHAnsi" w:hAnsiTheme="minorHAnsi" w:cstheme="minorHAnsi"/>
          <w:color w:val="000000" w:themeColor="text1"/>
        </w:rPr>
        <w:t xml:space="preserve"> used if any of the following criteria is present</w:t>
      </w:r>
      <w:r w:rsidR="00D60C7C" w:rsidRPr="00DE5FDC">
        <w:rPr>
          <w:rFonts w:asciiTheme="minorHAnsi" w:hAnsiTheme="minorHAnsi" w:cstheme="minorHAnsi"/>
          <w:color w:val="000000" w:themeColor="text1"/>
        </w:rPr>
        <w:t>:</w:t>
      </w:r>
    </w:p>
    <w:p w14:paraId="346913EE" w14:textId="3552E96C" w:rsidR="00495845" w:rsidRPr="00DE5FDC" w:rsidRDefault="00DF7B7F" w:rsidP="00CB2F8E">
      <w:pPr>
        <w:pStyle w:val="ListParagraph"/>
        <w:numPr>
          <w:ilvl w:val="0"/>
          <w:numId w:val="20"/>
        </w:numPr>
        <w:rPr>
          <w:rFonts w:asciiTheme="minorHAnsi" w:hAnsiTheme="minorHAnsi" w:cstheme="minorHAnsi"/>
          <w:color w:val="000000" w:themeColor="text1"/>
        </w:rPr>
      </w:pPr>
      <w:r w:rsidRPr="00DE5FDC">
        <w:rPr>
          <w:rFonts w:asciiTheme="minorHAnsi" w:hAnsiTheme="minorHAnsi" w:cstheme="minorHAnsi"/>
          <w:color w:val="000000" w:themeColor="text1"/>
        </w:rPr>
        <w:t xml:space="preserve">Patient is unwilling or unable to give informed consent (signed or witnessed consent </w:t>
      </w:r>
      <w:r w:rsidR="00C90AEB" w:rsidRPr="00DE5FDC">
        <w:rPr>
          <w:rFonts w:asciiTheme="minorHAnsi" w:hAnsiTheme="minorHAnsi" w:cstheme="minorHAnsi"/>
          <w:color w:val="000000" w:themeColor="text1"/>
        </w:rPr>
        <w:t xml:space="preserve">from a legal </w:t>
      </w:r>
      <w:r w:rsidR="00BB3ED0" w:rsidRPr="00DE5FDC">
        <w:rPr>
          <w:rFonts w:asciiTheme="minorHAnsi" w:hAnsiTheme="minorHAnsi" w:cstheme="minorHAnsi"/>
          <w:color w:val="000000" w:themeColor="text1"/>
        </w:rPr>
        <w:t>custodian</w:t>
      </w:r>
      <w:r w:rsidR="00C90AEB" w:rsidRPr="00DE5FDC">
        <w:rPr>
          <w:rFonts w:asciiTheme="minorHAnsi" w:hAnsiTheme="minorHAnsi" w:cstheme="minorHAnsi"/>
          <w:color w:val="000000" w:themeColor="text1"/>
        </w:rPr>
        <w:t xml:space="preserve"> if patient is not competent;</w:t>
      </w:r>
      <w:r w:rsidRPr="00DE5FDC">
        <w:rPr>
          <w:rFonts w:asciiTheme="minorHAnsi" w:hAnsiTheme="minorHAnsi" w:cstheme="minorHAnsi"/>
          <w:color w:val="000000" w:themeColor="text1"/>
        </w:rPr>
        <w:t xml:space="preserve"> signed or witnessed consent from a </w:t>
      </w:r>
      <w:r w:rsidR="006D322C" w:rsidRPr="00DE5FDC">
        <w:rPr>
          <w:rFonts w:asciiTheme="minorHAnsi" w:hAnsiTheme="minorHAnsi" w:cstheme="minorHAnsi"/>
          <w:color w:val="000000" w:themeColor="text1"/>
        </w:rPr>
        <w:t xml:space="preserve">minor’s </w:t>
      </w:r>
      <w:r w:rsidRPr="00DE5FDC">
        <w:rPr>
          <w:rFonts w:asciiTheme="minorHAnsi" w:hAnsiTheme="minorHAnsi" w:cstheme="minorHAnsi"/>
          <w:color w:val="000000" w:themeColor="text1"/>
        </w:rPr>
        <w:t>parent or legal guardian).</w:t>
      </w:r>
    </w:p>
    <w:p w14:paraId="3F5248E8" w14:textId="77777777" w:rsidR="005A5029" w:rsidRPr="00DE5FDC" w:rsidRDefault="005A5029" w:rsidP="00CB2F8E">
      <w:pPr>
        <w:pStyle w:val="ListParagraph"/>
        <w:numPr>
          <w:ilvl w:val="0"/>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Confirmed or suspected resistance to the fluoroquinolones (FQs): </w:t>
      </w:r>
    </w:p>
    <w:p w14:paraId="3AC69CBE" w14:textId="77777777" w:rsidR="003A16B2" w:rsidRDefault="005A5029" w:rsidP="00CB2F8E">
      <w:pPr>
        <w:pStyle w:val="ListParagraph"/>
        <w:numPr>
          <w:ilvl w:val="1"/>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It is recommended to rule out FQ-resistance with a line probe assay (LPA) test prior to starting the all-oral STR. </w:t>
      </w:r>
    </w:p>
    <w:p w14:paraId="52C3CBD0" w14:textId="196320D2" w:rsidR="005A5029" w:rsidRPr="00DE5FDC" w:rsidRDefault="00D85B80" w:rsidP="00CB2F8E">
      <w:pPr>
        <w:pStyle w:val="ListParagraph"/>
        <w:numPr>
          <w:ilvl w:val="1"/>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If </w:t>
      </w:r>
      <w:r w:rsidR="003A16B2">
        <w:rPr>
          <w:rFonts w:asciiTheme="minorHAnsi" w:hAnsiTheme="minorHAnsi" w:cstheme="minorHAnsi"/>
          <w:color w:val="000000" w:themeColor="text1"/>
        </w:rPr>
        <w:t xml:space="preserve">second-line drug </w:t>
      </w:r>
      <w:r w:rsidRPr="00DE5FDC">
        <w:rPr>
          <w:rFonts w:asciiTheme="minorHAnsi" w:hAnsiTheme="minorHAnsi" w:cstheme="minorHAnsi"/>
          <w:color w:val="000000" w:themeColor="text1"/>
        </w:rPr>
        <w:t>LPA is not availabl</w:t>
      </w:r>
      <w:r w:rsidR="003A16B2">
        <w:rPr>
          <w:rFonts w:asciiTheme="minorHAnsi" w:hAnsiTheme="minorHAnsi" w:cstheme="minorHAnsi"/>
          <w:color w:val="000000" w:themeColor="text1"/>
        </w:rPr>
        <w:t xml:space="preserve">e and </w:t>
      </w:r>
      <w:r w:rsidRPr="00DE5FDC">
        <w:rPr>
          <w:rFonts w:asciiTheme="minorHAnsi" w:hAnsiTheme="minorHAnsi" w:cstheme="minorHAnsi"/>
          <w:color w:val="000000" w:themeColor="text1"/>
        </w:rPr>
        <w:t xml:space="preserve">phenotypic DST </w:t>
      </w:r>
      <w:r w:rsidR="003A16B2">
        <w:rPr>
          <w:rFonts w:asciiTheme="minorHAnsi" w:hAnsiTheme="minorHAnsi" w:cstheme="minorHAnsi"/>
          <w:color w:val="000000" w:themeColor="text1"/>
        </w:rPr>
        <w:t>is available,</w:t>
      </w:r>
      <w:r w:rsidRPr="00DE5FDC">
        <w:rPr>
          <w:rFonts w:asciiTheme="minorHAnsi" w:hAnsiTheme="minorHAnsi" w:cstheme="minorHAnsi"/>
          <w:color w:val="000000" w:themeColor="text1"/>
        </w:rPr>
        <w:t xml:space="preserve"> the regimen </w:t>
      </w:r>
      <w:r w:rsidR="003A16B2">
        <w:rPr>
          <w:rFonts w:asciiTheme="minorHAnsi" w:hAnsiTheme="minorHAnsi" w:cstheme="minorHAnsi"/>
          <w:color w:val="000000" w:themeColor="text1"/>
        </w:rPr>
        <w:t xml:space="preserve">can be </w:t>
      </w:r>
      <w:r w:rsidRPr="00DE5FDC">
        <w:rPr>
          <w:rFonts w:asciiTheme="minorHAnsi" w:hAnsiTheme="minorHAnsi" w:cstheme="minorHAnsi"/>
          <w:color w:val="000000" w:themeColor="text1"/>
        </w:rPr>
        <w:t xml:space="preserve">adjusted </w:t>
      </w:r>
      <w:r w:rsidR="003A16B2">
        <w:rPr>
          <w:rFonts w:asciiTheme="minorHAnsi" w:hAnsiTheme="minorHAnsi" w:cstheme="minorHAnsi"/>
          <w:color w:val="000000" w:themeColor="text1"/>
        </w:rPr>
        <w:t>when the phenotypic DST become available (</w:t>
      </w:r>
      <w:r w:rsidR="00EB2B89" w:rsidRPr="00EB2B89">
        <w:rPr>
          <w:rFonts w:asciiTheme="minorHAnsi" w:hAnsiTheme="minorHAnsi" w:cstheme="minorHAnsi"/>
          <w:color w:val="000000" w:themeColor="text1"/>
        </w:rPr>
        <w:t xml:space="preserve">in many cases the regimen will be robust enough to have a low probability of resulting in drug resistance amplification if FQ resistance is discovered, see Section </w:t>
      </w:r>
      <w:r w:rsidR="00EB2B89">
        <w:rPr>
          <w:rFonts w:asciiTheme="minorHAnsi" w:hAnsiTheme="minorHAnsi" w:cstheme="minorHAnsi"/>
          <w:color w:val="000000" w:themeColor="text1"/>
        </w:rPr>
        <w:fldChar w:fldCharType="begin"/>
      </w:r>
      <w:r w:rsidR="00EB2B89">
        <w:rPr>
          <w:rFonts w:asciiTheme="minorHAnsi" w:hAnsiTheme="minorHAnsi" w:cstheme="minorHAnsi"/>
          <w:color w:val="000000" w:themeColor="text1"/>
        </w:rPr>
        <w:instrText xml:space="preserve"> REF _Ref13514909 \r \h </w:instrText>
      </w:r>
      <w:r w:rsidR="00EB2B89">
        <w:rPr>
          <w:rFonts w:asciiTheme="minorHAnsi" w:hAnsiTheme="minorHAnsi" w:cstheme="minorHAnsi"/>
          <w:color w:val="000000" w:themeColor="text1"/>
        </w:rPr>
      </w:r>
      <w:r w:rsidR="00EB2B89">
        <w:rPr>
          <w:rFonts w:asciiTheme="minorHAnsi" w:hAnsiTheme="minorHAnsi" w:cstheme="minorHAnsi"/>
          <w:color w:val="000000" w:themeColor="text1"/>
        </w:rPr>
        <w:fldChar w:fldCharType="separate"/>
      </w:r>
      <w:r w:rsidR="00EB2B89">
        <w:rPr>
          <w:rFonts w:asciiTheme="minorHAnsi" w:hAnsiTheme="minorHAnsi" w:cstheme="minorHAnsi"/>
          <w:color w:val="000000" w:themeColor="text1"/>
        </w:rPr>
        <w:t>4.1</w:t>
      </w:r>
      <w:r w:rsidR="00EB2B89">
        <w:rPr>
          <w:rFonts w:asciiTheme="minorHAnsi" w:hAnsiTheme="minorHAnsi" w:cstheme="minorHAnsi"/>
          <w:color w:val="000000" w:themeColor="text1"/>
        </w:rPr>
        <w:fldChar w:fldCharType="end"/>
      </w:r>
      <w:r w:rsidR="00EB2B89">
        <w:rPr>
          <w:rFonts w:asciiTheme="minorHAnsi" w:hAnsiTheme="minorHAnsi" w:cstheme="minorHAnsi"/>
          <w:color w:val="000000" w:themeColor="text1"/>
        </w:rPr>
        <w:t xml:space="preserve"> </w:t>
      </w:r>
      <w:r w:rsidR="00EB2B89" w:rsidRPr="00EB2B89">
        <w:rPr>
          <w:rFonts w:asciiTheme="minorHAnsi" w:hAnsiTheme="minorHAnsi" w:cstheme="minorHAnsi"/>
          <w:color w:val="000000" w:themeColor="text1"/>
        </w:rPr>
        <w:t>on adjusting the regimen for FQ-resistance</w:t>
      </w:r>
      <w:r w:rsidR="003A16B2">
        <w:rPr>
          <w:rFonts w:asciiTheme="minorHAnsi" w:hAnsiTheme="minorHAnsi" w:cstheme="minorHAnsi"/>
          <w:color w:val="000000" w:themeColor="text1"/>
        </w:rPr>
        <w:t>)</w:t>
      </w:r>
      <w:r w:rsidRPr="00DE5FDC">
        <w:rPr>
          <w:rFonts w:asciiTheme="minorHAnsi" w:hAnsiTheme="minorHAnsi" w:cstheme="minorHAnsi"/>
          <w:color w:val="000000" w:themeColor="text1"/>
        </w:rPr>
        <w:t>.</w:t>
      </w:r>
    </w:p>
    <w:p w14:paraId="03D86DE8" w14:textId="570C8796" w:rsidR="005A5029" w:rsidRPr="00DE5FDC" w:rsidRDefault="005A5029" w:rsidP="00CB2F8E">
      <w:pPr>
        <w:pStyle w:val="ListParagraph"/>
        <w:numPr>
          <w:ilvl w:val="0"/>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Confirmed or suspected resistance to </w:t>
      </w:r>
      <w:r w:rsidR="00C10564" w:rsidRPr="00DE5FDC">
        <w:rPr>
          <w:rFonts w:asciiTheme="minorHAnsi" w:hAnsiTheme="minorHAnsi" w:cstheme="minorHAnsi"/>
          <w:color w:val="000000" w:themeColor="text1"/>
        </w:rPr>
        <w:t>a</w:t>
      </w:r>
      <w:r w:rsidRPr="00DE5FDC">
        <w:rPr>
          <w:rFonts w:asciiTheme="minorHAnsi" w:hAnsiTheme="minorHAnsi" w:cstheme="minorHAnsi"/>
          <w:color w:val="000000" w:themeColor="text1"/>
        </w:rPr>
        <w:t xml:space="preserve"> drug in the regimen and the drug cannot be replaced by an oral drug of similar efficacy</w:t>
      </w:r>
      <w:r w:rsidR="00D85B80" w:rsidRPr="00DE5FDC">
        <w:rPr>
          <w:rFonts w:asciiTheme="minorHAnsi" w:hAnsiTheme="minorHAnsi" w:cstheme="minorHAnsi"/>
          <w:color w:val="000000" w:themeColor="text1"/>
        </w:rPr>
        <w:t xml:space="preserve"> to maintain an adequate number of likely effective drugs in the regimen</w:t>
      </w:r>
      <w:r w:rsidRPr="00DE5FDC">
        <w:rPr>
          <w:rFonts w:asciiTheme="minorHAnsi" w:hAnsiTheme="minorHAnsi" w:cstheme="minorHAnsi"/>
          <w:color w:val="000000" w:themeColor="text1"/>
        </w:rPr>
        <w:t>.</w:t>
      </w:r>
    </w:p>
    <w:p w14:paraId="20FD219E" w14:textId="3A349AAD" w:rsidR="005A5029" w:rsidRPr="00DE5FDC" w:rsidRDefault="005A5029" w:rsidP="00CB2F8E">
      <w:pPr>
        <w:pStyle w:val="ListParagraph"/>
        <w:numPr>
          <w:ilvl w:val="1"/>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One exception to this criteria may be pyrazinamide resistance where the drug is sometimes included in the regimen despite suspected resistance (see discussion on pyrazinamide in Section </w:t>
      </w:r>
      <w:r w:rsidRPr="00DE5FDC">
        <w:rPr>
          <w:rFonts w:asciiTheme="minorHAnsi" w:hAnsiTheme="minorHAnsi" w:cstheme="minorHAnsi"/>
          <w:color w:val="000000" w:themeColor="text1"/>
        </w:rPr>
        <w:fldChar w:fldCharType="begin"/>
      </w:r>
      <w:r w:rsidRPr="00DE5FDC">
        <w:rPr>
          <w:rFonts w:asciiTheme="minorHAnsi" w:hAnsiTheme="minorHAnsi" w:cstheme="minorHAnsi"/>
          <w:color w:val="000000" w:themeColor="text1"/>
        </w:rPr>
        <w:instrText xml:space="preserve"> REF _Ref11078675 \n \h  \* MERGEFORMAT </w:instrText>
      </w:r>
      <w:r w:rsidRPr="00DE5FDC">
        <w:rPr>
          <w:rFonts w:asciiTheme="minorHAnsi" w:hAnsiTheme="minorHAnsi" w:cstheme="minorHAnsi"/>
          <w:color w:val="000000" w:themeColor="text1"/>
        </w:rPr>
      </w:r>
      <w:r w:rsidRPr="00DE5FDC">
        <w:rPr>
          <w:rFonts w:asciiTheme="minorHAnsi" w:hAnsiTheme="minorHAnsi" w:cstheme="minorHAnsi"/>
          <w:color w:val="000000" w:themeColor="text1"/>
        </w:rPr>
        <w:fldChar w:fldCharType="separate"/>
      </w:r>
      <w:r w:rsidR="00C21E58" w:rsidRPr="00DE5FDC">
        <w:rPr>
          <w:rFonts w:asciiTheme="minorHAnsi" w:hAnsiTheme="minorHAnsi" w:cstheme="minorHAnsi"/>
          <w:color w:val="000000" w:themeColor="text1"/>
        </w:rPr>
        <w:t>3.2</w:t>
      </w:r>
      <w:r w:rsidRPr="00DE5FDC">
        <w:rPr>
          <w:rFonts w:asciiTheme="minorHAnsi" w:hAnsiTheme="minorHAnsi" w:cstheme="minorHAnsi"/>
          <w:color w:val="000000" w:themeColor="text1"/>
        </w:rPr>
        <w:fldChar w:fldCharType="end"/>
      </w:r>
      <w:r w:rsidRPr="00DE5FDC">
        <w:rPr>
          <w:rFonts w:asciiTheme="minorHAnsi" w:hAnsiTheme="minorHAnsi" w:cstheme="minorHAnsi"/>
          <w:color w:val="000000" w:themeColor="text1"/>
        </w:rPr>
        <w:t>).</w:t>
      </w:r>
    </w:p>
    <w:p w14:paraId="04343DC7" w14:textId="61D0BD7C" w:rsidR="00495845" w:rsidRPr="00DE5FDC" w:rsidRDefault="00495845" w:rsidP="00CB2F8E">
      <w:pPr>
        <w:pStyle w:val="ListParagraph"/>
        <w:numPr>
          <w:ilvl w:val="0"/>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Intolerance to medicine</w:t>
      </w:r>
      <w:r w:rsidR="00161744"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s</w:t>
      </w:r>
      <w:r w:rsidR="00161744"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 in the </w:t>
      </w:r>
      <w:r w:rsidR="00275E52" w:rsidRPr="00DE5FDC">
        <w:rPr>
          <w:rFonts w:asciiTheme="minorHAnsi" w:hAnsiTheme="minorHAnsi" w:cstheme="minorHAnsi"/>
          <w:color w:val="000000" w:themeColor="text1"/>
        </w:rPr>
        <w:t xml:space="preserve">regimen </w:t>
      </w:r>
      <w:r w:rsidRPr="00DE5FDC">
        <w:rPr>
          <w:rFonts w:asciiTheme="minorHAnsi" w:hAnsiTheme="minorHAnsi" w:cstheme="minorHAnsi"/>
          <w:color w:val="000000" w:themeColor="text1"/>
        </w:rPr>
        <w:t xml:space="preserve">or </w:t>
      </w:r>
      <w:r w:rsidR="00B10D0C" w:rsidRPr="00DE5FDC">
        <w:rPr>
          <w:rFonts w:asciiTheme="minorHAnsi" w:hAnsiTheme="minorHAnsi" w:cstheme="minorHAnsi"/>
          <w:color w:val="000000" w:themeColor="text1"/>
        </w:rPr>
        <w:t xml:space="preserve">high </w:t>
      </w:r>
      <w:r w:rsidRPr="00DE5FDC">
        <w:rPr>
          <w:rFonts w:asciiTheme="minorHAnsi" w:hAnsiTheme="minorHAnsi" w:cstheme="minorHAnsi"/>
          <w:color w:val="000000" w:themeColor="text1"/>
        </w:rPr>
        <w:t>risk of toxicity (e.g. drug–drug interactions</w:t>
      </w:r>
      <w:r w:rsidR="00345E8E" w:rsidRPr="00DE5FDC">
        <w:rPr>
          <w:rFonts w:asciiTheme="minorHAnsi" w:hAnsiTheme="minorHAnsi" w:cstheme="minorHAnsi"/>
          <w:color w:val="000000" w:themeColor="text1"/>
        </w:rPr>
        <w:t xml:space="preserve"> or a baseline morbidity</w:t>
      </w:r>
      <w:r w:rsidR="001C1D57" w:rsidRPr="00DE5FDC">
        <w:rPr>
          <w:rFonts w:asciiTheme="minorHAnsi" w:hAnsiTheme="minorHAnsi" w:cstheme="minorHAnsi"/>
          <w:color w:val="000000" w:themeColor="text1"/>
        </w:rPr>
        <w:t xml:space="preserve"> that could potentiate the risk for a known adverse drug reaction</w:t>
      </w:r>
      <w:r w:rsidRPr="00DE5FDC">
        <w:rPr>
          <w:rFonts w:asciiTheme="minorHAnsi" w:hAnsiTheme="minorHAnsi" w:cstheme="minorHAnsi"/>
          <w:color w:val="000000" w:themeColor="text1"/>
        </w:rPr>
        <w:t>)</w:t>
      </w:r>
      <w:r w:rsidR="00A84285" w:rsidRPr="00DE5FDC">
        <w:rPr>
          <w:rFonts w:asciiTheme="minorHAnsi" w:hAnsiTheme="minorHAnsi" w:cstheme="minorHAnsi"/>
          <w:color w:val="000000" w:themeColor="text1"/>
        </w:rPr>
        <w:t xml:space="preserve"> and the medicine</w:t>
      </w:r>
      <w:r w:rsidR="00161744" w:rsidRPr="00DE5FDC">
        <w:rPr>
          <w:rFonts w:asciiTheme="minorHAnsi" w:hAnsiTheme="minorHAnsi" w:cstheme="minorHAnsi"/>
          <w:color w:val="000000" w:themeColor="text1"/>
        </w:rPr>
        <w:t>(s)</w:t>
      </w:r>
      <w:r w:rsidR="00A84285" w:rsidRPr="00DE5FDC">
        <w:rPr>
          <w:rFonts w:asciiTheme="minorHAnsi" w:hAnsiTheme="minorHAnsi" w:cstheme="minorHAnsi"/>
          <w:color w:val="000000" w:themeColor="text1"/>
        </w:rPr>
        <w:t xml:space="preserve"> </w:t>
      </w:r>
      <w:r w:rsidR="00C10564" w:rsidRPr="00DE5FDC">
        <w:rPr>
          <w:rFonts w:asciiTheme="minorHAnsi" w:hAnsiTheme="minorHAnsi" w:cstheme="minorHAnsi"/>
          <w:color w:val="000000" w:themeColor="text1"/>
          <w:u w:val="single"/>
        </w:rPr>
        <w:t>and</w:t>
      </w:r>
      <w:r w:rsidR="00C10564" w:rsidRPr="00DE5FDC">
        <w:rPr>
          <w:rFonts w:asciiTheme="minorHAnsi" w:hAnsiTheme="minorHAnsi" w:cstheme="minorHAnsi"/>
          <w:color w:val="000000" w:themeColor="text1"/>
        </w:rPr>
        <w:t xml:space="preserve"> the drug </w:t>
      </w:r>
      <w:r w:rsidR="00A84285" w:rsidRPr="00DE5FDC">
        <w:rPr>
          <w:rFonts w:asciiTheme="minorHAnsi" w:hAnsiTheme="minorHAnsi" w:cstheme="minorHAnsi"/>
          <w:color w:val="000000" w:themeColor="text1"/>
        </w:rPr>
        <w:t>cannot be replaced</w:t>
      </w:r>
      <w:r w:rsidR="00273C73" w:rsidRPr="00DE5FDC">
        <w:rPr>
          <w:rFonts w:asciiTheme="minorHAnsi" w:hAnsiTheme="minorHAnsi" w:cstheme="minorHAnsi"/>
          <w:color w:val="000000" w:themeColor="text1"/>
        </w:rPr>
        <w:t xml:space="preserve"> </w:t>
      </w:r>
      <w:r w:rsidR="00F44DBB" w:rsidRPr="00DE5FDC">
        <w:rPr>
          <w:rFonts w:asciiTheme="minorHAnsi" w:hAnsiTheme="minorHAnsi" w:cstheme="minorHAnsi"/>
          <w:color w:val="000000" w:themeColor="text1"/>
        </w:rPr>
        <w:t xml:space="preserve">by </w:t>
      </w:r>
      <w:r w:rsidR="006E6F1A" w:rsidRPr="00DE5FDC">
        <w:rPr>
          <w:rFonts w:asciiTheme="minorHAnsi" w:hAnsiTheme="minorHAnsi" w:cstheme="minorHAnsi"/>
          <w:color w:val="000000" w:themeColor="text1"/>
        </w:rPr>
        <w:t xml:space="preserve">another </w:t>
      </w:r>
      <w:r w:rsidR="005F073C" w:rsidRPr="00DE5FDC">
        <w:rPr>
          <w:rFonts w:asciiTheme="minorHAnsi" w:hAnsiTheme="minorHAnsi" w:cstheme="minorHAnsi"/>
          <w:color w:val="000000" w:themeColor="text1"/>
        </w:rPr>
        <w:t>oral drug of similar efficacy</w:t>
      </w:r>
      <w:r w:rsidR="00E964E4" w:rsidRPr="00DE5FDC">
        <w:rPr>
          <w:rFonts w:asciiTheme="minorHAnsi" w:hAnsiTheme="minorHAnsi" w:cstheme="minorHAnsi"/>
          <w:color w:val="000000" w:themeColor="text1"/>
        </w:rPr>
        <w:t>.</w:t>
      </w:r>
    </w:p>
    <w:p w14:paraId="0F1AFB18" w14:textId="77777777" w:rsidR="00D04AF8" w:rsidRPr="00DE5FDC" w:rsidRDefault="00D04AF8" w:rsidP="00CB2F8E">
      <w:pPr>
        <w:pStyle w:val="ListParagraph"/>
        <w:numPr>
          <w:ilvl w:val="0"/>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Disseminated, meningeal or central nervous system (CNS) TB.</w:t>
      </w:r>
    </w:p>
    <w:p w14:paraId="3B65699B" w14:textId="77777777" w:rsidR="007250E4" w:rsidRPr="00DE5FDC" w:rsidRDefault="007250E4" w:rsidP="007250E4">
      <w:p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For patients who do not meet the criteria for receiving the standard all-oral STR, this guide recommends that these patients receive a longer treatment regimen (LTR) that is individually designed.</w:t>
      </w:r>
    </w:p>
    <w:p w14:paraId="2102253B" w14:textId="2C13C469" w:rsidR="00D04AF8" w:rsidRPr="00DE5FDC" w:rsidRDefault="00B107CA" w:rsidP="00576167">
      <w:p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Patients who fall into the following patient populations </w:t>
      </w:r>
      <w:r w:rsidR="00C10564" w:rsidRPr="00DE5FDC">
        <w:rPr>
          <w:rFonts w:asciiTheme="minorHAnsi" w:hAnsiTheme="minorHAnsi" w:cstheme="minorHAnsi"/>
          <w:color w:val="000000" w:themeColor="text1"/>
        </w:rPr>
        <w:t xml:space="preserve">can be included </w:t>
      </w:r>
      <w:r w:rsidR="007250E4" w:rsidRPr="00DE5FDC">
        <w:rPr>
          <w:rFonts w:asciiTheme="minorHAnsi" w:hAnsiTheme="minorHAnsi" w:cstheme="minorHAnsi"/>
          <w:color w:val="000000" w:themeColor="text1"/>
        </w:rPr>
        <w:t>for</w:t>
      </w:r>
      <w:r w:rsidRPr="00DE5FDC">
        <w:rPr>
          <w:rFonts w:asciiTheme="minorHAnsi" w:hAnsiTheme="minorHAnsi" w:cstheme="minorHAnsi"/>
          <w:color w:val="000000" w:themeColor="text1"/>
        </w:rPr>
        <w:t xml:space="preserve"> </w:t>
      </w:r>
      <w:r w:rsidR="009A7EFB" w:rsidRPr="00DE5FDC">
        <w:rPr>
          <w:rFonts w:asciiTheme="minorHAnsi" w:hAnsiTheme="minorHAnsi" w:cstheme="minorHAnsi"/>
          <w:color w:val="000000" w:themeColor="text1"/>
        </w:rPr>
        <w:t xml:space="preserve">treatment with an all-oral STR but may require additional explanation on the risks and benefits of using </w:t>
      </w:r>
      <w:r w:rsidR="00B65C35" w:rsidRPr="00DE5FDC">
        <w:rPr>
          <w:rFonts w:asciiTheme="minorHAnsi" w:hAnsiTheme="minorHAnsi" w:cstheme="minorHAnsi"/>
          <w:color w:val="000000" w:themeColor="text1"/>
        </w:rPr>
        <w:t xml:space="preserve">such </w:t>
      </w:r>
      <w:r w:rsidR="00A1227B" w:rsidRPr="00DE5FDC">
        <w:rPr>
          <w:rFonts w:asciiTheme="minorHAnsi" w:hAnsiTheme="minorHAnsi" w:cstheme="minorHAnsi"/>
          <w:color w:val="000000" w:themeColor="text1"/>
        </w:rPr>
        <w:t xml:space="preserve">regimens. </w:t>
      </w:r>
      <w:r w:rsidR="007250E4" w:rsidRPr="00DE5FDC">
        <w:rPr>
          <w:rFonts w:asciiTheme="minorHAnsi" w:hAnsiTheme="minorHAnsi" w:cstheme="minorHAnsi"/>
          <w:color w:val="000000" w:themeColor="text1"/>
        </w:rPr>
        <w:t xml:space="preserve">The </w:t>
      </w:r>
      <w:r w:rsidR="00B65491" w:rsidRPr="00DE5FDC">
        <w:rPr>
          <w:rFonts w:asciiTheme="minorHAnsi" w:hAnsiTheme="minorHAnsi" w:cstheme="minorHAnsi"/>
          <w:color w:val="000000" w:themeColor="text1"/>
        </w:rPr>
        <w:t>STR</w:t>
      </w:r>
      <w:r w:rsidR="007250E4" w:rsidRPr="00DE5FDC">
        <w:rPr>
          <w:rFonts w:asciiTheme="minorHAnsi" w:hAnsiTheme="minorHAnsi" w:cstheme="minorHAnsi"/>
          <w:color w:val="000000" w:themeColor="text1"/>
        </w:rPr>
        <w:t xml:space="preserve"> often</w:t>
      </w:r>
      <w:r w:rsidR="00B65491" w:rsidRPr="00DE5FDC">
        <w:rPr>
          <w:rFonts w:asciiTheme="minorHAnsi" w:hAnsiTheme="minorHAnsi" w:cstheme="minorHAnsi"/>
          <w:color w:val="000000" w:themeColor="text1"/>
        </w:rPr>
        <w:t xml:space="preserve"> requires </w:t>
      </w:r>
      <w:r w:rsidR="007250E4" w:rsidRPr="00DE5FDC">
        <w:rPr>
          <w:rFonts w:asciiTheme="minorHAnsi" w:hAnsiTheme="minorHAnsi" w:cstheme="minorHAnsi"/>
          <w:color w:val="000000" w:themeColor="text1"/>
        </w:rPr>
        <w:t xml:space="preserve">a </w:t>
      </w:r>
      <w:r w:rsidR="00B65491" w:rsidRPr="00DE5FDC">
        <w:rPr>
          <w:rFonts w:asciiTheme="minorHAnsi" w:hAnsiTheme="minorHAnsi" w:cstheme="minorHAnsi"/>
          <w:color w:val="000000" w:themeColor="text1"/>
        </w:rPr>
        <w:t>modification</w:t>
      </w:r>
      <w:r w:rsidR="007250E4" w:rsidRPr="00DE5FDC">
        <w:rPr>
          <w:rFonts w:asciiTheme="minorHAnsi" w:hAnsiTheme="minorHAnsi" w:cstheme="minorHAnsi"/>
          <w:color w:val="000000" w:themeColor="text1"/>
        </w:rPr>
        <w:t xml:space="preserve"> in the drug composition (see </w:t>
      </w:r>
      <w:r w:rsidR="005701D0" w:rsidRPr="00DE5FDC">
        <w:rPr>
          <w:rFonts w:asciiTheme="minorHAnsi" w:hAnsiTheme="minorHAnsi" w:cstheme="minorHAnsi"/>
          <w:color w:val="000000" w:themeColor="text1"/>
        </w:rPr>
        <w:t xml:space="preserve">Sections </w:t>
      </w:r>
      <w:r w:rsidR="007E6837" w:rsidRPr="00DE5FDC">
        <w:rPr>
          <w:rFonts w:asciiTheme="minorHAnsi" w:hAnsiTheme="minorHAnsi" w:cstheme="minorHAnsi"/>
          <w:color w:val="000000" w:themeColor="text1"/>
        </w:rPr>
        <w:fldChar w:fldCharType="begin"/>
      </w:r>
      <w:r w:rsidR="007E6837" w:rsidRPr="00DE5FDC">
        <w:rPr>
          <w:rFonts w:asciiTheme="minorHAnsi" w:hAnsiTheme="minorHAnsi" w:cstheme="minorHAnsi"/>
          <w:color w:val="000000" w:themeColor="text1"/>
        </w:rPr>
        <w:instrText xml:space="preserve"> REF _Ref12885064 \r \h  \* MERGEFORMAT </w:instrText>
      </w:r>
      <w:r w:rsidR="007E6837" w:rsidRPr="00DE5FDC">
        <w:rPr>
          <w:rFonts w:asciiTheme="minorHAnsi" w:hAnsiTheme="minorHAnsi" w:cstheme="minorHAnsi"/>
          <w:color w:val="000000" w:themeColor="text1"/>
        </w:rPr>
      </w:r>
      <w:r w:rsidR="007E6837" w:rsidRPr="00DE5FDC">
        <w:rPr>
          <w:rFonts w:asciiTheme="minorHAnsi" w:hAnsiTheme="minorHAnsi" w:cstheme="minorHAnsi"/>
          <w:color w:val="000000" w:themeColor="text1"/>
        </w:rPr>
        <w:fldChar w:fldCharType="separate"/>
      </w:r>
      <w:r w:rsidR="007E6837" w:rsidRPr="00DE5FDC">
        <w:rPr>
          <w:rFonts w:asciiTheme="minorHAnsi" w:hAnsiTheme="minorHAnsi" w:cstheme="minorHAnsi"/>
          <w:color w:val="000000" w:themeColor="text1"/>
        </w:rPr>
        <w:t>4.4</w:t>
      </w:r>
      <w:r w:rsidR="007E6837" w:rsidRPr="00DE5FDC">
        <w:rPr>
          <w:rFonts w:asciiTheme="minorHAnsi" w:hAnsiTheme="minorHAnsi" w:cstheme="minorHAnsi"/>
          <w:color w:val="000000" w:themeColor="text1"/>
        </w:rPr>
        <w:fldChar w:fldCharType="end"/>
      </w:r>
      <w:r w:rsidR="007E6837" w:rsidRPr="00DE5FDC">
        <w:rPr>
          <w:rFonts w:asciiTheme="minorHAnsi" w:hAnsiTheme="minorHAnsi" w:cstheme="minorHAnsi"/>
          <w:color w:val="000000" w:themeColor="text1"/>
        </w:rPr>
        <w:t xml:space="preserve"> </w:t>
      </w:r>
      <w:r w:rsidR="005701D0" w:rsidRPr="00DE5FDC">
        <w:rPr>
          <w:rFonts w:asciiTheme="minorHAnsi" w:hAnsiTheme="minorHAnsi" w:cstheme="minorHAnsi"/>
          <w:color w:val="000000" w:themeColor="text1"/>
        </w:rPr>
        <w:t xml:space="preserve">to </w:t>
      </w:r>
      <w:r w:rsidR="000F79A2" w:rsidRPr="00DE5FDC">
        <w:rPr>
          <w:rFonts w:asciiTheme="minorHAnsi" w:hAnsiTheme="minorHAnsi" w:cstheme="minorHAnsi"/>
          <w:color w:val="000000" w:themeColor="text1"/>
        </w:rPr>
        <w:fldChar w:fldCharType="begin"/>
      </w:r>
      <w:r w:rsidR="000F79A2" w:rsidRPr="00DE5FDC">
        <w:rPr>
          <w:rFonts w:asciiTheme="minorHAnsi" w:hAnsiTheme="minorHAnsi" w:cstheme="minorHAnsi"/>
          <w:color w:val="000000" w:themeColor="text1"/>
        </w:rPr>
        <w:instrText xml:space="preserve"> REF _Ref12887262 \r \h </w:instrText>
      </w:r>
      <w:r w:rsidR="00462ED2" w:rsidRPr="00DE5FDC">
        <w:rPr>
          <w:rFonts w:asciiTheme="minorHAnsi" w:hAnsiTheme="minorHAnsi" w:cstheme="minorHAnsi"/>
          <w:color w:val="000000" w:themeColor="text1"/>
        </w:rPr>
        <w:instrText xml:space="preserve"> \* MERGEFORMAT </w:instrText>
      </w:r>
      <w:r w:rsidR="000F79A2" w:rsidRPr="00DE5FDC">
        <w:rPr>
          <w:rFonts w:asciiTheme="minorHAnsi" w:hAnsiTheme="minorHAnsi" w:cstheme="minorHAnsi"/>
          <w:color w:val="000000" w:themeColor="text1"/>
        </w:rPr>
      </w:r>
      <w:r w:rsidR="000F79A2" w:rsidRPr="00DE5FDC">
        <w:rPr>
          <w:rFonts w:asciiTheme="minorHAnsi" w:hAnsiTheme="minorHAnsi" w:cstheme="minorHAnsi"/>
          <w:color w:val="000000" w:themeColor="text1"/>
        </w:rPr>
        <w:fldChar w:fldCharType="separate"/>
      </w:r>
      <w:r w:rsidR="000F79A2" w:rsidRPr="00DE5FDC">
        <w:rPr>
          <w:rFonts w:asciiTheme="minorHAnsi" w:hAnsiTheme="minorHAnsi" w:cstheme="minorHAnsi"/>
          <w:color w:val="000000" w:themeColor="text1"/>
        </w:rPr>
        <w:t>4.11</w:t>
      </w:r>
      <w:r w:rsidR="000F79A2" w:rsidRPr="00DE5FDC">
        <w:rPr>
          <w:rFonts w:asciiTheme="minorHAnsi" w:hAnsiTheme="minorHAnsi" w:cstheme="minorHAnsi"/>
          <w:color w:val="000000" w:themeColor="text1"/>
        </w:rPr>
        <w:fldChar w:fldCharType="end"/>
      </w:r>
      <w:r w:rsidR="000F79A2" w:rsidRPr="00DE5FDC">
        <w:rPr>
          <w:rFonts w:asciiTheme="minorHAnsi" w:hAnsiTheme="minorHAnsi" w:cstheme="minorHAnsi"/>
          <w:color w:val="000000" w:themeColor="text1"/>
        </w:rPr>
        <w:t xml:space="preserve"> </w:t>
      </w:r>
      <w:r w:rsidR="005701D0" w:rsidRPr="00DE5FDC">
        <w:rPr>
          <w:rFonts w:asciiTheme="minorHAnsi" w:hAnsiTheme="minorHAnsi" w:cstheme="minorHAnsi"/>
          <w:color w:val="000000" w:themeColor="text1"/>
        </w:rPr>
        <w:t xml:space="preserve">of this guide on </w:t>
      </w:r>
      <w:r w:rsidR="009A2C9C" w:rsidRPr="00DE5FDC">
        <w:rPr>
          <w:rFonts w:asciiTheme="minorHAnsi" w:hAnsiTheme="minorHAnsi" w:cstheme="minorHAnsi"/>
          <w:color w:val="000000" w:themeColor="text1"/>
        </w:rPr>
        <w:t xml:space="preserve">the </w:t>
      </w:r>
      <w:r w:rsidR="005701D0" w:rsidRPr="00DE5FDC">
        <w:rPr>
          <w:rFonts w:asciiTheme="minorHAnsi" w:hAnsiTheme="minorHAnsi" w:cstheme="minorHAnsi"/>
          <w:color w:val="000000" w:themeColor="text1"/>
        </w:rPr>
        <w:t>use of all-oral STRs in special populations):</w:t>
      </w:r>
    </w:p>
    <w:p w14:paraId="28FD140B" w14:textId="0D62C63E" w:rsidR="005701D0" w:rsidRPr="00DE5FDC" w:rsidRDefault="005701D0" w:rsidP="00CB2F8E">
      <w:pPr>
        <w:pStyle w:val="ListParagraph"/>
        <w:numPr>
          <w:ilvl w:val="0"/>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Children (see</w:t>
      </w:r>
      <w:r w:rsidR="001D7D3F" w:rsidRPr="00DE5FDC">
        <w:rPr>
          <w:rFonts w:asciiTheme="minorHAnsi" w:hAnsiTheme="minorHAnsi" w:cstheme="minorHAnsi"/>
          <w:color w:val="000000" w:themeColor="text1"/>
        </w:rPr>
        <w:t xml:space="preserve"> Section</w:t>
      </w:r>
      <w:r w:rsidRPr="00DE5FDC">
        <w:rPr>
          <w:rFonts w:asciiTheme="minorHAnsi" w:hAnsiTheme="minorHAnsi" w:cstheme="minorHAnsi"/>
          <w:color w:val="000000" w:themeColor="text1"/>
        </w:rPr>
        <w:t xml:space="preserve"> </w:t>
      </w:r>
      <w:r w:rsidR="001D7D3F" w:rsidRPr="00DE5FDC">
        <w:rPr>
          <w:rFonts w:asciiTheme="minorHAnsi" w:hAnsiTheme="minorHAnsi" w:cstheme="minorHAnsi"/>
          <w:color w:val="000000" w:themeColor="text1"/>
        </w:rPr>
        <w:fldChar w:fldCharType="begin"/>
      </w:r>
      <w:r w:rsidR="001D7D3F" w:rsidRPr="00DE5FDC">
        <w:rPr>
          <w:rFonts w:asciiTheme="minorHAnsi" w:hAnsiTheme="minorHAnsi" w:cstheme="minorHAnsi"/>
          <w:color w:val="000000" w:themeColor="text1"/>
        </w:rPr>
        <w:instrText xml:space="preserve"> REF _Ref12883178 \r \h </w:instrText>
      </w:r>
      <w:r w:rsidR="00462ED2" w:rsidRPr="00DE5FDC">
        <w:rPr>
          <w:rFonts w:asciiTheme="minorHAnsi" w:hAnsiTheme="minorHAnsi" w:cstheme="minorHAnsi"/>
          <w:color w:val="000000" w:themeColor="text1"/>
        </w:rPr>
        <w:instrText xml:space="preserve"> \* MERGEFORMAT </w:instrText>
      </w:r>
      <w:r w:rsidR="001D7D3F" w:rsidRPr="00DE5FDC">
        <w:rPr>
          <w:rFonts w:asciiTheme="minorHAnsi" w:hAnsiTheme="minorHAnsi" w:cstheme="minorHAnsi"/>
          <w:color w:val="000000" w:themeColor="text1"/>
        </w:rPr>
      </w:r>
      <w:r w:rsidR="001D7D3F" w:rsidRPr="00DE5FDC">
        <w:rPr>
          <w:rFonts w:asciiTheme="minorHAnsi" w:hAnsiTheme="minorHAnsi" w:cstheme="minorHAnsi"/>
          <w:color w:val="000000" w:themeColor="text1"/>
        </w:rPr>
        <w:fldChar w:fldCharType="separate"/>
      </w:r>
      <w:r w:rsidR="00C21E58" w:rsidRPr="00DE5FDC">
        <w:rPr>
          <w:rFonts w:asciiTheme="minorHAnsi" w:hAnsiTheme="minorHAnsi" w:cstheme="minorHAnsi"/>
          <w:color w:val="000000" w:themeColor="text1"/>
        </w:rPr>
        <w:t>4.8</w:t>
      </w:r>
      <w:r w:rsidR="001D7D3F" w:rsidRPr="00DE5FDC">
        <w:rPr>
          <w:rFonts w:asciiTheme="minorHAnsi" w:hAnsiTheme="minorHAnsi" w:cstheme="minorHAnsi"/>
          <w:color w:val="000000" w:themeColor="text1"/>
        </w:rPr>
        <w:fldChar w:fldCharType="end"/>
      </w:r>
      <w:r w:rsidRPr="00DE5FDC">
        <w:rPr>
          <w:rFonts w:asciiTheme="minorHAnsi" w:hAnsiTheme="minorHAnsi" w:cstheme="minorHAnsi"/>
          <w:color w:val="000000" w:themeColor="text1"/>
        </w:rPr>
        <w:t>)</w:t>
      </w:r>
    </w:p>
    <w:p w14:paraId="6332ABFF" w14:textId="423BF8AF" w:rsidR="00495845" w:rsidRPr="00DE5FDC" w:rsidRDefault="00495845" w:rsidP="00CB2F8E">
      <w:pPr>
        <w:pStyle w:val="ListParagraph"/>
        <w:numPr>
          <w:ilvl w:val="0"/>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Pregnan</w:t>
      </w:r>
      <w:r w:rsidR="008431DD" w:rsidRPr="00DE5FDC">
        <w:rPr>
          <w:rFonts w:asciiTheme="minorHAnsi" w:hAnsiTheme="minorHAnsi" w:cstheme="minorHAnsi"/>
          <w:color w:val="000000" w:themeColor="text1"/>
        </w:rPr>
        <w:t>t women</w:t>
      </w:r>
      <w:r w:rsidR="004F75B5" w:rsidRPr="00DE5FDC">
        <w:rPr>
          <w:rFonts w:asciiTheme="minorHAnsi" w:hAnsiTheme="minorHAnsi" w:cstheme="minorHAnsi"/>
          <w:color w:val="000000" w:themeColor="text1"/>
        </w:rPr>
        <w:t xml:space="preserve"> (see </w:t>
      </w:r>
      <w:r w:rsidR="00454C16" w:rsidRPr="00DE5FDC">
        <w:rPr>
          <w:rFonts w:asciiTheme="minorHAnsi" w:hAnsiTheme="minorHAnsi" w:cstheme="minorHAnsi"/>
          <w:color w:val="000000" w:themeColor="text1"/>
        </w:rPr>
        <w:t xml:space="preserve">Section </w:t>
      </w:r>
      <w:r w:rsidR="003033E5" w:rsidRPr="00DE5FDC">
        <w:rPr>
          <w:rFonts w:asciiTheme="minorHAnsi" w:hAnsiTheme="minorHAnsi" w:cstheme="minorHAnsi"/>
          <w:color w:val="000000" w:themeColor="text1"/>
        </w:rPr>
        <w:fldChar w:fldCharType="begin"/>
      </w:r>
      <w:r w:rsidR="003033E5" w:rsidRPr="00DE5FDC">
        <w:rPr>
          <w:rFonts w:asciiTheme="minorHAnsi" w:hAnsiTheme="minorHAnsi" w:cstheme="minorHAnsi"/>
          <w:color w:val="000000" w:themeColor="text1"/>
        </w:rPr>
        <w:instrText xml:space="preserve"> REF _Ref12885147 \r \h  \* MERGEFORMAT </w:instrText>
      </w:r>
      <w:r w:rsidR="003033E5" w:rsidRPr="00DE5FDC">
        <w:rPr>
          <w:rFonts w:asciiTheme="minorHAnsi" w:hAnsiTheme="minorHAnsi" w:cstheme="minorHAnsi"/>
          <w:color w:val="000000" w:themeColor="text1"/>
        </w:rPr>
      </w:r>
      <w:r w:rsidR="003033E5" w:rsidRPr="00DE5FDC">
        <w:rPr>
          <w:rFonts w:asciiTheme="minorHAnsi" w:hAnsiTheme="minorHAnsi" w:cstheme="minorHAnsi"/>
          <w:color w:val="000000" w:themeColor="text1"/>
        </w:rPr>
        <w:fldChar w:fldCharType="separate"/>
      </w:r>
      <w:r w:rsidR="003033E5" w:rsidRPr="00DE5FDC">
        <w:rPr>
          <w:rFonts w:asciiTheme="minorHAnsi" w:hAnsiTheme="minorHAnsi" w:cstheme="minorHAnsi"/>
          <w:color w:val="000000" w:themeColor="text1"/>
        </w:rPr>
        <w:t>4.9</w:t>
      </w:r>
      <w:r w:rsidR="003033E5" w:rsidRPr="00DE5FDC">
        <w:rPr>
          <w:rFonts w:asciiTheme="minorHAnsi" w:hAnsiTheme="minorHAnsi" w:cstheme="minorHAnsi"/>
          <w:color w:val="000000" w:themeColor="text1"/>
        </w:rPr>
        <w:fldChar w:fldCharType="end"/>
      </w:r>
      <w:r w:rsidR="004F75B5" w:rsidRPr="00DE5FDC">
        <w:rPr>
          <w:rFonts w:asciiTheme="minorHAnsi" w:hAnsiTheme="minorHAnsi" w:cstheme="minorHAnsi"/>
          <w:color w:val="000000" w:themeColor="text1"/>
        </w:rPr>
        <w:t>)</w:t>
      </w:r>
    </w:p>
    <w:p w14:paraId="26ECB8EE" w14:textId="5A1F91EE" w:rsidR="00A10278" w:rsidRPr="00DE5FDC" w:rsidRDefault="008431DD" w:rsidP="00CB2F8E">
      <w:pPr>
        <w:pStyle w:val="ListParagraph"/>
        <w:numPr>
          <w:ilvl w:val="0"/>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 xml:space="preserve">Patients with </w:t>
      </w:r>
      <w:r w:rsidR="00495845" w:rsidRPr="00DE5FDC">
        <w:rPr>
          <w:rFonts w:asciiTheme="minorHAnsi" w:hAnsiTheme="minorHAnsi" w:cstheme="minorHAnsi"/>
          <w:color w:val="000000" w:themeColor="text1"/>
        </w:rPr>
        <w:t>extrapulmonary disease</w:t>
      </w:r>
      <w:r w:rsidR="00A10278" w:rsidRPr="00DE5FDC">
        <w:rPr>
          <w:rFonts w:asciiTheme="minorHAnsi" w:hAnsiTheme="minorHAnsi" w:cstheme="minorHAnsi"/>
          <w:color w:val="000000" w:themeColor="text1"/>
        </w:rPr>
        <w:t xml:space="preserve"> (see Section </w:t>
      </w:r>
      <w:r w:rsidR="003033E5" w:rsidRPr="00DE5FDC">
        <w:rPr>
          <w:rFonts w:asciiTheme="minorHAnsi" w:hAnsiTheme="minorHAnsi" w:cstheme="minorHAnsi"/>
          <w:color w:val="000000" w:themeColor="text1"/>
        </w:rPr>
        <w:fldChar w:fldCharType="begin"/>
      </w:r>
      <w:r w:rsidR="003033E5" w:rsidRPr="00DE5FDC">
        <w:rPr>
          <w:rFonts w:asciiTheme="minorHAnsi" w:hAnsiTheme="minorHAnsi" w:cstheme="minorHAnsi"/>
          <w:color w:val="000000" w:themeColor="text1"/>
        </w:rPr>
        <w:instrText xml:space="preserve"> REF _Ref12885172 \r \h  \* MERGEFORMAT </w:instrText>
      </w:r>
      <w:r w:rsidR="003033E5" w:rsidRPr="00DE5FDC">
        <w:rPr>
          <w:rFonts w:asciiTheme="minorHAnsi" w:hAnsiTheme="minorHAnsi" w:cstheme="minorHAnsi"/>
          <w:color w:val="000000" w:themeColor="text1"/>
        </w:rPr>
      </w:r>
      <w:r w:rsidR="003033E5" w:rsidRPr="00DE5FDC">
        <w:rPr>
          <w:rFonts w:asciiTheme="minorHAnsi" w:hAnsiTheme="minorHAnsi" w:cstheme="minorHAnsi"/>
          <w:color w:val="000000" w:themeColor="text1"/>
        </w:rPr>
        <w:fldChar w:fldCharType="separate"/>
      </w:r>
      <w:r w:rsidR="003033E5" w:rsidRPr="00DE5FDC">
        <w:rPr>
          <w:rFonts w:asciiTheme="minorHAnsi" w:hAnsiTheme="minorHAnsi" w:cstheme="minorHAnsi"/>
          <w:color w:val="000000" w:themeColor="text1"/>
        </w:rPr>
        <w:t>4.10</w:t>
      </w:r>
      <w:r w:rsidR="003033E5" w:rsidRPr="00DE5FDC">
        <w:rPr>
          <w:rFonts w:asciiTheme="minorHAnsi" w:hAnsiTheme="minorHAnsi" w:cstheme="minorHAnsi"/>
          <w:color w:val="000000" w:themeColor="text1"/>
        </w:rPr>
        <w:fldChar w:fldCharType="end"/>
      </w:r>
      <w:r w:rsidR="00A10278" w:rsidRPr="00DE5FDC">
        <w:rPr>
          <w:rFonts w:asciiTheme="minorHAnsi" w:hAnsiTheme="minorHAnsi" w:cstheme="minorHAnsi"/>
          <w:color w:val="000000" w:themeColor="text1"/>
        </w:rPr>
        <w:t>)</w:t>
      </w:r>
    </w:p>
    <w:p w14:paraId="7174E898" w14:textId="1FB81377" w:rsidR="00495845" w:rsidRPr="00DE5FDC" w:rsidRDefault="00A10278" w:rsidP="00CB2F8E">
      <w:pPr>
        <w:pStyle w:val="ListParagraph"/>
        <w:numPr>
          <w:ilvl w:val="0"/>
          <w:numId w:val="20"/>
        </w:num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t>Patients with co-morbidities</w:t>
      </w:r>
      <w:r w:rsidR="00495845" w:rsidRPr="00DE5FDC">
        <w:rPr>
          <w:rFonts w:asciiTheme="minorHAnsi" w:hAnsiTheme="minorHAnsi" w:cstheme="minorHAnsi"/>
          <w:color w:val="000000" w:themeColor="text1"/>
        </w:rPr>
        <w:t xml:space="preserve"> </w:t>
      </w:r>
      <w:r w:rsidRPr="00DE5FDC">
        <w:rPr>
          <w:rFonts w:asciiTheme="minorHAnsi" w:hAnsiTheme="minorHAnsi" w:cstheme="minorHAnsi"/>
          <w:color w:val="000000" w:themeColor="text1"/>
        </w:rPr>
        <w:t xml:space="preserve">(HIV, </w:t>
      </w:r>
      <w:r w:rsidR="003033E5" w:rsidRPr="00DE5FDC">
        <w:rPr>
          <w:rFonts w:asciiTheme="minorHAnsi" w:hAnsiTheme="minorHAnsi" w:cstheme="minorHAnsi"/>
          <w:color w:val="000000" w:themeColor="text1"/>
        </w:rPr>
        <w:t>d</w:t>
      </w:r>
      <w:r w:rsidRPr="00DE5FDC">
        <w:rPr>
          <w:rFonts w:asciiTheme="minorHAnsi" w:hAnsiTheme="minorHAnsi" w:cstheme="minorHAnsi"/>
          <w:color w:val="000000" w:themeColor="text1"/>
        </w:rPr>
        <w:t>iabetes, hepatitis</w:t>
      </w:r>
      <w:r w:rsidR="003033E5" w:rsidRPr="00DE5FDC">
        <w:rPr>
          <w:rFonts w:asciiTheme="minorHAnsi" w:hAnsiTheme="minorHAnsi" w:cstheme="minorHAnsi"/>
          <w:color w:val="000000" w:themeColor="text1"/>
        </w:rPr>
        <w:t xml:space="preserve"> C</w:t>
      </w:r>
      <w:r w:rsidR="00393469" w:rsidRPr="00DE5FDC">
        <w:rPr>
          <w:rFonts w:asciiTheme="minorHAnsi" w:hAnsiTheme="minorHAnsi" w:cstheme="minorHAnsi"/>
          <w:color w:val="000000" w:themeColor="text1"/>
        </w:rPr>
        <w:t xml:space="preserve">: see </w:t>
      </w:r>
      <w:r w:rsidR="007B31DC" w:rsidRPr="00DE5FDC">
        <w:rPr>
          <w:rFonts w:asciiTheme="minorHAnsi" w:hAnsiTheme="minorHAnsi" w:cstheme="minorHAnsi"/>
          <w:color w:val="000000" w:themeColor="text1"/>
        </w:rPr>
        <w:t xml:space="preserve">Section </w:t>
      </w:r>
      <w:r w:rsidR="003033E5" w:rsidRPr="00DE5FDC">
        <w:rPr>
          <w:rFonts w:asciiTheme="minorHAnsi" w:hAnsiTheme="minorHAnsi" w:cstheme="minorHAnsi"/>
          <w:color w:val="000000" w:themeColor="text1"/>
        </w:rPr>
        <w:fldChar w:fldCharType="begin"/>
      </w:r>
      <w:r w:rsidR="003033E5" w:rsidRPr="00DE5FDC">
        <w:rPr>
          <w:rFonts w:asciiTheme="minorHAnsi" w:hAnsiTheme="minorHAnsi" w:cstheme="minorHAnsi"/>
          <w:color w:val="000000" w:themeColor="text1"/>
        </w:rPr>
        <w:instrText xml:space="preserve"> REF _Ref12885190 \r \h  \* MERGEFORMAT </w:instrText>
      </w:r>
      <w:r w:rsidR="003033E5" w:rsidRPr="00DE5FDC">
        <w:rPr>
          <w:rFonts w:asciiTheme="minorHAnsi" w:hAnsiTheme="minorHAnsi" w:cstheme="minorHAnsi"/>
          <w:color w:val="000000" w:themeColor="text1"/>
        </w:rPr>
      </w:r>
      <w:r w:rsidR="003033E5" w:rsidRPr="00DE5FDC">
        <w:rPr>
          <w:rFonts w:asciiTheme="minorHAnsi" w:hAnsiTheme="minorHAnsi" w:cstheme="minorHAnsi"/>
          <w:color w:val="000000" w:themeColor="text1"/>
        </w:rPr>
        <w:fldChar w:fldCharType="separate"/>
      </w:r>
      <w:r w:rsidR="003033E5" w:rsidRPr="00DE5FDC">
        <w:rPr>
          <w:rFonts w:asciiTheme="minorHAnsi" w:hAnsiTheme="minorHAnsi" w:cstheme="minorHAnsi"/>
          <w:color w:val="000000" w:themeColor="text1"/>
        </w:rPr>
        <w:t>4.11</w:t>
      </w:r>
      <w:r w:rsidR="003033E5" w:rsidRPr="00DE5FDC">
        <w:rPr>
          <w:rFonts w:asciiTheme="minorHAnsi" w:hAnsiTheme="minorHAnsi" w:cstheme="minorHAnsi"/>
          <w:color w:val="000000" w:themeColor="text1"/>
        </w:rPr>
        <w:fldChar w:fldCharType="end"/>
      </w:r>
      <w:r w:rsidR="003033E5" w:rsidRPr="00DE5FDC">
        <w:rPr>
          <w:rFonts w:asciiTheme="minorHAnsi" w:hAnsiTheme="minorHAnsi" w:cstheme="minorHAnsi"/>
          <w:color w:val="000000" w:themeColor="text1"/>
        </w:rPr>
        <w:t>)</w:t>
      </w:r>
    </w:p>
    <w:p w14:paraId="65FE47B9" w14:textId="03635E97" w:rsidR="00B10D0C" w:rsidRPr="00DE5FDC" w:rsidRDefault="00FD5A8A" w:rsidP="00576167">
      <w:pPr>
        <w:spacing w:line="269" w:lineRule="auto"/>
        <w:rPr>
          <w:rFonts w:asciiTheme="minorHAnsi" w:hAnsiTheme="minorHAnsi" w:cstheme="minorHAnsi"/>
          <w:color w:val="000000" w:themeColor="text1"/>
        </w:rPr>
      </w:pPr>
      <w:r w:rsidRPr="00DE5FDC">
        <w:rPr>
          <w:rFonts w:asciiTheme="minorHAnsi" w:hAnsiTheme="minorHAnsi" w:cstheme="minorHAnsi"/>
          <w:color w:val="000000" w:themeColor="text1"/>
        </w:rPr>
        <w:lastRenderedPageBreak/>
        <w:t xml:space="preserve">The consent process should include </w:t>
      </w:r>
      <w:r w:rsidR="0014073D" w:rsidRPr="00DE5FDC">
        <w:rPr>
          <w:rFonts w:asciiTheme="minorHAnsi" w:hAnsiTheme="minorHAnsi" w:cstheme="minorHAnsi"/>
          <w:color w:val="000000" w:themeColor="text1"/>
        </w:rPr>
        <w:t xml:space="preserve">an explanation of </w:t>
      </w:r>
      <w:r w:rsidR="00ED506B" w:rsidRPr="00DE5FDC">
        <w:rPr>
          <w:rFonts w:asciiTheme="minorHAnsi" w:hAnsiTheme="minorHAnsi" w:cstheme="minorHAnsi"/>
          <w:color w:val="000000" w:themeColor="text1"/>
        </w:rPr>
        <w:t>how the</w:t>
      </w:r>
      <w:r w:rsidR="00603312" w:rsidRPr="00DE5FDC">
        <w:rPr>
          <w:rFonts w:asciiTheme="minorHAnsi" w:hAnsiTheme="minorHAnsi" w:cstheme="minorHAnsi"/>
          <w:color w:val="000000" w:themeColor="text1"/>
        </w:rPr>
        <w:t xml:space="preserve"> risks and benefits</w:t>
      </w:r>
      <w:r w:rsidR="00ED506B" w:rsidRPr="00DE5FDC">
        <w:rPr>
          <w:rFonts w:asciiTheme="minorHAnsi" w:hAnsiTheme="minorHAnsi" w:cstheme="minorHAnsi"/>
          <w:color w:val="000000" w:themeColor="text1"/>
        </w:rPr>
        <w:t xml:space="preserve"> </w:t>
      </w:r>
      <w:r w:rsidR="00C93CE8" w:rsidRPr="00DE5FDC">
        <w:rPr>
          <w:rFonts w:asciiTheme="minorHAnsi" w:hAnsiTheme="minorHAnsi" w:cstheme="minorHAnsi"/>
          <w:color w:val="000000" w:themeColor="text1"/>
        </w:rPr>
        <w:t xml:space="preserve">to the patient </w:t>
      </w:r>
      <w:r w:rsidR="00ED506B" w:rsidRPr="00DE5FDC">
        <w:rPr>
          <w:rFonts w:asciiTheme="minorHAnsi" w:hAnsiTheme="minorHAnsi" w:cstheme="minorHAnsi"/>
          <w:color w:val="000000" w:themeColor="text1"/>
        </w:rPr>
        <w:t>may change when</w:t>
      </w:r>
      <w:r w:rsidR="00603312" w:rsidRPr="00DE5FDC">
        <w:rPr>
          <w:rFonts w:asciiTheme="minorHAnsi" w:hAnsiTheme="minorHAnsi" w:cstheme="minorHAnsi"/>
          <w:color w:val="000000" w:themeColor="text1"/>
        </w:rPr>
        <w:t xml:space="preserve"> using the all-oral STR in these situations</w:t>
      </w:r>
      <w:r w:rsidR="007250E4" w:rsidRPr="00DE5FDC">
        <w:rPr>
          <w:rFonts w:asciiTheme="minorHAnsi" w:hAnsiTheme="minorHAnsi" w:cstheme="minorHAnsi"/>
          <w:color w:val="000000" w:themeColor="text1"/>
        </w:rPr>
        <w:t xml:space="preserve"> and the discussion documented in</w:t>
      </w:r>
      <w:r w:rsidR="00BB229F" w:rsidRPr="00DE5FDC">
        <w:rPr>
          <w:rFonts w:asciiTheme="minorHAnsi" w:hAnsiTheme="minorHAnsi" w:cstheme="minorHAnsi"/>
          <w:color w:val="000000" w:themeColor="text1"/>
        </w:rPr>
        <w:t xml:space="preserve"> patient’s</w:t>
      </w:r>
      <w:r w:rsidR="000833CD" w:rsidRPr="00DE5FDC">
        <w:rPr>
          <w:rFonts w:asciiTheme="minorHAnsi" w:hAnsiTheme="minorHAnsi" w:cstheme="minorHAnsi"/>
          <w:color w:val="000000" w:themeColor="text1"/>
        </w:rPr>
        <w:t xml:space="preserve"> medical chart</w:t>
      </w:r>
      <w:r w:rsidR="007250E4" w:rsidRPr="00DE5FDC">
        <w:rPr>
          <w:rFonts w:asciiTheme="minorHAnsi" w:hAnsiTheme="minorHAnsi" w:cstheme="minorHAnsi"/>
          <w:color w:val="000000" w:themeColor="text1"/>
        </w:rPr>
        <w:t>.</w:t>
      </w:r>
      <w:r w:rsidR="000833CD" w:rsidRPr="00DE5FDC">
        <w:rPr>
          <w:rFonts w:asciiTheme="minorHAnsi" w:hAnsiTheme="minorHAnsi" w:cstheme="minorHAnsi"/>
          <w:color w:val="000000" w:themeColor="text1"/>
        </w:rPr>
        <w:t xml:space="preserve">  </w:t>
      </w:r>
    </w:p>
    <w:p w14:paraId="706AF3E0" w14:textId="27B9C34B" w:rsidR="001F1E9B" w:rsidRPr="00003170" w:rsidRDefault="00E25F65" w:rsidP="00003170">
      <w:pPr>
        <w:pStyle w:val="Heading1"/>
      </w:pPr>
      <w:bookmarkStart w:id="27" w:name="_Toc12792945"/>
      <w:bookmarkStart w:id="28" w:name="_Toc12952356"/>
      <w:bookmarkStart w:id="29" w:name="_Toc13486705"/>
      <w:r w:rsidRPr="00003170">
        <w:t>Characteristics of the drugs</w:t>
      </w:r>
      <w:r w:rsidR="001C252A" w:rsidRPr="00003170">
        <w:t xml:space="preserve"> recommended for use</w:t>
      </w:r>
      <w:r w:rsidR="00F30BB9" w:rsidRPr="00003170">
        <w:t xml:space="preserve"> in all-oral </w:t>
      </w:r>
      <w:r w:rsidR="00945A95" w:rsidRPr="00003170">
        <w:t>STRs</w:t>
      </w:r>
      <w:bookmarkEnd w:id="27"/>
      <w:bookmarkEnd w:id="28"/>
      <w:bookmarkEnd w:id="29"/>
    </w:p>
    <w:p w14:paraId="521ACDDD" w14:textId="5165F753" w:rsidR="001F1E9B" w:rsidRPr="00003170" w:rsidRDefault="00560CA8" w:rsidP="00003170">
      <w:pPr>
        <w:pStyle w:val="Heading2"/>
      </w:pPr>
      <w:bookmarkStart w:id="30" w:name="h.3dy6vkm" w:colFirst="0" w:colLast="0"/>
      <w:bookmarkStart w:id="31" w:name="_Toc12792946"/>
      <w:bookmarkStart w:id="32" w:name="_Toc12952357"/>
      <w:bookmarkStart w:id="33" w:name="_Toc13486706"/>
      <w:bookmarkEnd w:id="30"/>
      <w:r w:rsidRPr="00003170">
        <w:t>Drugs commonly used to compose all-oral STR</w:t>
      </w:r>
      <w:r w:rsidR="00C65105" w:rsidRPr="00003170">
        <w:t>s</w:t>
      </w:r>
      <w:bookmarkEnd w:id="31"/>
      <w:bookmarkEnd w:id="32"/>
      <w:bookmarkEnd w:id="33"/>
    </w:p>
    <w:p w14:paraId="40D1CB3B" w14:textId="5F15D62C" w:rsidR="00ED07A0" w:rsidRPr="00DE5FDC" w:rsidRDefault="000B7DC7" w:rsidP="00560CA8">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All-oral STRs </w:t>
      </w:r>
      <w:r w:rsidR="00F4689D" w:rsidRPr="00DE5FDC">
        <w:rPr>
          <w:rFonts w:asciiTheme="minorHAnsi" w:hAnsiTheme="minorHAnsi" w:cstheme="minorHAnsi"/>
          <w:color w:val="000000" w:themeColor="text1"/>
        </w:rPr>
        <w:t>are</w:t>
      </w:r>
      <w:r w:rsidRPr="00DE5FDC">
        <w:rPr>
          <w:rFonts w:asciiTheme="minorHAnsi" w:hAnsiTheme="minorHAnsi" w:cstheme="minorHAnsi"/>
          <w:color w:val="000000" w:themeColor="text1"/>
        </w:rPr>
        <w:t xml:space="preserve"> composed of a combination of drugs that have high efficacy, a good side-effect profile and low </w:t>
      </w:r>
      <w:r w:rsidR="00A22B0C" w:rsidRPr="00DE5FDC">
        <w:rPr>
          <w:rFonts w:asciiTheme="minorHAnsi" w:hAnsiTheme="minorHAnsi" w:cstheme="minorHAnsi"/>
          <w:color w:val="000000" w:themeColor="text1"/>
        </w:rPr>
        <w:t>likelihood of resistance</w:t>
      </w:r>
      <w:r w:rsidR="0069638F" w:rsidRPr="00DE5FDC">
        <w:rPr>
          <w:rFonts w:asciiTheme="minorHAnsi" w:hAnsiTheme="minorHAnsi" w:cstheme="minorHAnsi"/>
          <w:color w:val="000000" w:themeColor="text1"/>
        </w:rPr>
        <w:t xml:space="preserve">.  </w:t>
      </w:r>
      <w:r w:rsidR="0067456B" w:rsidRPr="00DE5FDC">
        <w:rPr>
          <w:rFonts w:asciiTheme="minorHAnsi" w:hAnsiTheme="minorHAnsi" w:cstheme="minorHAnsi"/>
          <w:color w:val="000000" w:themeColor="text1"/>
        </w:rPr>
        <w:t xml:space="preserve">Regimen design is discussed in Section </w:t>
      </w:r>
      <w:r w:rsidR="000B5F3F" w:rsidRPr="00DE5FDC">
        <w:rPr>
          <w:rFonts w:asciiTheme="minorHAnsi" w:hAnsiTheme="minorHAnsi" w:cstheme="minorHAnsi"/>
          <w:color w:val="000000" w:themeColor="text1"/>
        </w:rPr>
        <w:fldChar w:fldCharType="begin"/>
      </w:r>
      <w:r w:rsidR="000B5F3F" w:rsidRPr="00DE5FDC">
        <w:rPr>
          <w:rFonts w:asciiTheme="minorHAnsi" w:hAnsiTheme="minorHAnsi" w:cstheme="minorHAnsi"/>
          <w:color w:val="000000" w:themeColor="text1"/>
        </w:rPr>
        <w:instrText xml:space="preserve"> REF _Ref12885267 \r \h  \* MERGEFORMAT </w:instrText>
      </w:r>
      <w:r w:rsidR="000B5F3F" w:rsidRPr="00DE5FDC">
        <w:rPr>
          <w:rFonts w:asciiTheme="minorHAnsi" w:hAnsiTheme="minorHAnsi" w:cstheme="minorHAnsi"/>
          <w:color w:val="000000" w:themeColor="text1"/>
        </w:rPr>
      </w:r>
      <w:r w:rsidR="000B5F3F" w:rsidRPr="00DE5FDC">
        <w:rPr>
          <w:rFonts w:asciiTheme="minorHAnsi" w:hAnsiTheme="minorHAnsi" w:cstheme="minorHAnsi"/>
          <w:color w:val="000000" w:themeColor="text1"/>
        </w:rPr>
        <w:fldChar w:fldCharType="separate"/>
      </w:r>
      <w:r w:rsidR="000B5F3F" w:rsidRPr="00DE5FDC">
        <w:rPr>
          <w:rFonts w:asciiTheme="minorHAnsi" w:hAnsiTheme="minorHAnsi" w:cstheme="minorHAnsi"/>
          <w:color w:val="000000" w:themeColor="text1"/>
        </w:rPr>
        <w:t>4</w:t>
      </w:r>
      <w:r w:rsidR="000B5F3F" w:rsidRPr="00DE5FDC">
        <w:rPr>
          <w:rFonts w:asciiTheme="minorHAnsi" w:hAnsiTheme="minorHAnsi" w:cstheme="minorHAnsi"/>
          <w:color w:val="000000" w:themeColor="text1"/>
        </w:rPr>
        <w:fldChar w:fldCharType="end"/>
      </w:r>
      <w:r w:rsidR="0067456B" w:rsidRPr="00DE5FDC">
        <w:rPr>
          <w:rFonts w:asciiTheme="minorHAnsi" w:hAnsiTheme="minorHAnsi" w:cstheme="minorHAnsi"/>
          <w:color w:val="000000" w:themeColor="text1"/>
        </w:rPr>
        <w:t xml:space="preserve">. </w:t>
      </w:r>
      <w:r w:rsidR="00901403" w:rsidRPr="00DE5FDC">
        <w:rPr>
          <w:rFonts w:asciiTheme="minorHAnsi" w:hAnsiTheme="minorHAnsi" w:cstheme="minorHAnsi"/>
          <w:color w:val="000000" w:themeColor="text1"/>
        </w:rPr>
        <w:t>The drugs recommend</w:t>
      </w:r>
      <w:r w:rsidR="00330082" w:rsidRPr="00DE5FDC">
        <w:rPr>
          <w:rFonts w:asciiTheme="minorHAnsi" w:hAnsiTheme="minorHAnsi" w:cstheme="minorHAnsi"/>
          <w:color w:val="000000" w:themeColor="text1"/>
        </w:rPr>
        <w:t xml:space="preserve">ed in </w:t>
      </w:r>
      <w:r w:rsidR="00B91757" w:rsidRPr="00DE5FDC">
        <w:rPr>
          <w:rFonts w:asciiTheme="minorHAnsi" w:hAnsiTheme="minorHAnsi" w:cstheme="minorHAnsi"/>
          <w:color w:val="000000" w:themeColor="text1"/>
        </w:rPr>
        <w:t xml:space="preserve">this </w:t>
      </w:r>
      <w:r w:rsidR="00330082" w:rsidRPr="00DE5FDC">
        <w:rPr>
          <w:rFonts w:asciiTheme="minorHAnsi" w:hAnsiTheme="minorHAnsi" w:cstheme="minorHAnsi"/>
          <w:color w:val="000000" w:themeColor="text1"/>
        </w:rPr>
        <w:t>guide</w:t>
      </w:r>
      <w:r w:rsidR="00A22B0C" w:rsidRPr="00DE5FDC">
        <w:rPr>
          <w:rFonts w:asciiTheme="minorHAnsi" w:hAnsiTheme="minorHAnsi" w:cstheme="minorHAnsi"/>
          <w:color w:val="000000" w:themeColor="text1"/>
        </w:rPr>
        <w:t xml:space="preserve"> </w:t>
      </w:r>
      <w:r w:rsidR="00B91757" w:rsidRPr="00DE5FDC">
        <w:rPr>
          <w:rFonts w:asciiTheme="minorHAnsi" w:hAnsiTheme="minorHAnsi" w:cstheme="minorHAnsi"/>
          <w:color w:val="000000" w:themeColor="text1"/>
        </w:rPr>
        <w:t xml:space="preserve">for </w:t>
      </w:r>
      <w:r w:rsidR="00811D44" w:rsidRPr="00DE5FDC">
        <w:rPr>
          <w:rFonts w:asciiTheme="minorHAnsi" w:hAnsiTheme="minorHAnsi" w:cstheme="minorHAnsi"/>
          <w:color w:val="000000" w:themeColor="text1"/>
        </w:rPr>
        <w:t>use</w:t>
      </w:r>
      <w:r w:rsidR="00B91757" w:rsidRPr="00DE5FDC">
        <w:rPr>
          <w:rFonts w:asciiTheme="minorHAnsi" w:hAnsiTheme="minorHAnsi" w:cstheme="minorHAnsi"/>
          <w:color w:val="000000" w:themeColor="text1"/>
        </w:rPr>
        <w:t xml:space="preserve"> in</w:t>
      </w:r>
      <w:r w:rsidR="00A22B0C" w:rsidRPr="00DE5FDC">
        <w:rPr>
          <w:rFonts w:asciiTheme="minorHAnsi" w:hAnsiTheme="minorHAnsi" w:cstheme="minorHAnsi"/>
          <w:color w:val="000000" w:themeColor="text1"/>
        </w:rPr>
        <w:t xml:space="preserve"> all-oral STRs</w:t>
      </w:r>
      <w:r w:rsidR="00901403" w:rsidRPr="00DE5FDC">
        <w:rPr>
          <w:rFonts w:asciiTheme="minorHAnsi" w:hAnsiTheme="minorHAnsi" w:cstheme="minorHAnsi"/>
          <w:color w:val="000000" w:themeColor="text1"/>
        </w:rPr>
        <w:t xml:space="preserve"> </w:t>
      </w:r>
      <w:r w:rsidR="00330082" w:rsidRPr="00DE5FDC">
        <w:rPr>
          <w:rFonts w:asciiTheme="minorHAnsi" w:hAnsiTheme="minorHAnsi" w:cstheme="minorHAnsi"/>
          <w:color w:val="000000" w:themeColor="text1"/>
        </w:rPr>
        <w:t>include</w:t>
      </w:r>
      <w:r w:rsidR="00CA1D7B" w:rsidRPr="00DE5FDC">
        <w:rPr>
          <w:rFonts w:asciiTheme="minorHAnsi" w:hAnsiTheme="minorHAnsi" w:cstheme="minorHAnsi"/>
          <w:color w:val="000000" w:themeColor="text1"/>
        </w:rPr>
        <w:t>:</w:t>
      </w:r>
    </w:p>
    <w:p w14:paraId="3BFCB59B" w14:textId="77777777" w:rsidR="00D317DA" w:rsidRPr="00DE5FDC" w:rsidRDefault="00CA1D7B" w:rsidP="00CB2F8E">
      <w:pPr>
        <w:pStyle w:val="ListNumber2"/>
        <w:numPr>
          <w:ilvl w:val="0"/>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 xml:space="preserve">Group A drugs: </w:t>
      </w:r>
    </w:p>
    <w:p w14:paraId="55BDE6BF" w14:textId="6C78330D" w:rsidR="00D317DA" w:rsidRPr="00DE5FDC" w:rsidRDefault="00D317DA" w:rsidP="00CB2F8E">
      <w:pPr>
        <w:pStyle w:val="ListNumber2"/>
        <w:numPr>
          <w:ilvl w:val="1"/>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L</w:t>
      </w:r>
      <w:r w:rsidR="00CA1D7B" w:rsidRPr="00DE5FDC">
        <w:rPr>
          <w:rFonts w:asciiTheme="minorHAnsi" w:hAnsiTheme="minorHAnsi" w:cstheme="minorHAnsi"/>
          <w:color w:val="000000" w:themeColor="text1"/>
        </w:rPr>
        <w:t>evofloxacin</w:t>
      </w:r>
      <w:r w:rsidR="00D90CDE" w:rsidRPr="00DE5FDC">
        <w:rPr>
          <w:rFonts w:asciiTheme="minorHAnsi" w:hAnsiTheme="minorHAnsi" w:cstheme="minorHAnsi"/>
          <w:color w:val="000000" w:themeColor="text1"/>
        </w:rPr>
        <w:t xml:space="preserve"> (or Moxifloxacin)</w:t>
      </w:r>
    </w:p>
    <w:p w14:paraId="41DA9307" w14:textId="3D5CB233" w:rsidR="00D317DA" w:rsidRPr="00DE5FDC" w:rsidRDefault="00D317DA" w:rsidP="00CB2F8E">
      <w:pPr>
        <w:pStyle w:val="ListNumber2"/>
        <w:numPr>
          <w:ilvl w:val="1"/>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B</w:t>
      </w:r>
      <w:r w:rsidR="00627CF6" w:rsidRPr="00DE5FDC">
        <w:rPr>
          <w:rFonts w:asciiTheme="minorHAnsi" w:hAnsiTheme="minorHAnsi" w:cstheme="minorHAnsi"/>
          <w:color w:val="000000" w:themeColor="text1"/>
        </w:rPr>
        <w:t>edaquiline</w:t>
      </w:r>
    </w:p>
    <w:p w14:paraId="1587749F" w14:textId="42C91765" w:rsidR="00CA1D7B" w:rsidRPr="00DE5FDC" w:rsidRDefault="00D90CDE" w:rsidP="00CB2F8E">
      <w:pPr>
        <w:pStyle w:val="ListNumber2"/>
        <w:numPr>
          <w:ilvl w:val="1"/>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L</w:t>
      </w:r>
      <w:r w:rsidR="00627CF6" w:rsidRPr="00DE5FDC">
        <w:rPr>
          <w:rFonts w:asciiTheme="minorHAnsi" w:hAnsiTheme="minorHAnsi" w:cstheme="minorHAnsi"/>
          <w:color w:val="000000" w:themeColor="text1"/>
        </w:rPr>
        <w:t>inezolid</w:t>
      </w:r>
    </w:p>
    <w:p w14:paraId="66A938DF" w14:textId="77777777" w:rsidR="00D317DA" w:rsidRPr="00DE5FDC" w:rsidRDefault="00627CF6" w:rsidP="00CB2F8E">
      <w:pPr>
        <w:pStyle w:val="ListNumber2"/>
        <w:numPr>
          <w:ilvl w:val="0"/>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 xml:space="preserve">Group B drugs: </w:t>
      </w:r>
    </w:p>
    <w:p w14:paraId="153C00F8" w14:textId="07D0C172" w:rsidR="00D90CDE" w:rsidRPr="00DE5FDC" w:rsidRDefault="00D90CDE" w:rsidP="00CB2F8E">
      <w:pPr>
        <w:pStyle w:val="ListNumber2"/>
        <w:numPr>
          <w:ilvl w:val="1"/>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C</w:t>
      </w:r>
      <w:r w:rsidR="00627CF6" w:rsidRPr="00DE5FDC">
        <w:rPr>
          <w:rFonts w:asciiTheme="minorHAnsi" w:hAnsiTheme="minorHAnsi" w:cstheme="minorHAnsi"/>
          <w:color w:val="000000" w:themeColor="text1"/>
        </w:rPr>
        <w:t>lofazimine</w:t>
      </w:r>
      <w:r w:rsidR="009349F5" w:rsidRPr="00DE5FDC">
        <w:rPr>
          <w:rFonts w:asciiTheme="minorHAnsi" w:hAnsiTheme="minorHAnsi" w:cstheme="minorHAnsi"/>
          <w:color w:val="000000" w:themeColor="text1"/>
        </w:rPr>
        <w:t xml:space="preserve"> </w:t>
      </w:r>
    </w:p>
    <w:p w14:paraId="5A2D0717" w14:textId="49D46C35" w:rsidR="00D90CDE" w:rsidRPr="00DE5FDC" w:rsidRDefault="00C95509" w:rsidP="00CB2F8E">
      <w:pPr>
        <w:pStyle w:val="ListNumber2"/>
        <w:numPr>
          <w:ilvl w:val="0"/>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 xml:space="preserve">Group C drugs: </w:t>
      </w:r>
    </w:p>
    <w:p w14:paraId="237C51D4" w14:textId="37935D9A" w:rsidR="00D90CDE" w:rsidRPr="00DE5FDC" w:rsidRDefault="00D90CDE" w:rsidP="00CB2F8E">
      <w:pPr>
        <w:pStyle w:val="ListNumber2"/>
        <w:numPr>
          <w:ilvl w:val="1"/>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D</w:t>
      </w:r>
      <w:r w:rsidR="00C95509" w:rsidRPr="00DE5FDC">
        <w:rPr>
          <w:rFonts w:asciiTheme="minorHAnsi" w:hAnsiTheme="minorHAnsi" w:cstheme="minorHAnsi"/>
          <w:color w:val="000000" w:themeColor="text1"/>
        </w:rPr>
        <w:t>elamanid</w:t>
      </w:r>
      <w:r w:rsidR="00DE5280" w:rsidRPr="00DE5FDC">
        <w:rPr>
          <w:rFonts w:asciiTheme="minorHAnsi" w:hAnsiTheme="minorHAnsi" w:cstheme="minorHAnsi"/>
          <w:color w:val="000000" w:themeColor="text1"/>
        </w:rPr>
        <w:t xml:space="preserve"> </w:t>
      </w:r>
    </w:p>
    <w:p w14:paraId="18366610" w14:textId="2B7AA39B" w:rsidR="00D90CDE" w:rsidRPr="00DE5FDC" w:rsidRDefault="00D90CDE" w:rsidP="00CB2F8E">
      <w:pPr>
        <w:pStyle w:val="ListNumber2"/>
        <w:numPr>
          <w:ilvl w:val="1"/>
          <w:numId w:val="21"/>
        </w:numPr>
        <w:rPr>
          <w:rFonts w:asciiTheme="minorHAnsi" w:hAnsiTheme="minorHAnsi" w:cstheme="minorHAnsi"/>
          <w:color w:val="000000" w:themeColor="text1"/>
        </w:rPr>
      </w:pPr>
      <w:r w:rsidRPr="00DE5FDC">
        <w:rPr>
          <w:rFonts w:asciiTheme="minorHAnsi" w:hAnsiTheme="minorHAnsi" w:cstheme="minorHAnsi"/>
          <w:color w:val="000000" w:themeColor="text1"/>
        </w:rPr>
        <w:t>P</w:t>
      </w:r>
      <w:r w:rsidR="00DE5280" w:rsidRPr="00DE5FDC">
        <w:rPr>
          <w:rFonts w:asciiTheme="minorHAnsi" w:hAnsiTheme="minorHAnsi" w:cstheme="minorHAnsi"/>
          <w:color w:val="000000" w:themeColor="text1"/>
        </w:rPr>
        <w:t>yrazinamide</w:t>
      </w:r>
      <w:r w:rsidR="00401BA4" w:rsidRPr="00DE5FDC">
        <w:rPr>
          <w:rFonts w:asciiTheme="minorHAnsi" w:hAnsiTheme="minorHAnsi" w:cstheme="minorHAnsi"/>
          <w:color w:val="000000" w:themeColor="text1"/>
        </w:rPr>
        <w:t xml:space="preserve"> </w:t>
      </w:r>
    </w:p>
    <w:p w14:paraId="73EC2C70" w14:textId="0D04C826" w:rsidR="00D90CDE" w:rsidRPr="00DE5FDC" w:rsidRDefault="00BE008E" w:rsidP="00C43E2B">
      <w:pPr>
        <w:pStyle w:val="ListNumber2"/>
        <w:numPr>
          <w:ilvl w:val="0"/>
          <w:numId w:val="0"/>
        </w:numPr>
        <w:rPr>
          <w:rFonts w:asciiTheme="minorHAnsi" w:hAnsiTheme="minorHAnsi" w:cstheme="minorHAnsi"/>
          <w:color w:val="000000" w:themeColor="text1"/>
        </w:rPr>
      </w:pPr>
      <w:r w:rsidRPr="00DE5FDC">
        <w:rPr>
          <w:rFonts w:asciiTheme="minorHAnsi" w:hAnsiTheme="minorHAnsi" w:cstheme="minorHAnsi"/>
          <w:color w:val="000000" w:themeColor="text1"/>
        </w:rPr>
        <w:t>The</w:t>
      </w:r>
      <w:r w:rsidR="00D90CDE" w:rsidRPr="00DE5FDC">
        <w:rPr>
          <w:rFonts w:asciiTheme="minorHAnsi" w:hAnsiTheme="minorHAnsi" w:cstheme="minorHAnsi"/>
          <w:color w:val="000000" w:themeColor="text1"/>
        </w:rPr>
        <w:t xml:space="preserve"> Group B drug cycloserine is </w:t>
      </w:r>
      <w:r w:rsidRPr="00DE5FDC">
        <w:rPr>
          <w:rFonts w:asciiTheme="minorHAnsi" w:hAnsiTheme="minorHAnsi" w:cstheme="minorHAnsi"/>
          <w:color w:val="000000" w:themeColor="text1"/>
        </w:rPr>
        <w:t>not included in the</w:t>
      </w:r>
      <w:r w:rsidR="002D539A" w:rsidRPr="00DE5FDC">
        <w:rPr>
          <w:rFonts w:asciiTheme="minorHAnsi" w:hAnsiTheme="minorHAnsi" w:cstheme="minorHAnsi"/>
          <w:color w:val="000000" w:themeColor="text1"/>
        </w:rPr>
        <w:t xml:space="preserve"> above</w:t>
      </w:r>
      <w:r w:rsidRPr="00DE5FDC">
        <w:rPr>
          <w:rFonts w:asciiTheme="minorHAnsi" w:hAnsiTheme="minorHAnsi" w:cstheme="minorHAnsi"/>
          <w:color w:val="000000" w:themeColor="text1"/>
        </w:rPr>
        <w:t xml:space="preserve"> list as </w:t>
      </w:r>
      <w:r w:rsidR="002D539A" w:rsidRPr="00DE5FDC">
        <w:rPr>
          <w:rFonts w:asciiTheme="minorHAnsi" w:hAnsiTheme="minorHAnsi" w:cstheme="minorHAnsi"/>
          <w:color w:val="000000" w:themeColor="text1"/>
        </w:rPr>
        <w:t xml:space="preserve">a </w:t>
      </w:r>
      <w:r w:rsidRPr="00DE5FDC">
        <w:rPr>
          <w:rFonts w:asciiTheme="minorHAnsi" w:hAnsiTheme="minorHAnsi" w:cstheme="minorHAnsi"/>
          <w:color w:val="000000" w:themeColor="text1"/>
        </w:rPr>
        <w:t xml:space="preserve">good </w:t>
      </w:r>
      <w:r w:rsidR="003C34EA" w:rsidRPr="00DE5FDC">
        <w:rPr>
          <w:rFonts w:asciiTheme="minorHAnsi" w:hAnsiTheme="minorHAnsi" w:cstheme="minorHAnsi"/>
          <w:color w:val="000000" w:themeColor="text1"/>
        </w:rPr>
        <w:t xml:space="preserve">core </w:t>
      </w:r>
      <w:r w:rsidRPr="00DE5FDC">
        <w:rPr>
          <w:rFonts w:asciiTheme="minorHAnsi" w:hAnsiTheme="minorHAnsi" w:cstheme="minorHAnsi"/>
          <w:color w:val="000000" w:themeColor="text1"/>
        </w:rPr>
        <w:t xml:space="preserve">candidate for </w:t>
      </w:r>
      <w:r w:rsidR="00656210" w:rsidRPr="00DE5FDC">
        <w:rPr>
          <w:rFonts w:asciiTheme="minorHAnsi" w:hAnsiTheme="minorHAnsi" w:cstheme="minorHAnsi"/>
          <w:color w:val="000000" w:themeColor="text1"/>
        </w:rPr>
        <w:t>all-oral STRs</w:t>
      </w:r>
      <w:r w:rsidR="00D90CDE" w:rsidRPr="00DE5FDC">
        <w:rPr>
          <w:rFonts w:asciiTheme="minorHAnsi" w:hAnsiTheme="minorHAnsi" w:cstheme="minorHAnsi"/>
          <w:color w:val="000000" w:themeColor="text1"/>
        </w:rPr>
        <w:t xml:space="preserve"> </w:t>
      </w:r>
      <w:r w:rsidR="002D539A" w:rsidRPr="00DE5FDC">
        <w:rPr>
          <w:rFonts w:asciiTheme="minorHAnsi" w:hAnsiTheme="minorHAnsi" w:cstheme="minorHAnsi"/>
          <w:color w:val="000000" w:themeColor="text1"/>
        </w:rPr>
        <w:t>due to</w:t>
      </w:r>
      <w:r w:rsidR="00D90CDE" w:rsidRPr="00DE5FDC">
        <w:rPr>
          <w:rFonts w:asciiTheme="minorHAnsi" w:hAnsiTheme="minorHAnsi" w:cstheme="minorHAnsi"/>
          <w:color w:val="000000" w:themeColor="text1"/>
        </w:rPr>
        <w:t xml:space="preserve"> its poor side-effect profile</w:t>
      </w:r>
      <w:r w:rsidR="003C34EA" w:rsidRPr="00DE5FDC">
        <w:rPr>
          <w:rFonts w:asciiTheme="minorHAnsi" w:hAnsiTheme="minorHAnsi" w:cstheme="minorHAnsi"/>
          <w:color w:val="000000" w:themeColor="text1"/>
        </w:rPr>
        <w:t xml:space="preserve"> and in part to a long history of previous use in many countries and no reliable DST</w:t>
      </w:r>
      <w:r w:rsidR="00656210" w:rsidRPr="00DE5FDC">
        <w:rPr>
          <w:rFonts w:asciiTheme="minorHAnsi" w:hAnsiTheme="minorHAnsi" w:cstheme="minorHAnsi"/>
          <w:color w:val="000000" w:themeColor="text1"/>
        </w:rPr>
        <w:t xml:space="preserve">. The </w:t>
      </w:r>
      <w:r w:rsidR="00D90CDE" w:rsidRPr="00DE5FDC">
        <w:rPr>
          <w:rFonts w:asciiTheme="minorHAnsi" w:hAnsiTheme="minorHAnsi" w:cstheme="minorHAnsi"/>
          <w:color w:val="000000" w:themeColor="text1"/>
        </w:rPr>
        <w:t>Group C drugs</w:t>
      </w:r>
      <w:r w:rsidR="00322453" w:rsidRPr="00DE5FDC">
        <w:rPr>
          <w:rFonts w:asciiTheme="minorHAnsi" w:hAnsiTheme="minorHAnsi" w:cstheme="minorHAnsi"/>
          <w:color w:val="000000" w:themeColor="text1"/>
        </w:rPr>
        <w:t xml:space="preserve"> other than delamanid and pyrazinamide</w:t>
      </w:r>
      <w:r w:rsidR="00D90CDE" w:rsidRPr="00DE5FDC">
        <w:rPr>
          <w:rFonts w:asciiTheme="minorHAnsi" w:hAnsiTheme="minorHAnsi" w:cstheme="minorHAnsi"/>
          <w:color w:val="000000" w:themeColor="text1"/>
        </w:rPr>
        <w:t xml:space="preserve"> are </w:t>
      </w:r>
      <w:r w:rsidR="00656210" w:rsidRPr="00DE5FDC">
        <w:rPr>
          <w:rFonts w:asciiTheme="minorHAnsi" w:hAnsiTheme="minorHAnsi" w:cstheme="minorHAnsi"/>
          <w:color w:val="000000" w:themeColor="text1"/>
        </w:rPr>
        <w:t xml:space="preserve">also </w:t>
      </w:r>
      <w:r w:rsidR="002D539A" w:rsidRPr="00DE5FDC">
        <w:rPr>
          <w:rFonts w:asciiTheme="minorHAnsi" w:hAnsiTheme="minorHAnsi" w:cstheme="minorHAnsi"/>
          <w:color w:val="000000" w:themeColor="text1"/>
        </w:rPr>
        <w:t xml:space="preserve">not </w:t>
      </w:r>
      <w:r w:rsidR="00A22B0C" w:rsidRPr="00DE5FDC">
        <w:rPr>
          <w:rFonts w:asciiTheme="minorHAnsi" w:hAnsiTheme="minorHAnsi" w:cstheme="minorHAnsi"/>
          <w:color w:val="000000" w:themeColor="text1"/>
        </w:rPr>
        <w:t xml:space="preserve">considered </w:t>
      </w:r>
      <w:r w:rsidR="002D539A" w:rsidRPr="00DE5FDC">
        <w:rPr>
          <w:rFonts w:asciiTheme="minorHAnsi" w:hAnsiTheme="minorHAnsi" w:cstheme="minorHAnsi"/>
          <w:color w:val="000000" w:themeColor="text1"/>
        </w:rPr>
        <w:t xml:space="preserve">to be </w:t>
      </w:r>
      <w:r w:rsidR="00656210" w:rsidRPr="00DE5FDC">
        <w:rPr>
          <w:rFonts w:asciiTheme="minorHAnsi" w:hAnsiTheme="minorHAnsi" w:cstheme="minorHAnsi"/>
          <w:color w:val="000000" w:themeColor="text1"/>
        </w:rPr>
        <w:t xml:space="preserve">good candidates </w:t>
      </w:r>
      <w:r w:rsidR="00322453" w:rsidRPr="00DE5FDC">
        <w:rPr>
          <w:rFonts w:asciiTheme="minorHAnsi" w:hAnsiTheme="minorHAnsi" w:cstheme="minorHAnsi"/>
          <w:color w:val="000000" w:themeColor="text1"/>
        </w:rPr>
        <w:t xml:space="preserve">for </w:t>
      </w:r>
      <w:r w:rsidR="002D539A" w:rsidRPr="00DE5FDC">
        <w:rPr>
          <w:rFonts w:asciiTheme="minorHAnsi" w:hAnsiTheme="minorHAnsi" w:cstheme="minorHAnsi"/>
          <w:color w:val="000000" w:themeColor="text1"/>
        </w:rPr>
        <w:t xml:space="preserve">use in </w:t>
      </w:r>
      <w:r w:rsidR="00D90CDE" w:rsidRPr="00DE5FDC">
        <w:rPr>
          <w:rFonts w:asciiTheme="minorHAnsi" w:hAnsiTheme="minorHAnsi" w:cstheme="minorHAnsi"/>
          <w:color w:val="000000" w:themeColor="text1"/>
        </w:rPr>
        <w:t xml:space="preserve">all-oral STRs </w:t>
      </w:r>
      <w:r w:rsidR="002D539A" w:rsidRPr="00DE5FDC">
        <w:rPr>
          <w:rFonts w:asciiTheme="minorHAnsi" w:hAnsiTheme="minorHAnsi" w:cstheme="minorHAnsi"/>
          <w:color w:val="000000" w:themeColor="text1"/>
        </w:rPr>
        <w:t>due to</w:t>
      </w:r>
      <w:r w:rsidR="00D90CDE" w:rsidRPr="00DE5FDC">
        <w:rPr>
          <w:rFonts w:asciiTheme="minorHAnsi" w:hAnsiTheme="minorHAnsi" w:cstheme="minorHAnsi"/>
          <w:color w:val="000000" w:themeColor="text1"/>
        </w:rPr>
        <w:t xml:space="preserve"> either their </w:t>
      </w:r>
      <w:r w:rsidR="00656210" w:rsidRPr="00DE5FDC">
        <w:rPr>
          <w:rFonts w:asciiTheme="minorHAnsi" w:hAnsiTheme="minorHAnsi" w:cstheme="minorHAnsi"/>
          <w:color w:val="000000" w:themeColor="text1"/>
        </w:rPr>
        <w:t xml:space="preserve">low </w:t>
      </w:r>
      <w:r w:rsidR="00D90CDE" w:rsidRPr="00DE5FDC">
        <w:rPr>
          <w:rFonts w:asciiTheme="minorHAnsi" w:hAnsiTheme="minorHAnsi" w:cstheme="minorHAnsi"/>
          <w:color w:val="000000" w:themeColor="text1"/>
        </w:rPr>
        <w:t xml:space="preserve">efficacy, poor-side effect profile, or high </w:t>
      </w:r>
      <w:r w:rsidR="00A22B0C" w:rsidRPr="00DE5FDC">
        <w:rPr>
          <w:rFonts w:asciiTheme="minorHAnsi" w:hAnsiTheme="minorHAnsi" w:cstheme="minorHAnsi"/>
          <w:color w:val="000000" w:themeColor="text1"/>
        </w:rPr>
        <w:t>likelihood</w:t>
      </w:r>
      <w:r w:rsidR="00D90CDE" w:rsidRPr="00DE5FDC">
        <w:rPr>
          <w:rFonts w:asciiTheme="minorHAnsi" w:hAnsiTheme="minorHAnsi" w:cstheme="minorHAnsi"/>
          <w:color w:val="000000" w:themeColor="text1"/>
        </w:rPr>
        <w:t xml:space="preserve"> of </w:t>
      </w:r>
      <w:r w:rsidR="00A22B0C" w:rsidRPr="00DE5FDC">
        <w:rPr>
          <w:rFonts w:asciiTheme="minorHAnsi" w:hAnsiTheme="minorHAnsi" w:cstheme="minorHAnsi"/>
          <w:color w:val="000000" w:themeColor="text1"/>
        </w:rPr>
        <w:t xml:space="preserve">being </w:t>
      </w:r>
      <w:r w:rsidR="00D90CDE" w:rsidRPr="00DE5FDC">
        <w:rPr>
          <w:rFonts w:asciiTheme="minorHAnsi" w:hAnsiTheme="minorHAnsi" w:cstheme="minorHAnsi"/>
          <w:color w:val="000000" w:themeColor="text1"/>
        </w:rPr>
        <w:t>resista</w:t>
      </w:r>
      <w:r w:rsidR="00A22B0C" w:rsidRPr="00DE5FDC">
        <w:rPr>
          <w:rFonts w:asciiTheme="minorHAnsi" w:hAnsiTheme="minorHAnsi" w:cstheme="minorHAnsi"/>
          <w:color w:val="000000" w:themeColor="text1"/>
        </w:rPr>
        <w:t>nt</w:t>
      </w:r>
      <w:r w:rsidR="00D90CDE" w:rsidRPr="00DE5FDC">
        <w:rPr>
          <w:rFonts w:asciiTheme="minorHAnsi" w:hAnsiTheme="minorHAnsi" w:cstheme="minorHAnsi"/>
          <w:color w:val="000000" w:themeColor="text1"/>
        </w:rPr>
        <w:t>.</w:t>
      </w:r>
    </w:p>
    <w:p w14:paraId="0B8B8068" w14:textId="1EF32F65" w:rsidR="00452FE7" w:rsidRPr="00DE5FDC" w:rsidRDefault="00C43E2B" w:rsidP="00C43E2B">
      <w:pPr>
        <w:pStyle w:val="ListNumber2"/>
        <w:numPr>
          <w:ilvl w:val="0"/>
          <w:numId w:val="0"/>
        </w:numPr>
        <w:rPr>
          <w:rFonts w:asciiTheme="minorHAnsi" w:hAnsiTheme="minorHAnsi" w:cstheme="minorHAnsi"/>
          <w:color w:val="000000" w:themeColor="text1"/>
        </w:rPr>
      </w:pPr>
      <w:r w:rsidRPr="00DE5FDC">
        <w:rPr>
          <w:rFonts w:asciiTheme="minorHAnsi" w:hAnsiTheme="minorHAnsi" w:cstheme="minorHAnsi"/>
          <w:color w:val="000000" w:themeColor="text1"/>
        </w:rPr>
        <w:t>While other TB drugs can be used in all-oral STRs</w:t>
      </w:r>
      <w:r w:rsidR="00D55731" w:rsidRPr="00DE5FDC">
        <w:rPr>
          <w:rFonts w:asciiTheme="minorHAnsi" w:hAnsiTheme="minorHAnsi" w:cstheme="minorHAnsi"/>
          <w:color w:val="000000" w:themeColor="text1"/>
        </w:rPr>
        <w:t xml:space="preserve">, this guide focuses on </w:t>
      </w:r>
      <w:r w:rsidR="00E33233" w:rsidRPr="00DE5FDC">
        <w:rPr>
          <w:rFonts w:asciiTheme="minorHAnsi" w:hAnsiTheme="minorHAnsi" w:cstheme="minorHAnsi"/>
          <w:color w:val="000000" w:themeColor="text1"/>
        </w:rPr>
        <w:t xml:space="preserve">using the above </w:t>
      </w:r>
      <w:r w:rsidR="00D55731" w:rsidRPr="00DE5FDC">
        <w:rPr>
          <w:rFonts w:asciiTheme="minorHAnsi" w:hAnsiTheme="minorHAnsi" w:cstheme="minorHAnsi"/>
          <w:color w:val="000000" w:themeColor="text1"/>
        </w:rPr>
        <w:t>drugs to design all-oral STRs</w:t>
      </w:r>
      <w:r w:rsidR="00B72428" w:rsidRPr="00DE5FDC">
        <w:rPr>
          <w:rFonts w:asciiTheme="minorHAnsi" w:hAnsiTheme="minorHAnsi" w:cstheme="minorHAnsi"/>
          <w:color w:val="000000" w:themeColor="text1"/>
        </w:rPr>
        <w:t xml:space="preserve"> that contain</w:t>
      </w:r>
      <w:r w:rsidR="00DF5798" w:rsidRPr="00DE5FDC">
        <w:rPr>
          <w:rFonts w:asciiTheme="minorHAnsi" w:hAnsiTheme="minorHAnsi" w:cstheme="minorHAnsi"/>
          <w:color w:val="000000" w:themeColor="text1"/>
        </w:rPr>
        <w:t xml:space="preserve"> four to five drugs</w:t>
      </w:r>
      <w:r w:rsidR="002128A3" w:rsidRPr="00DE5FDC">
        <w:rPr>
          <w:rFonts w:asciiTheme="minorHAnsi" w:hAnsiTheme="minorHAnsi" w:cstheme="minorHAnsi"/>
          <w:color w:val="000000" w:themeColor="text1"/>
        </w:rPr>
        <w:t xml:space="preserve">. </w:t>
      </w:r>
      <w:r w:rsidR="00E33233" w:rsidRPr="00DE5FDC">
        <w:rPr>
          <w:rFonts w:asciiTheme="minorHAnsi" w:hAnsiTheme="minorHAnsi" w:cstheme="minorHAnsi"/>
          <w:color w:val="000000" w:themeColor="text1"/>
        </w:rPr>
        <w:t xml:space="preserve">In cases when </w:t>
      </w:r>
      <w:r w:rsidR="00D7213F" w:rsidRPr="00DE5FDC">
        <w:rPr>
          <w:rFonts w:asciiTheme="minorHAnsi" w:hAnsiTheme="minorHAnsi" w:cstheme="minorHAnsi"/>
          <w:color w:val="000000" w:themeColor="text1"/>
        </w:rPr>
        <w:t xml:space="preserve">a drug substitution is </w:t>
      </w:r>
      <w:r w:rsidR="00E33233" w:rsidRPr="00DE5FDC">
        <w:rPr>
          <w:rFonts w:asciiTheme="minorHAnsi" w:hAnsiTheme="minorHAnsi" w:cstheme="minorHAnsi"/>
          <w:color w:val="000000" w:themeColor="text1"/>
        </w:rPr>
        <w:t>necessary</w:t>
      </w:r>
      <w:r w:rsidR="00D7213F" w:rsidRPr="00DE5FDC">
        <w:rPr>
          <w:rFonts w:asciiTheme="minorHAnsi" w:hAnsiTheme="minorHAnsi" w:cstheme="minorHAnsi"/>
          <w:color w:val="000000" w:themeColor="text1"/>
        </w:rPr>
        <w:t xml:space="preserve">, cycloserine and other Group C drugs </w:t>
      </w:r>
      <w:r w:rsidR="00E33233" w:rsidRPr="00DE5FDC">
        <w:rPr>
          <w:rFonts w:asciiTheme="minorHAnsi" w:hAnsiTheme="minorHAnsi" w:cstheme="minorHAnsi"/>
          <w:color w:val="000000" w:themeColor="text1"/>
        </w:rPr>
        <w:t xml:space="preserve">may </w:t>
      </w:r>
      <w:r w:rsidR="00D7213F" w:rsidRPr="00DE5FDC">
        <w:rPr>
          <w:rFonts w:asciiTheme="minorHAnsi" w:hAnsiTheme="minorHAnsi" w:cstheme="minorHAnsi"/>
          <w:color w:val="000000" w:themeColor="text1"/>
        </w:rPr>
        <w:t>be considered</w:t>
      </w:r>
      <w:r w:rsidR="00F811D1" w:rsidRPr="00DE5FDC">
        <w:rPr>
          <w:rFonts w:asciiTheme="minorHAnsi" w:hAnsiTheme="minorHAnsi" w:cstheme="minorHAnsi"/>
          <w:color w:val="000000" w:themeColor="text1"/>
        </w:rPr>
        <w:t xml:space="preserve"> for use in the STR</w:t>
      </w:r>
      <w:r w:rsidR="00D7213F" w:rsidRPr="00DE5FDC">
        <w:rPr>
          <w:rFonts w:asciiTheme="minorHAnsi" w:hAnsiTheme="minorHAnsi" w:cstheme="minorHAnsi"/>
          <w:color w:val="000000" w:themeColor="text1"/>
        </w:rPr>
        <w:t xml:space="preserve">.  </w:t>
      </w:r>
    </w:p>
    <w:p w14:paraId="7AD25C0E" w14:textId="1F178714" w:rsidR="00FE3037" w:rsidRPr="00DE5FDC" w:rsidRDefault="004A0EF8" w:rsidP="00003170">
      <w:pPr>
        <w:pStyle w:val="Heading2"/>
        <w:rPr>
          <w:sz w:val="22"/>
          <w:szCs w:val="22"/>
        </w:rPr>
      </w:pPr>
      <w:bookmarkStart w:id="34" w:name="h.1t3h5sf" w:colFirst="0" w:colLast="0"/>
      <w:bookmarkStart w:id="35" w:name="_Ref11078675"/>
      <w:bookmarkStart w:id="36" w:name="_Toc12792947"/>
      <w:bookmarkStart w:id="37" w:name="_Toc12952358"/>
      <w:bookmarkStart w:id="38" w:name="_Toc13486707"/>
      <w:bookmarkEnd w:id="34"/>
      <w:r w:rsidRPr="00DE5FDC">
        <w:rPr>
          <w:sz w:val="22"/>
          <w:szCs w:val="22"/>
        </w:rPr>
        <w:t>Individual d</w:t>
      </w:r>
      <w:r w:rsidR="00FD2C2A" w:rsidRPr="00DE5FDC">
        <w:rPr>
          <w:sz w:val="22"/>
          <w:szCs w:val="22"/>
        </w:rPr>
        <w:t xml:space="preserve">rug </w:t>
      </w:r>
      <w:r w:rsidRPr="00DE5FDC">
        <w:rPr>
          <w:sz w:val="22"/>
          <w:szCs w:val="22"/>
        </w:rPr>
        <w:t>c</w:t>
      </w:r>
      <w:r w:rsidR="00FD2C2A" w:rsidRPr="00DE5FDC">
        <w:rPr>
          <w:sz w:val="22"/>
          <w:szCs w:val="22"/>
        </w:rPr>
        <w:t>haracteristics</w:t>
      </w:r>
      <w:r w:rsidR="000833CD" w:rsidRPr="00DE5FDC">
        <w:rPr>
          <w:sz w:val="22"/>
          <w:szCs w:val="22"/>
        </w:rPr>
        <w:t xml:space="preserve"> </w:t>
      </w:r>
      <w:r w:rsidRPr="00DE5FDC">
        <w:rPr>
          <w:sz w:val="22"/>
          <w:szCs w:val="22"/>
        </w:rPr>
        <w:t>of the drugs used in all-oral STRs</w:t>
      </w:r>
      <w:bookmarkEnd w:id="35"/>
      <w:bookmarkEnd w:id="36"/>
      <w:bookmarkEnd w:id="37"/>
      <w:bookmarkEnd w:id="38"/>
    </w:p>
    <w:p w14:paraId="19FD9411" w14:textId="5850F591" w:rsidR="00862171" w:rsidRPr="00DE5FDC" w:rsidRDefault="00862171" w:rsidP="00862171">
      <w:pPr>
        <w:pStyle w:val="BodyText"/>
        <w:spacing w:after="0"/>
        <w:contextualSpacing/>
        <w:rPr>
          <w:rFonts w:asciiTheme="minorHAnsi" w:hAnsiTheme="minorHAnsi" w:cstheme="minorHAnsi"/>
          <w:b/>
          <w:bCs/>
          <w:color w:val="000000" w:themeColor="text1"/>
        </w:rPr>
      </w:pPr>
      <w:r w:rsidRPr="00DE5FDC">
        <w:rPr>
          <w:rFonts w:asciiTheme="minorHAnsi" w:hAnsiTheme="minorHAnsi" w:cstheme="minorHAnsi"/>
          <w:b/>
          <w:bCs/>
          <w:color w:val="000000" w:themeColor="text1"/>
        </w:rPr>
        <w:t>Group A drugs: Later generation FQs, bedaquiline, linezolid</w:t>
      </w:r>
    </w:p>
    <w:p w14:paraId="42B1C17E" w14:textId="77777777" w:rsidR="00862171" w:rsidRPr="00DE5FDC" w:rsidRDefault="00862171" w:rsidP="00862171">
      <w:pPr>
        <w:pStyle w:val="BodyText"/>
        <w:spacing w:after="0"/>
        <w:contextualSpacing/>
        <w:rPr>
          <w:rFonts w:asciiTheme="minorHAnsi" w:hAnsiTheme="minorHAnsi" w:cstheme="minorHAnsi"/>
          <w:b/>
          <w:bCs/>
          <w:color w:val="000000" w:themeColor="text1"/>
        </w:rPr>
      </w:pPr>
    </w:p>
    <w:p w14:paraId="76F46CC4" w14:textId="1958CDFF" w:rsidR="0031754E" w:rsidRPr="00DE5FDC" w:rsidRDefault="0031754E" w:rsidP="00862171">
      <w:pPr>
        <w:pStyle w:val="BodyText"/>
        <w:spacing w:after="0"/>
        <w:contextualSpacing/>
        <w:rPr>
          <w:rFonts w:asciiTheme="minorHAnsi" w:hAnsiTheme="minorHAnsi" w:cstheme="minorHAnsi"/>
          <w:b/>
          <w:bCs/>
          <w:color w:val="000000" w:themeColor="text1"/>
        </w:rPr>
      </w:pPr>
      <w:r w:rsidRPr="00DE5FDC">
        <w:rPr>
          <w:rFonts w:asciiTheme="minorHAnsi" w:hAnsiTheme="minorHAnsi" w:cstheme="minorHAnsi"/>
          <w:color w:val="000000" w:themeColor="text1"/>
        </w:rPr>
        <w:t xml:space="preserve">Group A drugs are </w:t>
      </w:r>
      <w:r w:rsidR="004A2BCC" w:rsidRPr="00DE5FDC">
        <w:rPr>
          <w:rFonts w:asciiTheme="minorHAnsi" w:hAnsiTheme="minorHAnsi" w:cstheme="minorHAnsi"/>
          <w:color w:val="000000" w:themeColor="text1"/>
        </w:rPr>
        <w:t xml:space="preserve">considered as </w:t>
      </w:r>
      <w:r w:rsidRPr="00DE5FDC">
        <w:rPr>
          <w:rFonts w:asciiTheme="minorHAnsi" w:hAnsiTheme="minorHAnsi" w:cstheme="minorHAnsi"/>
          <w:color w:val="000000" w:themeColor="text1"/>
        </w:rPr>
        <w:t xml:space="preserve">the most efficacious TB drugs based on an individual patient data meta-analysis </w:t>
      </w:r>
      <w:r w:rsidR="00CC5D71" w:rsidRPr="00DE5FDC">
        <w:rPr>
          <w:rFonts w:asciiTheme="minorHAnsi" w:hAnsiTheme="minorHAnsi" w:cstheme="minorHAnsi"/>
          <w:color w:val="000000" w:themeColor="text1"/>
        </w:rPr>
        <w:t xml:space="preserve">conducted by </w:t>
      </w:r>
      <w:r w:rsidRPr="00DE5FDC">
        <w:rPr>
          <w:rFonts w:asciiTheme="minorHAnsi" w:hAnsiTheme="minorHAnsi" w:cstheme="minorHAnsi"/>
          <w:color w:val="000000" w:themeColor="text1"/>
        </w:rPr>
        <w:t>the WHO (reference 2019 WHO consolidated guidelines).  All-oral STRs often, but not always, include two or more Group A drugs.  The Group A drugs consist of:</w:t>
      </w:r>
    </w:p>
    <w:p w14:paraId="52A6394C" w14:textId="77777777" w:rsidR="0031754E" w:rsidRPr="00DE5FDC" w:rsidRDefault="0031754E" w:rsidP="0031754E">
      <w:pPr>
        <w:pStyle w:val="BodyText"/>
        <w:spacing w:after="0"/>
        <w:ind w:hanging="1"/>
        <w:contextualSpacing/>
        <w:rPr>
          <w:rFonts w:asciiTheme="minorHAnsi" w:hAnsiTheme="minorHAnsi" w:cstheme="minorHAnsi"/>
          <w:color w:val="000000" w:themeColor="text1"/>
        </w:rPr>
      </w:pPr>
    </w:p>
    <w:p w14:paraId="732277E0" w14:textId="77777777" w:rsidR="00FE3037" w:rsidRPr="00DE5FDC" w:rsidRDefault="00FE3037" w:rsidP="00CB2F8E">
      <w:pPr>
        <w:pStyle w:val="BodyText"/>
        <w:numPr>
          <w:ilvl w:val="0"/>
          <w:numId w:val="23"/>
        </w:numPr>
        <w:spacing w:before="0" w:after="0"/>
        <w:contextualSpacing/>
        <w:jc w:val="left"/>
        <w:rPr>
          <w:rFonts w:asciiTheme="minorHAnsi" w:hAnsiTheme="minorHAnsi" w:cstheme="minorHAnsi"/>
          <w:b/>
          <w:color w:val="000000" w:themeColor="text1"/>
        </w:rPr>
      </w:pPr>
      <w:r w:rsidRPr="00DE5FDC">
        <w:rPr>
          <w:rFonts w:asciiTheme="minorHAnsi" w:hAnsiTheme="minorHAnsi" w:cstheme="minorHAnsi"/>
          <w:b/>
          <w:color w:val="000000" w:themeColor="text1"/>
        </w:rPr>
        <w:t>Later generation fluoroquinolones: levofloxacin, moxifloxacin</w:t>
      </w:r>
    </w:p>
    <w:p w14:paraId="0C5DB0B5" w14:textId="2F9D1DC1" w:rsidR="00FE3037" w:rsidRPr="00DE5FDC" w:rsidRDefault="00FE3037" w:rsidP="00FE3037">
      <w:pPr>
        <w:pStyle w:val="BodyText"/>
        <w:spacing w:after="0"/>
        <w:ind w:left="720"/>
        <w:rPr>
          <w:rFonts w:asciiTheme="minorHAnsi" w:hAnsiTheme="minorHAnsi" w:cstheme="minorHAnsi"/>
          <w:color w:val="000000" w:themeColor="text1"/>
        </w:rPr>
      </w:pPr>
      <w:r w:rsidRPr="00DE5FDC">
        <w:rPr>
          <w:rFonts w:asciiTheme="minorHAnsi" w:hAnsiTheme="minorHAnsi" w:cstheme="minorHAnsi"/>
          <w:color w:val="000000" w:themeColor="text1"/>
        </w:rPr>
        <w:lastRenderedPageBreak/>
        <w:t xml:space="preserve">Fluoroquinolones (FQs) are highly effective against TB and have an excellent safety profile. Because all-oral STRs are only used </w:t>
      </w:r>
      <w:r w:rsidR="00E67561" w:rsidRPr="00DE5FDC">
        <w:rPr>
          <w:rFonts w:asciiTheme="minorHAnsi" w:hAnsiTheme="minorHAnsi" w:cstheme="minorHAnsi"/>
          <w:color w:val="000000" w:themeColor="text1"/>
        </w:rPr>
        <w:t xml:space="preserve">in the treatment of </w:t>
      </w:r>
      <w:r w:rsidRPr="00DE5FDC">
        <w:rPr>
          <w:rFonts w:asciiTheme="minorHAnsi" w:hAnsiTheme="minorHAnsi" w:cstheme="minorHAnsi"/>
          <w:color w:val="000000" w:themeColor="text1"/>
        </w:rPr>
        <w:t xml:space="preserve">FQ-susceptible or highly-likely FQ-susceptible strains of MDR-TB, this class of drug </w:t>
      </w:r>
      <w:r w:rsidR="003C34EA" w:rsidRPr="00DE5FDC">
        <w:rPr>
          <w:rFonts w:asciiTheme="minorHAnsi" w:hAnsiTheme="minorHAnsi" w:cstheme="minorHAnsi"/>
          <w:color w:val="000000" w:themeColor="text1"/>
        </w:rPr>
        <w:t>is used as a core drug in all STR</w:t>
      </w:r>
      <w:r w:rsidRPr="00DE5FDC">
        <w:rPr>
          <w:rFonts w:asciiTheme="minorHAnsi" w:hAnsiTheme="minorHAnsi" w:cstheme="minorHAnsi"/>
          <w:color w:val="000000" w:themeColor="text1"/>
        </w:rPr>
        <w:t xml:space="preserve"> designs</w:t>
      </w:r>
      <w:r w:rsidR="003016C7" w:rsidRPr="00DE5FDC">
        <w:rPr>
          <w:rFonts w:asciiTheme="minorHAnsi" w:hAnsiTheme="minorHAnsi" w:cstheme="minorHAnsi"/>
          <w:color w:val="000000" w:themeColor="text1"/>
        </w:rPr>
        <w:t>.</w:t>
      </w:r>
    </w:p>
    <w:p w14:paraId="0150CBA0" w14:textId="37CA573E" w:rsidR="00FE3037" w:rsidRPr="00DE5FDC" w:rsidRDefault="00FE3037" w:rsidP="00FE3037">
      <w:pPr>
        <w:pStyle w:val="BodyText"/>
        <w:spacing w:after="0"/>
        <w:ind w:left="720"/>
        <w:rPr>
          <w:rFonts w:asciiTheme="minorHAnsi" w:hAnsiTheme="minorHAnsi" w:cstheme="minorHAnsi"/>
          <w:color w:val="000000" w:themeColor="text1"/>
        </w:rPr>
      </w:pPr>
      <w:r w:rsidRPr="00DE5FDC">
        <w:rPr>
          <w:rFonts w:asciiTheme="minorHAnsi" w:hAnsiTheme="minorHAnsi" w:cstheme="minorHAnsi"/>
          <w:color w:val="000000" w:themeColor="text1"/>
        </w:rPr>
        <w:t xml:space="preserve">Levofloxacin and has </w:t>
      </w:r>
      <w:r w:rsidR="003016C7" w:rsidRPr="00DE5FDC">
        <w:rPr>
          <w:rFonts w:asciiTheme="minorHAnsi" w:hAnsiTheme="minorHAnsi" w:cstheme="minorHAnsi"/>
          <w:color w:val="000000" w:themeColor="text1"/>
        </w:rPr>
        <w:t xml:space="preserve">fewer </w:t>
      </w:r>
      <w:r w:rsidRPr="00DE5FDC">
        <w:rPr>
          <w:rFonts w:asciiTheme="minorHAnsi" w:hAnsiTheme="minorHAnsi" w:cstheme="minorHAnsi"/>
          <w:color w:val="000000" w:themeColor="text1"/>
        </w:rPr>
        <w:t>QT</w:t>
      </w:r>
      <w:r w:rsidR="003016C7"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prolonging effects </w:t>
      </w:r>
      <w:r w:rsidR="002B2317" w:rsidRPr="00DE5FDC">
        <w:rPr>
          <w:rFonts w:asciiTheme="minorHAnsi" w:hAnsiTheme="minorHAnsi" w:cstheme="minorHAnsi"/>
          <w:color w:val="000000" w:themeColor="text1"/>
        </w:rPr>
        <w:t xml:space="preserve">than moxifloxacin </w:t>
      </w:r>
      <w:r w:rsidRPr="00DE5FDC">
        <w:rPr>
          <w:rFonts w:asciiTheme="minorHAnsi" w:hAnsiTheme="minorHAnsi" w:cstheme="minorHAnsi"/>
          <w:color w:val="000000" w:themeColor="text1"/>
        </w:rPr>
        <w:t>and is therefore often chosen over moxifloxacin for use in regimens containing bedaquiline, which also prolong</w:t>
      </w:r>
      <w:r w:rsidR="00CE12B5" w:rsidRPr="00DE5FDC">
        <w:rPr>
          <w:rFonts w:asciiTheme="minorHAnsi" w:hAnsiTheme="minorHAnsi" w:cstheme="minorHAnsi"/>
          <w:color w:val="000000" w:themeColor="text1"/>
        </w:rPr>
        <w:t xml:space="preserve">s </w:t>
      </w:r>
      <w:r w:rsidRPr="00DE5FDC">
        <w:rPr>
          <w:rFonts w:asciiTheme="minorHAnsi" w:hAnsiTheme="minorHAnsi" w:cstheme="minorHAnsi"/>
          <w:color w:val="000000" w:themeColor="text1"/>
        </w:rPr>
        <w:t xml:space="preserve">the QT interval. </w:t>
      </w:r>
    </w:p>
    <w:p w14:paraId="064EA9F4" w14:textId="0E79ED54" w:rsidR="00FE3037" w:rsidRPr="00DE5FDC" w:rsidRDefault="00FE3037" w:rsidP="00FE3037">
      <w:pPr>
        <w:pStyle w:val="BodyText"/>
        <w:spacing w:after="0"/>
        <w:ind w:left="720"/>
        <w:rPr>
          <w:rFonts w:asciiTheme="minorHAnsi" w:hAnsiTheme="minorHAnsi" w:cstheme="minorHAnsi"/>
          <w:color w:val="000000" w:themeColor="text1"/>
        </w:rPr>
      </w:pPr>
      <w:r w:rsidRPr="00DE5FDC">
        <w:rPr>
          <w:rFonts w:asciiTheme="minorHAnsi" w:hAnsiTheme="minorHAnsi" w:cstheme="minorHAnsi"/>
          <w:color w:val="000000" w:themeColor="text1"/>
        </w:rPr>
        <w:t>Moxifloxacin (</w:t>
      </w:r>
      <w:r w:rsidR="00643E1F" w:rsidRPr="00DE5FDC">
        <w:rPr>
          <w:rFonts w:asciiTheme="minorHAnsi" w:hAnsiTheme="minorHAnsi" w:cstheme="minorHAnsi"/>
          <w:color w:val="000000" w:themeColor="text1"/>
        </w:rPr>
        <w:t xml:space="preserve">at </w:t>
      </w:r>
      <w:r w:rsidRPr="00DE5FDC">
        <w:rPr>
          <w:rFonts w:asciiTheme="minorHAnsi" w:hAnsiTheme="minorHAnsi" w:cstheme="minorHAnsi"/>
          <w:color w:val="000000" w:themeColor="text1"/>
        </w:rPr>
        <w:t xml:space="preserve">high-dose) may be preferred when the regimen being used does not contain bedaquiline. </w:t>
      </w:r>
    </w:p>
    <w:p w14:paraId="6A93C12E" w14:textId="77777777" w:rsidR="00FE3037" w:rsidRPr="00DE5FDC" w:rsidRDefault="00FE3037" w:rsidP="00FE3037">
      <w:pPr>
        <w:pStyle w:val="BodyText"/>
        <w:spacing w:after="0"/>
        <w:contextualSpacing/>
        <w:rPr>
          <w:rFonts w:asciiTheme="minorHAnsi" w:hAnsiTheme="minorHAnsi" w:cstheme="minorHAnsi"/>
          <w:color w:val="000000" w:themeColor="text1"/>
        </w:rPr>
      </w:pPr>
    </w:p>
    <w:p w14:paraId="423329F6" w14:textId="77777777" w:rsidR="00300321" w:rsidRPr="00DE5FDC" w:rsidRDefault="000704BB" w:rsidP="00CB2F8E">
      <w:pPr>
        <w:pStyle w:val="BodyText"/>
        <w:numPr>
          <w:ilvl w:val="0"/>
          <w:numId w:val="22"/>
        </w:numPr>
        <w:spacing w:before="0" w:after="0"/>
        <w:contextualSpacing/>
        <w:jc w:val="left"/>
        <w:rPr>
          <w:rFonts w:asciiTheme="minorHAnsi" w:hAnsiTheme="minorHAnsi" w:cstheme="minorHAnsi"/>
          <w:color w:val="000000" w:themeColor="text1"/>
        </w:rPr>
      </w:pPr>
      <w:r w:rsidRPr="00DE5FDC">
        <w:rPr>
          <w:rFonts w:asciiTheme="minorHAnsi" w:hAnsiTheme="minorHAnsi" w:cstheme="minorHAnsi"/>
          <w:b/>
          <w:color w:val="000000" w:themeColor="text1"/>
        </w:rPr>
        <w:t>Bedaquiline</w:t>
      </w:r>
      <w:r w:rsidR="00300321" w:rsidRPr="00DE5FDC">
        <w:rPr>
          <w:rFonts w:asciiTheme="minorHAnsi" w:hAnsiTheme="minorHAnsi" w:cstheme="minorHAnsi"/>
          <w:color w:val="000000" w:themeColor="text1"/>
          <w:position w:val="6"/>
        </w:rPr>
        <w:t xml:space="preserve"> </w:t>
      </w:r>
    </w:p>
    <w:p w14:paraId="14489047" w14:textId="77777777" w:rsidR="000A24EF" w:rsidRPr="00DE5FDC" w:rsidRDefault="000A24EF" w:rsidP="0069569D">
      <w:pPr>
        <w:pStyle w:val="BodyText"/>
        <w:spacing w:before="0" w:after="0"/>
        <w:ind w:left="720"/>
        <w:contextualSpacing/>
        <w:jc w:val="left"/>
        <w:rPr>
          <w:rFonts w:asciiTheme="minorHAnsi" w:hAnsiTheme="minorHAnsi" w:cstheme="minorHAnsi"/>
          <w:color w:val="000000" w:themeColor="text1"/>
        </w:rPr>
      </w:pPr>
    </w:p>
    <w:p w14:paraId="7C6B75CD" w14:textId="17344287" w:rsidR="000704BB" w:rsidRPr="00DE5FDC" w:rsidRDefault="000704BB" w:rsidP="0069569D">
      <w:pPr>
        <w:pStyle w:val="BodyText"/>
        <w:spacing w:before="0" w:after="0"/>
        <w:ind w:left="720"/>
        <w:contextualSpacing/>
        <w:jc w:val="left"/>
        <w:rPr>
          <w:rFonts w:asciiTheme="minorHAnsi" w:hAnsiTheme="minorHAnsi" w:cstheme="minorHAnsi"/>
          <w:color w:val="000000" w:themeColor="text1"/>
        </w:rPr>
      </w:pPr>
      <w:r w:rsidRPr="00DE5FDC">
        <w:rPr>
          <w:rFonts w:asciiTheme="minorHAnsi" w:hAnsiTheme="minorHAnsi" w:cstheme="minorHAnsi"/>
          <w:color w:val="000000" w:themeColor="text1"/>
        </w:rPr>
        <w:t>Bedaquiline is a diarylquinoline with bactericidal activity against TB.</w:t>
      </w:r>
      <w:r w:rsidR="00CA594F" w:rsidRPr="00DE5FDC">
        <w:rPr>
          <w:rStyle w:val="FootnoteReference"/>
          <w:rFonts w:asciiTheme="minorHAnsi" w:hAnsiTheme="minorHAnsi" w:cstheme="minorHAnsi"/>
          <w:color w:val="000000" w:themeColor="text1"/>
          <w:sz w:val="22"/>
        </w:rPr>
        <w:footnoteReference w:id="10"/>
      </w:r>
      <w:r w:rsidR="009065C9" w:rsidRPr="00DE5FDC">
        <w:rPr>
          <w:rFonts w:asciiTheme="minorHAnsi" w:hAnsiTheme="minorHAnsi" w:cstheme="minorHAnsi"/>
          <w:color w:val="000000" w:themeColor="text1"/>
        </w:rPr>
        <w:t>,</w:t>
      </w:r>
      <w:r w:rsidR="009065C9" w:rsidRPr="00DE5FDC">
        <w:rPr>
          <w:rStyle w:val="FootnoteReference"/>
          <w:rFonts w:asciiTheme="minorHAnsi" w:hAnsiTheme="minorHAnsi" w:cstheme="minorHAnsi"/>
          <w:color w:val="000000" w:themeColor="text1"/>
          <w:sz w:val="22"/>
        </w:rPr>
        <w:footnoteReference w:id="11"/>
      </w:r>
      <w:r w:rsidRPr="00DE5FDC">
        <w:rPr>
          <w:rFonts w:asciiTheme="minorHAnsi" w:hAnsiTheme="minorHAnsi" w:cstheme="minorHAnsi"/>
          <w:color w:val="000000" w:themeColor="text1"/>
        </w:rPr>
        <w:t xml:space="preserve"> Bedaquiline has a very long half-life of 5.5 months. </w:t>
      </w:r>
    </w:p>
    <w:p w14:paraId="41932EE3" w14:textId="77777777" w:rsidR="000704BB" w:rsidRPr="00DE5FDC" w:rsidRDefault="000704BB" w:rsidP="000704BB">
      <w:pPr>
        <w:pStyle w:val="BodyText"/>
        <w:spacing w:after="0"/>
        <w:ind w:left="720"/>
        <w:contextualSpacing/>
        <w:rPr>
          <w:rFonts w:asciiTheme="minorHAnsi" w:hAnsiTheme="minorHAnsi" w:cstheme="minorHAnsi"/>
          <w:color w:val="000000" w:themeColor="text1"/>
        </w:rPr>
      </w:pPr>
    </w:p>
    <w:p w14:paraId="467A8638" w14:textId="63AA8A20" w:rsidR="000704BB" w:rsidRPr="00DE5FDC" w:rsidRDefault="000704BB" w:rsidP="000704BB">
      <w:pPr>
        <w:pStyle w:val="BodyText"/>
        <w:spacing w:after="0"/>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 xml:space="preserve">Bedaquiline is </w:t>
      </w:r>
      <w:r w:rsidR="00AF1819" w:rsidRPr="00DE5FDC">
        <w:rPr>
          <w:rFonts w:asciiTheme="minorHAnsi" w:hAnsiTheme="minorHAnsi" w:cstheme="minorHAnsi"/>
          <w:color w:val="000000" w:themeColor="text1"/>
        </w:rPr>
        <w:t xml:space="preserve">prescribed </w:t>
      </w:r>
      <w:r w:rsidRPr="00DE5FDC">
        <w:rPr>
          <w:rFonts w:asciiTheme="minorHAnsi" w:hAnsiTheme="minorHAnsi" w:cstheme="minorHAnsi"/>
          <w:color w:val="000000" w:themeColor="text1"/>
        </w:rPr>
        <w:t>with an initial loading dosage</w:t>
      </w:r>
      <w:r w:rsidR="00AF1819"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 </w:t>
      </w:r>
      <w:r w:rsidR="00AF1819" w:rsidRPr="00DE5FDC">
        <w:rPr>
          <w:rFonts w:asciiTheme="minorHAnsi" w:hAnsiTheme="minorHAnsi" w:cstheme="minorHAnsi"/>
          <w:color w:val="000000" w:themeColor="text1"/>
        </w:rPr>
        <w:t>F</w:t>
      </w:r>
      <w:r w:rsidRPr="00DE5FDC">
        <w:rPr>
          <w:rFonts w:asciiTheme="minorHAnsi" w:hAnsiTheme="minorHAnsi" w:cstheme="minorHAnsi"/>
          <w:color w:val="000000" w:themeColor="text1"/>
        </w:rPr>
        <w:t xml:space="preserve">or a typical adult the </w:t>
      </w:r>
      <w:r w:rsidR="00AF1819" w:rsidRPr="00DE5FDC">
        <w:rPr>
          <w:rFonts w:asciiTheme="minorHAnsi" w:hAnsiTheme="minorHAnsi" w:cstheme="minorHAnsi"/>
          <w:color w:val="000000" w:themeColor="text1"/>
        </w:rPr>
        <w:t xml:space="preserve">loading </w:t>
      </w:r>
      <w:r w:rsidRPr="00DE5FDC">
        <w:rPr>
          <w:rFonts w:asciiTheme="minorHAnsi" w:hAnsiTheme="minorHAnsi" w:cstheme="minorHAnsi"/>
          <w:color w:val="000000" w:themeColor="text1"/>
        </w:rPr>
        <w:t xml:space="preserve">dose is 400 mg once daily for </w:t>
      </w:r>
      <w:r w:rsidR="00230E4F" w:rsidRPr="00DE5FDC">
        <w:rPr>
          <w:rFonts w:asciiTheme="minorHAnsi" w:hAnsiTheme="minorHAnsi" w:cstheme="minorHAnsi"/>
          <w:color w:val="000000" w:themeColor="text1"/>
        </w:rPr>
        <w:t>two</w:t>
      </w:r>
      <w:r w:rsidRPr="00DE5FDC">
        <w:rPr>
          <w:rFonts w:asciiTheme="minorHAnsi" w:hAnsiTheme="minorHAnsi" w:cstheme="minorHAnsi"/>
          <w:color w:val="000000" w:themeColor="text1"/>
        </w:rPr>
        <w:t xml:space="preserve"> weeks</w:t>
      </w:r>
      <w:r w:rsidR="00AF1819"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 followed by </w:t>
      </w:r>
      <w:r w:rsidR="00230E4F" w:rsidRPr="00DE5FDC">
        <w:rPr>
          <w:rFonts w:asciiTheme="minorHAnsi" w:hAnsiTheme="minorHAnsi" w:cstheme="minorHAnsi"/>
          <w:color w:val="000000" w:themeColor="text1"/>
        </w:rPr>
        <w:t xml:space="preserve">a dose reduction to </w:t>
      </w:r>
      <w:r w:rsidRPr="00DE5FDC">
        <w:rPr>
          <w:rFonts w:asciiTheme="minorHAnsi" w:hAnsiTheme="minorHAnsi" w:cstheme="minorHAnsi"/>
          <w:color w:val="000000" w:themeColor="text1"/>
        </w:rPr>
        <w:t xml:space="preserve">200 mg </w:t>
      </w:r>
      <w:r w:rsidR="00230E4F" w:rsidRPr="00DE5FDC">
        <w:rPr>
          <w:rFonts w:asciiTheme="minorHAnsi" w:hAnsiTheme="minorHAnsi" w:cstheme="minorHAnsi"/>
          <w:color w:val="000000" w:themeColor="text1"/>
        </w:rPr>
        <w:t>three</w:t>
      </w:r>
      <w:r w:rsidRPr="00DE5FDC">
        <w:rPr>
          <w:rFonts w:asciiTheme="minorHAnsi" w:hAnsiTheme="minorHAnsi" w:cstheme="minorHAnsi"/>
          <w:color w:val="000000" w:themeColor="text1"/>
        </w:rPr>
        <w:t xml:space="preserve"> times per week for the remaining treatment duration. See</w:t>
      </w:r>
      <w:r w:rsidR="00F60BE1" w:rsidRPr="00DE5FDC">
        <w:rPr>
          <w:rFonts w:asciiTheme="minorHAnsi" w:hAnsiTheme="minorHAnsi" w:cstheme="minorHAnsi"/>
          <w:color w:val="000000" w:themeColor="text1"/>
        </w:rPr>
        <w:t xml:space="preserve"> </w:t>
      </w:r>
      <w:r w:rsidR="00F60BE1" w:rsidRPr="00DE5FDC">
        <w:rPr>
          <w:rFonts w:asciiTheme="minorHAnsi" w:hAnsiTheme="minorHAnsi" w:cstheme="minorHAnsi"/>
          <w:color w:val="000000" w:themeColor="text1"/>
        </w:rPr>
        <w:fldChar w:fldCharType="begin"/>
      </w:r>
      <w:r w:rsidR="00F60BE1" w:rsidRPr="00DE5FDC">
        <w:rPr>
          <w:rFonts w:asciiTheme="minorHAnsi" w:hAnsiTheme="minorHAnsi" w:cstheme="minorHAnsi"/>
          <w:color w:val="000000" w:themeColor="text1"/>
        </w:rPr>
        <w:instrText xml:space="preserve"> REF _Ref12887582 \h  \* MERGEFORMAT </w:instrText>
      </w:r>
      <w:r w:rsidR="00F60BE1" w:rsidRPr="00DE5FDC">
        <w:rPr>
          <w:rFonts w:asciiTheme="minorHAnsi" w:hAnsiTheme="minorHAnsi" w:cstheme="minorHAnsi"/>
          <w:color w:val="000000" w:themeColor="text1"/>
        </w:rPr>
      </w:r>
      <w:r w:rsidR="00F60BE1" w:rsidRPr="00DE5FDC">
        <w:rPr>
          <w:rFonts w:asciiTheme="minorHAnsi" w:hAnsiTheme="minorHAnsi" w:cstheme="minorHAnsi"/>
          <w:color w:val="000000" w:themeColor="text1"/>
        </w:rPr>
        <w:fldChar w:fldCharType="separate"/>
      </w:r>
      <w:r w:rsidR="00F60BE1" w:rsidRPr="00DE5FDC">
        <w:rPr>
          <w:rFonts w:asciiTheme="minorHAnsi" w:hAnsiTheme="minorHAnsi" w:cstheme="minorHAnsi"/>
        </w:rPr>
        <w:t>Table 6</w:t>
      </w:r>
      <w:r w:rsidR="00F60BE1" w:rsidRPr="00DE5FDC">
        <w:rPr>
          <w:rFonts w:asciiTheme="minorHAnsi" w:hAnsiTheme="minorHAnsi" w:cstheme="minorHAnsi"/>
          <w:color w:val="000000" w:themeColor="text1"/>
        </w:rPr>
        <w:fldChar w:fldCharType="end"/>
      </w:r>
      <w:r w:rsidR="00F60BE1" w:rsidRPr="00DE5FDC">
        <w:rPr>
          <w:rFonts w:asciiTheme="minorHAnsi" w:hAnsiTheme="minorHAnsi" w:cstheme="minorHAnsi"/>
          <w:color w:val="000000" w:themeColor="text1"/>
        </w:rPr>
        <w:t xml:space="preserve"> </w:t>
      </w:r>
      <w:r w:rsidRPr="00DE5FDC">
        <w:rPr>
          <w:rFonts w:asciiTheme="minorHAnsi" w:hAnsiTheme="minorHAnsi" w:cstheme="minorHAnsi"/>
          <w:color w:val="000000" w:themeColor="text1"/>
        </w:rPr>
        <w:t>for full dosing information</w:t>
      </w:r>
      <w:r w:rsidR="00230E4F" w:rsidRPr="00DE5FDC">
        <w:rPr>
          <w:rFonts w:asciiTheme="minorHAnsi" w:hAnsiTheme="minorHAnsi" w:cstheme="minorHAnsi"/>
          <w:color w:val="000000" w:themeColor="text1"/>
        </w:rPr>
        <w:t xml:space="preserve"> for bedaquiline</w:t>
      </w:r>
      <w:r w:rsidRPr="00DE5FDC">
        <w:rPr>
          <w:rFonts w:asciiTheme="minorHAnsi" w:hAnsiTheme="minorHAnsi" w:cstheme="minorHAnsi"/>
          <w:color w:val="000000" w:themeColor="text1"/>
        </w:rPr>
        <w:t xml:space="preserve">. </w:t>
      </w:r>
    </w:p>
    <w:p w14:paraId="657BDE52" w14:textId="77777777" w:rsidR="000704BB" w:rsidRPr="00DE5FDC" w:rsidRDefault="000704BB" w:rsidP="000704BB">
      <w:pPr>
        <w:pStyle w:val="BodyText"/>
        <w:spacing w:after="0"/>
        <w:ind w:left="720"/>
        <w:contextualSpacing/>
        <w:rPr>
          <w:rFonts w:asciiTheme="minorHAnsi" w:hAnsiTheme="minorHAnsi" w:cstheme="minorHAnsi"/>
          <w:b/>
          <w:color w:val="000000" w:themeColor="text1"/>
        </w:rPr>
      </w:pPr>
    </w:p>
    <w:p w14:paraId="5C0CD0AC" w14:textId="4936379A" w:rsidR="000704BB" w:rsidRPr="00DE5FDC" w:rsidRDefault="000704BB" w:rsidP="00294964">
      <w:pPr>
        <w:pStyle w:val="BodyText"/>
        <w:spacing w:after="0"/>
        <w:ind w:left="720"/>
        <w:contextualSpacing/>
        <w:rPr>
          <w:rFonts w:asciiTheme="minorHAnsi" w:hAnsiTheme="minorHAnsi" w:cstheme="minorHAnsi"/>
          <w:color w:val="000000" w:themeColor="text1"/>
          <w:shd w:val="clear" w:color="auto" w:fill="FFFFFF"/>
        </w:rPr>
      </w:pPr>
      <w:r w:rsidRPr="00DE5FDC">
        <w:rPr>
          <w:rFonts w:asciiTheme="minorHAnsi" w:hAnsiTheme="minorHAnsi" w:cstheme="minorHAnsi"/>
          <w:color w:val="000000" w:themeColor="text1"/>
          <w:shd w:val="clear" w:color="auto" w:fill="FFFFFF"/>
        </w:rPr>
        <w:t xml:space="preserve">Bedaquiline is often well tolerated and </w:t>
      </w:r>
      <w:r w:rsidR="00C8054C" w:rsidRPr="00DE5FDC">
        <w:rPr>
          <w:rFonts w:asciiTheme="minorHAnsi" w:hAnsiTheme="minorHAnsi" w:cstheme="minorHAnsi"/>
          <w:color w:val="000000" w:themeColor="text1"/>
          <w:shd w:val="clear" w:color="auto" w:fill="FFFFFF"/>
        </w:rPr>
        <w:t>as</w:t>
      </w:r>
      <w:r w:rsidR="004A0EF8" w:rsidRPr="00DE5FDC">
        <w:rPr>
          <w:rFonts w:asciiTheme="minorHAnsi" w:hAnsiTheme="minorHAnsi" w:cstheme="minorHAnsi"/>
          <w:color w:val="000000" w:themeColor="text1"/>
          <w:shd w:val="clear" w:color="auto" w:fill="FFFFFF"/>
        </w:rPr>
        <w:t xml:space="preserve"> a Group A</w:t>
      </w:r>
      <w:r w:rsidRPr="00DE5FDC">
        <w:rPr>
          <w:rFonts w:asciiTheme="minorHAnsi" w:hAnsiTheme="minorHAnsi" w:cstheme="minorHAnsi"/>
          <w:color w:val="000000" w:themeColor="text1"/>
          <w:shd w:val="clear" w:color="auto" w:fill="FFFFFF"/>
        </w:rPr>
        <w:t xml:space="preserve"> drug </w:t>
      </w:r>
      <w:r w:rsidR="004A0EF8" w:rsidRPr="00DE5FDC">
        <w:rPr>
          <w:rFonts w:asciiTheme="minorHAnsi" w:hAnsiTheme="minorHAnsi" w:cstheme="minorHAnsi"/>
          <w:color w:val="000000" w:themeColor="text1"/>
          <w:shd w:val="clear" w:color="auto" w:fill="FFFFFF"/>
        </w:rPr>
        <w:t>is used in most</w:t>
      </w:r>
      <w:r w:rsidR="00485084" w:rsidRPr="00DE5FDC">
        <w:rPr>
          <w:rFonts w:asciiTheme="minorHAnsi" w:hAnsiTheme="minorHAnsi" w:cstheme="minorHAnsi"/>
          <w:color w:val="000000" w:themeColor="text1"/>
          <w:shd w:val="clear" w:color="auto" w:fill="FFFFFF"/>
        </w:rPr>
        <w:t xml:space="preserve"> all-oral STRs</w:t>
      </w:r>
      <w:r w:rsidR="004A0EF8" w:rsidRPr="00DE5FDC">
        <w:rPr>
          <w:rFonts w:asciiTheme="minorHAnsi" w:hAnsiTheme="minorHAnsi" w:cstheme="minorHAnsi"/>
          <w:color w:val="000000" w:themeColor="text1"/>
          <w:shd w:val="clear" w:color="auto" w:fill="FFFFFF"/>
        </w:rPr>
        <w:t xml:space="preserve">. </w:t>
      </w:r>
      <w:r w:rsidR="00C8054C" w:rsidRPr="00DE5FDC">
        <w:rPr>
          <w:rFonts w:asciiTheme="minorHAnsi" w:hAnsiTheme="minorHAnsi" w:cstheme="minorHAnsi"/>
          <w:color w:val="000000" w:themeColor="text1"/>
          <w:shd w:val="clear" w:color="auto" w:fill="FFFFFF"/>
        </w:rPr>
        <w:t xml:space="preserve">Bedaquiline </w:t>
      </w:r>
      <w:r w:rsidR="004A0EF8" w:rsidRPr="00DE5FDC">
        <w:rPr>
          <w:rFonts w:asciiTheme="minorHAnsi" w:hAnsiTheme="minorHAnsi" w:cstheme="minorHAnsi"/>
          <w:color w:val="000000" w:themeColor="text1"/>
          <w:shd w:val="clear" w:color="auto" w:fill="FFFFFF"/>
        </w:rPr>
        <w:t>should be</w:t>
      </w:r>
      <w:r w:rsidR="00485084" w:rsidRPr="00DE5FDC">
        <w:rPr>
          <w:rFonts w:asciiTheme="minorHAnsi" w:hAnsiTheme="minorHAnsi" w:cstheme="minorHAnsi"/>
          <w:color w:val="000000" w:themeColor="text1"/>
          <w:shd w:val="clear" w:color="auto" w:fill="FFFFFF"/>
        </w:rPr>
        <w:t xml:space="preserve"> use</w:t>
      </w:r>
      <w:r w:rsidR="004A0EF8" w:rsidRPr="00DE5FDC">
        <w:rPr>
          <w:rFonts w:asciiTheme="minorHAnsi" w:hAnsiTheme="minorHAnsi" w:cstheme="minorHAnsi"/>
          <w:color w:val="000000" w:themeColor="text1"/>
          <w:shd w:val="clear" w:color="auto" w:fill="FFFFFF"/>
        </w:rPr>
        <w:t>d</w:t>
      </w:r>
      <w:r w:rsidR="00485084" w:rsidRPr="00DE5FDC">
        <w:rPr>
          <w:rFonts w:asciiTheme="minorHAnsi" w:hAnsiTheme="minorHAnsi" w:cstheme="minorHAnsi"/>
          <w:color w:val="000000" w:themeColor="text1"/>
          <w:shd w:val="clear" w:color="auto" w:fill="FFFFFF"/>
        </w:rPr>
        <w:t xml:space="preserve"> </w:t>
      </w:r>
      <w:r w:rsidR="004A0EF8" w:rsidRPr="00DE5FDC">
        <w:rPr>
          <w:rFonts w:asciiTheme="minorHAnsi" w:hAnsiTheme="minorHAnsi" w:cstheme="minorHAnsi"/>
          <w:color w:val="000000" w:themeColor="text1"/>
          <w:shd w:val="clear" w:color="auto" w:fill="FFFFFF"/>
        </w:rPr>
        <w:t>for</w:t>
      </w:r>
      <w:r w:rsidR="00485084" w:rsidRPr="00DE5FDC">
        <w:rPr>
          <w:rFonts w:asciiTheme="minorHAnsi" w:hAnsiTheme="minorHAnsi" w:cstheme="minorHAnsi"/>
          <w:color w:val="000000" w:themeColor="text1"/>
          <w:shd w:val="clear" w:color="auto" w:fill="FFFFFF"/>
        </w:rPr>
        <w:t xml:space="preserve"> the </w:t>
      </w:r>
      <w:r w:rsidRPr="00DE5FDC">
        <w:rPr>
          <w:rFonts w:asciiTheme="minorHAnsi" w:hAnsiTheme="minorHAnsi" w:cstheme="minorHAnsi"/>
          <w:color w:val="000000" w:themeColor="text1"/>
          <w:shd w:val="clear" w:color="auto" w:fill="FFFFFF"/>
        </w:rPr>
        <w:t>entirety of the treatment duration unless an intolerance develops or it meet</w:t>
      </w:r>
      <w:r w:rsidR="003118D8" w:rsidRPr="00DE5FDC">
        <w:rPr>
          <w:rFonts w:asciiTheme="minorHAnsi" w:hAnsiTheme="minorHAnsi" w:cstheme="minorHAnsi"/>
          <w:color w:val="000000" w:themeColor="text1"/>
          <w:shd w:val="clear" w:color="auto" w:fill="FFFFFF"/>
        </w:rPr>
        <w:t>s</w:t>
      </w:r>
      <w:r w:rsidRPr="00DE5FDC">
        <w:rPr>
          <w:rFonts w:asciiTheme="minorHAnsi" w:hAnsiTheme="minorHAnsi" w:cstheme="minorHAnsi"/>
          <w:color w:val="000000" w:themeColor="text1"/>
          <w:shd w:val="clear" w:color="auto" w:fill="FFFFFF"/>
        </w:rPr>
        <w:t xml:space="preserve"> criteria </w:t>
      </w:r>
      <w:r w:rsidR="009249C0" w:rsidRPr="00DE5FDC">
        <w:rPr>
          <w:rFonts w:asciiTheme="minorHAnsi" w:hAnsiTheme="minorHAnsi" w:cstheme="minorHAnsi"/>
          <w:color w:val="000000" w:themeColor="text1"/>
          <w:shd w:val="clear" w:color="auto" w:fill="FFFFFF"/>
        </w:rPr>
        <w:t>for likelihood of being</w:t>
      </w:r>
      <w:r w:rsidR="00CA2DE0" w:rsidRPr="00DE5FDC">
        <w:rPr>
          <w:rFonts w:asciiTheme="minorHAnsi" w:hAnsiTheme="minorHAnsi" w:cstheme="minorHAnsi"/>
          <w:color w:val="000000" w:themeColor="text1"/>
          <w:shd w:val="clear" w:color="auto" w:fill="FFFFFF"/>
        </w:rPr>
        <w:t xml:space="preserve"> in</w:t>
      </w:r>
      <w:r w:rsidRPr="00DE5FDC">
        <w:rPr>
          <w:rFonts w:asciiTheme="minorHAnsi" w:hAnsiTheme="minorHAnsi" w:cstheme="minorHAnsi"/>
          <w:color w:val="000000" w:themeColor="text1"/>
          <w:shd w:val="clear" w:color="auto" w:fill="FFFFFF"/>
        </w:rPr>
        <w:t xml:space="preserve">effective. </w:t>
      </w:r>
      <w:r w:rsidR="00294964" w:rsidRPr="00DE5FDC">
        <w:rPr>
          <w:rFonts w:asciiTheme="minorHAnsi" w:hAnsiTheme="minorHAnsi" w:cstheme="minorHAnsi"/>
          <w:color w:val="000000" w:themeColor="text1"/>
          <w:shd w:val="clear" w:color="auto" w:fill="FFFFFF"/>
        </w:rPr>
        <w:t xml:space="preserve">Two </w:t>
      </w:r>
      <w:r w:rsidRPr="00DE5FDC">
        <w:rPr>
          <w:rFonts w:asciiTheme="minorHAnsi" w:hAnsiTheme="minorHAnsi" w:cstheme="minorHAnsi"/>
          <w:color w:val="000000" w:themeColor="text1"/>
          <w:shd w:val="clear" w:color="auto" w:fill="FFFFFF"/>
        </w:rPr>
        <w:t xml:space="preserve">reports </w:t>
      </w:r>
      <w:r w:rsidR="009249C0" w:rsidRPr="00DE5FDC">
        <w:rPr>
          <w:rFonts w:asciiTheme="minorHAnsi" w:hAnsiTheme="minorHAnsi" w:cstheme="minorHAnsi"/>
          <w:color w:val="000000" w:themeColor="text1"/>
          <w:shd w:val="clear" w:color="auto" w:fill="FFFFFF"/>
        </w:rPr>
        <w:t xml:space="preserve">published thus far </w:t>
      </w:r>
      <w:r w:rsidRPr="00DE5FDC">
        <w:rPr>
          <w:rFonts w:asciiTheme="minorHAnsi" w:hAnsiTheme="minorHAnsi" w:cstheme="minorHAnsi"/>
          <w:color w:val="000000" w:themeColor="text1"/>
          <w:shd w:val="clear" w:color="auto" w:fill="FFFFFF"/>
        </w:rPr>
        <w:t xml:space="preserve">have found no safety issues with </w:t>
      </w:r>
      <w:r w:rsidR="006508A9" w:rsidRPr="00DE5FDC">
        <w:rPr>
          <w:rFonts w:asciiTheme="minorHAnsi" w:hAnsiTheme="minorHAnsi" w:cstheme="minorHAnsi"/>
          <w:color w:val="000000" w:themeColor="text1"/>
          <w:shd w:val="clear" w:color="auto" w:fill="FFFFFF"/>
        </w:rPr>
        <w:t xml:space="preserve">using bedaquiline for </w:t>
      </w:r>
      <w:r w:rsidRPr="00DE5FDC">
        <w:rPr>
          <w:rFonts w:asciiTheme="minorHAnsi" w:hAnsiTheme="minorHAnsi" w:cstheme="minorHAnsi"/>
          <w:color w:val="000000" w:themeColor="text1"/>
          <w:shd w:val="clear" w:color="auto" w:fill="FFFFFF"/>
        </w:rPr>
        <w:t xml:space="preserve">longer than </w:t>
      </w:r>
      <w:r w:rsidR="006508A9" w:rsidRPr="00DE5FDC">
        <w:rPr>
          <w:rFonts w:asciiTheme="minorHAnsi" w:hAnsiTheme="minorHAnsi" w:cstheme="minorHAnsi"/>
          <w:color w:val="000000" w:themeColor="text1"/>
          <w:shd w:val="clear" w:color="auto" w:fill="FFFFFF"/>
        </w:rPr>
        <w:t xml:space="preserve">the originally recommended </w:t>
      </w:r>
      <w:r w:rsidRPr="00DE5FDC">
        <w:rPr>
          <w:rFonts w:asciiTheme="minorHAnsi" w:hAnsiTheme="minorHAnsi" w:cstheme="minorHAnsi"/>
          <w:color w:val="000000" w:themeColor="text1"/>
          <w:shd w:val="clear" w:color="auto" w:fill="FFFFFF"/>
        </w:rPr>
        <w:t>6</w:t>
      </w:r>
      <w:r w:rsidR="006508A9" w:rsidRPr="00DE5FDC">
        <w:rPr>
          <w:rFonts w:asciiTheme="minorHAnsi" w:hAnsiTheme="minorHAnsi" w:cstheme="minorHAnsi"/>
          <w:color w:val="000000" w:themeColor="text1"/>
          <w:shd w:val="clear" w:color="auto" w:fill="FFFFFF"/>
        </w:rPr>
        <w:t>-</w:t>
      </w:r>
      <w:r w:rsidRPr="00DE5FDC">
        <w:rPr>
          <w:rFonts w:asciiTheme="minorHAnsi" w:hAnsiTheme="minorHAnsi" w:cstheme="minorHAnsi"/>
          <w:color w:val="000000" w:themeColor="text1"/>
          <w:shd w:val="clear" w:color="auto" w:fill="FFFFFF"/>
        </w:rPr>
        <w:t>month</w:t>
      </w:r>
      <w:r w:rsidR="006508A9" w:rsidRPr="00DE5FDC">
        <w:rPr>
          <w:rFonts w:asciiTheme="minorHAnsi" w:hAnsiTheme="minorHAnsi" w:cstheme="minorHAnsi"/>
          <w:color w:val="000000" w:themeColor="text1"/>
          <w:shd w:val="clear" w:color="auto" w:fill="FFFFFF"/>
        </w:rPr>
        <w:t xml:space="preserve"> </w:t>
      </w:r>
      <w:r w:rsidR="005967CF" w:rsidRPr="00DE5FDC">
        <w:rPr>
          <w:rFonts w:asciiTheme="minorHAnsi" w:hAnsiTheme="minorHAnsi" w:cstheme="minorHAnsi"/>
          <w:color w:val="000000" w:themeColor="text1"/>
          <w:shd w:val="clear" w:color="auto" w:fill="FFFFFF"/>
        </w:rPr>
        <w:t>timeframe</w:t>
      </w:r>
      <w:r w:rsidRPr="00DE5FDC">
        <w:rPr>
          <w:rFonts w:asciiTheme="minorHAnsi" w:hAnsiTheme="minorHAnsi" w:cstheme="minorHAnsi"/>
          <w:color w:val="000000" w:themeColor="text1"/>
          <w:shd w:val="clear" w:color="auto" w:fill="FFFFFF"/>
        </w:rPr>
        <w:t>.</w:t>
      </w:r>
      <w:r w:rsidR="00A33500" w:rsidRPr="00DE5FDC">
        <w:rPr>
          <w:rStyle w:val="FootnoteReference"/>
          <w:rFonts w:asciiTheme="minorHAnsi" w:hAnsiTheme="minorHAnsi" w:cstheme="minorHAnsi"/>
          <w:color w:val="000000" w:themeColor="text1"/>
          <w:sz w:val="22"/>
          <w:shd w:val="clear" w:color="auto" w:fill="FFFFFF"/>
        </w:rPr>
        <w:footnoteReference w:id="12"/>
      </w:r>
      <w:r w:rsidR="00131BF0" w:rsidRPr="00DE5FDC">
        <w:rPr>
          <w:rFonts w:asciiTheme="minorHAnsi" w:hAnsiTheme="minorHAnsi" w:cstheme="minorHAnsi"/>
          <w:color w:val="000000" w:themeColor="text1"/>
          <w:shd w:val="clear" w:color="auto" w:fill="FFFFFF"/>
          <w:vertAlign w:val="superscript"/>
        </w:rPr>
        <w:t>,</w:t>
      </w:r>
      <w:bookmarkStart w:id="39" w:name="_Ref12716078"/>
      <w:r w:rsidR="00C73257" w:rsidRPr="00DE5FDC">
        <w:rPr>
          <w:rFonts w:asciiTheme="minorHAnsi" w:hAnsiTheme="minorHAnsi" w:cstheme="minorHAnsi"/>
          <w:color w:val="000000" w:themeColor="text1"/>
          <w:shd w:val="clear" w:color="auto" w:fill="FFFFFF"/>
          <w:vertAlign w:val="superscript"/>
        </w:rPr>
        <w:t xml:space="preserve"> </w:t>
      </w:r>
      <w:r w:rsidR="00131BF0" w:rsidRPr="00DE5FDC">
        <w:rPr>
          <w:rStyle w:val="FootnoteReference"/>
          <w:rFonts w:asciiTheme="minorHAnsi" w:hAnsiTheme="minorHAnsi" w:cstheme="minorHAnsi"/>
          <w:color w:val="000000" w:themeColor="text1"/>
          <w:sz w:val="22"/>
          <w:shd w:val="clear" w:color="auto" w:fill="FFFFFF"/>
        </w:rPr>
        <w:footnoteReference w:id="13"/>
      </w:r>
      <w:bookmarkEnd w:id="39"/>
    </w:p>
    <w:p w14:paraId="72AE2B00" w14:textId="77777777" w:rsidR="000704BB" w:rsidRPr="00DE5FDC" w:rsidRDefault="000704BB" w:rsidP="000704BB">
      <w:pPr>
        <w:pStyle w:val="BodyText"/>
        <w:spacing w:after="0"/>
        <w:ind w:left="720"/>
        <w:contextualSpacing/>
        <w:rPr>
          <w:rFonts w:asciiTheme="minorHAnsi" w:hAnsiTheme="minorHAnsi" w:cstheme="minorHAnsi"/>
          <w:color w:val="000000" w:themeColor="text1"/>
        </w:rPr>
      </w:pPr>
    </w:p>
    <w:p w14:paraId="1EB49B02" w14:textId="02C58FA0" w:rsidR="000704BB" w:rsidRPr="00DE5FDC" w:rsidRDefault="000704BB" w:rsidP="000704BB">
      <w:pPr>
        <w:pStyle w:val="BodyText"/>
        <w:spacing w:after="0"/>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 xml:space="preserve">Bedaquiline is metabolized by the cytochrome P450 system enzymes in the liver.  Drugs that induce or inhibit this system of enzymes will result in drug-drug interactions that can affect the blood levels of bedaquiline. Cytochrome P450 inducers decrease blood levels of bedaquiline, resulting in </w:t>
      </w:r>
      <w:r w:rsidR="006D22DE" w:rsidRPr="00DE5FDC">
        <w:rPr>
          <w:rFonts w:asciiTheme="minorHAnsi" w:hAnsiTheme="minorHAnsi" w:cstheme="minorHAnsi"/>
          <w:color w:val="000000" w:themeColor="text1"/>
        </w:rPr>
        <w:t xml:space="preserve">the </w:t>
      </w:r>
      <w:r w:rsidRPr="00DE5FDC">
        <w:rPr>
          <w:rFonts w:asciiTheme="minorHAnsi" w:hAnsiTheme="minorHAnsi" w:cstheme="minorHAnsi"/>
          <w:color w:val="000000" w:themeColor="text1"/>
        </w:rPr>
        <w:t>possib</w:t>
      </w:r>
      <w:r w:rsidR="006D22DE" w:rsidRPr="00DE5FDC">
        <w:rPr>
          <w:rFonts w:asciiTheme="minorHAnsi" w:hAnsiTheme="minorHAnsi" w:cstheme="minorHAnsi"/>
          <w:color w:val="000000" w:themeColor="text1"/>
        </w:rPr>
        <w:t>ility of</w:t>
      </w:r>
      <w:r w:rsidRPr="00DE5FDC">
        <w:rPr>
          <w:rFonts w:asciiTheme="minorHAnsi" w:hAnsiTheme="minorHAnsi" w:cstheme="minorHAnsi"/>
          <w:color w:val="000000" w:themeColor="text1"/>
        </w:rPr>
        <w:t xml:space="preserve"> inadequate levels</w:t>
      </w:r>
      <w:r w:rsidR="006D22DE" w:rsidRPr="00DE5FDC">
        <w:rPr>
          <w:rFonts w:asciiTheme="minorHAnsi" w:hAnsiTheme="minorHAnsi" w:cstheme="minorHAnsi"/>
          <w:color w:val="000000" w:themeColor="text1"/>
        </w:rPr>
        <w:t xml:space="preserve"> of bedaquiline in the body</w:t>
      </w:r>
      <w:r w:rsidR="004A094D" w:rsidRPr="00DE5FDC">
        <w:rPr>
          <w:rFonts w:asciiTheme="minorHAnsi" w:hAnsiTheme="minorHAnsi" w:cstheme="minorHAnsi"/>
          <w:color w:val="000000" w:themeColor="text1"/>
        </w:rPr>
        <w:t xml:space="preserve"> </w:t>
      </w:r>
      <w:r w:rsidR="0046103E" w:rsidRPr="00DE5FDC">
        <w:rPr>
          <w:rFonts w:asciiTheme="minorHAnsi" w:hAnsiTheme="minorHAnsi" w:cstheme="minorHAnsi"/>
          <w:color w:val="000000" w:themeColor="text1"/>
        </w:rPr>
        <w:t xml:space="preserve">for </w:t>
      </w:r>
      <w:r w:rsidR="005501AF" w:rsidRPr="00DE5FDC">
        <w:rPr>
          <w:rFonts w:asciiTheme="minorHAnsi" w:hAnsiTheme="minorHAnsi" w:cstheme="minorHAnsi"/>
          <w:color w:val="000000" w:themeColor="text1"/>
        </w:rPr>
        <w:t>elimination of TB infection</w:t>
      </w:r>
      <w:r w:rsidRPr="00DE5FDC">
        <w:rPr>
          <w:rFonts w:asciiTheme="minorHAnsi" w:hAnsiTheme="minorHAnsi" w:cstheme="minorHAnsi"/>
          <w:color w:val="000000" w:themeColor="text1"/>
        </w:rPr>
        <w:t xml:space="preserve">. </w:t>
      </w:r>
      <w:r w:rsidR="00E44204" w:rsidRPr="00DE5FDC">
        <w:rPr>
          <w:rFonts w:asciiTheme="minorHAnsi" w:hAnsiTheme="minorHAnsi" w:cstheme="minorHAnsi"/>
          <w:color w:val="000000" w:themeColor="text1"/>
        </w:rPr>
        <w:t>Conversely, c</w:t>
      </w:r>
      <w:r w:rsidRPr="00DE5FDC">
        <w:rPr>
          <w:rFonts w:asciiTheme="minorHAnsi" w:hAnsiTheme="minorHAnsi" w:cstheme="minorHAnsi"/>
          <w:color w:val="000000" w:themeColor="text1"/>
        </w:rPr>
        <w:t xml:space="preserve">ytochrome P450 inhibitors will increase the blood levels of bedaquiline, resulting in </w:t>
      </w:r>
      <w:r w:rsidR="00A5250D" w:rsidRPr="00DE5FDC">
        <w:rPr>
          <w:rFonts w:asciiTheme="minorHAnsi" w:hAnsiTheme="minorHAnsi" w:cstheme="minorHAnsi"/>
          <w:color w:val="000000" w:themeColor="text1"/>
        </w:rPr>
        <w:t xml:space="preserve">the possibility of </w:t>
      </w:r>
      <w:r w:rsidRPr="00DE5FDC">
        <w:rPr>
          <w:rFonts w:asciiTheme="minorHAnsi" w:hAnsiTheme="minorHAnsi" w:cstheme="minorHAnsi"/>
          <w:color w:val="000000" w:themeColor="text1"/>
        </w:rPr>
        <w:t xml:space="preserve">an increased risk of toxicity. </w:t>
      </w:r>
      <w:r w:rsidR="005E1751" w:rsidRPr="00DE5FDC">
        <w:rPr>
          <w:rFonts w:asciiTheme="minorHAnsi" w:hAnsiTheme="minorHAnsi" w:cstheme="minorHAnsi"/>
          <w:color w:val="000000" w:themeColor="text1"/>
        </w:rPr>
        <w:fldChar w:fldCharType="begin"/>
      </w:r>
      <w:r w:rsidR="005E1751" w:rsidRPr="00DE5FDC">
        <w:rPr>
          <w:rFonts w:asciiTheme="minorHAnsi" w:hAnsiTheme="minorHAnsi" w:cstheme="minorHAnsi"/>
          <w:color w:val="000000" w:themeColor="text1"/>
        </w:rPr>
        <w:instrText xml:space="preserve"> REF _Ref12965463 \h  \* MERGEFORMAT </w:instrText>
      </w:r>
      <w:r w:rsidR="005E1751" w:rsidRPr="00DE5FDC">
        <w:rPr>
          <w:rFonts w:asciiTheme="minorHAnsi" w:hAnsiTheme="minorHAnsi" w:cstheme="minorHAnsi"/>
          <w:color w:val="000000" w:themeColor="text1"/>
        </w:rPr>
      </w:r>
      <w:r w:rsidR="005E1751" w:rsidRPr="00DE5FDC">
        <w:rPr>
          <w:rFonts w:asciiTheme="minorHAnsi" w:hAnsiTheme="minorHAnsi" w:cstheme="minorHAnsi"/>
          <w:color w:val="000000" w:themeColor="text1"/>
        </w:rPr>
        <w:fldChar w:fldCharType="separate"/>
      </w:r>
      <w:r w:rsidR="005E1751" w:rsidRPr="00DE5FDC">
        <w:rPr>
          <w:rFonts w:asciiTheme="minorHAnsi" w:hAnsiTheme="minorHAnsi" w:cstheme="minorHAnsi"/>
        </w:rPr>
        <w:t xml:space="preserve">Table 1 </w:t>
      </w:r>
      <w:r w:rsidR="005E1751" w:rsidRPr="00DE5FDC">
        <w:rPr>
          <w:rFonts w:asciiTheme="minorHAnsi" w:hAnsiTheme="minorHAnsi" w:cstheme="minorHAnsi"/>
          <w:color w:val="000000" w:themeColor="text1"/>
        </w:rPr>
        <w:fldChar w:fldCharType="end"/>
      </w:r>
      <w:r w:rsidR="005E1751" w:rsidRPr="00DE5FDC">
        <w:rPr>
          <w:rFonts w:asciiTheme="minorHAnsi" w:hAnsiTheme="minorHAnsi" w:cstheme="minorHAnsi"/>
          <w:color w:val="000000" w:themeColor="text1"/>
        </w:rPr>
        <w:t xml:space="preserve"> </w:t>
      </w:r>
      <w:r w:rsidRPr="00DE5FDC">
        <w:rPr>
          <w:rFonts w:asciiTheme="minorHAnsi" w:hAnsiTheme="minorHAnsi" w:cstheme="minorHAnsi"/>
          <w:color w:val="000000" w:themeColor="text1"/>
        </w:rPr>
        <w:t xml:space="preserve">provides examples of drugs to avoid with the use of bedaquiline. </w:t>
      </w:r>
    </w:p>
    <w:p w14:paraId="6E99823E" w14:textId="77777777" w:rsidR="00DE5FDC" w:rsidRDefault="00DE5FDC" w:rsidP="002C4FED">
      <w:pPr>
        <w:pStyle w:val="Heading3"/>
      </w:pPr>
      <w:bookmarkStart w:id="40" w:name="_Toc501354401"/>
      <w:bookmarkStart w:id="41" w:name="_Ref12965463"/>
    </w:p>
    <w:p w14:paraId="6A8DC797" w14:textId="77777777" w:rsidR="00DE5FDC" w:rsidRDefault="00DE5FDC" w:rsidP="002C4FED">
      <w:pPr>
        <w:pStyle w:val="Heading3"/>
      </w:pPr>
    </w:p>
    <w:p w14:paraId="0A68A392" w14:textId="77777777" w:rsidR="00DE5FDC" w:rsidRDefault="00DE5FDC" w:rsidP="002C4FED">
      <w:pPr>
        <w:pStyle w:val="Heading3"/>
      </w:pPr>
    </w:p>
    <w:p w14:paraId="2360AA88" w14:textId="77777777" w:rsidR="00DE5FDC" w:rsidRDefault="00DE5FDC" w:rsidP="002C4FED">
      <w:pPr>
        <w:pStyle w:val="Heading3"/>
      </w:pPr>
    </w:p>
    <w:p w14:paraId="11AB66E2" w14:textId="6B57D3AE" w:rsidR="000704BB" w:rsidRPr="00DE5FDC" w:rsidRDefault="00780B58" w:rsidP="002C4FED">
      <w:pPr>
        <w:pStyle w:val="Heading3"/>
        <w:rPr>
          <w:rFonts w:asciiTheme="minorHAnsi" w:hAnsiTheme="minorHAnsi"/>
        </w:rPr>
      </w:pPr>
      <w:r w:rsidRPr="00DE5FDC">
        <w:rPr>
          <w:rFonts w:asciiTheme="minorHAnsi" w:hAnsiTheme="minorHAnsi"/>
        </w:rPr>
        <w:t xml:space="preserve"> </w:t>
      </w:r>
      <w:bookmarkStart w:id="42" w:name="_Toc13486759"/>
      <w:r w:rsidR="000704BB" w:rsidRPr="00DE5FDC">
        <w:rPr>
          <w:rFonts w:asciiTheme="minorHAnsi" w:hAnsiTheme="minorHAnsi"/>
        </w:rPr>
        <w:t xml:space="preserve">Table </w:t>
      </w:r>
      <w:r w:rsidR="00062DF5" w:rsidRPr="00DE5FDC">
        <w:rPr>
          <w:rFonts w:asciiTheme="minorHAnsi" w:hAnsiTheme="minorHAnsi"/>
        </w:rPr>
        <w:t>1</w:t>
      </w:r>
      <w:r w:rsidR="000704BB" w:rsidRPr="00DE5FDC">
        <w:rPr>
          <w:rFonts w:asciiTheme="minorHAnsi" w:hAnsiTheme="minorHAnsi"/>
        </w:rPr>
        <w:t xml:space="preserve"> Possible drug-drug interactions with </w:t>
      </w:r>
      <w:bookmarkEnd w:id="40"/>
      <w:r w:rsidR="000704BB" w:rsidRPr="00DE5FDC">
        <w:rPr>
          <w:rFonts w:asciiTheme="minorHAnsi" w:hAnsiTheme="minorHAnsi"/>
        </w:rPr>
        <w:t>bedaquiline</w:t>
      </w:r>
      <w:bookmarkEnd w:id="41"/>
      <w:bookmarkEnd w:id="42"/>
    </w:p>
    <w:tbl>
      <w:tblPr>
        <w:tblStyle w:val="TableGrid1"/>
        <w:tblW w:w="9463" w:type="dxa"/>
        <w:tblInd w:w="720" w:type="dxa"/>
        <w:tblCellMar>
          <w:left w:w="115" w:type="dxa"/>
          <w:right w:w="115" w:type="dxa"/>
        </w:tblCellMar>
        <w:tblLook w:val="04A0" w:firstRow="1" w:lastRow="0" w:firstColumn="1" w:lastColumn="0" w:noHBand="0" w:noVBand="1"/>
      </w:tblPr>
      <w:tblGrid>
        <w:gridCol w:w="1432"/>
        <w:gridCol w:w="3063"/>
        <w:gridCol w:w="4968"/>
      </w:tblGrid>
      <w:tr w:rsidR="000704BB" w:rsidRPr="00B2053D" w14:paraId="091A9CA1" w14:textId="77777777" w:rsidTr="00093E2C">
        <w:trPr>
          <w:trHeight w:val="539"/>
        </w:trPr>
        <w:tc>
          <w:tcPr>
            <w:tcW w:w="1432" w:type="dxa"/>
            <w:vAlign w:val="center"/>
          </w:tcPr>
          <w:p w14:paraId="7796A6B1" w14:textId="77777777" w:rsidR="000704BB" w:rsidRPr="00B2053D" w:rsidRDefault="000704BB" w:rsidP="000833CD">
            <w:pPr>
              <w:jc w:val="left"/>
              <w:rPr>
                <w:rFonts w:asciiTheme="minorHAnsi" w:hAnsiTheme="minorHAnsi" w:cstheme="minorHAnsi"/>
                <w:color w:val="000000" w:themeColor="text1"/>
                <w:lang w:val="en-GB"/>
              </w:rPr>
            </w:pPr>
          </w:p>
        </w:tc>
        <w:tc>
          <w:tcPr>
            <w:tcW w:w="3063" w:type="dxa"/>
            <w:shd w:val="clear" w:color="auto" w:fill="235868"/>
            <w:vAlign w:val="center"/>
          </w:tcPr>
          <w:p w14:paraId="6985D626" w14:textId="77777777" w:rsidR="000704BB" w:rsidRPr="00B2053D" w:rsidRDefault="000704BB" w:rsidP="00E20A53">
            <w:pPr>
              <w:widowControl w:val="0"/>
              <w:spacing w:before="20" w:after="20"/>
              <w:jc w:val="center"/>
              <w:rPr>
                <w:rFonts w:asciiTheme="minorHAnsi" w:hAnsiTheme="minorHAnsi" w:cstheme="minorHAnsi"/>
                <w:b/>
                <w:color w:val="FFFFFF" w:themeColor="background1"/>
              </w:rPr>
            </w:pPr>
            <w:r w:rsidRPr="00B2053D">
              <w:rPr>
                <w:rFonts w:asciiTheme="minorHAnsi" w:hAnsiTheme="minorHAnsi" w:cstheme="minorHAnsi"/>
                <w:b/>
                <w:color w:val="FFFFFF" w:themeColor="background1"/>
              </w:rPr>
              <w:t>Drugs</w:t>
            </w:r>
          </w:p>
        </w:tc>
        <w:tc>
          <w:tcPr>
            <w:tcW w:w="4968" w:type="dxa"/>
            <w:shd w:val="clear" w:color="auto" w:fill="235868"/>
            <w:vAlign w:val="center"/>
          </w:tcPr>
          <w:p w14:paraId="4E7567C4" w14:textId="77777777" w:rsidR="000704BB" w:rsidRPr="00B2053D" w:rsidRDefault="000704BB" w:rsidP="00E20A53">
            <w:pPr>
              <w:widowControl w:val="0"/>
              <w:spacing w:before="20" w:after="20"/>
              <w:jc w:val="center"/>
              <w:rPr>
                <w:rFonts w:asciiTheme="minorHAnsi" w:hAnsiTheme="minorHAnsi" w:cstheme="minorHAnsi"/>
                <w:b/>
                <w:color w:val="FFFFFF" w:themeColor="background1"/>
              </w:rPr>
            </w:pPr>
            <w:r w:rsidRPr="00B2053D">
              <w:rPr>
                <w:rFonts w:asciiTheme="minorHAnsi" w:hAnsiTheme="minorHAnsi" w:cstheme="minorHAnsi"/>
                <w:b/>
                <w:color w:val="FFFFFF" w:themeColor="background1"/>
              </w:rPr>
              <w:t>Examples/notes</w:t>
            </w:r>
          </w:p>
        </w:tc>
      </w:tr>
      <w:tr w:rsidR="000704BB" w:rsidRPr="00B2053D" w14:paraId="72F17365" w14:textId="77777777" w:rsidTr="000833CD">
        <w:trPr>
          <w:trHeight w:val="2393"/>
        </w:trPr>
        <w:tc>
          <w:tcPr>
            <w:tcW w:w="1432" w:type="dxa"/>
            <w:vMerge w:val="restart"/>
            <w:vAlign w:val="center"/>
          </w:tcPr>
          <w:p w14:paraId="5CF77878" w14:textId="77777777" w:rsidR="000704BB" w:rsidRPr="00B2053D" w:rsidRDefault="000704BB" w:rsidP="000833CD">
            <w:pPr>
              <w:widowControl w:val="0"/>
              <w:spacing w:before="20" w:after="20"/>
              <w:jc w:val="left"/>
              <w:rPr>
                <w:rFonts w:asciiTheme="minorHAnsi" w:hAnsiTheme="minorHAnsi" w:cstheme="minorHAnsi"/>
                <w:b/>
                <w:color w:val="000000" w:themeColor="text1"/>
              </w:rPr>
            </w:pPr>
            <w:r w:rsidRPr="00B2053D">
              <w:rPr>
                <w:rFonts w:asciiTheme="minorHAnsi" w:hAnsiTheme="minorHAnsi" w:cstheme="minorHAnsi"/>
                <w:b/>
                <w:color w:val="000000" w:themeColor="text1"/>
              </w:rPr>
              <w:t>Avoid use with Bdq</w:t>
            </w:r>
          </w:p>
        </w:tc>
        <w:tc>
          <w:tcPr>
            <w:tcW w:w="3063" w:type="dxa"/>
            <w:vAlign w:val="center"/>
          </w:tcPr>
          <w:p w14:paraId="1CD58556" w14:textId="77777777" w:rsidR="000704BB" w:rsidRPr="00B2053D" w:rsidRDefault="000704BB" w:rsidP="000833CD">
            <w:pPr>
              <w:widowControl w:val="0"/>
              <w:spacing w:before="20" w:after="20"/>
              <w:jc w:val="left"/>
              <w:rPr>
                <w:rFonts w:asciiTheme="minorHAnsi" w:hAnsiTheme="minorHAnsi" w:cstheme="minorHAnsi"/>
                <w:color w:val="000000" w:themeColor="text1"/>
              </w:rPr>
            </w:pPr>
            <w:r w:rsidRPr="00B2053D">
              <w:rPr>
                <w:rFonts w:asciiTheme="minorHAnsi" w:hAnsiTheme="minorHAnsi" w:cstheme="minorHAnsi"/>
                <w:color w:val="000000" w:themeColor="text1"/>
              </w:rPr>
              <w:t>Strong/moderate inducers of cytochrome P450 may decrease blood levels of Bdq</w:t>
            </w:r>
          </w:p>
        </w:tc>
        <w:tc>
          <w:tcPr>
            <w:tcW w:w="4968" w:type="dxa"/>
            <w:vAlign w:val="center"/>
          </w:tcPr>
          <w:p w14:paraId="466903BE" w14:textId="2400FA26" w:rsidR="000704BB" w:rsidRPr="00B2053D" w:rsidRDefault="000704BB" w:rsidP="00EB3A90">
            <w:pPr>
              <w:tabs>
                <w:tab w:val="num" w:pos="360"/>
              </w:tabs>
              <w:spacing w:before="0" w:after="0"/>
              <w:ind w:left="36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 xml:space="preserve">Efavirenz (ART and Bdq interaction are also discussed in </w:t>
            </w:r>
            <w:r w:rsidR="00EB3A90" w:rsidRPr="00B2053D">
              <w:rPr>
                <w:rFonts w:asciiTheme="minorHAnsi" w:hAnsiTheme="minorHAnsi" w:cstheme="minorHAnsi"/>
                <w:color w:val="000000" w:themeColor="text1"/>
              </w:rPr>
              <w:fldChar w:fldCharType="begin"/>
            </w:r>
            <w:r w:rsidR="00EB3A90" w:rsidRPr="00B2053D">
              <w:rPr>
                <w:rFonts w:asciiTheme="minorHAnsi" w:hAnsiTheme="minorHAnsi" w:cstheme="minorHAnsi"/>
                <w:color w:val="000000" w:themeColor="text1"/>
              </w:rPr>
              <w:instrText xml:space="preserve"> REF _Ref12887655 \h  \* MERGEFORMAT </w:instrText>
            </w:r>
            <w:r w:rsidR="00EB3A90" w:rsidRPr="00B2053D">
              <w:rPr>
                <w:rFonts w:asciiTheme="minorHAnsi" w:hAnsiTheme="minorHAnsi" w:cstheme="minorHAnsi"/>
                <w:color w:val="000000" w:themeColor="text1"/>
              </w:rPr>
            </w:r>
            <w:r w:rsidR="00EB3A90" w:rsidRPr="00B2053D">
              <w:rPr>
                <w:rFonts w:asciiTheme="minorHAnsi" w:hAnsiTheme="minorHAnsi" w:cstheme="minorHAnsi"/>
                <w:color w:val="000000" w:themeColor="text1"/>
              </w:rPr>
              <w:fldChar w:fldCharType="separate"/>
            </w:r>
            <w:r w:rsidR="00EB3A90" w:rsidRPr="00B2053D">
              <w:rPr>
                <w:rFonts w:asciiTheme="minorHAnsi" w:hAnsiTheme="minorHAnsi" w:cstheme="minorHAnsi"/>
              </w:rPr>
              <w:t xml:space="preserve">Table 2) </w:t>
            </w:r>
            <w:r w:rsidR="00EB3A90" w:rsidRPr="00B2053D">
              <w:rPr>
                <w:rFonts w:asciiTheme="minorHAnsi" w:hAnsiTheme="minorHAnsi" w:cstheme="minorHAnsi"/>
                <w:color w:val="000000" w:themeColor="text1"/>
              </w:rPr>
              <w:fldChar w:fldCharType="end"/>
            </w:r>
          </w:p>
          <w:p w14:paraId="45C15F26" w14:textId="77777777" w:rsidR="000704BB" w:rsidRPr="00B2053D" w:rsidRDefault="000704BB" w:rsidP="000833CD">
            <w:pPr>
              <w:tabs>
                <w:tab w:val="num" w:pos="360"/>
              </w:tabs>
              <w:spacing w:before="0" w:after="0"/>
              <w:ind w:left="36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Rifamycins:</w:t>
            </w:r>
          </w:p>
          <w:p w14:paraId="266C0774" w14:textId="77777777" w:rsidR="000704BB" w:rsidRPr="00B2053D" w:rsidRDefault="000704BB" w:rsidP="000833CD">
            <w:pPr>
              <w:spacing w:before="0" w:after="0"/>
              <w:ind w:left="72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Rifampicin</w:t>
            </w:r>
          </w:p>
          <w:p w14:paraId="1966AE08" w14:textId="77777777" w:rsidR="000704BB" w:rsidRPr="00B2053D" w:rsidRDefault="000704BB" w:rsidP="000833CD">
            <w:pPr>
              <w:spacing w:before="0" w:after="0"/>
              <w:ind w:left="72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Rifapentine</w:t>
            </w:r>
          </w:p>
          <w:p w14:paraId="132F27ED" w14:textId="77777777" w:rsidR="000704BB" w:rsidRPr="00B2053D" w:rsidRDefault="000704BB" w:rsidP="000833CD">
            <w:pPr>
              <w:spacing w:before="0" w:after="0"/>
              <w:ind w:left="72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Rifabutin</w:t>
            </w:r>
          </w:p>
          <w:p w14:paraId="131B595C" w14:textId="77777777" w:rsidR="000704BB" w:rsidRPr="00B2053D" w:rsidRDefault="000704BB" w:rsidP="000833CD">
            <w:pPr>
              <w:tabs>
                <w:tab w:val="num" w:pos="360"/>
              </w:tabs>
              <w:spacing w:before="0" w:after="0"/>
              <w:ind w:left="36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Phenytoin</w:t>
            </w:r>
          </w:p>
          <w:p w14:paraId="1B3FE2FC" w14:textId="77777777" w:rsidR="000704BB" w:rsidRPr="00B2053D" w:rsidRDefault="000704BB" w:rsidP="000833CD">
            <w:pPr>
              <w:tabs>
                <w:tab w:val="num" w:pos="360"/>
              </w:tabs>
              <w:spacing w:before="0" w:after="0"/>
              <w:ind w:left="36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Carbamazepine</w:t>
            </w:r>
          </w:p>
          <w:p w14:paraId="7CF398BD" w14:textId="77777777" w:rsidR="000704BB" w:rsidRPr="00B2053D" w:rsidRDefault="000704BB" w:rsidP="000833CD">
            <w:pPr>
              <w:tabs>
                <w:tab w:val="num" w:pos="360"/>
              </w:tabs>
              <w:spacing w:before="0" w:after="0"/>
              <w:ind w:left="36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Phenobarbital</w:t>
            </w:r>
          </w:p>
          <w:p w14:paraId="28377788" w14:textId="77777777" w:rsidR="000704BB" w:rsidRPr="00B2053D" w:rsidRDefault="000704BB" w:rsidP="000833CD">
            <w:pPr>
              <w:tabs>
                <w:tab w:val="num" w:pos="360"/>
              </w:tabs>
              <w:spacing w:before="0" w:after="0"/>
              <w:ind w:left="36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St. John’s Wort</w:t>
            </w:r>
            <w:r w:rsidRPr="00B2053D">
              <w:rPr>
                <w:rFonts w:ascii="MS Gothic" w:eastAsia="MS Gothic" w:hAnsi="MS Gothic" w:cs="MS Gothic" w:hint="eastAsia"/>
                <w:color w:val="000000" w:themeColor="text1"/>
              </w:rPr>
              <w:t> </w:t>
            </w:r>
          </w:p>
        </w:tc>
      </w:tr>
      <w:tr w:rsidR="000704BB" w:rsidRPr="00B2053D" w14:paraId="251E907E" w14:textId="77777777" w:rsidTr="000833CD">
        <w:trPr>
          <w:trHeight w:val="1907"/>
        </w:trPr>
        <w:tc>
          <w:tcPr>
            <w:tcW w:w="1432" w:type="dxa"/>
            <w:vMerge/>
          </w:tcPr>
          <w:p w14:paraId="33E4E579" w14:textId="77777777" w:rsidR="000704BB" w:rsidRPr="00B2053D" w:rsidRDefault="000704BB" w:rsidP="000833CD">
            <w:pPr>
              <w:rPr>
                <w:rFonts w:asciiTheme="minorHAnsi" w:hAnsiTheme="minorHAnsi" w:cstheme="minorHAnsi"/>
                <w:b/>
                <w:color w:val="000000" w:themeColor="text1"/>
              </w:rPr>
            </w:pPr>
          </w:p>
        </w:tc>
        <w:tc>
          <w:tcPr>
            <w:tcW w:w="3063" w:type="dxa"/>
            <w:vAlign w:val="center"/>
          </w:tcPr>
          <w:p w14:paraId="6F442F7E" w14:textId="77777777" w:rsidR="000704BB" w:rsidRPr="00B2053D" w:rsidRDefault="000704BB" w:rsidP="000833CD">
            <w:pPr>
              <w:widowControl w:val="0"/>
              <w:spacing w:before="20" w:after="20"/>
              <w:jc w:val="left"/>
              <w:rPr>
                <w:rFonts w:asciiTheme="minorHAnsi" w:hAnsiTheme="minorHAnsi" w:cstheme="minorHAnsi"/>
                <w:color w:val="000000" w:themeColor="text1"/>
              </w:rPr>
            </w:pPr>
            <w:r w:rsidRPr="00B2053D">
              <w:rPr>
                <w:rFonts w:asciiTheme="minorHAnsi" w:hAnsiTheme="minorHAnsi" w:cstheme="minorHAnsi"/>
                <w:color w:val="000000" w:themeColor="text1"/>
              </w:rPr>
              <w:t>Strong/moderate inhibitors of cytochrome P450 may increase blood levels of Bdq</w:t>
            </w:r>
          </w:p>
        </w:tc>
        <w:tc>
          <w:tcPr>
            <w:tcW w:w="4968" w:type="dxa"/>
            <w:vAlign w:val="center"/>
          </w:tcPr>
          <w:p w14:paraId="71893942" w14:textId="388B5CD5" w:rsidR="000704BB" w:rsidRPr="00B2053D" w:rsidRDefault="000704BB" w:rsidP="000833CD">
            <w:pPr>
              <w:tabs>
                <w:tab w:val="num" w:pos="360"/>
              </w:tabs>
              <w:spacing w:before="0" w:after="0"/>
              <w:ind w:left="36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Ritonavir-boosted protease inhibitors (ART and Bdq interaction are also discussed in</w:t>
            </w:r>
            <w:r w:rsidR="00EB3A90" w:rsidRPr="00B2053D">
              <w:rPr>
                <w:rFonts w:asciiTheme="minorHAnsi" w:hAnsiTheme="minorHAnsi" w:cstheme="minorHAnsi"/>
                <w:color w:val="000000" w:themeColor="text1"/>
              </w:rPr>
              <w:t xml:space="preserve"> </w:t>
            </w:r>
            <w:r w:rsidR="00EB3A90" w:rsidRPr="00B2053D">
              <w:rPr>
                <w:rFonts w:asciiTheme="minorHAnsi" w:hAnsiTheme="minorHAnsi" w:cstheme="minorHAnsi"/>
                <w:color w:val="000000" w:themeColor="text1"/>
              </w:rPr>
              <w:fldChar w:fldCharType="begin"/>
            </w:r>
            <w:r w:rsidR="00EB3A90" w:rsidRPr="00B2053D">
              <w:rPr>
                <w:rFonts w:asciiTheme="minorHAnsi" w:hAnsiTheme="minorHAnsi" w:cstheme="minorHAnsi"/>
                <w:color w:val="000000" w:themeColor="text1"/>
              </w:rPr>
              <w:instrText xml:space="preserve"> REF _Ref12887655 \h  \* MERGEFORMAT </w:instrText>
            </w:r>
            <w:r w:rsidR="00EB3A90" w:rsidRPr="00B2053D">
              <w:rPr>
                <w:rFonts w:asciiTheme="minorHAnsi" w:hAnsiTheme="minorHAnsi" w:cstheme="minorHAnsi"/>
                <w:color w:val="000000" w:themeColor="text1"/>
              </w:rPr>
            </w:r>
            <w:r w:rsidR="00EB3A90" w:rsidRPr="00B2053D">
              <w:rPr>
                <w:rFonts w:asciiTheme="minorHAnsi" w:hAnsiTheme="minorHAnsi" w:cstheme="minorHAnsi"/>
                <w:color w:val="000000" w:themeColor="text1"/>
              </w:rPr>
              <w:fldChar w:fldCharType="separate"/>
            </w:r>
            <w:r w:rsidR="00EB3A90" w:rsidRPr="00B2053D">
              <w:rPr>
                <w:rFonts w:asciiTheme="minorHAnsi" w:hAnsiTheme="minorHAnsi" w:cstheme="minorHAnsi"/>
              </w:rPr>
              <w:t xml:space="preserve">Table 2) </w:t>
            </w:r>
            <w:r w:rsidR="00EB3A90" w:rsidRPr="00B2053D">
              <w:rPr>
                <w:rFonts w:asciiTheme="minorHAnsi" w:hAnsiTheme="minorHAnsi" w:cstheme="minorHAnsi"/>
                <w:color w:val="000000" w:themeColor="text1"/>
              </w:rPr>
              <w:fldChar w:fldCharType="end"/>
            </w:r>
            <w:r w:rsidRPr="00B2053D">
              <w:rPr>
                <w:rFonts w:asciiTheme="minorHAnsi" w:hAnsiTheme="minorHAnsi" w:cstheme="minorHAnsi"/>
                <w:color w:val="000000" w:themeColor="text1"/>
              </w:rPr>
              <w:t xml:space="preserve">Oral azole antifungals (can be used up to two weeks): </w:t>
            </w:r>
          </w:p>
          <w:p w14:paraId="386682A0" w14:textId="77777777" w:rsidR="000704BB" w:rsidRPr="00B2053D" w:rsidRDefault="000704BB" w:rsidP="000833CD">
            <w:pPr>
              <w:spacing w:before="0" w:after="0"/>
              <w:ind w:left="72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Itraconazole</w:t>
            </w:r>
          </w:p>
          <w:p w14:paraId="4FAE1276" w14:textId="29B0B64C" w:rsidR="000704BB" w:rsidRPr="00B2053D" w:rsidRDefault="000704BB" w:rsidP="000833CD">
            <w:pPr>
              <w:spacing w:before="0" w:after="0"/>
              <w:ind w:left="72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Fluconazole*</w:t>
            </w:r>
            <w:r w:rsidR="007C09A0" w:rsidRPr="00B2053D">
              <w:rPr>
                <w:rFonts w:asciiTheme="minorHAnsi" w:hAnsiTheme="minorHAnsi" w:cstheme="minorHAnsi"/>
                <w:color w:val="000000" w:themeColor="text1"/>
              </w:rPr>
              <w:t>*</w:t>
            </w:r>
          </w:p>
          <w:p w14:paraId="640706A4" w14:textId="77777777" w:rsidR="000704BB" w:rsidRPr="00B2053D" w:rsidRDefault="000704BB" w:rsidP="000833CD">
            <w:pPr>
              <w:tabs>
                <w:tab w:val="num" w:pos="360"/>
              </w:tabs>
              <w:spacing w:before="0" w:after="0"/>
              <w:ind w:left="36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Macrolide antibiotics other than azithromycin</w:t>
            </w:r>
            <w:r w:rsidRPr="00B2053D">
              <w:rPr>
                <w:rFonts w:asciiTheme="minorHAnsi" w:eastAsia="Times New Roman" w:hAnsiTheme="minorHAnsi" w:cstheme="minorHAnsi"/>
                <w:color w:val="000000" w:themeColor="text1"/>
                <w:shd w:val="clear" w:color="auto" w:fill="FFFFFF"/>
                <w:vertAlign w:val="superscript"/>
              </w:rPr>
              <w:t>†</w:t>
            </w:r>
            <w:r w:rsidRPr="00B2053D">
              <w:rPr>
                <w:rFonts w:asciiTheme="minorHAnsi" w:hAnsiTheme="minorHAnsi" w:cstheme="minorHAnsi"/>
                <w:color w:val="000000" w:themeColor="text1"/>
              </w:rPr>
              <w:t>:</w:t>
            </w:r>
          </w:p>
          <w:p w14:paraId="7C96B03E" w14:textId="77777777" w:rsidR="000704BB" w:rsidRPr="00B2053D" w:rsidRDefault="000704BB" w:rsidP="000833CD">
            <w:pPr>
              <w:spacing w:before="0" w:after="0"/>
              <w:ind w:left="72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Clarithromycin</w:t>
            </w:r>
          </w:p>
          <w:p w14:paraId="3BF44597" w14:textId="77777777" w:rsidR="000704BB" w:rsidRPr="00B2053D" w:rsidRDefault="000704BB" w:rsidP="000833CD">
            <w:pPr>
              <w:spacing w:before="0" w:after="0"/>
              <w:ind w:left="720" w:hanging="360"/>
              <w:jc w:val="left"/>
              <w:rPr>
                <w:rFonts w:asciiTheme="minorHAnsi" w:hAnsiTheme="minorHAnsi" w:cstheme="minorHAnsi"/>
                <w:color w:val="000000" w:themeColor="text1"/>
              </w:rPr>
            </w:pPr>
            <w:r w:rsidRPr="00B2053D">
              <w:rPr>
                <w:rFonts w:asciiTheme="minorHAnsi" w:hAnsiTheme="minorHAnsi" w:cstheme="minorHAnsi"/>
                <w:color w:val="000000" w:themeColor="text1"/>
              </w:rPr>
              <w:t>Erythromycin</w:t>
            </w:r>
          </w:p>
        </w:tc>
      </w:tr>
      <w:tr w:rsidR="000704BB" w:rsidRPr="00B2053D" w14:paraId="5FEED0A2" w14:textId="77777777" w:rsidTr="000833CD">
        <w:trPr>
          <w:trHeight w:val="890"/>
        </w:trPr>
        <w:tc>
          <w:tcPr>
            <w:tcW w:w="9463" w:type="dxa"/>
            <w:gridSpan w:val="3"/>
            <w:tcBorders>
              <w:top w:val="single" w:sz="4" w:space="0" w:color="auto"/>
              <w:left w:val="nil"/>
              <w:bottom w:val="nil"/>
              <w:right w:val="nil"/>
            </w:tcBorders>
            <w:vAlign w:val="center"/>
          </w:tcPr>
          <w:p w14:paraId="6AFE9FD1" w14:textId="24EB4B8F" w:rsidR="00A558C8" w:rsidRPr="00DE5FDC" w:rsidRDefault="007C09A0" w:rsidP="000833CD">
            <w:pPr>
              <w:widowControl w:val="0"/>
              <w:spacing w:before="20" w:after="20"/>
              <w:jc w:val="left"/>
              <w:rPr>
                <w:rFonts w:asciiTheme="minorHAnsi" w:hAnsiTheme="minorHAnsi" w:cstheme="minorHAnsi"/>
                <w:color w:val="000000" w:themeColor="text1"/>
                <w:sz w:val="18"/>
                <w:szCs w:val="18"/>
              </w:rPr>
            </w:pPr>
            <w:r w:rsidRPr="00DE5FDC">
              <w:rPr>
                <w:rFonts w:asciiTheme="minorHAnsi" w:hAnsiTheme="minorHAnsi" w:cstheme="minorHAnsi"/>
                <w:color w:val="000000" w:themeColor="text1"/>
                <w:sz w:val="18"/>
                <w:szCs w:val="18"/>
              </w:rPr>
              <w:t>*</w:t>
            </w:r>
            <w:r w:rsidR="00A558C8" w:rsidRPr="00DE5FDC">
              <w:rPr>
                <w:rFonts w:asciiTheme="minorHAnsi" w:hAnsiTheme="minorHAnsi" w:cstheme="minorHAnsi"/>
                <w:color w:val="000000" w:themeColor="text1"/>
                <w:sz w:val="18"/>
                <w:szCs w:val="18"/>
              </w:rPr>
              <w:t>For a more comprehensive list of drugs that affect and are affected by the cytochrome P450 system, see the Drug Interactions webpage of the Department of Medicine of Indiana University (</w:t>
            </w:r>
            <w:hyperlink r:id="rId21" w:history="1">
              <w:r w:rsidR="00A558C8" w:rsidRPr="00DE5FDC">
                <w:rPr>
                  <w:rStyle w:val="Hyperlink"/>
                  <w:rFonts w:asciiTheme="minorHAnsi" w:hAnsiTheme="minorHAnsi" w:cstheme="minorHAnsi"/>
                  <w:color w:val="000000" w:themeColor="text1"/>
                  <w:sz w:val="18"/>
                  <w:szCs w:val="18"/>
                </w:rPr>
                <w:t>http://medicine.iupui.edu/clinpharm/ddis/</w:t>
              </w:r>
            </w:hyperlink>
            <w:r w:rsidR="00A558C8" w:rsidRPr="00DE5FDC">
              <w:rPr>
                <w:rFonts w:asciiTheme="minorHAnsi" w:hAnsiTheme="minorHAnsi" w:cstheme="minorHAnsi"/>
                <w:color w:val="000000" w:themeColor="text1"/>
                <w:sz w:val="18"/>
                <w:szCs w:val="18"/>
              </w:rPr>
              <w:t>).</w:t>
            </w:r>
          </w:p>
          <w:p w14:paraId="2099F510" w14:textId="3B6DD95A" w:rsidR="000704BB" w:rsidRPr="00DE5FDC" w:rsidRDefault="000704BB" w:rsidP="000833CD">
            <w:pPr>
              <w:widowControl w:val="0"/>
              <w:spacing w:before="20" w:after="20"/>
              <w:jc w:val="left"/>
              <w:rPr>
                <w:rFonts w:asciiTheme="minorHAnsi" w:hAnsiTheme="minorHAnsi" w:cstheme="minorHAnsi"/>
                <w:color w:val="000000" w:themeColor="text1"/>
                <w:sz w:val="18"/>
                <w:szCs w:val="18"/>
              </w:rPr>
            </w:pPr>
            <w:r w:rsidRPr="00DE5FDC">
              <w:rPr>
                <w:rFonts w:asciiTheme="minorHAnsi" w:hAnsiTheme="minorHAnsi" w:cstheme="minorHAnsi"/>
                <w:color w:val="000000" w:themeColor="text1"/>
                <w:sz w:val="18"/>
                <w:szCs w:val="18"/>
              </w:rPr>
              <w:t>*</w:t>
            </w:r>
            <w:r w:rsidR="007C09A0" w:rsidRPr="00DE5FDC">
              <w:rPr>
                <w:rFonts w:asciiTheme="minorHAnsi" w:hAnsiTheme="minorHAnsi" w:cstheme="minorHAnsi"/>
                <w:color w:val="000000" w:themeColor="text1"/>
                <w:sz w:val="18"/>
                <w:szCs w:val="18"/>
              </w:rPr>
              <w:t>*</w:t>
            </w:r>
            <w:r w:rsidRPr="00DE5FDC">
              <w:rPr>
                <w:rFonts w:asciiTheme="minorHAnsi" w:hAnsiTheme="minorHAnsi" w:cstheme="minorHAnsi"/>
                <w:color w:val="000000" w:themeColor="text1"/>
                <w:sz w:val="18"/>
                <w:szCs w:val="18"/>
              </w:rPr>
              <w:t>All four oral azoles inhibit CYP3A4; itraconazole and posaconazole are more potent inhibitors and fluconazole or voriconazole.</w:t>
            </w:r>
            <w:r w:rsidRPr="00DE5FDC">
              <w:rPr>
                <w:rFonts w:asciiTheme="minorHAnsi" w:hAnsiTheme="minorHAnsi" w:cstheme="minorHAnsi"/>
                <w:color w:val="000000" w:themeColor="text1"/>
                <w:sz w:val="18"/>
                <w:szCs w:val="18"/>
                <w:vertAlign w:val="superscript"/>
              </w:rPr>
              <w:footnoteReference w:id="14"/>
            </w:r>
          </w:p>
          <w:p w14:paraId="7B99AFEA" w14:textId="77777777" w:rsidR="000704BB" w:rsidRPr="00DE5FDC" w:rsidRDefault="000704BB" w:rsidP="000833CD">
            <w:pPr>
              <w:widowControl w:val="0"/>
              <w:spacing w:before="20" w:after="20"/>
              <w:jc w:val="left"/>
              <w:rPr>
                <w:rFonts w:asciiTheme="minorHAnsi" w:hAnsiTheme="minorHAnsi" w:cstheme="minorHAnsi"/>
                <w:color w:val="000000" w:themeColor="text1"/>
                <w:sz w:val="18"/>
                <w:szCs w:val="18"/>
              </w:rPr>
            </w:pPr>
            <w:r w:rsidRPr="00DE5FDC">
              <w:rPr>
                <w:rFonts w:asciiTheme="minorHAnsi" w:eastAsia="Times New Roman" w:hAnsiTheme="minorHAnsi" w:cstheme="minorHAnsi"/>
                <w:color w:val="000000" w:themeColor="text1"/>
                <w:sz w:val="18"/>
                <w:szCs w:val="18"/>
                <w:shd w:val="clear" w:color="auto" w:fill="FFFFFF"/>
                <w:vertAlign w:val="superscript"/>
              </w:rPr>
              <w:t xml:space="preserve">† </w:t>
            </w:r>
            <w:r w:rsidRPr="00DE5FDC">
              <w:rPr>
                <w:rFonts w:asciiTheme="minorHAnsi" w:hAnsiTheme="minorHAnsi" w:cstheme="minorHAnsi"/>
                <w:color w:val="000000" w:themeColor="text1"/>
                <w:sz w:val="18"/>
                <w:szCs w:val="18"/>
              </w:rPr>
              <w:t>Azithromycin does not inhibit CYP isoenzymes but does prolong the QT interval so may want to be avoided for this reason.</w:t>
            </w:r>
          </w:p>
          <w:p w14:paraId="3BB3130E" w14:textId="71F556D5" w:rsidR="003B74D1" w:rsidRPr="00B2053D" w:rsidRDefault="003B74D1" w:rsidP="003B74D1">
            <w:pPr>
              <w:widowControl w:val="0"/>
              <w:spacing w:before="20" w:after="20"/>
              <w:jc w:val="left"/>
              <w:rPr>
                <w:rFonts w:asciiTheme="minorHAnsi" w:hAnsiTheme="minorHAnsi" w:cstheme="minorHAnsi"/>
                <w:color w:val="000000" w:themeColor="text1"/>
              </w:rPr>
            </w:pPr>
          </w:p>
        </w:tc>
      </w:tr>
    </w:tbl>
    <w:p w14:paraId="67C6BACE" w14:textId="72176428" w:rsidR="000704BB" w:rsidRPr="00DE5FDC" w:rsidRDefault="000704BB" w:rsidP="008A1A2C">
      <w:pPr>
        <w:pStyle w:val="Heading3"/>
        <w:keepNext/>
        <w:rPr>
          <w:rFonts w:asciiTheme="minorHAnsi" w:hAnsiTheme="minorHAnsi"/>
        </w:rPr>
      </w:pPr>
      <w:bookmarkStart w:id="43" w:name="_Toc501354402"/>
      <w:bookmarkStart w:id="44" w:name="_Ref12887655"/>
      <w:bookmarkStart w:id="45" w:name="_Ref12887712"/>
      <w:bookmarkStart w:id="46" w:name="_Ref12887739"/>
      <w:bookmarkStart w:id="47" w:name="_Toc13486760"/>
      <w:r w:rsidRPr="00DE5FDC">
        <w:rPr>
          <w:rFonts w:asciiTheme="minorHAnsi" w:hAnsiTheme="minorHAnsi"/>
        </w:rPr>
        <w:t xml:space="preserve">Table </w:t>
      </w:r>
      <w:r w:rsidR="002238A7" w:rsidRPr="00DE5FDC">
        <w:rPr>
          <w:rFonts w:asciiTheme="minorHAnsi" w:hAnsiTheme="minorHAnsi"/>
        </w:rPr>
        <w:t>2</w:t>
      </w:r>
      <w:r w:rsidRPr="00DE5FDC">
        <w:rPr>
          <w:rFonts w:asciiTheme="minorHAnsi" w:hAnsiTheme="minorHAnsi"/>
        </w:rPr>
        <w:t xml:space="preserve"> Possible drug-drug interactions between antiretrovirals and </w:t>
      </w:r>
      <w:bookmarkEnd w:id="43"/>
      <w:r w:rsidRPr="00DE5FDC">
        <w:rPr>
          <w:rFonts w:asciiTheme="minorHAnsi" w:hAnsiTheme="minorHAnsi"/>
        </w:rPr>
        <w:t>bedaquiline</w:t>
      </w:r>
      <w:bookmarkEnd w:id="44"/>
      <w:bookmarkEnd w:id="45"/>
      <w:bookmarkEnd w:id="46"/>
      <w:bookmarkEnd w:id="47"/>
    </w:p>
    <w:tbl>
      <w:tblPr>
        <w:tblStyle w:val="TableGrid"/>
        <w:tblW w:w="9468" w:type="dxa"/>
        <w:tblInd w:w="720" w:type="dxa"/>
        <w:tblLook w:val="04A0" w:firstRow="1" w:lastRow="0" w:firstColumn="1" w:lastColumn="0" w:noHBand="0" w:noVBand="1"/>
      </w:tblPr>
      <w:tblGrid>
        <w:gridCol w:w="1511"/>
        <w:gridCol w:w="2320"/>
        <w:gridCol w:w="5637"/>
      </w:tblGrid>
      <w:tr w:rsidR="000704BB" w:rsidRPr="008A1A2C" w14:paraId="50135917" w14:textId="77777777" w:rsidTr="00093E2C">
        <w:tc>
          <w:tcPr>
            <w:tcW w:w="1511" w:type="dxa"/>
            <w:vAlign w:val="center"/>
          </w:tcPr>
          <w:p w14:paraId="4DF95683" w14:textId="77777777" w:rsidR="000704BB" w:rsidRPr="008A1A2C" w:rsidRDefault="000704BB" w:rsidP="008A1A2C">
            <w:pPr>
              <w:keepNext/>
              <w:widowControl w:val="0"/>
              <w:autoSpaceDE w:val="0"/>
              <w:autoSpaceDN w:val="0"/>
              <w:adjustRightInd w:val="0"/>
              <w:contextualSpacing/>
              <w:jc w:val="left"/>
              <w:rPr>
                <w:rFonts w:asciiTheme="minorHAnsi" w:eastAsiaTheme="minorHAnsi" w:hAnsiTheme="minorHAnsi" w:cstheme="minorHAnsi"/>
                <w:b/>
                <w:color w:val="000000" w:themeColor="text1"/>
                <w:sz w:val="20"/>
                <w:szCs w:val="20"/>
              </w:rPr>
            </w:pPr>
          </w:p>
        </w:tc>
        <w:tc>
          <w:tcPr>
            <w:tcW w:w="2320" w:type="dxa"/>
            <w:shd w:val="clear" w:color="auto" w:fill="235868"/>
            <w:vAlign w:val="center"/>
          </w:tcPr>
          <w:p w14:paraId="7178CC15" w14:textId="77777777" w:rsidR="000704BB" w:rsidRPr="008A1A2C" w:rsidRDefault="000704BB" w:rsidP="008A1A2C">
            <w:pPr>
              <w:keepNext/>
              <w:jc w:val="center"/>
              <w:rPr>
                <w:rFonts w:asciiTheme="minorHAnsi" w:eastAsiaTheme="minorEastAsia" w:hAnsiTheme="minorHAnsi" w:cstheme="minorHAnsi"/>
                <w:b/>
                <w:color w:val="FFFFFF" w:themeColor="background1"/>
                <w:sz w:val="20"/>
                <w:szCs w:val="20"/>
                <w:lang w:val="en-GB"/>
              </w:rPr>
            </w:pPr>
            <w:r w:rsidRPr="008A1A2C">
              <w:rPr>
                <w:rFonts w:asciiTheme="minorHAnsi" w:eastAsiaTheme="minorEastAsia" w:hAnsiTheme="minorHAnsi" w:cstheme="minorHAnsi"/>
                <w:b/>
                <w:color w:val="FFFFFF" w:themeColor="background1"/>
                <w:sz w:val="20"/>
                <w:szCs w:val="20"/>
                <w:lang w:val="en-GB"/>
              </w:rPr>
              <w:t>Drugs</w:t>
            </w:r>
          </w:p>
        </w:tc>
        <w:tc>
          <w:tcPr>
            <w:tcW w:w="5637" w:type="dxa"/>
            <w:shd w:val="clear" w:color="auto" w:fill="235868"/>
            <w:vAlign w:val="center"/>
          </w:tcPr>
          <w:p w14:paraId="423A426E" w14:textId="77777777" w:rsidR="000704BB" w:rsidRPr="008A1A2C" w:rsidRDefault="000704BB" w:rsidP="008A1A2C">
            <w:pPr>
              <w:keepNext/>
              <w:widowControl w:val="0"/>
              <w:autoSpaceDE w:val="0"/>
              <w:autoSpaceDN w:val="0"/>
              <w:adjustRightInd w:val="0"/>
              <w:contextualSpacing/>
              <w:jc w:val="center"/>
              <w:rPr>
                <w:rFonts w:asciiTheme="minorHAnsi" w:eastAsiaTheme="minorEastAsia" w:hAnsiTheme="minorHAnsi" w:cstheme="minorHAnsi"/>
                <w:b/>
                <w:color w:val="FFFFFF" w:themeColor="background1"/>
                <w:sz w:val="20"/>
                <w:szCs w:val="20"/>
              </w:rPr>
            </w:pPr>
            <w:r w:rsidRPr="008A1A2C">
              <w:rPr>
                <w:rFonts w:asciiTheme="minorHAnsi" w:eastAsiaTheme="minorEastAsia" w:hAnsiTheme="minorHAnsi" w:cstheme="minorHAnsi"/>
                <w:b/>
                <w:color w:val="FFFFFF" w:themeColor="background1"/>
                <w:sz w:val="20"/>
                <w:szCs w:val="20"/>
              </w:rPr>
              <w:t>Instructions</w:t>
            </w:r>
          </w:p>
        </w:tc>
      </w:tr>
      <w:tr w:rsidR="000704BB" w:rsidRPr="008A1A2C" w14:paraId="66842893" w14:textId="77777777" w:rsidTr="000833CD">
        <w:trPr>
          <w:trHeight w:val="1466"/>
        </w:trPr>
        <w:tc>
          <w:tcPr>
            <w:tcW w:w="1511" w:type="dxa"/>
            <w:vMerge w:val="restart"/>
            <w:vAlign w:val="center"/>
          </w:tcPr>
          <w:p w14:paraId="114DAD1C" w14:textId="77777777" w:rsidR="000704BB" w:rsidRPr="008A1A2C" w:rsidRDefault="000704BB" w:rsidP="000833CD">
            <w:pPr>
              <w:pStyle w:val="Tabletext"/>
              <w:rPr>
                <w:rFonts w:asciiTheme="minorHAnsi" w:hAnsiTheme="minorHAnsi" w:cstheme="minorHAnsi"/>
                <w:b/>
                <w:color w:val="000000" w:themeColor="text1"/>
              </w:rPr>
            </w:pPr>
            <w:r w:rsidRPr="008A1A2C">
              <w:rPr>
                <w:rFonts w:asciiTheme="minorHAnsi" w:hAnsiTheme="minorHAnsi" w:cstheme="minorHAnsi"/>
                <w:b/>
                <w:color w:val="000000" w:themeColor="text1"/>
              </w:rPr>
              <w:t>ARVs to avoid with Bdq</w:t>
            </w:r>
          </w:p>
        </w:tc>
        <w:tc>
          <w:tcPr>
            <w:tcW w:w="2320" w:type="dxa"/>
            <w:vAlign w:val="center"/>
          </w:tcPr>
          <w:p w14:paraId="6BF6D845" w14:textId="77777777" w:rsidR="000704BB" w:rsidRPr="008A1A2C" w:rsidRDefault="000704BB" w:rsidP="000833CD">
            <w:pPr>
              <w:pStyle w:val="Tabletext"/>
              <w:rPr>
                <w:rFonts w:asciiTheme="minorHAnsi" w:hAnsiTheme="minorHAnsi" w:cstheme="minorHAnsi"/>
                <w:color w:val="000000" w:themeColor="text1"/>
                <w:lang w:val="en-GB"/>
              </w:rPr>
            </w:pPr>
            <w:r w:rsidRPr="008A1A2C">
              <w:rPr>
                <w:rFonts w:asciiTheme="minorHAnsi" w:hAnsiTheme="minorHAnsi" w:cstheme="minorHAnsi"/>
                <w:color w:val="000000" w:themeColor="text1"/>
                <w:lang w:val="en-GB"/>
              </w:rPr>
              <w:t>Efavirenz (EFV)</w:t>
            </w:r>
          </w:p>
          <w:p w14:paraId="77D3CBBE" w14:textId="77777777" w:rsidR="000704BB" w:rsidRPr="008A1A2C" w:rsidRDefault="000704BB" w:rsidP="000833CD">
            <w:pPr>
              <w:pStyle w:val="Tabletext"/>
              <w:rPr>
                <w:rFonts w:asciiTheme="minorHAnsi" w:hAnsiTheme="minorHAnsi" w:cstheme="minorHAnsi"/>
                <w:color w:val="000000" w:themeColor="text1"/>
                <w:lang w:val="en-GB"/>
              </w:rPr>
            </w:pPr>
          </w:p>
          <w:p w14:paraId="133C41D2" w14:textId="7DC6ED75" w:rsidR="000704BB" w:rsidRPr="008A1A2C" w:rsidRDefault="000704BB" w:rsidP="000833CD">
            <w:pPr>
              <w:pStyle w:val="Tabletext"/>
              <w:rPr>
                <w:rFonts w:asciiTheme="minorHAnsi" w:eastAsiaTheme="minorEastAsia" w:hAnsiTheme="minorHAnsi" w:cstheme="minorHAnsi"/>
                <w:color w:val="000000" w:themeColor="text1"/>
                <w:lang w:val="en-GB"/>
              </w:rPr>
            </w:pPr>
            <w:r w:rsidRPr="008A1A2C">
              <w:rPr>
                <w:rFonts w:asciiTheme="minorHAnsi" w:eastAsiaTheme="minorEastAsia" w:hAnsiTheme="minorHAnsi" w:cstheme="minorHAnsi"/>
                <w:color w:val="000000" w:themeColor="text1"/>
                <w:lang w:val="en-GB"/>
              </w:rPr>
              <w:t>(Using EFV with Bdq will result in low levels of Bdq</w:t>
            </w:r>
            <w:r w:rsidR="007B3D2E">
              <w:rPr>
                <w:rFonts w:asciiTheme="minorHAnsi" w:eastAsiaTheme="minorEastAsia" w:hAnsiTheme="minorHAnsi" w:cstheme="minorHAnsi"/>
                <w:color w:val="000000" w:themeColor="text1"/>
                <w:lang w:val="en-GB"/>
              </w:rPr>
              <w:t xml:space="preserve"> in the blood</w:t>
            </w:r>
            <w:r w:rsidRPr="008A1A2C">
              <w:rPr>
                <w:rFonts w:asciiTheme="minorHAnsi" w:eastAsiaTheme="minorEastAsia" w:hAnsiTheme="minorHAnsi" w:cstheme="minorHAnsi"/>
                <w:color w:val="000000" w:themeColor="text1"/>
                <w:lang w:val="en-GB"/>
              </w:rPr>
              <w:t>)</w:t>
            </w:r>
          </w:p>
        </w:tc>
        <w:tc>
          <w:tcPr>
            <w:tcW w:w="5637" w:type="dxa"/>
            <w:vAlign w:val="center"/>
          </w:tcPr>
          <w:p w14:paraId="09B5CA44" w14:textId="45812AC4" w:rsidR="000704BB" w:rsidRPr="008A1A2C" w:rsidRDefault="000704BB" w:rsidP="000833CD">
            <w:pPr>
              <w:pStyle w:val="ListBullet"/>
              <w:rPr>
                <w:rFonts w:asciiTheme="minorHAnsi" w:hAnsiTheme="minorHAnsi" w:cstheme="minorHAnsi"/>
                <w:color w:val="000000" w:themeColor="text1"/>
                <w:sz w:val="20"/>
                <w:szCs w:val="20"/>
              </w:rPr>
            </w:pPr>
            <w:r w:rsidRPr="008A1A2C">
              <w:rPr>
                <w:rFonts w:asciiTheme="minorHAnsi" w:hAnsiTheme="minorHAnsi" w:cstheme="minorHAnsi"/>
                <w:color w:val="000000" w:themeColor="text1"/>
                <w:sz w:val="20"/>
                <w:szCs w:val="20"/>
              </w:rPr>
              <w:t>Substitute nevirapine (NVP) or</w:t>
            </w:r>
            <w:r w:rsidR="00BE7303">
              <w:rPr>
                <w:rFonts w:asciiTheme="minorHAnsi" w:hAnsiTheme="minorHAnsi" w:cstheme="minorHAnsi"/>
                <w:color w:val="000000" w:themeColor="text1"/>
                <w:sz w:val="20"/>
                <w:szCs w:val="20"/>
              </w:rPr>
              <w:t xml:space="preserve"> an</w:t>
            </w:r>
            <w:r w:rsidRPr="008A1A2C">
              <w:rPr>
                <w:rFonts w:asciiTheme="minorHAnsi" w:hAnsiTheme="minorHAnsi" w:cstheme="minorHAnsi"/>
                <w:color w:val="000000" w:themeColor="text1"/>
                <w:sz w:val="20"/>
                <w:szCs w:val="20"/>
              </w:rPr>
              <w:t xml:space="preserve"> integrase inhibitor instead of EFV. Allow a </w:t>
            </w:r>
            <w:r w:rsidR="000805C9">
              <w:rPr>
                <w:rFonts w:asciiTheme="minorHAnsi" w:hAnsiTheme="minorHAnsi" w:cstheme="minorHAnsi"/>
                <w:color w:val="000000" w:themeColor="text1"/>
                <w:sz w:val="20"/>
                <w:szCs w:val="20"/>
              </w:rPr>
              <w:t>five</w:t>
            </w:r>
            <w:r w:rsidRPr="008A1A2C">
              <w:rPr>
                <w:rFonts w:asciiTheme="minorHAnsi" w:hAnsiTheme="minorHAnsi" w:cstheme="minorHAnsi"/>
                <w:color w:val="000000" w:themeColor="text1"/>
                <w:sz w:val="20"/>
                <w:szCs w:val="20"/>
              </w:rPr>
              <w:t xml:space="preserve">-day washout </w:t>
            </w:r>
            <w:r w:rsidR="000805C9">
              <w:rPr>
                <w:rFonts w:asciiTheme="minorHAnsi" w:hAnsiTheme="minorHAnsi" w:cstheme="minorHAnsi"/>
                <w:color w:val="000000" w:themeColor="text1"/>
                <w:sz w:val="20"/>
                <w:szCs w:val="20"/>
              </w:rPr>
              <w:t xml:space="preserve">period </w:t>
            </w:r>
            <w:r w:rsidRPr="008A1A2C">
              <w:rPr>
                <w:rFonts w:asciiTheme="minorHAnsi" w:hAnsiTheme="minorHAnsi" w:cstheme="minorHAnsi"/>
                <w:color w:val="000000" w:themeColor="text1"/>
                <w:sz w:val="20"/>
                <w:szCs w:val="20"/>
              </w:rPr>
              <w:t xml:space="preserve">of EFV if possible (substitute NVP on day </w:t>
            </w:r>
            <w:r w:rsidR="000805C9">
              <w:rPr>
                <w:rFonts w:asciiTheme="minorHAnsi" w:hAnsiTheme="minorHAnsi" w:cstheme="minorHAnsi"/>
                <w:color w:val="000000" w:themeColor="text1"/>
                <w:sz w:val="20"/>
                <w:szCs w:val="20"/>
              </w:rPr>
              <w:t>one</w:t>
            </w:r>
            <w:r w:rsidRPr="008A1A2C">
              <w:rPr>
                <w:rFonts w:asciiTheme="minorHAnsi" w:hAnsiTheme="minorHAnsi" w:cstheme="minorHAnsi"/>
                <w:color w:val="000000" w:themeColor="text1"/>
                <w:sz w:val="20"/>
                <w:szCs w:val="20"/>
              </w:rPr>
              <w:t xml:space="preserve"> and then start MDR regimen </w:t>
            </w:r>
            <w:r w:rsidR="000805C9">
              <w:rPr>
                <w:rFonts w:asciiTheme="minorHAnsi" w:hAnsiTheme="minorHAnsi" w:cstheme="minorHAnsi"/>
                <w:color w:val="000000" w:themeColor="text1"/>
                <w:sz w:val="20"/>
                <w:szCs w:val="20"/>
              </w:rPr>
              <w:t>five</w:t>
            </w:r>
            <w:r w:rsidRPr="008A1A2C">
              <w:rPr>
                <w:rFonts w:asciiTheme="minorHAnsi" w:hAnsiTheme="minorHAnsi" w:cstheme="minorHAnsi"/>
                <w:color w:val="000000" w:themeColor="text1"/>
                <w:sz w:val="20"/>
                <w:szCs w:val="20"/>
              </w:rPr>
              <w:t xml:space="preserve"> days later). If patient is critically ill with MDR-TB, no washout period is necessary. </w:t>
            </w:r>
          </w:p>
          <w:p w14:paraId="1E1D564A" w14:textId="77777777" w:rsidR="000704BB" w:rsidRPr="008A1A2C" w:rsidRDefault="000704BB" w:rsidP="000833CD">
            <w:pPr>
              <w:pStyle w:val="ListBullet"/>
              <w:spacing w:before="0" w:after="0"/>
              <w:jc w:val="left"/>
              <w:rPr>
                <w:rFonts w:asciiTheme="minorHAnsi" w:hAnsiTheme="minorHAnsi" w:cstheme="minorHAnsi"/>
                <w:color w:val="000000" w:themeColor="text1"/>
                <w:sz w:val="20"/>
                <w:szCs w:val="20"/>
              </w:rPr>
            </w:pPr>
            <w:r w:rsidRPr="008A1A2C">
              <w:rPr>
                <w:rFonts w:asciiTheme="minorHAnsi" w:hAnsiTheme="minorHAnsi" w:cstheme="minorHAnsi"/>
                <w:color w:val="000000" w:themeColor="text1"/>
                <w:sz w:val="20"/>
                <w:szCs w:val="20"/>
              </w:rPr>
              <w:lastRenderedPageBreak/>
              <w:t xml:space="preserve">When switching back to EFV after ending treatment with Bdq, this can be done immediately after Bdq is stopped. </w:t>
            </w:r>
          </w:p>
        </w:tc>
      </w:tr>
      <w:tr w:rsidR="000704BB" w:rsidRPr="008A1A2C" w14:paraId="06516D21" w14:textId="77777777" w:rsidTr="000833CD">
        <w:trPr>
          <w:trHeight w:val="1655"/>
        </w:trPr>
        <w:tc>
          <w:tcPr>
            <w:tcW w:w="1511" w:type="dxa"/>
            <w:vMerge/>
          </w:tcPr>
          <w:p w14:paraId="77158B7B" w14:textId="77777777" w:rsidR="000704BB" w:rsidRPr="008A1A2C" w:rsidRDefault="000704BB" w:rsidP="000833CD">
            <w:pPr>
              <w:pStyle w:val="Tabletext"/>
              <w:rPr>
                <w:rFonts w:asciiTheme="minorHAnsi" w:eastAsiaTheme="minorHAnsi" w:hAnsiTheme="minorHAnsi" w:cstheme="minorHAnsi"/>
                <w:b/>
                <w:color w:val="000000" w:themeColor="text1"/>
              </w:rPr>
            </w:pPr>
          </w:p>
        </w:tc>
        <w:tc>
          <w:tcPr>
            <w:tcW w:w="2320" w:type="dxa"/>
            <w:vAlign w:val="center"/>
          </w:tcPr>
          <w:p w14:paraId="1094E619" w14:textId="77777777" w:rsidR="000704BB" w:rsidRPr="008A1A2C" w:rsidRDefault="000704BB" w:rsidP="000833CD">
            <w:pPr>
              <w:pStyle w:val="Tabletext"/>
              <w:rPr>
                <w:rFonts w:asciiTheme="minorHAnsi" w:eastAsiaTheme="minorEastAsia" w:hAnsiTheme="minorHAnsi" w:cstheme="minorHAnsi"/>
                <w:color w:val="000000" w:themeColor="text1"/>
                <w:lang w:val="en-GB"/>
              </w:rPr>
            </w:pPr>
            <w:r w:rsidRPr="008A1A2C">
              <w:rPr>
                <w:rFonts w:asciiTheme="minorHAnsi" w:eastAsiaTheme="minorEastAsia" w:hAnsiTheme="minorHAnsi" w:cstheme="minorHAnsi"/>
                <w:color w:val="000000" w:themeColor="text1"/>
                <w:lang w:val="en-GB"/>
              </w:rPr>
              <w:t>Ritonavir containing protease inhibitors (PIs)</w:t>
            </w:r>
          </w:p>
          <w:p w14:paraId="3B4BFCAA" w14:textId="77777777" w:rsidR="000704BB" w:rsidRPr="008A1A2C" w:rsidRDefault="000704BB" w:rsidP="000833CD">
            <w:pPr>
              <w:pStyle w:val="Tabletext"/>
              <w:rPr>
                <w:rFonts w:asciiTheme="minorHAnsi" w:hAnsiTheme="minorHAnsi" w:cstheme="minorHAnsi"/>
                <w:color w:val="000000" w:themeColor="text1"/>
                <w:lang w:val="en-GB"/>
              </w:rPr>
            </w:pPr>
          </w:p>
          <w:p w14:paraId="6D28C658" w14:textId="1CC2670E" w:rsidR="000704BB" w:rsidRPr="008A1A2C" w:rsidRDefault="000704BB" w:rsidP="000833CD">
            <w:pPr>
              <w:pStyle w:val="Tabletext"/>
              <w:rPr>
                <w:rFonts w:asciiTheme="minorHAnsi" w:hAnsiTheme="minorHAnsi" w:cstheme="minorHAnsi"/>
                <w:color w:val="000000" w:themeColor="text1"/>
                <w:lang w:val="en-GB"/>
              </w:rPr>
            </w:pPr>
            <w:r w:rsidRPr="008A1A2C">
              <w:rPr>
                <w:rFonts w:asciiTheme="minorHAnsi" w:hAnsiTheme="minorHAnsi" w:cstheme="minorHAnsi"/>
                <w:color w:val="000000" w:themeColor="text1"/>
                <w:lang w:val="en-GB"/>
              </w:rPr>
              <w:t>(Using ritonavir with Bdq will result in high levels of Bdq</w:t>
            </w:r>
            <w:r w:rsidR="001451F6">
              <w:rPr>
                <w:rFonts w:asciiTheme="minorHAnsi" w:hAnsiTheme="minorHAnsi" w:cstheme="minorHAnsi"/>
                <w:color w:val="000000" w:themeColor="text1"/>
                <w:lang w:val="en-GB"/>
              </w:rPr>
              <w:t xml:space="preserve"> in the blood</w:t>
            </w:r>
            <w:r w:rsidRPr="008A1A2C">
              <w:rPr>
                <w:rFonts w:asciiTheme="minorHAnsi" w:hAnsiTheme="minorHAnsi" w:cstheme="minorHAnsi"/>
                <w:color w:val="000000" w:themeColor="text1"/>
                <w:lang w:val="en-GB"/>
              </w:rPr>
              <w:t>)</w:t>
            </w:r>
          </w:p>
        </w:tc>
        <w:tc>
          <w:tcPr>
            <w:tcW w:w="5637" w:type="dxa"/>
            <w:vAlign w:val="center"/>
          </w:tcPr>
          <w:p w14:paraId="504E0DD6" w14:textId="62643698" w:rsidR="000704BB" w:rsidRPr="008A1A2C" w:rsidRDefault="000704BB" w:rsidP="000833CD">
            <w:pPr>
              <w:pStyle w:val="ListBullet"/>
              <w:rPr>
                <w:rFonts w:asciiTheme="minorHAnsi" w:hAnsiTheme="minorHAnsi" w:cstheme="minorHAnsi"/>
                <w:color w:val="000000" w:themeColor="text1"/>
                <w:sz w:val="20"/>
                <w:szCs w:val="20"/>
              </w:rPr>
            </w:pPr>
            <w:r w:rsidRPr="008A1A2C">
              <w:rPr>
                <w:rFonts w:asciiTheme="minorHAnsi" w:hAnsiTheme="minorHAnsi" w:cstheme="minorHAnsi"/>
                <w:color w:val="000000" w:themeColor="text1"/>
                <w:sz w:val="20"/>
                <w:szCs w:val="20"/>
              </w:rPr>
              <w:t xml:space="preserve">If possible, use an ARV regimen with no PI. One possible solution is to substitute the PI with an integrase inhibitor (INSTI), e.g. dolutegravir (DTG) or raltegravir (RAL). </w:t>
            </w:r>
          </w:p>
          <w:p w14:paraId="5D75ABEC" w14:textId="79389822" w:rsidR="000704BB" w:rsidRPr="008A1A2C" w:rsidRDefault="000704BB" w:rsidP="000833CD">
            <w:pPr>
              <w:pStyle w:val="ListBullet"/>
              <w:spacing w:before="0" w:after="0"/>
              <w:jc w:val="left"/>
              <w:rPr>
                <w:rFonts w:asciiTheme="minorHAnsi" w:hAnsiTheme="minorHAnsi" w:cstheme="minorHAnsi"/>
                <w:color w:val="000000" w:themeColor="text1"/>
                <w:sz w:val="20"/>
                <w:szCs w:val="20"/>
              </w:rPr>
            </w:pPr>
            <w:r w:rsidRPr="008A1A2C">
              <w:rPr>
                <w:rFonts w:asciiTheme="minorHAnsi" w:hAnsiTheme="minorHAnsi" w:cstheme="minorHAnsi"/>
                <w:color w:val="000000" w:themeColor="text1"/>
                <w:sz w:val="20"/>
                <w:szCs w:val="20"/>
              </w:rPr>
              <w:t xml:space="preserve">If a ritonavir-containing PI must be used, </w:t>
            </w:r>
            <w:r w:rsidR="001451F6">
              <w:rPr>
                <w:rFonts w:asciiTheme="minorHAnsi" w:hAnsiTheme="minorHAnsi" w:cstheme="minorHAnsi"/>
                <w:color w:val="000000" w:themeColor="text1"/>
                <w:sz w:val="20"/>
                <w:szCs w:val="20"/>
              </w:rPr>
              <w:t>perform an</w:t>
            </w:r>
            <w:r w:rsidRPr="008A1A2C">
              <w:rPr>
                <w:rFonts w:asciiTheme="minorHAnsi" w:hAnsiTheme="minorHAnsi" w:cstheme="minorHAnsi"/>
                <w:color w:val="000000" w:themeColor="text1"/>
                <w:sz w:val="20"/>
                <w:szCs w:val="20"/>
              </w:rPr>
              <w:t xml:space="preserve"> ECG every two weeks</w:t>
            </w:r>
            <w:r w:rsidR="00D177FE">
              <w:rPr>
                <w:rFonts w:asciiTheme="minorHAnsi" w:hAnsiTheme="minorHAnsi" w:cstheme="minorHAnsi"/>
                <w:color w:val="000000" w:themeColor="text1"/>
                <w:sz w:val="20"/>
                <w:szCs w:val="20"/>
              </w:rPr>
              <w:t xml:space="preserve"> for </w:t>
            </w:r>
            <w:r w:rsidR="00B7279C">
              <w:rPr>
                <w:rFonts w:asciiTheme="minorHAnsi" w:hAnsiTheme="minorHAnsi" w:cstheme="minorHAnsi"/>
                <w:color w:val="000000" w:themeColor="text1"/>
                <w:sz w:val="20"/>
                <w:szCs w:val="20"/>
              </w:rPr>
              <w:t>the first 8 weeks</w:t>
            </w:r>
            <w:r w:rsidRPr="008A1A2C">
              <w:rPr>
                <w:rFonts w:asciiTheme="minorHAnsi" w:hAnsiTheme="minorHAnsi" w:cstheme="minorHAnsi"/>
                <w:color w:val="000000" w:themeColor="text1"/>
                <w:sz w:val="20"/>
                <w:szCs w:val="20"/>
              </w:rPr>
              <w:t xml:space="preserve">. </w:t>
            </w:r>
          </w:p>
        </w:tc>
      </w:tr>
    </w:tbl>
    <w:p w14:paraId="7CD45025" w14:textId="77777777" w:rsidR="000704BB" w:rsidRPr="00B85017" w:rsidRDefault="000704BB" w:rsidP="000704BB">
      <w:pPr>
        <w:spacing w:before="0" w:after="0"/>
        <w:contextualSpacing/>
        <w:rPr>
          <w:rFonts w:asciiTheme="minorHAnsi" w:hAnsiTheme="minorHAnsi"/>
          <w:color w:val="000000" w:themeColor="text1"/>
          <w:sz w:val="23"/>
          <w:szCs w:val="23"/>
        </w:rPr>
      </w:pPr>
    </w:p>
    <w:p w14:paraId="78138E61" w14:textId="34987454" w:rsidR="000704BB" w:rsidRPr="00DE5FDC" w:rsidRDefault="000704BB" w:rsidP="000704BB">
      <w:pPr>
        <w:spacing w:before="0" w:after="0"/>
        <w:ind w:left="720"/>
        <w:contextualSpacing/>
        <w:rPr>
          <w:rFonts w:asciiTheme="minorHAnsi" w:hAnsiTheme="minorHAnsi"/>
          <w:color w:val="000000" w:themeColor="text1"/>
        </w:rPr>
      </w:pPr>
      <w:r w:rsidRPr="00DE5FDC">
        <w:rPr>
          <w:rFonts w:asciiTheme="minorHAnsi" w:hAnsiTheme="minorHAnsi"/>
          <w:color w:val="000000" w:themeColor="text1"/>
        </w:rPr>
        <w:t xml:space="preserve">Adverse effects that </w:t>
      </w:r>
      <w:r w:rsidR="006D15C7" w:rsidRPr="00DE5FDC">
        <w:rPr>
          <w:rFonts w:asciiTheme="minorHAnsi" w:hAnsiTheme="minorHAnsi"/>
          <w:color w:val="000000" w:themeColor="text1"/>
        </w:rPr>
        <w:t>have been</w:t>
      </w:r>
      <w:r w:rsidR="00951556" w:rsidRPr="00DE5FDC">
        <w:rPr>
          <w:rFonts w:asciiTheme="minorHAnsi" w:hAnsiTheme="minorHAnsi"/>
          <w:color w:val="000000" w:themeColor="text1"/>
        </w:rPr>
        <w:t xml:space="preserve"> </w:t>
      </w:r>
      <w:r w:rsidRPr="00DE5FDC">
        <w:rPr>
          <w:rFonts w:asciiTheme="minorHAnsi" w:hAnsiTheme="minorHAnsi"/>
          <w:color w:val="000000" w:themeColor="text1"/>
        </w:rPr>
        <w:t>associated with bedaquiline are</w:t>
      </w:r>
      <w:r w:rsidRPr="00DE5FDC">
        <w:rPr>
          <w:rFonts w:asciiTheme="minorHAnsi" w:hAnsiTheme="minorHAnsi"/>
          <w:color w:val="000000" w:themeColor="text1"/>
          <w:lang w:val="x-none"/>
        </w:rPr>
        <w:t xml:space="preserve"> QT prolongation</w:t>
      </w:r>
      <w:r w:rsidRPr="00DE5FDC">
        <w:rPr>
          <w:rFonts w:asciiTheme="minorHAnsi" w:hAnsiTheme="minorHAnsi"/>
          <w:color w:val="000000" w:themeColor="text1"/>
        </w:rPr>
        <w:t xml:space="preserve"> and hepatitis </w:t>
      </w:r>
      <w:r w:rsidR="008766BC" w:rsidRPr="00DE5FDC">
        <w:rPr>
          <w:rFonts w:asciiTheme="minorHAnsi" w:hAnsiTheme="minorHAnsi"/>
          <w:color w:val="000000" w:themeColor="text1"/>
        </w:rPr>
        <w:t xml:space="preserve">(also see Section </w:t>
      </w:r>
      <w:r w:rsidR="001413D4" w:rsidRPr="00DE5FDC">
        <w:rPr>
          <w:rFonts w:asciiTheme="minorHAnsi" w:hAnsiTheme="minorHAnsi"/>
          <w:color w:val="000000" w:themeColor="text1"/>
        </w:rPr>
        <w:fldChar w:fldCharType="begin"/>
      </w:r>
      <w:r w:rsidR="001413D4" w:rsidRPr="00DE5FDC">
        <w:rPr>
          <w:rFonts w:asciiTheme="minorHAnsi" w:hAnsiTheme="minorHAnsi"/>
          <w:color w:val="000000" w:themeColor="text1"/>
        </w:rPr>
        <w:instrText xml:space="preserve"> REF _Ref12887887 \r \h  \* MERGEFORMAT </w:instrText>
      </w:r>
      <w:r w:rsidR="001413D4" w:rsidRPr="00DE5FDC">
        <w:rPr>
          <w:rFonts w:asciiTheme="minorHAnsi" w:hAnsiTheme="minorHAnsi"/>
          <w:color w:val="000000" w:themeColor="text1"/>
        </w:rPr>
      </w:r>
      <w:r w:rsidR="001413D4" w:rsidRPr="00DE5FDC">
        <w:rPr>
          <w:rFonts w:asciiTheme="minorHAnsi" w:hAnsiTheme="minorHAnsi"/>
          <w:color w:val="000000" w:themeColor="text1"/>
        </w:rPr>
        <w:fldChar w:fldCharType="separate"/>
      </w:r>
      <w:r w:rsidR="001413D4" w:rsidRPr="00DE5FDC">
        <w:rPr>
          <w:rFonts w:asciiTheme="minorHAnsi" w:hAnsiTheme="minorHAnsi"/>
          <w:color w:val="000000" w:themeColor="text1"/>
        </w:rPr>
        <w:t>7</w:t>
      </w:r>
      <w:r w:rsidR="001413D4" w:rsidRPr="00DE5FDC">
        <w:rPr>
          <w:rFonts w:asciiTheme="minorHAnsi" w:hAnsiTheme="minorHAnsi"/>
          <w:color w:val="000000" w:themeColor="text1"/>
        </w:rPr>
        <w:fldChar w:fldCharType="end"/>
      </w:r>
      <w:r w:rsidR="001413D4" w:rsidRPr="00DE5FDC">
        <w:rPr>
          <w:rFonts w:asciiTheme="minorHAnsi" w:hAnsiTheme="minorHAnsi"/>
          <w:color w:val="000000" w:themeColor="text1"/>
        </w:rPr>
        <w:t xml:space="preserve"> </w:t>
      </w:r>
      <w:r w:rsidR="008766BC" w:rsidRPr="00DE5FDC">
        <w:rPr>
          <w:rFonts w:asciiTheme="minorHAnsi" w:hAnsiTheme="minorHAnsi"/>
          <w:color w:val="000000" w:themeColor="text1"/>
        </w:rPr>
        <w:t>for management of adverse effects)</w:t>
      </w:r>
    </w:p>
    <w:p w14:paraId="214A11A8" w14:textId="77777777" w:rsidR="000704BB" w:rsidRPr="00DE5FDC" w:rsidRDefault="000704BB" w:rsidP="000704BB">
      <w:pPr>
        <w:spacing w:before="0" w:after="0"/>
        <w:ind w:left="720"/>
        <w:contextualSpacing/>
        <w:rPr>
          <w:rFonts w:asciiTheme="minorHAnsi" w:hAnsiTheme="minorHAnsi"/>
          <w:color w:val="000000" w:themeColor="text1"/>
        </w:rPr>
      </w:pPr>
    </w:p>
    <w:p w14:paraId="31941B98" w14:textId="3012A01A" w:rsidR="000704BB" w:rsidRPr="00DE5FDC" w:rsidRDefault="000704BB" w:rsidP="000704BB">
      <w:pPr>
        <w:spacing w:before="0" w:after="0"/>
        <w:ind w:left="720"/>
        <w:contextualSpacing/>
        <w:rPr>
          <w:rFonts w:asciiTheme="minorHAnsi" w:hAnsiTheme="minorHAnsi"/>
          <w:color w:val="000000" w:themeColor="text1"/>
        </w:rPr>
      </w:pPr>
      <w:r w:rsidRPr="00DE5FDC">
        <w:rPr>
          <w:rFonts w:asciiTheme="minorHAnsi" w:hAnsiTheme="minorHAnsi"/>
          <w:color w:val="000000" w:themeColor="text1"/>
        </w:rPr>
        <w:t>A relative contraindication for use of bedaquiline is a baseline ECG demonstrating a QTcF &gt; 500 ms (</w:t>
      </w:r>
      <w:r w:rsidR="006D15C7" w:rsidRPr="00DE5FDC">
        <w:rPr>
          <w:rFonts w:asciiTheme="minorHAnsi" w:hAnsiTheme="minorHAnsi"/>
          <w:color w:val="000000" w:themeColor="text1"/>
        </w:rPr>
        <w:t>demonstrated on at least a second repeated ECG</w:t>
      </w:r>
      <w:r w:rsidRPr="00DE5FDC">
        <w:rPr>
          <w:rFonts w:asciiTheme="minorHAnsi" w:hAnsiTheme="minorHAnsi"/>
          <w:color w:val="000000" w:themeColor="text1"/>
        </w:rPr>
        <w:t xml:space="preserve">), history of syncopal episodes, ventricular arrhythmias or severe coronary artery disease. These are not absolute contraindications as the risk of death for some patients infected with highly resistant strains and inadequately treated TB outweighs the increased risk of a serious adverse event.  </w:t>
      </w:r>
    </w:p>
    <w:p w14:paraId="19F36D96" w14:textId="77777777" w:rsidR="000704BB" w:rsidRPr="00DE5FDC" w:rsidRDefault="000704BB" w:rsidP="000704BB">
      <w:pPr>
        <w:spacing w:before="0" w:after="0"/>
        <w:ind w:left="720"/>
        <w:contextualSpacing/>
        <w:rPr>
          <w:rFonts w:asciiTheme="minorHAnsi" w:hAnsiTheme="minorHAnsi"/>
          <w:color w:val="000000" w:themeColor="text1"/>
        </w:rPr>
      </w:pPr>
    </w:p>
    <w:p w14:paraId="2ABFE564" w14:textId="3E0E31CC" w:rsidR="000704BB" w:rsidRPr="00DE5FDC" w:rsidRDefault="000704BB" w:rsidP="000704BB">
      <w:pPr>
        <w:spacing w:before="0" w:after="0"/>
        <w:ind w:left="720"/>
        <w:contextualSpacing/>
        <w:rPr>
          <w:rFonts w:asciiTheme="minorHAnsi" w:hAnsiTheme="minorHAnsi"/>
          <w:color w:val="000000" w:themeColor="text1"/>
        </w:rPr>
      </w:pPr>
      <w:r w:rsidRPr="00DE5FDC">
        <w:rPr>
          <w:rFonts w:asciiTheme="minorHAnsi" w:hAnsiTheme="minorHAnsi"/>
          <w:color w:val="000000" w:themeColor="text1"/>
        </w:rPr>
        <w:t xml:space="preserve">Mild or moderate QT prolongation </w:t>
      </w:r>
      <w:r w:rsidR="004A20E3" w:rsidRPr="00DE5FDC">
        <w:rPr>
          <w:rFonts w:asciiTheme="minorHAnsi" w:hAnsiTheme="minorHAnsi"/>
          <w:color w:val="000000" w:themeColor="text1"/>
        </w:rPr>
        <w:t xml:space="preserve">during treatment with bedaquiline </w:t>
      </w:r>
      <w:r w:rsidRPr="00DE5FDC">
        <w:rPr>
          <w:rFonts w:asciiTheme="minorHAnsi" w:hAnsiTheme="minorHAnsi"/>
          <w:color w:val="000000" w:themeColor="text1"/>
        </w:rPr>
        <w:t>is common, while severe QT prolongation (&gt;500 ms) is relatively uncommon (</w:t>
      </w:r>
      <w:r w:rsidR="00935ABB" w:rsidRPr="00DE5FDC">
        <w:rPr>
          <w:rFonts w:asciiTheme="minorHAnsi" w:hAnsiTheme="minorHAnsi"/>
          <w:color w:val="000000" w:themeColor="text1"/>
        </w:rPr>
        <w:t>3%</w:t>
      </w:r>
      <w:r w:rsidRPr="00DE5FDC">
        <w:rPr>
          <w:rFonts w:asciiTheme="minorHAnsi" w:hAnsiTheme="minorHAnsi"/>
          <w:color w:val="000000" w:themeColor="text1"/>
        </w:rPr>
        <w:t>% of patients of patients in the endTB cohort</w:t>
      </w:r>
      <w:r w:rsidR="006D15C7" w:rsidRPr="00DE5FDC">
        <w:rPr>
          <w:rFonts w:asciiTheme="minorHAnsi" w:hAnsiTheme="minorHAnsi"/>
          <w:color w:val="000000" w:themeColor="text1"/>
        </w:rPr>
        <w:t>)</w:t>
      </w:r>
      <w:r w:rsidRPr="00DE5FDC">
        <w:rPr>
          <w:rFonts w:asciiTheme="minorHAnsi" w:hAnsiTheme="minorHAnsi"/>
          <w:color w:val="000000" w:themeColor="text1"/>
        </w:rPr>
        <w:t>.</w:t>
      </w:r>
      <w:r w:rsidR="007F6CEA" w:rsidRPr="00DE5FDC">
        <w:rPr>
          <w:rFonts w:asciiTheme="minorHAnsi" w:hAnsiTheme="minorHAnsi"/>
          <w:color w:val="000000" w:themeColor="text1"/>
          <w:vertAlign w:val="superscript"/>
        </w:rPr>
        <w:fldChar w:fldCharType="begin"/>
      </w:r>
      <w:r w:rsidR="007F6CEA" w:rsidRPr="00DE5FDC">
        <w:rPr>
          <w:rFonts w:asciiTheme="minorHAnsi" w:hAnsiTheme="minorHAnsi"/>
          <w:color w:val="000000" w:themeColor="text1"/>
          <w:vertAlign w:val="superscript"/>
        </w:rPr>
        <w:instrText xml:space="preserve"> NOTEREF _Ref12716078 \h  \* MERGEFORMAT </w:instrText>
      </w:r>
      <w:r w:rsidR="007F6CEA" w:rsidRPr="00DE5FDC">
        <w:rPr>
          <w:rFonts w:asciiTheme="minorHAnsi" w:hAnsiTheme="minorHAnsi"/>
          <w:color w:val="000000" w:themeColor="text1"/>
          <w:vertAlign w:val="superscript"/>
        </w:rPr>
      </w:r>
      <w:r w:rsidR="007F6CEA" w:rsidRPr="00DE5FDC">
        <w:rPr>
          <w:rFonts w:asciiTheme="minorHAnsi" w:hAnsiTheme="minorHAnsi"/>
          <w:color w:val="000000" w:themeColor="text1"/>
          <w:vertAlign w:val="superscript"/>
        </w:rPr>
        <w:fldChar w:fldCharType="separate"/>
      </w:r>
      <w:r w:rsidR="00C21E58" w:rsidRPr="00DE5FDC">
        <w:rPr>
          <w:rFonts w:asciiTheme="minorHAnsi" w:hAnsiTheme="minorHAnsi"/>
          <w:color w:val="000000" w:themeColor="text1"/>
          <w:vertAlign w:val="superscript"/>
        </w:rPr>
        <w:t>12</w:t>
      </w:r>
      <w:r w:rsidR="007F6CEA" w:rsidRPr="00DE5FDC">
        <w:rPr>
          <w:rFonts w:asciiTheme="minorHAnsi" w:hAnsiTheme="minorHAnsi"/>
          <w:color w:val="000000" w:themeColor="text1"/>
          <w:vertAlign w:val="superscript"/>
        </w:rPr>
        <w:fldChar w:fldCharType="end"/>
      </w:r>
      <w:r w:rsidRPr="00DE5FDC">
        <w:rPr>
          <w:rFonts w:asciiTheme="minorHAnsi" w:hAnsiTheme="minorHAnsi"/>
          <w:color w:val="000000" w:themeColor="text1"/>
          <w:vertAlign w:val="superscript"/>
        </w:rPr>
        <w:t xml:space="preserve"> </w:t>
      </w:r>
      <w:r w:rsidR="00935ABB" w:rsidRPr="00DE5FDC">
        <w:rPr>
          <w:rFonts w:asciiTheme="minorHAnsi" w:hAnsiTheme="minorHAnsi"/>
          <w:color w:val="000000" w:themeColor="text1"/>
        </w:rPr>
        <w:t xml:space="preserve">Regular </w:t>
      </w:r>
      <w:r w:rsidRPr="00DE5FDC">
        <w:rPr>
          <w:rFonts w:asciiTheme="minorHAnsi" w:hAnsiTheme="minorHAnsi"/>
          <w:color w:val="000000" w:themeColor="text1"/>
        </w:rPr>
        <w:t xml:space="preserve">ECG monitoring is recommended </w:t>
      </w:r>
      <w:r w:rsidR="004A20E3" w:rsidRPr="00DE5FDC">
        <w:rPr>
          <w:rFonts w:asciiTheme="minorHAnsi" w:hAnsiTheme="minorHAnsi"/>
          <w:color w:val="000000" w:themeColor="text1"/>
        </w:rPr>
        <w:t xml:space="preserve">in all patients taking bedaquiline </w:t>
      </w:r>
      <w:r w:rsidRPr="00DE5FDC">
        <w:rPr>
          <w:rFonts w:asciiTheme="minorHAnsi" w:hAnsiTheme="minorHAnsi" w:cstheme="minorHAnsi"/>
          <w:color w:val="000000" w:themeColor="text1"/>
        </w:rPr>
        <w:t xml:space="preserve">(see </w:t>
      </w:r>
      <w:r w:rsidR="008A3B0B" w:rsidRPr="00DE5FDC">
        <w:rPr>
          <w:rFonts w:asciiTheme="minorHAnsi" w:hAnsiTheme="minorHAnsi" w:cstheme="minorHAnsi"/>
          <w:color w:val="000000" w:themeColor="text1"/>
        </w:rPr>
        <w:fldChar w:fldCharType="begin"/>
      </w:r>
      <w:r w:rsidR="008A3B0B" w:rsidRPr="00DE5FDC">
        <w:rPr>
          <w:rFonts w:asciiTheme="minorHAnsi" w:hAnsiTheme="minorHAnsi" w:cstheme="minorHAnsi"/>
          <w:color w:val="000000" w:themeColor="text1"/>
        </w:rPr>
        <w:instrText xml:space="preserve"> REF _Ref12965635 \h  \* MERGEFORMAT </w:instrText>
      </w:r>
      <w:r w:rsidR="008A3B0B" w:rsidRPr="00DE5FDC">
        <w:rPr>
          <w:rFonts w:asciiTheme="minorHAnsi" w:hAnsiTheme="minorHAnsi" w:cstheme="minorHAnsi"/>
          <w:color w:val="000000" w:themeColor="text1"/>
        </w:rPr>
      </w:r>
      <w:r w:rsidR="008A3B0B" w:rsidRPr="00DE5FDC">
        <w:rPr>
          <w:rFonts w:asciiTheme="minorHAnsi" w:hAnsiTheme="minorHAnsi" w:cstheme="minorHAnsi"/>
          <w:color w:val="000000" w:themeColor="text1"/>
        </w:rPr>
        <w:fldChar w:fldCharType="separate"/>
      </w:r>
      <w:r w:rsidR="008A3B0B" w:rsidRPr="00DE5FDC">
        <w:rPr>
          <w:rFonts w:asciiTheme="minorHAnsi" w:hAnsiTheme="minorHAnsi" w:cstheme="minorHAnsi"/>
        </w:rPr>
        <w:t xml:space="preserve">Table 11 </w:t>
      </w:r>
      <w:r w:rsidR="008A3B0B" w:rsidRPr="00DE5FDC">
        <w:rPr>
          <w:rStyle w:val="IntenseEmphasis"/>
          <w:rFonts w:asciiTheme="minorHAnsi" w:hAnsiTheme="minorHAnsi" w:cstheme="minorHAnsi"/>
          <w:b w:val="0"/>
          <w:bCs w:val="0"/>
          <w:i w:val="0"/>
          <w:color w:val="000000" w:themeColor="text1"/>
        </w:rPr>
        <w:t>)</w:t>
      </w:r>
      <w:r w:rsidR="008A3B0B" w:rsidRPr="00DE5FDC">
        <w:rPr>
          <w:rFonts w:asciiTheme="minorHAnsi" w:hAnsiTheme="minorHAnsi" w:cstheme="minorHAnsi"/>
          <w:color w:val="000000" w:themeColor="text1"/>
        </w:rPr>
        <w:fldChar w:fldCharType="end"/>
      </w:r>
      <w:r w:rsidRPr="00DE5FDC">
        <w:rPr>
          <w:rFonts w:asciiTheme="minorHAnsi" w:hAnsiTheme="minorHAnsi" w:cstheme="minorHAnsi"/>
          <w:color w:val="000000" w:themeColor="text1"/>
        </w:rPr>
        <w:t xml:space="preserve">. </w:t>
      </w:r>
    </w:p>
    <w:p w14:paraId="1ECFF543" w14:textId="77777777" w:rsidR="000704BB" w:rsidRPr="00DE5FDC" w:rsidRDefault="000704BB" w:rsidP="000704BB">
      <w:pPr>
        <w:spacing w:before="0" w:after="0"/>
        <w:ind w:left="720"/>
        <w:contextualSpacing/>
        <w:rPr>
          <w:rFonts w:asciiTheme="minorHAnsi" w:hAnsiTheme="minorHAnsi"/>
          <w:color w:val="000000" w:themeColor="text1"/>
        </w:rPr>
      </w:pPr>
    </w:p>
    <w:p w14:paraId="58CD10C4" w14:textId="050B0BDD" w:rsidR="000704BB" w:rsidRPr="00DE5FDC" w:rsidRDefault="000704BB" w:rsidP="004E3F8C">
      <w:pPr>
        <w:spacing w:before="0" w:after="0"/>
        <w:ind w:left="720"/>
        <w:rPr>
          <w:rFonts w:asciiTheme="minorHAnsi" w:hAnsiTheme="minorHAnsi"/>
          <w:color w:val="000000" w:themeColor="text1"/>
        </w:rPr>
      </w:pPr>
      <w:r w:rsidRPr="00DE5FDC">
        <w:rPr>
          <w:rFonts w:asciiTheme="minorHAnsi" w:hAnsiTheme="minorHAnsi"/>
          <w:color w:val="000000" w:themeColor="text1"/>
        </w:rPr>
        <w:t xml:space="preserve">Other </w:t>
      </w:r>
      <w:r w:rsidRPr="00DE5FDC">
        <w:rPr>
          <w:rFonts w:asciiTheme="minorHAnsi" w:hAnsiTheme="minorHAnsi"/>
          <w:color w:val="000000" w:themeColor="text1"/>
          <w:lang w:val="x-none"/>
        </w:rPr>
        <w:t xml:space="preserve">TB drugs such as </w:t>
      </w:r>
      <w:r w:rsidRPr="00DE5FDC">
        <w:rPr>
          <w:rFonts w:asciiTheme="minorHAnsi" w:hAnsiTheme="minorHAnsi"/>
          <w:color w:val="000000" w:themeColor="text1"/>
        </w:rPr>
        <w:t xml:space="preserve">clofazimine, </w:t>
      </w:r>
      <w:r w:rsidR="004E3F8C" w:rsidRPr="00DE5FDC">
        <w:rPr>
          <w:rFonts w:asciiTheme="minorHAnsi" w:hAnsiTheme="minorHAnsi"/>
          <w:color w:val="000000" w:themeColor="text1"/>
        </w:rPr>
        <w:t>fluoroquinolones</w:t>
      </w:r>
      <w:r w:rsidRPr="00DE5FDC">
        <w:rPr>
          <w:rFonts w:asciiTheme="minorHAnsi" w:hAnsiTheme="minorHAnsi"/>
          <w:color w:val="000000" w:themeColor="text1"/>
        </w:rPr>
        <w:t>, and delamanid, as well as many non-TB drugs</w:t>
      </w:r>
      <w:r w:rsidR="00CB16EF" w:rsidRPr="00DE5FDC">
        <w:rPr>
          <w:rFonts w:asciiTheme="minorHAnsi" w:hAnsiTheme="minorHAnsi"/>
          <w:color w:val="000000" w:themeColor="text1"/>
        </w:rPr>
        <w:t>,</w:t>
      </w:r>
      <w:r w:rsidRPr="00DE5FDC">
        <w:rPr>
          <w:rFonts w:asciiTheme="minorHAnsi" w:hAnsiTheme="minorHAnsi"/>
          <w:color w:val="000000" w:themeColor="text1"/>
        </w:rPr>
        <w:t xml:space="preserve"> can also cause QT prolongation</w:t>
      </w:r>
      <w:r w:rsidR="00966821" w:rsidRPr="00DE5FDC">
        <w:rPr>
          <w:rFonts w:asciiTheme="minorHAnsi" w:hAnsiTheme="minorHAnsi"/>
          <w:color w:val="000000" w:themeColor="text1"/>
        </w:rPr>
        <w:t xml:space="preserve"> (see Section </w:t>
      </w:r>
      <w:r w:rsidR="00904D65" w:rsidRPr="00DE5FDC">
        <w:rPr>
          <w:rFonts w:asciiTheme="minorHAnsi" w:hAnsiTheme="minorHAnsi"/>
          <w:color w:val="000000" w:themeColor="text1"/>
        </w:rPr>
        <w:fldChar w:fldCharType="begin"/>
      </w:r>
      <w:r w:rsidR="00904D65" w:rsidRPr="00DE5FDC">
        <w:rPr>
          <w:rFonts w:asciiTheme="minorHAnsi" w:hAnsiTheme="minorHAnsi"/>
          <w:color w:val="000000" w:themeColor="text1"/>
        </w:rPr>
        <w:instrText xml:space="preserve"> REF _Ref12888160 \r \h  \* MERGEFORMAT </w:instrText>
      </w:r>
      <w:r w:rsidR="00904D65" w:rsidRPr="00DE5FDC">
        <w:rPr>
          <w:rFonts w:asciiTheme="minorHAnsi" w:hAnsiTheme="minorHAnsi"/>
          <w:color w:val="000000" w:themeColor="text1"/>
        </w:rPr>
      </w:r>
      <w:r w:rsidR="00904D65" w:rsidRPr="00DE5FDC">
        <w:rPr>
          <w:rFonts w:asciiTheme="minorHAnsi" w:hAnsiTheme="minorHAnsi"/>
          <w:color w:val="000000" w:themeColor="text1"/>
        </w:rPr>
        <w:fldChar w:fldCharType="separate"/>
      </w:r>
      <w:r w:rsidR="00904D65" w:rsidRPr="00DE5FDC">
        <w:rPr>
          <w:rFonts w:asciiTheme="minorHAnsi" w:hAnsiTheme="minorHAnsi"/>
          <w:color w:val="000000" w:themeColor="text1"/>
        </w:rPr>
        <w:t>3.4</w:t>
      </w:r>
      <w:r w:rsidR="00904D65" w:rsidRPr="00DE5FDC">
        <w:rPr>
          <w:rFonts w:asciiTheme="minorHAnsi" w:hAnsiTheme="minorHAnsi"/>
          <w:color w:val="000000" w:themeColor="text1"/>
        </w:rPr>
        <w:fldChar w:fldCharType="end"/>
      </w:r>
      <w:r w:rsidR="00966821" w:rsidRPr="00DE5FDC">
        <w:rPr>
          <w:rFonts w:asciiTheme="minorHAnsi" w:hAnsiTheme="minorHAnsi"/>
          <w:color w:val="000000" w:themeColor="text1"/>
        </w:rPr>
        <w:t>)</w:t>
      </w:r>
      <w:r w:rsidRPr="00DE5FDC">
        <w:rPr>
          <w:rFonts w:asciiTheme="minorHAnsi" w:hAnsiTheme="minorHAnsi"/>
          <w:color w:val="000000" w:themeColor="text1"/>
        </w:rPr>
        <w:t xml:space="preserve">. Caution is warranted when combining multiple QT prolonging TB drugs; however, </w:t>
      </w:r>
      <w:r w:rsidR="00935ABB" w:rsidRPr="00DE5FDC">
        <w:rPr>
          <w:rFonts w:asciiTheme="minorHAnsi" w:hAnsiTheme="minorHAnsi"/>
          <w:color w:val="000000" w:themeColor="text1"/>
        </w:rPr>
        <w:t xml:space="preserve">in practice, this </w:t>
      </w:r>
      <w:r w:rsidRPr="00DE5FDC">
        <w:rPr>
          <w:rFonts w:asciiTheme="minorHAnsi" w:hAnsiTheme="minorHAnsi"/>
          <w:color w:val="000000" w:themeColor="text1"/>
        </w:rPr>
        <w:t>is often done if the benefit of a stronger regimen is determined to outweigh the risk</w:t>
      </w:r>
      <w:r w:rsidR="00935ABB" w:rsidRPr="00DE5FDC">
        <w:rPr>
          <w:rFonts w:asciiTheme="minorHAnsi" w:hAnsiTheme="minorHAnsi"/>
          <w:color w:val="000000" w:themeColor="text1"/>
        </w:rPr>
        <w:t xml:space="preserve"> of QT prolongation in a well monitored patient</w:t>
      </w:r>
      <w:r w:rsidRPr="00DE5FDC">
        <w:rPr>
          <w:rFonts w:asciiTheme="minorHAnsi" w:hAnsiTheme="minorHAnsi"/>
          <w:color w:val="000000" w:themeColor="text1"/>
        </w:rPr>
        <w:t xml:space="preserve">. ECG monitoring </w:t>
      </w:r>
      <w:r w:rsidR="00935ABB" w:rsidRPr="00DE5FDC">
        <w:rPr>
          <w:rFonts w:asciiTheme="minorHAnsi" w:hAnsiTheme="minorHAnsi"/>
          <w:color w:val="000000" w:themeColor="text1"/>
        </w:rPr>
        <w:t>should be performed</w:t>
      </w:r>
      <w:r w:rsidRPr="00DE5FDC">
        <w:rPr>
          <w:rFonts w:asciiTheme="minorHAnsi" w:hAnsiTheme="minorHAnsi"/>
          <w:color w:val="000000" w:themeColor="text1"/>
        </w:rPr>
        <w:t xml:space="preserve"> when multiple QT-prolonging drugs are used </w:t>
      </w:r>
      <w:r w:rsidR="00517274" w:rsidRPr="00DE5FDC">
        <w:rPr>
          <w:rFonts w:asciiTheme="minorHAnsi" w:hAnsiTheme="minorHAnsi"/>
          <w:color w:val="000000" w:themeColor="text1"/>
        </w:rPr>
        <w:t>together</w:t>
      </w:r>
      <w:r w:rsidR="004E3F8C" w:rsidRPr="00DE5FDC">
        <w:rPr>
          <w:rFonts w:asciiTheme="minorHAnsi" w:hAnsiTheme="minorHAnsi"/>
          <w:color w:val="000000" w:themeColor="text1"/>
        </w:rPr>
        <w:t>. The</w:t>
      </w:r>
      <w:r w:rsidR="00517274" w:rsidRPr="00DE5FDC">
        <w:rPr>
          <w:rFonts w:asciiTheme="minorHAnsi" w:hAnsiTheme="minorHAnsi"/>
          <w:color w:val="000000" w:themeColor="text1"/>
        </w:rPr>
        <w:t xml:space="preserve"> </w:t>
      </w:r>
      <w:r w:rsidR="004E3F8C" w:rsidRPr="00DE5FDC">
        <w:rPr>
          <w:rFonts w:asciiTheme="minorHAnsi" w:hAnsiTheme="minorHAnsi"/>
          <w:color w:val="000000" w:themeColor="text1"/>
        </w:rPr>
        <w:t>monitoring schedule for ECGs is provided in</w:t>
      </w:r>
      <w:r w:rsidRPr="00DE5FDC">
        <w:rPr>
          <w:rFonts w:asciiTheme="minorHAnsi" w:hAnsiTheme="minorHAnsi"/>
          <w:color w:val="000000" w:themeColor="text1"/>
        </w:rPr>
        <w:t xml:space="preserve"> </w:t>
      </w:r>
      <w:r w:rsidR="008A3B0B" w:rsidRPr="00DE5FDC">
        <w:rPr>
          <w:rFonts w:asciiTheme="minorHAnsi" w:hAnsiTheme="minorHAnsi" w:cstheme="minorHAnsi"/>
          <w:color w:val="000000" w:themeColor="text1"/>
        </w:rPr>
        <w:fldChar w:fldCharType="begin"/>
      </w:r>
      <w:r w:rsidR="008A3B0B" w:rsidRPr="00DE5FDC">
        <w:rPr>
          <w:rFonts w:asciiTheme="minorHAnsi" w:hAnsiTheme="minorHAnsi" w:cstheme="minorHAnsi"/>
          <w:color w:val="000000" w:themeColor="text1"/>
        </w:rPr>
        <w:instrText xml:space="preserve"> REF _Ref12965635 \h  \* MERGEFORMAT </w:instrText>
      </w:r>
      <w:r w:rsidR="008A3B0B" w:rsidRPr="00DE5FDC">
        <w:rPr>
          <w:rFonts w:asciiTheme="minorHAnsi" w:hAnsiTheme="minorHAnsi" w:cstheme="minorHAnsi"/>
          <w:color w:val="000000" w:themeColor="text1"/>
        </w:rPr>
      </w:r>
      <w:r w:rsidR="008A3B0B" w:rsidRPr="00DE5FDC">
        <w:rPr>
          <w:rFonts w:asciiTheme="minorHAnsi" w:hAnsiTheme="minorHAnsi" w:cstheme="minorHAnsi"/>
          <w:color w:val="000000" w:themeColor="text1"/>
        </w:rPr>
        <w:fldChar w:fldCharType="separate"/>
      </w:r>
      <w:r w:rsidR="008A3B0B" w:rsidRPr="00DE5FDC">
        <w:rPr>
          <w:rFonts w:asciiTheme="minorHAnsi" w:hAnsiTheme="minorHAnsi" w:cstheme="minorHAnsi"/>
        </w:rPr>
        <w:t>Table 11.</w:t>
      </w:r>
      <w:r w:rsidR="008A3B0B" w:rsidRPr="00DE5FDC">
        <w:rPr>
          <w:rFonts w:asciiTheme="minorHAnsi" w:hAnsiTheme="minorHAnsi" w:cstheme="minorHAnsi"/>
          <w:color w:val="000000" w:themeColor="text1"/>
        </w:rPr>
        <w:fldChar w:fldCharType="end"/>
      </w:r>
    </w:p>
    <w:p w14:paraId="4E0916FA" w14:textId="639E0910" w:rsidR="000704BB" w:rsidRPr="00DE5FDC" w:rsidRDefault="000704BB" w:rsidP="000704BB">
      <w:pPr>
        <w:pStyle w:val="BodyText"/>
        <w:spacing w:after="0"/>
        <w:ind w:left="720"/>
        <w:contextualSpacing/>
        <w:rPr>
          <w:rFonts w:asciiTheme="minorHAnsi" w:hAnsiTheme="minorHAnsi"/>
          <w:color w:val="000000" w:themeColor="text1"/>
        </w:rPr>
      </w:pPr>
      <w:r w:rsidRPr="00DE5FDC">
        <w:rPr>
          <w:rFonts w:asciiTheme="minorHAnsi" w:hAnsiTheme="minorHAnsi"/>
          <w:color w:val="000000" w:themeColor="text1"/>
        </w:rPr>
        <w:t xml:space="preserve">Bedaquiline can also cause hepatotoxicity. </w:t>
      </w:r>
      <w:r w:rsidR="00517274" w:rsidRPr="00DE5FDC">
        <w:rPr>
          <w:rFonts w:asciiTheme="minorHAnsi" w:hAnsiTheme="minorHAnsi"/>
          <w:color w:val="000000" w:themeColor="text1"/>
        </w:rPr>
        <w:t xml:space="preserve">Physicians should avoid using </w:t>
      </w:r>
      <w:r w:rsidRPr="00DE5FDC">
        <w:rPr>
          <w:rFonts w:asciiTheme="minorHAnsi" w:hAnsiTheme="minorHAnsi"/>
          <w:color w:val="000000" w:themeColor="text1"/>
        </w:rPr>
        <w:t xml:space="preserve">bedaquiline in patients with </w:t>
      </w:r>
      <w:r w:rsidR="00517274" w:rsidRPr="00DE5FDC">
        <w:rPr>
          <w:rFonts w:asciiTheme="minorHAnsi" w:hAnsiTheme="minorHAnsi"/>
          <w:color w:val="000000" w:themeColor="text1"/>
        </w:rPr>
        <w:t xml:space="preserve">pre-existing </w:t>
      </w:r>
      <w:r w:rsidRPr="00DE5FDC">
        <w:rPr>
          <w:rFonts w:asciiTheme="minorHAnsi" w:hAnsiTheme="minorHAnsi"/>
          <w:color w:val="000000" w:themeColor="text1"/>
        </w:rPr>
        <w:t xml:space="preserve">severe hepatic impairment. This is not an absolute contraindication as the benefit of using bedaquiline in </w:t>
      </w:r>
      <w:r w:rsidR="001C4430" w:rsidRPr="00DE5FDC">
        <w:rPr>
          <w:rFonts w:asciiTheme="minorHAnsi" w:hAnsiTheme="minorHAnsi"/>
          <w:color w:val="000000" w:themeColor="text1"/>
        </w:rPr>
        <w:t xml:space="preserve">a </w:t>
      </w:r>
      <w:r w:rsidRPr="00DE5FDC">
        <w:rPr>
          <w:rFonts w:asciiTheme="minorHAnsi" w:hAnsiTheme="minorHAnsi"/>
          <w:color w:val="000000" w:themeColor="text1"/>
        </w:rPr>
        <w:t xml:space="preserve">patient </w:t>
      </w:r>
      <w:r w:rsidR="004A0EF8" w:rsidRPr="00DE5FDC">
        <w:rPr>
          <w:rFonts w:asciiTheme="minorHAnsi" w:hAnsiTheme="minorHAnsi"/>
          <w:color w:val="000000" w:themeColor="text1"/>
        </w:rPr>
        <w:t xml:space="preserve">with severe </w:t>
      </w:r>
      <w:r w:rsidR="00661D1C" w:rsidRPr="00DE5FDC">
        <w:rPr>
          <w:rFonts w:asciiTheme="minorHAnsi" w:hAnsiTheme="minorHAnsi"/>
          <w:color w:val="000000" w:themeColor="text1"/>
        </w:rPr>
        <w:t xml:space="preserve">TB </w:t>
      </w:r>
      <w:r w:rsidR="00935ABB" w:rsidRPr="00DE5FDC">
        <w:rPr>
          <w:rFonts w:asciiTheme="minorHAnsi" w:hAnsiTheme="minorHAnsi"/>
          <w:color w:val="000000" w:themeColor="text1"/>
        </w:rPr>
        <w:t>disease</w:t>
      </w:r>
      <w:r w:rsidR="004A0EF8" w:rsidRPr="00DE5FDC">
        <w:rPr>
          <w:rFonts w:asciiTheme="minorHAnsi" w:hAnsiTheme="minorHAnsi"/>
          <w:color w:val="000000" w:themeColor="text1"/>
        </w:rPr>
        <w:t xml:space="preserve"> </w:t>
      </w:r>
      <w:r w:rsidRPr="00DE5FDC">
        <w:rPr>
          <w:rFonts w:asciiTheme="minorHAnsi" w:hAnsiTheme="minorHAnsi"/>
          <w:color w:val="000000" w:themeColor="text1"/>
        </w:rPr>
        <w:t xml:space="preserve">may outweigh the increased risk of hepatotoxicity, even with severe hepatic impairment. </w:t>
      </w:r>
      <w:r w:rsidR="007117A7" w:rsidRPr="00DE5FDC">
        <w:rPr>
          <w:rFonts w:asciiTheme="minorHAnsi" w:hAnsiTheme="minorHAnsi"/>
          <w:color w:val="000000" w:themeColor="text1"/>
        </w:rPr>
        <w:t>H</w:t>
      </w:r>
      <w:r w:rsidRPr="00DE5FDC">
        <w:rPr>
          <w:rFonts w:asciiTheme="minorHAnsi" w:hAnsiTheme="minorHAnsi"/>
          <w:color w:val="000000" w:themeColor="text1"/>
        </w:rPr>
        <w:t xml:space="preserve">epatotoxicity is often reversible if caught early and can be monitored with regular testing for </w:t>
      </w:r>
      <w:r w:rsidR="007117A7" w:rsidRPr="00DE5FDC">
        <w:rPr>
          <w:rFonts w:asciiTheme="minorHAnsi" w:hAnsiTheme="minorHAnsi"/>
          <w:color w:val="000000" w:themeColor="text1"/>
        </w:rPr>
        <w:t>an increase</w:t>
      </w:r>
      <w:r w:rsidRPr="00DE5FDC">
        <w:rPr>
          <w:rFonts w:asciiTheme="minorHAnsi" w:hAnsiTheme="minorHAnsi"/>
          <w:color w:val="000000" w:themeColor="text1"/>
        </w:rPr>
        <w:t xml:space="preserve"> in serum liver enzyme</w:t>
      </w:r>
      <w:r w:rsidRPr="00DE5FDC">
        <w:rPr>
          <w:rFonts w:asciiTheme="minorHAnsi" w:hAnsiTheme="minorHAnsi" w:cstheme="minorHAnsi"/>
          <w:color w:val="000000" w:themeColor="text1"/>
        </w:rPr>
        <w:t xml:space="preserve">s (see </w:t>
      </w:r>
      <w:r w:rsidR="0084205B" w:rsidRPr="00DE5FDC">
        <w:rPr>
          <w:rFonts w:asciiTheme="minorHAnsi" w:hAnsiTheme="minorHAnsi" w:cstheme="minorHAnsi"/>
          <w:color w:val="000000" w:themeColor="text1"/>
        </w:rPr>
        <w:fldChar w:fldCharType="begin"/>
      </w:r>
      <w:r w:rsidR="0084205B" w:rsidRPr="00DE5FDC">
        <w:rPr>
          <w:rFonts w:asciiTheme="minorHAnsi" w:hAnsiTheme="minorHAnsi" w:cstheme="minorHAnsi"/>
          <w:color w:val="000000" w:themeColor="text1"/>
        </w:rPr>
        <w:instrText xml:space="preserve"> REF _Ref12888243 \h  \* MERGEFORMAT </w:instrText>
      </w:r>
      <w:r w:rsidR="0084205B" w:rsidRPr="00DE5FDC">
        <w:rPr>
          <w:rFonts w:asciiTheme="minorHAnsi" w:hAnsiTheme="minorHAnsi" w:cstheme="minorHAnsi"/>
          <w:color w:val="000000" w:themeColor="text1"/>
        </w:rPr>
      </w:r>
      <w:r w:rsidR="0084205B" w:rsidRPr="00DE5FDC">
        <w:rPr>
          <w:rFonts w:asciiTheme="minorHAnsi" w:hAnsiTheme="minorHAnsi" w:cstheme="minorHAnsi"/>
          <w:color w:val="000000" w:themeColor="text1"/>
        </w:rPr>
        <w:fldChar w:fldCharType="separate"/>
      </w:r>
      <w:r w:rsidR="0084205B" w:rsidRPr="00DE5FDC">
        <w:rPr>
          <w:rFonts w:asciiTheme="minorHAnsi" w:hAnsiTheme="minorHAnsi" w:cstheme="minorHAnsi"/>
        </w:rPr>
        <w:t xml:space="preserve">Table 19 </w:t>
      </w:r>
      <w:r w:rsidR="0084205B" w:rsidRPr="00DE5FDC">
        <w:rPr>
          <w:rFonts w:asciiTheme="minorHAnsi" w:hAnsiTheme="minorHAnsi" w:cstheme="minorHAnsi"/>
          <w:color w:val="000000" w:themeColor="text1"/>
        </w:rPr>
        <w:fldChar w:fldCharType="end"/>
      </w:r>
      <w:r w:rsidR="0084205B" w:rsidRPr="00DE5FDC">
        <w:rPr>
          <w:rFonts w:asciiTheme="minorHAnsi" w:hAnsiTheme="minorHAnsi" w:cstheme="minorHAnsi"/>
          <w:color w:val="000000" w:themeColor="text1"/>
        </w:rPr>
        <w:t>).</w:t>
      </w:r>
    </w:p>
    <w:p w14:paraId="4DC3649D" w14:textId="77777777" w:rsidR="000704BB" w:rsidRPr="00DE5FDC" w:rsidRDefault="000704BB" w:rsidP="000704BB">
      <w:pPr>
        <w:pStyle w:val="BodyText"/>
        <w:spacing w:after="0"/>
        <w:contextualSpacing/>
        <w:rPr>
          <w:rFonts w:asciiTheme="minorHAnsi" w:hAnsiTheme="minorHAnsi"/>
          <w:color w:val="000000" w:themeColor="text1"/>
        </w:rPr>
      </w:pPr>
    </w:p>
    <w:p w14:paraId="5BF7B52C" w14:textId="19DCB335" w:rsidR="000704BB" w:rsidRPr="00DE5FDC" w:rsidRDefault="000704BB" w:rsidP="000704BB">
      <w:pPr>
        <w:pStyle w:val="BodyText"/>
        <w:spacing w:after="0"/>
        <w:ind w:left="720"/>
        <w:rPr>
          <w:rFonts w:asciiTheme="minorHAnsi" w:hAnsiTheme="minorHAnsi"/>
          <w:color w:val="000000" w:themeColor="text1"/>
        </w:rPr>
      </w:pPr>
      <w:r w:rsidRPr="00DE5FDC">
        <w:rPr>
          <w:rFonts w:asciiTheme="minorHAnsi" w:hAnsiTheme="minorHAnsi"/>
          <w:b/>
          <w:color w:val="000000" w:themeColor="text1"/>
        </w:rPr>
        <w:t>Linezolid</w:t>
      </w:r>
      <w:r w:rsidRPr="00DE5FDC">
        <w:rPr>
          <w:rFonts w:asciiTheme="minorHAnsi" w:hAnsiTheme="minorHAnsi"/>
          <w:color w:val="000000" w:themeColor="text1"/>
        </w:rPr>
        <w:t xml:space="preserve">: Linezolid is a broad-spectrum antibiotic in the oxazolidinone drug class. Linezolid has excellent activity against TB. Among the Group A drugs, linezolid has the </w:t>
      </w:r>
      <w:r w:rsidR="007117A7" w:rsidRPr="00DE5FDC">
        <w:rPr>
          <w:rFonts w:asciiTheme="minorHAnsi" w:hAnsiTheme="minorHAnsi"/>
          <w:color w:val="000000" w:themeColor="text1"/>
        </w:rPr>
        <w:t xml:space="preserve">most </w:t>
      </w:r>
      <w:r w:rsidRPr="00DE5FDC">
        <w:rPr>
          <w:rFonts w:asciiTheme="minorHAnsi" w:hAnsiTheme="minorHAnsi"/>
          <w:color w:val="000000" w:themeColor="text1"/>
        </w:rPr>
        <w:t xml:space="preserve">safety </w:t>
      </w:r>
      <w:r w:rsidR="007117A7" w:rsidRPr="00DE5FDC">
        <w:rPr>
          <w:rFonts w:asciiTheme="minorHAnsi" w:hAnsiTheme="minorHAnsi"/>
          <w:color w:val="000000" w:themeColor="text1"/>
        </w:rPr>
        <w:t>concerns</w:t>
      </w:r>
      <w:r w:rsidRPr="00DE5FDC">
        <w:rPr>
          <w:rFonts w:asciiTheme="minorHAnsi" w:hAnsiTheme="minorHAnsi"/>
          <w:color w:val="000000" w:themeColor="text1"/>
        </w:rPr>
        <w:t xml:space="preserve">. The </w:t>
      </w:r>
      <w:r w:rsidR="009D4656" w:rsidRPr="00DE5FDC">
        <w:rPr>
          <w:rFonts w:asciiTheme="minorHAnsi" w:hAnsiTheme="minorHAnsi"/>
          <w:color w:val="000000" w:themeColor="text1"/>
        </w:rPr>
        <w:t xml:space="preserve">most </w:t>
      </w:r>
      <w:r w:rsidRPr="00DE5FDC">
        <w:rPr>
          <w:rFonts w:asciiTheme="minorHAnsi" w:hAnsiTheme="minorHAnsi"/>
          <w:color w:val="000000" w:themeColor="text1"/>
        </w:rPr>
        <w:t xml:space="preserve">serious </w:t>
      </w:r>
      <w:r w:rsidR="00DB66D3" w:rsidRPr="00DE5FDC">
        <w:rPr>
          <w:rFonts w:asciiTheme="minorHAnsi" w:hAnsiTheme="minorHAnsi"/>
          <w:color w:val="000000" w:themeColor="text1"/>
        </w:rPr>
        <w:t xml:space="preserve">adverse </w:t>
      </w:r>
      <w:r w:rsidRPr="00DE5FDC">
        <w:rPr>
          <w:rFonts w:asciiTheme="minorHAnsi" w:hAnsiTheme="minorHAnsi"/>
          <w:color w:val="000000" w:themeColor="text1"/>
        </w:rPr>
        <w:t>effects of linezolid include peripheral neuropathy (which can be permanent if not caught early), blindness secondary to optic neuritis</w:t>
      </w:r>
      <w:r w:rsidR="004A0EF8" w:rsidRPr="00DE5FDC">
        <w:rPr>
          <w:rFonts w:asciiTheme="minorHAnsi" w:hAnsiTheme="minorHAnsi"/>
          <w:color w:val="000000" w:themeColor="text1"/>
        </w:rPr>
        <w:t xml:space="preserve"> (which also can be </w:t>
      </w:r>
      <w:r w:rsidR="004A0EF8" w:rsidRPr="00DE5FDC">
        <w:rPr>
          <w:rFonts w:asciiTheme="minorHAnsi" w:hAnsiTheme="minorHAnsi"/>
          <w:color w:val="000000" w:themeColor="text1"/>
        </w:rPr>
        <w:lastRenderedPageBreak/>
        <w:t>permanent if not caught early)</w:t>
      </w:r>
      <w:r w:rsidRPr="00DE5FDC">
        <w:rPr>
          <w:rFonts w:asciiTheme="minorHAnsi" w:hAnsiTheme="minorHAnsi"/>
          <w:color w:val="000000" w:themeColor="text1"/>
        </w:rPr>
        <w:t xml:space="preserve"> and severe myelosuppression. </w:t>
      </w:r>
      <w:r w:rsidR="007117A7" w:rsidRPr="00DE5FDC">
        <w:rPr>
          <w:rFonts w:asciiTheme="minorHAnsi" w:hAnsiTheme="minorHAnsi"/>
          <w:color w:val="000000" w:themeColor="text1"/>
        </w:rPr>
        <w:t xml:space="preserve">These adverse events are </w:t>
      </w:r>
      <w:r w:rsidRPr="00DE5FDC">
        <w:rPr>
          <w:rFonts w:asciiTheme="minorHAnsi" w:hAnsiTheme="minorHAnsi"/>
          <w:color w:val="000000" w:themeColor="text1"/>
        </w:rPr>
        <w:t xml:space="preserve"> well-documented </w:t>
      </w:r>
      <w:r w:rsidR="007117A7" w:rsidRPr="00DE5FDC">
        <w:rPr>
          <w:rFonts w:asciiTheme="minorHAnsi" w:hAnsiTheme="minorHAnsi"/>
          <w:color w:val="000000" w:themeColor="text1"/>
        </w:rPr>
        <w:t xml:space="preserve">to be </w:t>
      </w:r>
      <w:r w:rsidRPr="00DE5FDC">
        <w:rPr>
          <w:rFonts w:asciiTheme="minorHAnsi" w:hAnsiTheme="minorHAnsi"/>
          <w:color w:val="000000" w:themeColor="text1"/>
        </w:rPr>
        <w:t>dose-related adverse event profile</w:t>
      </w:r>
      <w:r w:rsidR="00E978DC" w:rsidRPr="00DE5FDC">
        <w:rPr>
          <w:rFonts w:asciiTheme="minorHAnsi" w:hAnsiTheme="minorHAnsi"/>
          <w:color w:val="000000" w:themeColor="text1"/>
        </w:rPr>
        <w:t xml:space="preserve">, </w:t>
      </w:r>
      <w:r w:rsidRPr="00DE5FDC">
        <w:rPr>
          <w:rFonts w:asciiTheme="minorHAnsi" w:hAnsiTheme="minorHAnsi"/>
          <w:color w:val="000000" w:themeColor="text1"/>
        </w:rPr>
        <w:t xml:space="preserve">which means the longer one uses linezolid the higher the risk of experiencing a serious </w:t>
      </w:r>
      <w:r w:rsidR="00DB66D3" w:rsidRPr="00DE5FDC">
        <w:rPr>
          <w:rFonts w:asciiTheme="minorHAnsi" w:hAnsiTheme="minorHAnsi"/>
          <w:color w:val="000000" w:themeColor="text1"/>
        </w:rPr>
        <w:t xml:space="preserve">adverse </w:t>
      </w:r>
      <w:r w:rsidRPr="00DE5FDC">
        <w:rPr>
          <w:rFonts w:asciiTheme="minorHAnsi" w:hAnsiTheme="minorHAnsi"/>
          <w:color w:val="000000" w:themeColor="text1"/>
        </w:rPr>
        <w:t>effect.</w:t>
      </w:r>
    </w:p>
    <w:p w14:paraId="48EE4688" w14:textId="77777777" w:rsidR="000704BB" w:rsidRPr="00B85017" w:rsidRDefault="000704BB" w:rsidP="000704BB">
      <w:pPr>
        <w:pStyle w:val="BodyText"/>
        <w:spacing w:after="0"/>
        <w:ind w:left="720"/>
        <w:contextualSpacing/>
        <w:rPr>
          <w:rFonts w:asciiTheme="minorHAnsi" w:hAnsiTheme="minorHAnsi"/>
          <w:color w:val="000000" w:themeColor="text1"/>
          <w:sz w:val="23"/>
          <w:szCs w:val="23"/>
        </w:rPr>
      </w:pPr>
    </w:p>
    <w:p w14:paraId="7814984F" w14:textId="5BE512F9" w:rsidR="000704BB" w:rsidRPr="00DE5FDC" w:rsidRDefault="000704BB" w:rsidP="000704BB">
      <w:pPr>
        <w:pStyle w:val="BodyText"/>
        <w:spacing w:after="0"/>
        <w:ind w:left="720"/>
        <w:contextualSpacing/>
        <w:rPr>
          <w:rFonts w:asciiTheme="minorHAnsi" w:hAnsiTheme="minorHAnsi"/>
          <w:color w:val="000000" w:themeColor="text1"/>
        </w:rPr>
      </w:pPr>
      <w:r w:rsidRPr="00DE5FDC">
        <w:rPr>
          <w:rFonts w:asciiTheme="minorHAnsi" w:hAnsiTheme="minorHAnsi"/>
          <w:color w:val="000000" w:themeColor="text1"/>
        </w:rPr>
        <w:t xml:space="preserve">Appropriate monitoring </w:t>
      </w:r>
      <w:r w:rsidR="009773AF" w:rsidRPr="00DE5FDC">
        <w:rPr>
          <w:rFonts w:asciiTheme="minorHAnsi" w:hAnsiTheme="minorHAnsi"/>
          <w:color w:val="000000" w:themeColor="text1"/>
        </w:rPr>
        <w:t xml:space="preserve">for these specific adverse events </w:t>
      </w:r>
      <w:r w:rsidRPr="00DE5FDC">
        <w:rPr>
          <w:rFonts w:asciiTheme="minorHAnsi" w:hAnsiTheme="minorHAnsi"/>
          <w:color w:val="000000" w:themeColor="text1"/>
        </w:rPr>
        <w:t>is necessary</w:t>
      </w:r>
      <w:r w:rsidR="009773AF" w:rsidRPr="00DE5FDC">
        <w:rPr>
          <w:rFonts w:asciiTheme="minorHAnsi" w:hAnsiTheme="minorHAnsi"/>
          <w:color w:val="000000" w:themeColor="text1"/>
        </w:rPr>
        <w:t>,</w:t>
      </w:r>
      <w:r w:rsidRPr="00DE5FDC">
        <w:rPr>
          <w:rFonts w:asciiTheme="minorHAnsi" w:hAnsiTheme="minorHAnsi"/>
          <w:color w:val="000000" w:themeColor="text1"/>
        </w:rPr>
        <w:t xml:space="preserve"> with reactive management that often result in dose adjustment or complete withdrawal of </w:t>
      </w:r>
      <w:r w:rsidR="00776EA6" w:rsidRPr="00DE5FDC">
        <w:rPr>
          <w:rFonts w:asciiTheme="minorHAnsi" w:hAnsiTheme="minorHAnsi"/>
          <w:color w:val="000000" w:themeColor="text1"/>
        </w:rPr>
        <w:t>linezolid</w:t>
      </w:r>
      <w:r w:rsidRPr="00DE5FDC">
        <w:rPr>
          <w:rFonts w:asciiTheme="minorHAnsi" w:hAnsiTheme="minorHAnsi"/>
          <w:color w:val="000000" w:themeColor="text1"/>
        </w:rPr>
        <w:t xml:space="preserve"> (also see </w:t>
      </w:r>
      <w:r w:rsidR="004A0EF8" w:rsidRPr="00DE5FDC">
        <w:rPr>
          <w:rFonts w:asciiTheme="minorHAnsi" w:hAnsiTheme="minorHAnsi"/>
          <w:color w:val="000000" w:themeColor="text1"/>
        </w:rPr>
        <w:t xml:space="preserve">Section </w:t>
      </w:r>
      <w:r w:rsidR="00460E9F" w:rsidRPr="00DE5FDC">
        <w:rPr>
          <w:rFonts w:asciiTheme="minorHAnsi" w:hAnsiTheme="minorHAnsi"/>
          <w:color w:val="000000" w:themeColor="text1"/>
        </w:rPr>
        <w:fldChar w:fldCharType="begin"/>
      </w:r>
      <w:r w:rsidR="00460E9F" w:rsidRPr="00DE5FDC">
        <w:rPr>
          <w:rFonts w:asciiTheme="minorHAnsi" w:hAnsiTheme="minorHAnsi"/>
          <w:color w:val="000000" w:themeColor="text1"/>
        </w:rPr>
        <w:instrText xml:space="preserve"> REF _Ref426034645 \r \h  \* MERGEFORMAT </w:instrText>
      </w:r>
      <w:r w:rsidR="00460E9F" w:rsidRPr="00DE5FDC">
        <w:rPr>
          <w:rFonts w:asciiTheme="minorHAnsi" w:hAnsiTheme="minorHAnsi"/>
          <w:color w:val="000000" w:themeColor="text1"/>
        </w:rPr>
      </w:r>
      <w:r w:rsidR="00460E9F" w:rsidRPr="00DE5FDC">
        <w:rPr>
          <w:rFonts w:asciiTheme="minorHAnsi" w:hAnsiTheme="minorHAnsi"/>
          <w:color w:val="000000" w:themeColor="text1"/>
        </w:rPr>
        <w:fldChar w:fldCharType="separate"/>
      </w:r>
      <w:r w:rsidR="00460E9F" w:rsidRPr="00DE5FDC">
        <w:rPr>
          <w:rFonts w:asciiTheme="minorHAnsi" w:hAnsiTheme="minorHAnsi"/>
          <w:color w:val="000000" w:themeColor="text1"/>
        </w:rPr>
        <w:t>7.3</w:t>
      </w:r>
      <w:r w:rsidR="00460E9F" w:rsidRPr="00DE5FDC">
        <w:rPr>
          <w:rFonts w:asciiTheme="minorHAnsi" w:hAnsiTheme="minorHAnsi"/>
          <w:color w:val="000000" w:themeColor="text1"/>
        </w:rPr>
        <w:fldChar w:fldCharType="end"/>
      </w:r>
      <w:r w:rsidRPr="00DE5FDC">
        <w:rPr>
          <w:rFonts w:asciiTheme="minorHAnsi" w:hAnsiTheme="minorHAnsi"/>
          <w:color w:val="000000" w:themeColor="text1"/>
        </w:rPr>
        <w:t xml:space="preserve"> on managing adverse events). Given the adverse event profile of linezolid, </w:t>
      </w:r>
      <w:r w:rsidR="00E41477" w:rsidRPr="00DE5FDC">
        <w:rPr>
          <w:rFonts w:asciiTheme="minorHAnsi" w:hAnsiTheme="minorHAnsi"/>
          <w:color w:val="000000" w:themeColor="text1"/>
        </w:rPr>
        <w:t xml:space="preserve">a reasonable strategy can </w:t>
      </w:r>
      <w:r w:rsidRPr="00DE5FDC">
        <w:rPr>
          <w:rFonts w:asciiTheme="minorHAnsi" w:hAnsiTheme="minorHAnsi"/>
          <w:color w:val="000000" w:themeColor="text1"/>
        </w:rPr>
        <w:t>be to routinely reduce the dose (for example</w:t>
      </w:r>
      <w:r w:rsidR="00E41477" w:rsidRPr="00DE5FDC">
        <w:rPr>
          <w:rFonts w:asciiTheme="minorHAnsi" w:hAnsiTheme="minorHAnsi"/>
          <w:color w:val="000000" w:themeColor="text1"/>
        </w:rPr>
        <w:t>,</w:t>
      </w:r>
      <w:r w:rsidRPr="00DE5FDC">
        <w:rPr>
          <w:rFonts w:asciiTheme="minorHAnsi" w:hAnsiTheme="minorHAnsi"/>
          <w:color w:val="000000" w:themeColor="text1"/>
        </w:rPr>
        <w:t xml:space="preserve"> at month 4 or month 6</w:t>
      </w:r>
      <w:r w:rsidR="00E41477" w:rsidRPr="00DE5FDC">
        <w:rPr>
          <w:rFonts w:asciiTheme="minorHAnsi" w:hAnsiTheme="minorHAnsi"/>
          <w:color w:val="000000" w:themeColor="text1"/>
        </w:rPr>
        <w:t xml:space="preserve"> </w:t>
      </w:r>
      <w:r w:rsidR="0036350C" w:rsidRPr="00DE5FDC">
        <w:rPr>
          <w:rFonts w:asciiTheme="minorHAnsi" w:hAnsiTheme="minorHAnsi"/>
          <w:color w:val="000000" w:themeColor="text1"/>
        </w:rPr>
        <w:t>of</w:t>
      </w:r>
      <w:r w:rsidR="00E41477" w:rsidRPr="00DE5FDC">
        <w:rPr>
          <w:rFonts w:asciiTheme="minorHAnsi" w:hAnsiTheme="minorHAnsi"/>
          <w:color w:val="000000" w:themeColor="text1"/>
        </w:rPr>
        <w:t xml:space="preserve"> treatment</w:t>
      </w:r>
      <w:r w:rsidRPr="00DE5FDC">
        <w:rPr>
          <w:rFonts w:asciiTheme="minorHAnsi" w:hAnsiTheme="minorHAnsi"/>
          <w:color w:val="000000" w:themeColor="text1"/>
        </w:rPr>
        <w:t xml:space="preserve">, </w:t>
      </w:r>
      <w:r w:rsidR="00776EA6" w:rsidRPr="00DE5FDC">
        <w:rPr>
          <w:rFonts w:asciiTheme="minorHAnsi" w:hAnsiTheme="minorHAnsi"/>
          <w:color w:val="000000" w:themeColor="text1"/>
        </w:rPr>
        <w:t xml:space="preserve">routinely </w:t>
      </w:r>
      <w:r w:rsidRPr="00DE5FDC">
        <w:rPr>
          <w:rFonts w:asciiTheme="minorHAnsi" w:hAnsiTheme="minorHAnsi"/>
          <w:color w:val="000000" w:themeColor="text1"/>
        </w:rPr>
        <w:t xml:space="preserve">decrease </w:t>
      </w:r>
      <w:r w:rsidR="0036350C" w:rsidRPr="00DE5FDC">
        <w:rPr>
          <w:rFonts w:asciiTheme="minorHAnsi" w:hAnsiTheme="minorHAnsi"/>
          <w:color w:val="000000" w:themeColor="text1"/>
        </w:rPr>
        <w:t xml:space="preserve">the dose </w:t>
      </w:r>
      <w:r w:rsidRPr="00DE5FDC">
        <w:rPr>
          <w:rFonts w:asciiTheme="minorHAnsi" w:hAnsiTheme="minorHAnsi"/>
          <w:color w:val="000000" w:themeColor="text1"/>
        </w:rPr>
        <w:t>from 600 mg daily to 300 mg daily</w:t>
      </w:r>
      <w:r w:rsidR="0036350C" w:rsidRPr="00DE5FDC">
        <w:rPr>
          <w:rFonts w:asciiTheme="minorHAnsi" w:hAnsiTheme="minorHAnsi"/>
          <w:color w:val="000000" w:themeColor="text1"/>
        </w:rPr>
        <w:t>,</w:t>
      </w:r>
      <w:r w:rsidR="00776EA6" w:rsidRPr="00DE5FDC">
        <w:rPr>
          <w:rFonts w:asciiTheme="minorHAnsi" w:hAnsiTheme="minorHAnsi"/>
          <w:color w:val="000000" w:themeColor="text1"/>
        </w:rPr>
        <w:t xml:space="preserve"> or 600 mg Monday-Wednesday-Friday</w:t>
      </w:r>
      <w:r w:rsidRPr="00DE5FDC">
        <w:rPr>
          <w:rFonts w:asciiTheme="minorHAnsi" w:hAnsiTheme="minorHAnsi"/>
          <w:color w:val="000000" w:themeColor="text1"/>
        </w:rPr>
        <w:t>) or remove it routinely from the regimen after a period of time.  Evidence is</w:t>
      </w:r>
      <w:r w:rsidR="00152EBB" w:rsidRPr="00DE5FDC">
        <w:rPr>
          <w:rFonts w:asciiTheme="minorHAnsi" w:hAnsiTheme="minorHAnsi"/>
          <w:color w:val="000000" w:themeColor="text1"/>
        </w:rPr>
        <w:t xml:space="preserve"> very</w:t>
      </w:r>
      <w:r w:rsidRPr="00DE5FDC">
        <w:rPr>
          <w:rFonts w:asciiTheme="minorHAnsi" w:hAnsiTheme="minorHAnsi"/>
          <w:color w:val="000000" w:themeColor="text1"/>
        </w:rPr>
        <w:t xml:space="preserve"> limited on routine</w:t>
      </w:r>
      <w:r w:rsidR="00152EBB" w:rsidRPr="00DE5FDC">
        <w:rPr>
          <w:rFonts w:asciiTheme="minorHAnsi" w:hAnsiTheme="minorHAnsi"/>
          <w:color w:val="000000" w:themeColor="text1"/>
        </w:rPr>
        <w:t>ly decreasing the dose or</w:t>
      </w:r>
      <w:r w:rsidRPr="00DE5FDC">
        <w:rPr>
          <w:rFonts w:asciiTheme="minorHAnsi" w:hAnsiTheme="minorHAnsi"/>
          <w:color w:val="000000" w:themeColor="text1"/>
        </w:rPr>
        <w:t xml:space="preserve"> stopping linezolid</w:t>
      </w:r>
      <w:r w:rsidR="00152EBB" w:rsidRPr="00DE5FDC">
        <w:rPr>
          <w:rFonts w:asciiTheme="minorHAnsi" w:hAnsiTheme="minorHAnsi"/>
          <w:color w:val="000000" w:themeColor="text1"/>
        </w:rPr>
        <w:t xml:space="preserve"> at a set point in time</w:t>
      </w:r>
      <w:r w:rsidRPr="00DE5FDC">
        <w:rPr>
          <w:rFonts w:asciiTheme="minorHAnsi" w:hAnsiTheme="minorHAnsi"/>
          <w:color w:val="000000" w:themeColor="text1"/>
        </w:rPr>
        <w:t>. The more common strategy used by the authors of this guide is to reduce the dose or stop it if intolerance develops</w:t>
      </w:r>
      <w:r w:rsidR="00262663" w:rsidRPr="00DE5FDC">
        <w:rPr>
          <w:rFonts w:asciiTheme="minorHAnsi" w:hAnsiTheme="minorHAnsi"/>
          <w:color w:val="000000" w:themeColor="text1"/>
        </w:rPr>
        <w:t xml:space="preserve"> (</w:t>
      </w:r>
      <w:r w:rsidR="003E6376" w:rsidRPr="00DE5FDC">
        <w:rPr>
          <w:rFonts w:asciiTheme="minorHAnsi" w:hAnsiTheme="minorHAnsi"/>
          <w:color w:val="000000" w:themeColor="text1"/>
        </w:rPr>
        <w:t xml:space="preserve">see Section </w:t>
      </w:r>
      <w:r w:rsidR="003E6376" w:rsidRPr="00DE5FDC">
        <w:rPr>
          <w:rFonts w:asciiTheme="minorHAnsi" w:hAnsiTheme="minorHAnsi"/>
          <w:color w:val="000000" w:themeColor="text1"/>
        </w:rPr>
        <w:fldChar w:fldCharType="begin"/>
      </w:r>
      <w:r w:rsidR="003E6376" w:rsidRPr="00DE5FDC">
        <w:rPr>
          <w:rFonts w:asciiTheme="minorHAnsi" w:hAnsiTheme="minorHAnsi"/>
          <w:color w:val="000000" w:themeColor="text1"/>
        </w:rPr>
        <w:instrText xml:space="preserve"> REF _Ref426034645 \r \h  \* MERGEFORMAT </w:instrText>
      </w:r>
      <w:r w:rsidR="003E6376" w:rsidRPr="00DE5FDC">
        <w:rPr>
          <w:rFonts w:asciiTheme="minorHAnsi" w:hAnsiTheme="minorHAnsi"/>
          <w:color w:val="000000" w:themeColor="text1"/>
        </w:rPr>
      </w:r>
      <w:r w:rsidR="003E6376" w:rsidRPr="00DE5FDC">
        <w:rPr>
          <w:rFonts w:asciiTheme="minorHAnsi" w:hAnsiTheme="minorHAnsi"/>
          <w:color w:val="000000" w:themeColor="text1"/>
        </w:rPr>
        <w:fldChar w:fldCharType="separate"/>
      </w:r>
      <w:r w:rsidR="003E6376" w:rsidRPr="00DE5FDC">
        <w:rPr>
          <w:rFonts w:asciiTheme="minorHAnsi" w:hAnsiTheme="minorHAnsi"/>
          <w:color w:val="000000" w:themeColor="text1"/>
        </w:rPr>
        <w:t>7.3</w:t>
      </w:r>
      <w:r w:rsidR="003E6376" w:rsidRPr="00DE5FDC">
        <w:rPr>
          <w:rFonts w:asciiTheme="minorHAnsi" w:hAnsiTheme="minorHAnsi"/>
          <w:color w:val="000000" w:themeColor="text1"/>
        </w:rPr>
        <w:fldChar w:fldCharType="end"/>
      </w:r>
      <w:r w:rsidRPr="00DE5FDC">
        <w:rPr>
          <w:rFonts w:asciiTheme="minorHAnsi" w:hAnsiTheme="minorHAnsi"/>
          <w:color w:val="000000" w:themeColor="text1"/>
        </w:rPr>
        <w:t xml:space="preserve"> for management of side-effects</w:t>
      </w:r>
      <w:r w:rsidR="00262663" w:rsidRPr="00DE5FDC">
        <w:rPr>
          <w:rFonts w:asciiTheme="minorHAnsi" w:hAnsiTheme="minorHAnsi"/>
          <w:color w:val="000000" w:themeColor="text1"/>
        </w:rPr>
        <w:t>)</w:t>
      </w:r>
      <w:r w:rsidRPr="00DE5FDC">
        <w:rPr>
          <w:rFonts w:asciiTheme="minorHAnsi" w:hAnsiTheme="minorHAnsi"/>
          <w:color w:val="000000" w:themeColor="text1"/>
        </w:rPr>
        <w:t>.  The drug should not be used if regular</w:t>
      </w:r>
      <w:r w:rsidR="00160094" w:rsidRPr="00DE5FDC">
        <w:rPr>
          <w:rFonts w:asciiTheme="minorHAnsi" w:hAnsiTheme="minorHAnsi"/>
          <w:color w:val="000000" w:themeColor="text1"/>
        </w:rPr>
        <w:t xml:space="preserve"> </w:t>
      </w:r>
      <w:r w:rsidRPr="00DE5FDC">
        <w:rPr>
          <w:rFonts w:asciiTheme="minorHAnsi" w:hAnsiTheme="minorHAnsi"/>
          <w:color w:val="000000" w:themeColor="text1"/>
        </w:rPr>
        <w:t>monitor</w:t>
      </w:r>
      <w:r w:rsidR="00160094" w:rsidRPr="00DE5FDC">
        <w:rPr>
          <w:rFonts w:asciiTheme="minorHAnsi" w:hAnsiTheme="minorHAnsi"/>
          <w:color w:val="000000" w:themeColor="text1"/>
        </w:rPr>
        <w:t>ing</w:t>
      </w:r>
      <w:r w:rsidRPr="00DE5FDC">
        <w:rPr>
          <w:rFonts w:asciiTheme="minorHAnsi" w:hAnsiTheme="minorHAnsi"/>
          <w:color w:val="000000" w:themeColor="text1"/>
        </w:rPr>
        <w:t xml:space="preserve"> for the development of peripheral neuropathy, optic neuritis and myelosuppression </w:t>
      </w:r>
      <w:r w:rsidR="00160094" w:rsidRPr="00DE5FDC">
        <w:rPr>
          <w:rFonts w:asciiTheme="minorHAnsi" w:hAnsiTheme="minorHAnsi"/>
          <w:color w:val="000000" w:themeColor="text1"/>
        </w:rPr>
        <w:t>is not possible</w:t>
      </w:r>
      <w:r w:rsidRPr="00DE5FDC">
        <w:rPr>
          <w:rFonts w:asciiTheme="minorHAnsi" w:hAnsiTheme="minorHAnsi"/>
          <w:color w:val="000000" w:themeColor="text1"/>
        </w:rPr>
        <w:t>.</w:t>
      </w:r>
      <w:r w:rsidR="00E77004" w:rsidRPr="00DE5FDC">
        <w:rPr>
          <w:rFonts w:asciiTheme="minorHAnsi" w:hAnsiTheme="minorHAnsi"/>
          <w:color w:val="000000" w:themeColor="text1"/>
        </w:rPr>
        <w:t xml:space="preserve"> </w:t>
      </w:r>
      <w:r w:rsidR="00E77004" w:rsidRPr="00DE5FDC">
        <w:rPr>
          <w:rFonts w:asciiTheme="minorHAnsi" w:hAnsiTheme="minorHAnsi" w:cstheme="minorHAnsi"/>
          <w:color w:val="000000" w:themeColor="text1"/>
        </w:rPr>
        <w:t>S</w:t>
      </w:r>
      <w:r w:rsidRPr="00DE5FDC">
        <w:rPr>
          <w:rFonts w:asciiTheme="minorHAnsi" w:hAnsiTheme="minorHAnsi" w:cstheme="minorHAnsi"/>
          <w:color w:val="000000" w:themeColor="text1"/>
        </w:rPr>
        <w:t>ee</w:t>
      </w:r>
      <w:r w:rsidR="008D41D1" w:rsidRPr="00DE5FDC">
        <w:rPr>
          <w:rFonts w:asciiTheme="minorHAnsi" w:hAnsiTheme="minorHAnsi" w:cstheme="minorHAnsi"/>
          <w:color w:val="000000" w:themeColor="text1"/>
        </w:rPr>
        <w:t xml:space="preserve"> </w:t>
      </w:r>
      <w:r w:rsidR="008D41D1" w:rsidRPr="00DE5FDC">
        <w:rPr>
          <w:rFonts w:asciiTheme="minorHAnsi" w:hAnsiTheme="minorHAnsi" w:cstheme="minorHAnsi"/>
          <w:color w:val="000000" w:themeColor="text1"/>
        </w:rPr>
        <w:fldChar w:fldCharType="begin"/>
      </w:r>
      <w:r w:rsidR="008D41D1" w:rsidRPr="00DE5FDC">
        <w:rPr>
          <w:rFonts w:asciiTheme="minorHAnsi" w:hAnsiTheme="minorHAnsi" w:cstheme="minorHAnsi"/>
          <w:color w:val="000000" w:themeColor="text1"/>
        </w:rPr>
        <w:instrText xml:space="preserve"> REF _Ref12888538 \h  \* MERGEFORMAT </w:instrText>
      </w:r>
      <w:r w:rsidR="008D41D1" w:rsidRPr="00DE5FDC">
        <w:rPr>
          <w:rFonts w:asciiTheme="minorHAnsi" w:hAnsiTheme="minorHAnsi" w:cstheme="minorHAnsi"/>
          <w:color w:val="000000" w:themeColor="text1"/>
        </w:rPr>
      </w:r>
      <w:r w:rsidR="008D41D1" w:rsidRPr="00DE5FDC">
        <w:rPr>
          <w:rFonts w:asciiTheme="minorHAnsi" w:hAnsiTheme="minorHAnsi" w:cstheme="minorHAnsi"/>
          <w:color w:val="000000" w:themeColor="text1"/>
        </w:rPr>
        <w:fldChar w:fldCharType="separate"/>
      </w:r>
      <w:r w:rsidR="008D41D1" w:rsidRPr="00DE5FDC">
        <w:rPr>
          <w:rFonts w:asciiTheme="minorHAnsi" w:hAnsiTheme="minorHAnsi" w:cstheme="minorHAnsi"/>
        </w:rPr>
        <w:t>Table 11</w:t>
      </w:r>
      <w:r w:rsidR="008D41D1" w:rsidRPr="00DE5FDC">
        <w:t xml:space="preserve"> </w:t>
      </w:r>
      <w:r w:rsidR="008D41D1" w:rsidRPr="00DE5FDC">
        <w:rPr>
          <w:rFonts w:asciiTheme="minorHAnsi" w:hAnsiTheme="minorHAnsi"/>
          <w:color w:val="000000" w:themeColor="text1"/>
        </w:rPr>
        <w:fldChar w:fldCharType="end"/>
      </w:r>
      <w:r w:rsidR="00152EBB" w:rsidRPr="00DE5FDC">
        <w:rPr>
          <w:rFonts w:asciiTheme="minorHAnsi" w:hAnsiTheme="minorHAnsi"/>
          <w:color w:val="000000" w:themeColor="text1"/>
        </w:rPr>
        <w:t xml:space="preserve"> for</w:t>
      </w:r>
      <w:r w:rsidRPr="00DE5FDC">
        <w:rPr>
          <w:rFonts w:asciiTheme="minorHAnsi" w:hAnsiTheme="minorHAnsi"/>
          <w:color w:val="000000" w:themeColor="text1"/>
        </w:rPr>
        <w:t xml:space="preserve"> routine monitoring and follow-up of MDR-TB patients. </w:t>
      </w:r>
    </w:p>
    <w:p w14:paraId="05559522" w14:textId="3F46E0CD" w:rsidR="00897964" w:rsidRPr="00DE5FDC" w:rsidRDefault="00897964" w:rsidP="000704BB">
      <w:pPr>
        <w:pStyle w:val="BodyText"/>
        <w:spacing w:after="0"/>
        <w:ind w:left="720"/>
        <w:contextualSpacing/>
        <w:rPr>
          <w:rFonts w:asciiTheme="minorHAnsi" w:hAnsiTheme="minorHAnsi"/>
          <w:color w:val="000000" w:themeColor="text1"/>
        </w:rPr>
      </w:pPr>
    </w:p>
    <w:p w14:paraId="1D2AF772" w14:textId="46DEB843" w:rsidR="00897964" w:rsidRPr="00DE5FDC" w:rsidRDefault="00897964" w:rsidP="000704BB">
      <w:pPr>
        <w:pStyle w:val="BodyText"/>
        <w:spacing w:after="0"/>
        <w:ind w:left="720"/>
        <w:contextualSpacing/>
        <w:rPr>
          <w:rFonts w:asciiTheme="minorHAnsi" w:hAnsiTheme="minorHAnsi"/>
          <w:color w:val="000000" w:themeColor="text1"/>
        </w:rPr>
      </w:pPr>
      <w:r w:rsidRPr="00DE5FDC">
        <w:rPr>
          <w:rFonts w:asciiTheme="minorHAnsi" w:hAnsiTheme="minorHAnsi"/>
          <w:color w:val="000000" w:themeColor="text1"/>
        </w:rPr>
        <w:t>The TB drugs cycloserine and isoniazid are both associated with the adverse effect of peripheral neuropathy; avoid the use of these TB drugs with linezolid if possible</w:t>
      </w:r>
      <w:r w:rsidR="004E3F8C" w:rsidRPr="00DE5FDC">
        <w:rPr>
          <w:rFonts w:asciiTheme="minorHAnsi" w:hAnsiTheme="minorHAnsi"/>
          <w:color w:val="000000" w:themeColor="text1"/>
        </w:rPr>
        <w:t>. Also</w:t>
      </w:r>
      <w:r w:rsidR="0045124A" w:rsidRPr="00DE5FDC">
        <w:rPr>
          <w:rFonts w:asciiTheme="minorHAnsi" w:hAnsiTheme="minorHAnsi"/>
          <w:color w:val="000000" w:themeColor="text1"/>
        </w:rPr>
        <w:t>,</w:t>
      </w:r>
      <w:r w:rsidR="004E3F8C" w:rsidRPr="00DE5FDC">
        <w:rPr>
          <w:rFonts w:asciiTheme="minorHAnsi" w:hAnsiTheme="minorHAnsi"/>
          <w:color w:val="000000" w:themeColor="text1"/>
        </w:rPr>
        <w:t xml:space="preserve"> be aware many non-TB drugs</w:t>
      </w:r>
      <w:r w:rsidR="0045124A" w:rsidRPr="00DE5FDC">
        <w:rPr>
          <w:rFonts w:asciiTheme="minorHAnsi" w:hAnsiTheme="minorHAnsi"/>
          <w:color w:val="000000" w:themeColor="text1"/>
        </w:rPr>
        <w:t xml:space="preserve"> can cause peripheral neuropathy.</w:t>
      </w:r>
      <w:r w:rsidR="0045124A" w:rsidRPr="00DE5FDC">
        <w:rPr>
          <w:rStyle w:val="FootnoteReference"/>
          <w:rFonts w:asciiTheme="minorHAnsi" w:hAnsiTheme="minorHAnsi"/>
          <w:color w:val="000000" w:themeColor="text1"/>
          <w:sz w:val="22"/>
        </w:rPr>
        <w:footnoteReference w:id="15"/>
      </w:r>
      <w:r w:rsidR="0045124A" w:rsidRPr="00DE5FDC">
        <w:rPr>
          <w:rFonts w:asciiTheme="minorHAnsi" w:hAnsiTheme="minorHAnsi"/>
          <w:color w:val="000000" w:themeColor="text1"/>
        </w:rPr>
        <w:t xml:space="preserve"> Often it may not be possible to avoid the use of certain drugs that increase the risk of peripheral neuropathy concomitantly with linezolid, as is often the case with ART; however, if possible, use as few non-TB drugs that have an association with peripheral neuropathy as possible.  </w:t>
      </w:r>
    </w:p>
    <w:p w14:paraId="492404C9" w14:textId="77777777" w:rsidR="000704BB" w:rsidRPr="00DE5FDC" w:rsidRDefault="000704BB" w:rsidP="000704BB">
      <w:pPr>
        <w:pStyle w:val="BodyText"/>
        <w:spacing w:after="0"/>
        <w:ind w:left="720"/>
        <w:contextualSpacing/>
        <w:rPr>
          <w:rFonts w:asciiTheme="minorHAnsi" w:hAnsiTheme="minorHAnsi"/>
          <w:color w:val="000000" w:themeColor="text1"/>
        </w:rPr>
      </w:pPr>
    </w:p>
    <w:p w14:paraId="05D8770D" w14:textId="004167BC" w:rsidR="000704BB" w:rsidRPr="00DE5FDC" w:rsidRDefault="000704BB" w:rsidP="000704BB">
      <w:pPr>
        <w:pStyle w:val="BodyText"/>
        <w:spacing w:after="0"/>
        <w:ind w:left="720"/>
        <w:contextualSpacing/>
        <w:rPr>
          <w:rFonts w:asciiTheme="minorHAnsi" w:hAnsiTheme="minorHAnsi"/>
          <w:color w:val="000000" w:themeColor="text1"/>
        </w:rPr>
      </w:pPr>
      <w:r w:rsidRPr="00DE5FDC">
        <w:rPr>
          <w:rFonts w:asciiTheme="minorHAnsi" w:hAnsiTheme="minorHAnsi"/>
          <w:color w:val="000000" w:themeColor="text1"/>
        </w:rPr>
        <w:t>Linezolid can have drug-drug interactions with drugs that affect the body’s serotonin levels.  Serotonergic syndrome, which can be serious and life-threatening, can result when linezolid is given concomitantly with certain drug classes</w:t>
      </w:r>
      <w:r w:rsidR="00E77004" w:rsidRPr="00DE5FDC">
        <w:rPr>
          <w:rFonts w:asciiTheme="minorHAnsi" w:hAnsiTheme="minorHAnsi"/>
          <w:color w:val="000000" w:themeColor="text1"/>
        </w:rPr>
        <w:t xml:space="preserve"> </w:t>
      </w:r>
      <w:r w:rsidR="00E77004"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see </w:t>
      </w:r>
      <w:r w:rsidR="00DA3427" w:rsidRPr="00DE5FDC">
        <w:rPr>
          <w:rFonts w:asciiTheme="minorHAnsi" w:hAnsiTheme="minorHAnsi" w:cstheme="minorHAnsi"/>
          <w:color w:val="000000" w:themeColor="text1"/>
        </w:rPr>
        <w:fldChar w:fldCharType="begin"/>
      </w:r>
      <w:r w:rsidR="00DA3427" w:rsidRPr="00DE5FDC">
        <w:rPr>
          <w:rFonts w:asciiTheme="minorHAnsi" w:hAnsiTheme="minorHAnsi" w:cstheme="minorHAnsi"/>
          <w:color w:val="000000" w:themeColor="text1"/>
        </w:rPr>
        <w:instrText xml:space="preserve"> REF _Ref12888627 \h </w:instrText>
      </w:r>
      <w:r w:rsidR="004860B0" w:rsidRPr="00DE5FDC">
        <w:rPr>
          <w:rFonts w:asciiTheme="minorHAnsi" w:hAnsiTheme="minorHAnsi" w:cstheme="minorHAnsi"/>
          <w:color w:val="000000" w:themeColor="text1"/>
        </w:rPr>
        <w:instrText xml:space="preserve"> \* MERGEFORMAT </w:instrText>
      </w:r>
      <w:r w:rsidR="00DA3427" w:rsidRPr="00DE5FDC">
        <w:rPr>
          <w:rFonts w:asciiTheme="minorHAnsi" w:hAnsiTheme="minorHAnsi" w:cstheme="minorHAnsi"/>
          <w:color w:val="000000" w:themeColor="text1"/>
        </w:rPr>
      </w:r>
      <w:r w:rsidR="00DA3427" w:rsidRPr="00DE5FDC">
        <w:rPr>
          <w:rFonts w:asciiTheme="minorHAnsi" w:hAnsiTheme="minorHAnsi" w:cstheme="minorHAnsi"/>
          <w:color w:val="000000" w:themeColor="text1"/>
        </w:rPr>
        <w:fldChar w:fldCharType="separate"/>
      </w:r>
      <w:r w:rsidR="00DA3427" w:rsidRPr="00DE5FDC">
        <w:rPr>
          <w:rFonts w:asciiTheme="minorHAnsi" w:hAnsiTheme="minorHAnsi" w:cstheme="minorHAnsi"/>
        </w:rPr>
        <w:t xml:space="preserve">Table 3 </w:t>
      </w:r>
      <w:r w:rsidR="00DA3427" w:rsidRPr="00DE5FDC">
        <w:rPr>
          <w:rFonts w:asciiTheme="minorHAnsi" w:hAnsiTheme="minorHAnsi" w:cstheme="minorHAnsi"/>
          <w:color w:val="000000" w:themeColor="text1"/>
        </w:rPr>
        <w:fldChar w:fldCharType="end"/>
      </w:r>
      <w:r w:rsidR="00E77004"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w:t>
      </w:r>
    </w:p>
    <w:p w14:paraId="5C5BF401" w14:textId="77777777" w:rsidR="000704BB" w:rsidRPr="00B85017" w:rsidRDefault="000704BB" w:rsidP="0019538B">
      <w:pPr>
        <w:pStyle w:val="BodyText"/>
        <w:spacing w:after="0"/>
        <w:contextualSpacing/>
        <w:rPr>
          <w:rFonts w:asciiTheme="minorHAnsi" w:hAnsiTheme="minorHAnsi"/>
          <w:b/>
          <w:color w:val="000000" w:themeColor="text1"/>
          <w:sz w:val="23"/>
          <w:szCs w:val="23"/>
        </w:rPr>
      </w:pPr>
    </w:p>
    <w:p w14:paraId="4EACB2BD" w14:textId="466520CB" w:rsidR="000704BB" w:rsidRPr="00DE5FDC" w:rsidRDefault="000704BB" w:rsidP="002C4FED">
      <w:pPr>
        <w:pStyle w:val="Heading3"/>
        <w:rPr>
          <w:rFonts w:asciiTheme="minorHAnsi" w:hAnsiTheme="minorHAnsi"/>
        </w:rPr>
      </w:pPr>
      <w:bookmarkStart w:id="48" w:name="_Ref12888627"/>
      <w:bookmarkStart w:id="49" w:name="_Toc13486761"/>
      <w:r w:rsidRPr="00DE5FDC">
        <w:rPr>
          <w:rFonts w:asciiTheme="minorHAnsi" w:hAnsiTheme="minorHAnsi"/>
        </w:rPr>
        <w:t>Table</w:t>
      </w:r>
      <w:r w:rsidR="00152EBB" w:rsidRPr="00DE5FDC">
        <w:rPr>
          <w:rFonts w:asciiTheme="minorHAnsi" w:hAnsiTheme="minorHAnsi"/>
        </w:rPr>
        <w:t xml:space="preserve"> </w:t>
      </w:r>
      <w:r w:rsidR="00FB467B" w:rsidRPr="00DE5FDC">
        <w:rPr>
          <w:rFonts w:asciiTheme="minorHAnsi" w:hAnsiTheme="minorHAnsi"/>
        </w:rPr>
        <w:t>3</w:t>
      </w:r>
      <w:r w:rsidRPr="00DE5FDC">
        <w:rPr>
          <w:rFonts w:asciiTheme="minorHAnsi" w:hAnsiTheme="minorHAnsi"/>
        </w:rPr>
        <w:t xml:space="preserve"> Non-TB drugs that</w:t>
      </w:r>
      <w:r w:rsidR="0019538B" w:rsidRPr="00DE5FDC">
        <w:rPr>
          <w:rFonts w:asciiTheme="minorHAnsi" w:hAnsiTheme="minorHAnsi"/>
        </w:rPr>
        <w:t xml:space="preserve"> when used with</w:t>
      </w:r>
      <w:r w:rsidRPr="00DE5FDC">
        <w:rPr>
          <w:rFonts w:asciiTheme="minorHAnsi" w:hAnsiTheme="minorHAnsi"/>
        </w:rPr>
        <w:t xml:space="preserve"> linezolid</w:t>
      </w:r>
      <w:r w:rsidR="00897964" w:rsidRPr="00DE5FDC">
        <w:rPr>
          <w:rFonts w:asciiTheme="minorHAnsi" w:hAnsiTheme="minorHAnsi"/>
        </w:rPr>
        <w:t xml:space="preserve"> </w:t>
      </w:r>
      <w:r w:rsidR="0019538B" w:rsidRPr="00DE5FDC">
        <w:rPr>
          <w:rFonts w:asciiTheme="minorHAnsi" w:hAnsiTheme="minorHAnsi"/>
        </w:rPr>
        <w:t>may result in serotonergic syndrome</w:t>
      </w:r>
      <w:bookmarkEnd w:id="48"/>
      <w:bookmarkEnd w:id="49"/>
    </w:p>
    <w:tbl>
      <w:tblPr>
        <w:tblStyle w:val="TableGrid"/>
        <w:tblW w:w="9288" w:type="dxa"/>
        <w:tblInd w:w="720" w:type="dxa"/>
        <w:tblLook w:val="04A0" w:firstRow="1" w:lastRow="0" w:firstColumn="1" w:lastColumn="0" w:noHBand="0" w:noVBand="1"/>
      </w:tblPr>
      <w:tblGrid>
        <w:gridCol w:w="1432"/>
        <w:gridCol w:w="2019"/>
        <w:gridCol w:w="5837"/>
      </w:tblGrid>
      <w:tr w:rsidR="000704BB" w:rsidRPr="005A63ED" w14:paraId="57BA7EBC" w14:textId="77777777" w:rsidTr="00093E2C">
        <w:tc>
          <w:tcPr>
            <w:tcW w:w="1432" w:type="dxa"/>
            <w:vAlign w:val="center"/>
          </w:tcPr>
          <w:p w14:paraId="5251D779" w14:textId="77777777" w:rsidR="000704BB" w:rsidRPr="005A63ED" w:rsidRDefault="000704BB" w:rsidP="000833CD">
            <w:pPr>
              <w:jc w:val="left"/>
              <w:rPr>
                <w:rFonts w:asciiTheme="minorHAnsi" w:hAnsiTheme="minorHAnsi" w:cstheme="minorHAnsi"/>
                <w:b/>
                <w:color w:val="000000" w:themeColor="text1"/>
                <w:sz w:val="20"/>
                <w:szCs w:val="20"/>
              </w:rPr>
            </w:pPr>
          </w:p>
        </w:tc>
        <w:tc>
          <w:tcPr>
            <w:tcW w:w="2019" w:type="dxa"/>
            <w:shd w:val="clear" w:color="auto" w:fill="235868"/>
            <w:vAlign w:val="center"/>
          </w:tcPr>
          <w:p w14:paraId="28C41C7E" w14:textId="77777777" w:rsidR="000704BB" w:rsidRPr="005A63ED" w:rsidRDefault="000704BB" w:rsidP="00E20A53">
            <w:pPr>
              <w:pStyle w:val="ListBullet"/>
              <w:numPr>
                <w:ilvl w:val="0"/>
                <w:numId w:val="0"/>
              </w:numPr>
              <w:jc w:val="center"/>
              <w:rPr>
                <w:rFonts w:asciiTheme="minorHAnsi" w:hAnsiTheme="minorHAnsi" w:cstheme="minorHAnsi"/>
                <w:color w:val="FFFFFF" w:themeColor="background1"/>
                <w:sz w:val="20"/>
                <w:szCs w:val="20"/>
              </w:rPr>
            </w:pPr>
            <w:r w:rsidRPr="005A63ED">
              <w:rPr>
                <w:rFonts w:asciiTheme="minorHAnsi" w:hAnsiTheme="minorHAnsi" w:cstheme="minorHAnsi"/>
                <w:b/>
                <w:color w:val="FFFFFF" w:themeColor="background1"/>
                <w:sz w:val="20"/>
                <w:szCs w:val="20"/>
              </w:rPr>
              <w:t>Drugs</w:t>
            </w:r>
          </w:p>
        </w:tc>
        <w:tc>
          <w:tcPr>
            <w:tcW w:w="5837" w:type="dxa"/>
            <w:shd w:val="clear" w:color="auto" w:fill="235868"/>
            <w:vAlign w:val="center"/>
          </w:tcPr>
          <w:p w14:paraId="0685D7F5" w14:textId="77777777" w:rsidR="000704BB" w:rsidRPr="005A63ED" w:rsidRDefault="000704BB" w:rsidP="00E20A53">
            <w:pPr>
              <w:jc w:val="center"/>
              <w:rPr>
                <w:rFonts w:asciiTheme="minorHAnsi" w:hAnsiTheme="minorHAnsi" w:cstheme="minorHAnsi"/>
                <w:b/>
                <w:color w:val="FFFFFF" w:themeColor="background1"/>
                <w:sz w:val="20"/>
                <w:szCs w:val="20"/>
              </w:rPr>
            </w:pPr>
            <w:r w:rsidRPr="005A63ED">
              <w:rPr>
                <w:rFonts w:asciiTheme="minorHAnsi" w:hAnsiTheme="minorHAnsi" w:cstheme="minorHAnsi"/>
                <w:b/>
                <w:color w:val="FFFFFF" w:themeColor="background1"/>
                <w:sz w:val="20"/>
                <w:szCs w:val="20"/>
              </w:rPr>
              <w:t>Examples/notes</w:t>
            </w:r>
          </w:p>
        </w:tc>
      </w:tr>
      <w:tr w:rsidR="00897964" w:rsidRPr="005A63ED" w14:paraId="3712B4FA" w14:textId="77777777" w:rsidTr="00484F61">
        <w:trPr>
          <w:trHeight w:val="1790"/>
        </w:trPr>
        <w:tc>
          <w:tcPr>
            <w:tcW w:w="1432" w:type="dxa"/>
            <w:vAlign w:val="center"/>
          </w:tcPr>
          <w:p w14:paraId="289CDCFF" w14:textId="77777777" w:rsidR="00897964" w:rsidRPr="005A63ED" w:rsidRDefault="00897964" w:rsidP="000833CD">
            <w:pPr>
              <w:pStyle w:val="Tabletext"/>
              <w:rPr>
                <w:rFonts w:asciiTheme="minorHAnsi" w:hAnsiTheme="minorHAnsi" w:cstheme="minorHAnsi"/>
                <w:b/>
                <w:color w:val="000000" w:themeColor="text1"/>
                <w:lang w:val="en-GB"/>
              </w:rPr>
            </w:pPr>
            <w:r w:rsidRPr="005A63ED">
              <w:rPr>
                <w:rFonts w:asciiTheme="minorHAnsi" w:hAnsiTheme="minorHAnsi" w:cstheme="minorHAnsi"/>
                <w:b/>
                <w:color w:val="000000" w:themeColor="text1"/>
                <w:lang w:val="en-GB"/>
              </w:rPr>
              <w:t>Avoid with Lzd</w:t>
            </w:r>
          </w:p>
        </w:tc>
        <w:tc>
          <w:tcPr>
            <w:tcW w:w="2019" w:type="dxa"/>
            <w:vAlign w:val="center"/>
          </w:tcPr>
          <w:p w14:paraId="24D6EF4A" w14:textId="77777777" w:rsidR="00897964" w:rsidRPr="005A63ED" w:rsidRDefault="00897964" w:rsidP="000833CD">
            <w:pPr>
              <w:pStyle w:val="Tabletext"/>
              <w:rPr>
                <w:rFonts w:asciiTheme="minorHAnsi" w:hAnsiTheme="minorHAnsi" w:cstheme="minorHAnsi"/>
                <w:color w:val="000000" w:themeColor="text1"/>
                <w:lang w:val="en-GB"/>
              </w:rPr>
            </w:pPr>
            <w:r w:rsidRPr="005A63ED">
              <w:rPr>
                <w:rFonts w:asciiTheme="minorHAnsi" w:hAnsiTheme="minorHAnsi" w:cstheme="minorHAnsi"/>
                <w:color w:val="000000" w:themeColor="text1"/>
              </w:rPr>
              <w:t>Medicines that increase serotonin levels</w:t>
            </w:r>
          </w:p>
        </w:tc>
        <w:tc>
          <w:tcPr>
            <w:tcW w:w="5837" w:type="dxa"/>
            <w:vAlign w:val="center"/>
          </w:tcPr>
          <w:p w14:paraId="64A6BCC0" w14:textId="77777777" w:rsidR="00897964" w:rsidRPr="005A63ED" w:rsidRDefault="00897964" w:rsidP="000833CD">
            <w:pPr>
              <w:pStyle w:val="ListBullet"/>
              <w:rPr>
                <w:rFonts w:asciiTheme="minorHAnsi" w:hAnsiTheme="minorHAnsi" w:cstheme="minorHAnsi"/>
                <w:color w:val="000000" w:themeColor="text1"/>
                <w:sz w:val="20"/>
                <w:szCs w:val="20"/>
              </w:rPr>
            </w:pPr>
            <w:r w:rsidRPr="005A63ED">
              <w:rPr>
                <w:rFonts w:asciiTheme="minorHAnsi" w:hAnsiTheme="minorHAnsi" w:cstheme="minorHAnsi"/>
                <w:color w:val="000000" w:themeColor="text1"/>
                <w:sz w:val="20"/>
                <w:szCs w:val="20"/>
              </w:rPr>
              <w:t>Serotonin re-uptake inhibitors (SSRIs): fluoxetine, paroxetine</w:t>
            </w:r>
          </w:p>
          <w:p w14:paraId="6BA40DE7" w14:textId="77777777" w:rsidR="00897964" w:rsidRPr="005A63ED" w:rsidRDefault="00897964" w:rsidP="000833CD">
            <w:pPr>
              <w:pStyle w:val="ListBullet"/>
              <w:rPr>
                <w:rFonts w:asciiTheme="minorHAnsi" w:hAnsiTheme="minorHAnsi" w:cstheme="minorHAnsi"/>
                <w:color w:val="000000" w:themeColor="text1"/>
                <w:sz w:val="20"/>
                <w:szCs w:val="20"/>
              </w:rPr>
            </w:pPr>
            <w:r w:rsidRPr="005A63ED">
              <w:rPr>
                <w:rFonts w:asciiTheme="minorHAnsi" w:hAnsiTheme="minorHAnsi" w:cstheme="minorHAnsi"/>
                <w:color w:val="000000" w:themeColor="text1"/>
                <w:sz w:val="20"/>
                <w:szCs w:val="20"/>
              </w:rPr>
              <w:t>Tricyclic antidepressants: amitriptyline, nortriptyline</w:t>
            </w:r>
          </w:p>
          <w:p w14:paraId="0FB6564D" w14:textId="77777777" w:rsidR="00897964" w:rsidRPr="005A63ED" w:rsidRDefault="00897964" w:rsidP="000833CD">
            <w:pPr>
              <w:pStyle w:val="ListBullet"/>
              <w:rPr>
                <w:rFonts w:asciiTheme="minorHAnsi" w:hAnsiTheme="minorHAnsi" w:cstheme="minorHAnsi"/>
                <w:color w:val="000000" w:themeColor="text1"/>
                <w:sz w:val="20"/>
                <w:szCs w:val="20"/>
              </w:rPr>
            </w:pPr>
            <w:r w:rsidRPr="005A63ED">
              <w:rPr>
                <w:rFonts w:asciiTheme="minorHAnsi" w:hAnsiTheme="minorHAnsi" w:cstheme="minorHAnsi"/>
                <w:color w:val="000000" w:themeColor="text1"/>
                <w:sz w:val="20"/>
                <w:szCs w:val="20"/>
              </w:rPr>
              <w:t xml:space="preserve">Serotonin 5-HT1 receptor agonists </w:t>
            </w:r>
          </w:p>
          <w:p w14:paraId="6119735B" w14:textId="77777777" w:rsidR="00897964" w:rsidRPr="005A63ED" w:rsidRDefault="00897964" w:rsidP="000833CD">
            <w:pPr>
              <w:pStyle w:val="ListBullet"/>
              <w:rPr>
                <w:rFonts w:asciiTheme="minorHAnsi" w:hAnsiTheme="minorHAnsi" w:cstheme="minorHAnsi"/>
                <w:color w:val="000000" w:themeColor="text1"/>
                <w:sz w:val="20"/>
                <w:szCs w:val="20"/>
              </w:rPr>
            </w:pPr>
            <w:r w:rsidRPr="005A63ED">
              <w:rPr>
                <w:rFonts w:asciiTheme="minorHAnsi" w:hAnsiTheme="minorHAnsi" w:cstheme="minorHAnsi"/>
                <w:color w:val="000000" w:themeColor="text1"/>
                <w:sz w:val="20"/>
                <w:szCs w:val="20"/>
              </w:rPr>
              <w:t>MAO inhibitors: phenelzine, isocarboxazid</w:t>
            </w:r>
          </w:p>
          <w:p w14:paraId="286B4A6B" w14:textId="77777777" w:rsidR="00897964" w:rsidRPr="005A63ED" w:rsidRDefault="00897964" w:rsidP="000833CD">
            <w:pPr>
              <w:pStyle w:val="ListBullet"/>
              <w:rPr>
                <w:rFonts w:asciiTheme="minorHAnsi" w:hAnsiTheme="minorHAnsi" w:cstheme="minorHAnsi"/>
                <w:color w:val="000000" w:themeColor="text1"/>
                <w:sz w:val="20"/>
                <w:szCs w:val="20"/>
              </w:rPr>
            </w:pPr>
            <w:r w:rsidRPr="005A63ED">
              <w:rPr>
                <w:rFonts w:asciiTheme="minorHAnsi" w:hAnsiTheme="minorHAnsi" w:cstheme="minorHAnsi"/>
                <w:color w:val="000000" w:themeColor="text1"/>
                <w:sz w:val="20"/>
                <w:szCs w:val="20"/>
              </w:rPr>
              <w:lastRenderedPageBreak/>
              <w:t>Other serotoninergic agents: meperidine, bupropion, or buspirone, quetiapine</w:t>
            </w:r>
          </w:p>
        </w:tc>
      </w:tr>
    </w:tbl>
    <w:p w14:paraId="63B5A6F2" w14:textId="257062EC" w:rsidR="000704BB" w:rsidRPr="00B85017" w:rsidRDefault="000704BB" w:rsidP="000704BB">
      <w:pPr>
        <w:pStyle w:val="BodyText"/>
        <w:spacing w:after="0"/>
        <w:ind w:left="720"/>
        <w:contextualSpacing/>
        <w:rPr>
          <w:rFonts w:asciiTheme="minorHAnsi" w:hAnsiTheme="minorHAnsi"/>
          <w:color w:val="000000" w:themeColor="text1"/>
          <w:sz w:val="23"/>
          <w:szCs w:val="23"/>
        </w:rPr>
      </w:pPr>
    </w:p>
    <w:p w14:paraId="4AD280BC" w14:textId="63895992" w:rsidR="000704BB" w:rsidRPr="00DE5FDC" w:rsidRDefault="000704BB" w:rsidP="000704BB">
      <w:pPr>
        <w:pStyle w:val="BodyText"/>
        <w:spacing w:after="0"/>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 xml:space="preserve">Every effort should be made to avoid the use of drugs that have drug-drug interactions or overlapping toxicity with linezolid. However, there may be circumstances </w:t>
      </w:r>
      <w:r w:rsidR="00B701E7" w:rsidRPr="00DE5FDC">
        <w:rPr>
          <w:rFonts w:asciiTheme="minorHAnsi" w:hAnsiTheme="minorHAnsi" w:cstheme="minorHAnsi"/>
          <w:color w:val="000000" w:themeColor="text1"/>
        </w:rPr>
        <w:t xml:space="preserve">in which </w:t>
      </w:r>
      <w:r w:rsidRPr="00DE5FDC">
        <w:rPr>
          <w:rFonts w:asciiTheme="minorHAnsi" w:hAnsiTheme="minorHAnsi" w:cstheme="minorHAnsi"/>
          <w:color w:val="000000" w:themeColor="text1"/>
        </w:rPr>
        <w:t xml:space="preserve">no other option is </w:t>
      </w:r>
      <w:r w:rsidR="00B701E7" w:rsidRPr="00DE5FDC">
        <w:rPr>
          <w:rFonts w:asciiTheme="minorHAnsi" w:hAnsiTheme="minorHAnsi" w:cstheme="minorHAnsi"/>
          <w:color w:val="000000" w:themeColor="text1"/>
        </w:rPr>
        <w:t>available,</w:t>
      </w:r>
      <w:r w:rsidRPr="00DE5FDC">
        <w:rPr>
          <w:rFonts w:asciiTheme="minorHAnsi" w:hAnsiTheme="minorHAnsi" w:cstheme="minorHAnsi"/>
          <w:color w:val="000000" w:themeColor="text1"/>
        </w:rPr>
        <w:t xml:space="preserve"> and the potential benefits outweigh the risks</w:t>
      </w:r>
      <w:r w:rsidR="00B701E7" w:rsidRPr="00DE5FDC">
        <w:rPr>
          <w:rFonts w:asciiTheme="minorHAnsi" w:hAnsiTheme="minorHAnsi" w:cstheme="minorHAnsi"/>
          <w:color w:val="000000" w:themeColor="text1"/>
        </w:rPr>
        <w:t xml:space="preserve"> of using linezolid</w:t>
      </w:r>
      <w:r w:rsidRPr="00DE5FDC">
        <w:rPr>
          <w:rFonts w:asciiTheme="minorHAnsi" w:hAnsiTheme="minorHAnsi" w:cstheme="minorHAnsi"/>
          <w:color w:val="000000" w:themeColor="text1"/>
        </w:rPr>
        <w:t xml:space="preserve">. For example, a fragile mental health patient with a high risk of suicide that must have linezolid in the regimen (no other anti-TB drug options) could </w:t>
      </w:r>
      <w:r w:rsidR="009773AF" w:rsidRPr="00DE5FDC">
        <w:rPr>
          <w:rFonts w:asciiTheme="minorHAnsi" w:hAnsiTheme="minorHAnsi" w:cstheme="minorHAnsi"/>
          <w:color w:val="000000" w:themeColor="text1"/>
        </w:rPr>
        <w:t xml:space="preserve">also </w:t>
      </w:r>
      <w:r w:rsidRPr="00DE5FDC">
        <w:rPr>
          <w:rFonts w:asciiTheme="minorHAnsi" w:hAnsiTheme="minorHAnsi" w:cstheme="minorHAnsi"/>
          <w:color w:val="000000" w:themeColor="text1"/>
        </w:rPr>
        <w:t xml:space="preserve">require a serotoninergic medication.  </w:t>
      </w:r>
    </w:p>
    <w:p w14:paraId="0ADBC3E3" w14:textId="77777777" w:rsidR="000704BB" w:rsidRPr="00DE5FDC" w:rsidRDefault="000704BB" w:rsidP="0513D106">
      <w:pPr>
        <w:rPr>
          <w:rFonts w:asciiTheme="minorHAnsi" w:hAnsiTheme="minorHAnsi" w:cstheme="minorHAnsi"/>
          <w:bCs/>
          <w:color w:val="000000" w:themeColor="text1"/>
        </w:rPr>
      </w:pPr>
    </w:p>
    <w:p w14:paraId="2436EFB5" w14:textId="77777777" w:rsidR="0044603E" w:rsidRPr="00DE5FDC" w:rsidRDefault="0044603E" w:rsidP="0044603E">
      <w:pPr>
        <w:spacing w:before="0" w:after="200" w:line="276" w:lineRule="auto"/>
        <w:jc w:val="left"/>
        <w:rPr>
          <w:rFonts w:asciiTheme="minorHAnsi" w:eastAsiaTheme="majorEastAsia" w:hAnsiTheme="minorHAnsi" w:cstheme="minorHAnsi"/>
          <w:b/>
          <w:color w:val="000000" w:themeColor="text1"/>
        </w:rPr>
      </w:pPr>
      <w:bookmarkStart w:id="50" w:name="_Toc4143447"/>
      <w:r w:rsidRPr="00DE5FDC">
        <w:rPr>
          <w:rFonts w:asciiTheme="minorHAnsi" w:hAnsiTheme="minorHAnsi" w:cstheme="minorHAnsi"/>
          <w:b/>
          <w:color w:val="000000" w:themeColor="text1"/>
        </w:rPr>
        <w:t>Group B: Clofazimine, Cycloserine or Terizidone</w:t>
      </w:r>
      <w:bookmarkEnd w:id="50"/>
    </w:p>
    <w:p w14:paraId="6A96C40D" w14:textId="511D0233" w:rsidR="0044603E" w:rsidRPr="00DE5FDC" w:rsidRDefault="0044603E" w:rsidP="0044603E">
      <w:pPr>
        <w:pStyle w:val="BodyText"/>
        <w:spacing w:after="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All</w:t>
      </w:r>
      <w:r w:rsidR="00152EBB" w:rsidRPr="00DE5FDC">
        <w:rPr>
          <w:rFonts w:asciiTheme="minorHAnsi" w:hAnsiTheme="minorHAnsi" w:cstheme="minorHAnsi"/>
          <w:color w:val="000000" w:themeColor="text1"/>
        </w:rPr>
        <w:t xml:space="preserve">-oral </w:t>
      </w:r>
      <w:r w:rsidR="0019538B" w:rsidRPr="00DE5FDC">
        <w:rPr>
          <w:rFonts w:asciiTheme="minorHAnsi" w:hAnsiTheme="minorHAnsi" w:cstheme="minorHAnsi"/>
          <w:color w:val="000000" w:themeColor="text1"/>
        </w:rPr>
        <w:t>STRs</w:t>
      </w:r>
      <w:r w:rsidR="00152EBB" w:rsidRPr="00DE5FDC">
        <w:rPr>
          <w:rFonts w:asciiTheme="minorHAnsi" w:hAnsiTheme="minorHAnsi" w:cstheme="minorHAnsi"/>
          <w:color w:val="000000" w:themeColor="text1"/>
        </w:rPr>
        <w:t xml:space="preserve"> often contain the Group B drug clofazimine. Cycloserine is used less often in all-oral STRs because of the safety profile – psychosis, seizures, neuropathy, and depression. </w:t>
      </w:r>
      <w:r w:rsidRPr="00DE5FDC">
        <w:rPr>
          <w:rFonts w:asciiTheme="minorHAnsi" w:hAnsiTheme="minorHAnsi" w:cstheme="minorHAnsi"/>
          <w:color w:val="000000" w:themeColor="text1"/>
        </w:rPr>
        <w:t xml:space="preserve"> </w:t>
      </w:r>
      <w:r w:rsidR="00152EBB" w:rsidRPr="00DE5FDC">
        <w:rPr>
          <w:rFonts w:asciiTheme="minorHAnsi" w:hAnsiTheme="minorHAnsi" w:cstheme="minorHAnsi"/>
          <w:color w:val="000000" w:themeColor="text1"/>
        </w:rPr>
        <w:t xml:space="preserve">Therefore, only the characteristics of the Group B drug clofazimine </w:t>
      </w:r>
      <w:r w:rsidR="00872CA1" w:rsidRPr="00DE5FDC">
        <w:rPr>
          <w:rFonts w:asciiTheme="minorHAnsi" w:hAnsiTheme="minorHAnsi" w:cstheme="minorHAnsi"/>
          <w:color w:val="000000" w:themeColor="text1"/>
        </w:rPr>
        <w:t>is</w:t>
      </w:r>
      <w:r w:rsidR="00152EBB" w:rsidRPr="00DE5FDC">
        <w:rPr>
          <w:rFonts w:asciiTheme="minorHAnsi" w:hAnsiTheme="minorHAnsi" w:cstheme="minorHAnsi"/>
          <w:color w:val="000000" w:themeColor="text1"/>
        </w:rPr>
        <w:t xml:space="preserve"> discussed in this guide</w:t>
      </w:r>
      <w:r w:rsidRPr="00DE5FDC">
        <w:rPr>
          <w:rFonts w:asciiTheme="minorHAnsi" w:hAnsiTheme="minorHAnsi" w:cstheme="minorHAnsi"/>
          <w:color w:val="000000" w:themeColor="text1"/>
        </w:rPr>
        <w:t xml:space="preserve">.  </w:t>
      </w:r>
    </w:p>
    <w:p w14:paraId="34EC03A2" w14:textId="77777777" w:rsidR="0044603E" w:rsidRPr="00DE5FDC" w:rsidRDefault="0044603E" w:rsidP="0044603E">
      <w:pPr>
        <w:pStyle w:val="BodyText"/>
        <w:spacing w:after="0"/>
        <w:contextualSpacing/>
        <w:rPr>
          <w:rFonts w:asciiTheme="minorHAnsi" w:hAnsiTheme="minorHAnsi" w:cstheme="minorHAnsi"/>
          <w:color w:val="000000" w:themeColor="text1"/>
        </w:rPr>
      </w:pPr>
    </w:p>
    <w:p w14:paraId="5D5440AE" w14:textId="5DF0B816" w:rsidR="0044603E" w:rsidRPr="00DE5FDC" w:rsidDel="78A8455E" w:rsidRDefault="0044603E" w:rsidP="0044603E">
      <w:pPr>
        <w:pStyle w:val="BodyText"/>
        <w:spacing w:after="0"/>
        <w:ind w:left="720"/>
        <w:contextualSpacing/>
        <w:rPr>
          <w:rFonts w:asciiTheme="minorHAnsi" w:hAnsiTheme="minorHAnsi" w:cstheme="minorHAnsi"/>
          <w:color w:val="000000" w:themeColor="text1"/>
        </w:rPr>
      </w:pPr>
      <w:r w:rsidRPr="00DE5FDC">
        <w:rPr>
          <w:rFonts w:asciiTheme="minorHAnsi" w:hAnsiTheme="minorHAnsi" w:cstheme="minorHAnsi"/>
          <w:b/>
          <w:color w:val="000000" w:themeColor="text1"/>
        </w:rPr>
        <w:t>Clofazimine.</w:t>
      </w:r>
      <w:r w:rsidRPr="00DE5FDC">
        <w:rPr>
          <w:rFonts w:asciiTheme="minorHAnsi" w:hAnsiTheme="minorHAnsi" w:cstheme="minorHAnsi"/>
          <w:color w:val="000000" w:themeColor="text1"/>
        </w:rPr>
        <w:t xml:space="preserve"> Clofazimine is an anti-leprosy drug that also has activity against TB. Of the Group B </w:t>
      </w:r>
      <w:r w:rsidR="0019538B" w:rsidRPr="00DE5FDC">
        <w:rPr>
          <w:rFonts w:asciiTheme="minorHAnsi" w:hAnsiTheme="minorHAnsi" w:cstheme="minorHAnsi"/>
          <w:color w:val="000000" w:themeColor="text1"/>
        </w:rPr>
        <w:t>drugs,</w:t>
      </w:r>
      <w:r w:rsidRPr="00DE5FDC">
        <w:rPr>
          <w:rFonts w:asciiTheme="minorHAnsi" w:hAnsiTheme="minorHAnsi" w:cstheme="minorHAnsi"/>
          <w:color w:val="000000" w:themeColor="text1"/>
        </w:rPr>
        <w:t xml:space="preserve"> it has the be</w:t>
      </w:r>
      <w:r w:rsidR="0019538B" w:rsidRPr="00DE5FDC">
        <w:rPr>
          <w:rFonts w:asciiTheme="minorHAnsi" w:hAnsiTheme="minorHAnsi" w:cstheme="minorHAnsi"/>
          <w:color w:val="000000" w:themeColor="text1"/>
        </w:rPr>
        <w:t>tter</w:t>
      </w:r>
      <w:r w:rsidRPr="00DE5FDC">
        <w:rPr>
          <w:rFonts w:asciiTheme="minorHAnsi" w:hAnsiTheme="minorHAnsi" w:cstheme="minorHAnsi"/>
          <w:color w:val="000000" w:themeColor="text1"/>
        </w:rPr>
        <w:t xml:space="preserve"> safety profile. Clofazimine has a long tissue half-life of around 70 days.</w:t>
      </w:r>
    </w:p>
    <w:p w14:paraId="04424375" w14:textId="77777777" w:rsidR="0044603E" w:rsidRPr="00DE5FDC" w:rsidRDefault="0044603E" w:rsidP="0044603E">
      <w:pPr>
        <w:pStyle w:val="BodyText"/>
        <w:spacing w:after="0"/>
        <w:ind w:left="720"/>
        <w:rPr>
          <w:rFonts w:asciiTheme="minorHAnsi" w:hAnsiTheme="minorHAnsi" w:cstheme="minorHAnsi"/>
          <w:color w:val="000000" w:themeColor="text1"/>
        </w:rPr>
      </w:pPr>
    </w:p>
    <w:p w14:paraId="7D2296B9" w14:textId="4A880FBC" w:rsidR="0044603E" w:rsidRPr="00DE5FDC" w:rsidRDefault="0044603E" w:rsidP="0044603E">
      <w:pPr>
        <w:pStyle w:val="BodyText"/>
        <w:spacing w:after="0"/>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There is a potential cross-resistance between bedaquiline and clofazimine, although the degree of cross</w:t>
      </w:r>
      <w:r w:rsidR="00152EBB"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resistance and clinical implications are not well understood. In patients who have previously been treated with clofazimine</w:t>
      </w:r>
      <w:r w:rsidR="0019538B" w:rsidRPr="00DE5FDC">
        <w:rPr>
          <w:rFonts w:asciiTheme="minorHAnsi" w:hAnsiTheme="minorHAnsi" w:cstheme="minorHAnsi"/>
          <w:color w:val="000000" w:themeColor="text1"/>
        </w:rPr>
        <w:t xml:space="preserve"> and resistance is likely</w:t>
      </w:r>
      <w:r w:rsidRPr="00DE5FDC">
        <w:rPr>
          <w:rFonts w:asciiTheme="minorHAnsi" w:hAnsiTheme="minorHAnsi" w:cstheme="minorHAnsi"/>
          <w:color w:val="000000" w:themeColor="text1"/>
        </w:rPr>
        <w:t xml:space="preserve">, bedaquiline can be used but </w:t>
      </w:r>
      <w:r w:rsidR="0019538B" w:rsidRPr="00DE5FDC">
        <w:rPr>
          <w:rFonts w:asciiTheme="minorHAnsi" w:hAnsiTheme="minorHAnsi" w:cstheme="minorHAnsi"/>
          <w:color w:val="000000" w:themeColor="text1"/>
        </w:rPr>
        <w:t xml:space="preserve">is </w:t>
      </w:r>
      <w:r w:rsidRPr="00DE5FDC">
        <w:rPr>
          <w:rFonts w:asciiTheme="minorHAnsi" w:hAnsiTheme="minorHAnsi" w:cstheme="minorHAnsi"/>
          <w:color w:val="000000" w:themeColor="text1"/>
        </w:rPr>
        <w:t>not considered a likely effective drug.</w:t>
      </w:r>
    </w:p>
    <w:p w14:paraId="32FD3264" w14:textId="77777777" w:rsidR="0044603E" w:rsidRPr="00DE5FDC" w:rsidRDefault="0044603E" w:rsidP="0044603E">
      <w:pPr>
        <w:pStyle w:val="BodyText"/>
        <w:spacing w:after="0"/>
        <w:ind w:left="720"/>
        <w:contextualSpacing/>
        <w:rPr>
          <w:rFonts w:asciiTheme="minorHAnsi" w:hAnsiTheme="minorHAnsi" w:cstheme="minorHAnsi"/>
          <w:color w:val="000000" w:themeColor="text1"/>
        </w:rPr>
      </w:pPr>
    </w:p>
    <w:p w14:paraId="3682F17B" w14:textId="743B928D" w:rsidR="0044603E" w:rsidRPr="00DE5FDC" w:rsidRDefault="0044603E" w:rsidP="0044603E">
      <w:pPr>
        <w:pStyle w:val="BodyText"/>
        <w:spacing w:after="0"/>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 xml:space="preserve">Clofazimine </w:t>
      </w:r>
      <w:r w:rsidR="00EC4D49" w:rsidRPr="00DE5FDC">
        <w:rPr>
          <w:rFonts w:asciiTheme="minorHAnsi" w:hAnsiTheme="minorHAnsi" w:cstheme="minorHAnsi"/>
          <w:color w:val="000000" w:themeColor="text1"/>
        </w:rPr>
        <w:t xml:space="preserve">prolongs the QT interval and </w:t>
      </w:r>
      <w:r w:rsidRPr="00DE5FDC">
        <w:rPr>
          <w:rFonts w:asciiTheme="minorHAnsi" w:hAnsiTheme="minorHAnsi" w:cstheme="minorHAnsi"/>
          <w:color w:val="000000" w:themeColor="text1"/>
        </w:rPr>
        <w:t xml:space="preserve">ECG </w:t>
      </w:r>
      <w:r w:rsidR="00EC4D49" w:rsidRPr="00DE5FDC">
        <w:rPr>
          <w:rFonts w:asciiTheme="minorHAnsi" w:hAnsiTheme="minorHAnsi" w:cstheme="minorHAnsi"/>
          <w:color w:val="000000" w:themeColor="text1"/>
        </w:rPr>
        <w:t xml:space="preserve">monitoring </w:t>
      </w:r>
      <w:r w:rsidRPr="00DE5FDC">
        <w:rPr>
          <w:rFonts w:asciiTheme="minorHAnsi" w:hAnsiTheme="minorHAnsi" w:cstheme="minorHAnsi"/>
          <w:color w:val="000000" w:themeColor="text1"/>
        </w:rPr>
        <w:t>should be implemented</w:t>
      </w:r>
      <w:r w:rsidR="00EC4D49" w:rsidRPr="00DE5FDC">
        <w:rPr>
          <w:rFonts w:asciiTheme="minorHAnsi" w:hAnsiTheme="minorHAnsi" w:cstheme="minorHAnsi"/>
          <w:color w:val="000000" w:themeColor="text1"/>
        </w:rPr>
        <w:t xml:space="preserve"> when used with bedaquiline or if multiple QT prolonging drugs are also part of the regimen</w:t>
      </w:r>
      <w:r w:rsidRPr="00DE5FDC">
        <w:rPr>
          <w:rFonts w:asciiTheme="minorHAnsi" w:hAnsiTheme="minorHAnsi" w:cstheme="minorHAnsi"/>
          <w:color w:val="000000" w:themeColor="text1"/>
        </w:rPr>
        <w:t xml:space="preserve">. </w:t>
      </w:r>
      <w:r w:rsidR="00EC4D49" w:rsidRPr="00DE5FDC">
        <w:rPr>
          <w:rFonts w:asciiTheme="minorHAnsi" w:hAnsiTheme="minorHAnsi" w:cstheme="minorHAnsi"/>
          <w:color w:val="000000" w:themeColor="text1"/>
        </w:rPr>
        <w:t>N</w:t>
      </w:r>
      <w:r w:rsidRPr="00DE5FDC">
        <w:rPr>
          <w:rFonts w:asciiTheme="minorHAnsi" w:hAnsiTheme="minorHAnsi" w:cstheme="minorHAnsi"/>
          <w:color w:val="000000" w:themeColor="text1"/>
        </w:rPr>
        <w:t xml:space="preserve">on-TB drugs that cause QT-prolongation (see </w:t>
      </w:r>
      <w:r w:rsidR="00DB66D3" w:rsidRPr="00DE5FDC">
        <w:rPr>
          <w:rFonts w:asciiTheme="minorHAnsi" w:hAnsiTheme="minorHAnsi" w:cstheme="minorHAnsi"/>
          <w:color w:val="000000" w:themeColor="text1"/>
        </w:rPr>
        <w:t>Section</w:t>
      </w:r>
      <w:r w:rsidR="00F537F5" w:rsidRPr="00DE5FDC">
        <w:rPr>
          <w:rFonts w:asciiTheme="minorHAnsi" w:hAnsiTheme="minorHAnsi" w:cstheme="minorHAnsi"/>
          <w:color w:val="000000" w:themeColor="text1"/>
        </w:rPr>
        <w:t xml:space="preserve"> </w:t>
      </w:r>
      <w:r w:rsidR="00F537F5" w:rsidRPr="00DE5FDC">
        <w:rPr>
          <w:rFonts w:asciiTheme="minorHAnsi" w:hAnsiTheme="minorHAnsi" w:cstheme="minorHAnsi"/>
          <w:color w:val="000000" w:themeColor="text1"/>
        </w:rPr>
        <w:fldChar w:fldCharType="begin"/>
      </w:r>
      <w:r w:rsidR="00F537F5" w:rsidRPr="00DE5FDC">
        <w:rPr>
          <w:rFonts w:asciiTheme="minorHAnsi" w:hAnsiTheme="minorHAnsi" w:cstheme="minorHAnsi"/>
          <w:color w:val="000000" w:themeColor="text1"/>
        </w:rPr>
        <w:instrText xml:space="preserve"> REF _Ref12949687 \r \h  \* MERGEFORMAT </w:instrText>
      </w:r>
      <w:r w:rsidR="00F537F5" w:rsidRPr="00DE5FDC">
        <w:rPr>
          <w:rFonts w:asciiTheme="minorHAnsi" w:hAnsiTheme="minorHAnsi" w:cstheme="minorHAnsi"/>
          <w:color w:val="000000" w:themeColor="text1"/>
        </w:rPr>
      </w:r>
      <w:r w:rsidR="00F537F5" w:rsidRPr="00DE5FDC">
        <w:rPr>
          <w:rFonts w:asciiTheme="minorHAnsi" w:hAnsiTheme="minorHAnsi" w:cstheme="minorHAnsi"/>
          <w:color w:val="000000" w:themeColor="text1"/>
        </w:rPr>
        <w:fldChar w:fldCharType="separate"/>
      </w:r>
      <w:r w:rsidR="00F537F5" w:rsidRPr="00DE5FDC">
        <w:rPr>
          <w:rFonts w:asciiTheme="minorHAnsi" w:hAnsiTheme="minorHAnsi" w:cstheme="minorHAnsi"/>
          <w:color w:val="000000" w:themeColor="text1"/>
        </w:rPr>
        <w:t>3.4</w:t>
      </w:r>
      <w:r w:rsidR="00F537F5" w:rsidRPr="00DE5FDC">
        <w:rPr>
          <w:rFonts w:asciiTheme="minorHAnsi" w:hAnsiTheme="minorHAnsi" w:cstheme="minorHAnsi"/>
          <w:color w:val="000000" w:themeColor="text1"/>
        </w:rPr>
        <w:fldChar w:fldCharType="end"/>
      </w:r>
      <w:r w:rsidRPr="00DE5FDC">
        <w:rPr>
          <w:rFonts w:asciiTheme="minorHAnsi" w:hAnsiTheme="minorHAnsi" w:cstheme="minorHAnsi"/>
          <w:color w:val="000000" w:themeColor="text1"/>
        </w:rPr>
        <w:t>) should be avoided</w:t>
      </w:r>
      <w:r w:rsidR="00DB66D3" w:rsidRPr="00DE5FDC">
        <w:rPr>
          <w:rFonts w:asciiTheme="minorHAnsi" w:hAnsiTheme="minorHAnsi" w:cstheme="minorHAnsi"/>
          <w:color w:val="000000" w:themeColor="text1"/>
        </w:rPr>
        <w:t xml:space="preserve"> if possible</w:t>
      </w:r>
      <w:r w:rsidRPr="00DE5FDC">
        <w:rPr>
          <w:rFonts w:asciiTheme="minorHAnsi" w:hAnsiTheme="minorHAnsi" w:cstheme="minorHAnsi"/>
          <w:color w:val="000000" w:themeColor="text1"/>
        </w:rPr>
        <w:t>.</w:t>
      </w:r>
    </w:p>
    <w:p w14:paraId="5876DCA4" w14:textId="77777777" w:rsidR="0044603E" w:rsidRPr="00DE5FDC" w:rsidRDefault="0044603E" w:rsidP="0044603E">
      <w:pPr>
        <w:pStyle w:val="BodyText"/>
        <w:spacing w:after="0"/>
        <w:ind w:left="720"/>
        <w:rPr>
          <w:rFonts w:asciiTheme="minorHAnsi" w:hAnsiTheme="minorHAnsi" w:cstheme="minorHAnsi"/>
          <w:color w:val="000000" w:themeColor="text1"/>
        </w:rPr>
      </w:pPr>
    </w:p>
    <w:p w14:paraId="41529F4D" w14:textId="2B51024A" w:rsidR="001976C7" w:rsidRPr="00DE5FDC" w:rsidRDefault="0044603E" w:rsidP="007F2294">
      <w:pPr>
        <w:pStyle w:val="BodyText"/>
        <w:spacing w:after="0"/>
        <w:ind w:left="720"/>
        <w:contextualSpacing/>
        <w:rPr>
          <w:rFonts w:asciiTheme="minorHAnsi" w:hAnsiTheme="minorHAnsi" w:cstheme="minorHAnsi"/>
          <w:color w:val="000000" w:themeColor="text1"/>
        </w:rPr>
      </w:pPr>
      <w:r w:rsidRPr="00DE5FDC">
        <w:rPr>
          <w:rFonts w:asciiTheme="minorHAnsi" w:hAnsiTheme="minorHAnsi" w:cstheme="minorHAnsi"/>
          <w:color w:val="000000" w:themeColor="text1"/>
        </w:rPr>
        <w:t xml:space="preserve">Patients should be well informed of the reversible skin color changes in advance, which occur in almost all patients.  The orange-brown skin changes are reversible a few months after the drug is stopped and is not considered dangerous. </w:t>
      </w:r>
      <w:r w:rsidR="00152EBB" w:rsidRPr="00DE5FDC">
        <w:rPr>
          <w:rFonts w:asciiTheme="minorHAnsi" w:hAnsiTheme="minorHAnsi" w:cstheme="minorHAnsi"/>
          <w:color w:val="000000" w:themeColor="text1"/>
        </w:rPr>
        <w:t xml:space="preserve">Dry skin changes can also be common but also not considered dangerous. </w:t>
      </w:r>
      <w:r w:rsidR="00897964" w:rsidRPr="00DE5FDC">
        <w:rPr>
          <w:rFonts w:asciiTheme="minorHAnsi" w:hAnsiTheme="minorHAnsi" w:cstheme="minorHAnsi"/>
          <w:color w:val="000000" w:themeColor="text1"/>
        </w:rPr>
        <w:t>The skin changes can be quite concerning to patients</w:t>
      </w:r>
      <w:r w:rsidR="004B059B" w:rsidRPr="00DE5FDC">
        <w:rPr>
          <w:rFonts w:asciiTheme="minorHAnsi" w:hAnsiTheme="minorHAnsi" w:cstheme="minorHAnsi"/>
          <w:color w:val="000000" w:themeColor="text1"/>
        </w:rPr>
        <w:t xml:space="preserve"> and reassurance is required.</w:t>
      </w:r>
    </w:p>
    <w:p w14:paraId="5DD18B53" w14:textId="77777777" w:rsidR="007F2294" w:rsidRPr="00DE5FDC" w:rsidRDefault="007F2294" w:rsidP="007F2294">
      <w:pPr>
        <w:pStyle w:val="BodyText"/>
        <w:spacing w:after="0"/>
        <w:ind w:left="720"/>
        <w:contextualSpacing/>
        <w:rPr>
          <w:rFonts w:asciiTheme="minorHAnsi" w:hAnsiTheme="minorHAnsi" w:cstheme="minorHAnsi"/>
          <w:color w:val="000000" w:themeColor="text1"/>
        </w:rPr>
      </w:pPr>
    </w:p>
    <w:p w14:paraId="3EEC60DC" w14:textId="374D2E70" w:rsidR="002322DE" w:rsidRPr="00DE5FDC" w:rsidRDefault="002322DE" w:rsidP="002322DE">
      <w:pPr>
        <w:rPr>
          <w:rFonts w:asciiTheme="minorHAnsi" w:hAnsiTheme="minorHAnsi" w:cstheme="minorHAnsi"/>
          <w:b/>
          <w:bCs/>
          <w:color w:val="000000" w:themeColor="text1"/>
        </w:rPr>
      </w:pPr>
      <w:bookmarkStart w:id="51" w:name="_Toc3651723"/>
      <w:r w:rsidRPr="00DE5FDC">
        <w:rPr>
          <w:rFonts w:asciiTheme="minorHAnsi" w:hAnsiTheme="minorHAnsi" w:cstheme="minorHAnsi"/>
          <w:b/>
          <w:bCs/>
          <w:color w:val="000000" w:themeColor="text1"/>
        </w:rPr>
        <w:t>Group C</w:t>
      </w:r>
      <w:bookmarkEnd w:id="51"/>
      <w:r w:rsidRPr="00DE5FDC">
        <w:rPr>
          <w:rFonts w:asciiTheme="minorHAnsi" w:hAnsiTheme="minorHAnsi" w:cstheme="minorHAnsi"/>
          <w:b/>
          <w:bCs/>
          <w:color w:val="000000" w:themeColor="text1"/>
        </w:rPr>
        <w:t xml:space="preserve"> drugs: delamanid and pyrazinamide.</w:t>
      </w:r>
    </w:p>
    <w:p w14:paraId="71BAA692" w14:textId="7759250B" w:rsidR="002322DE" w:rsidRPr="00DE5FDC" w:rsidRDefault="002322DE" w:rsidP="002322DE">
      <w:pPr>
        <w:rPr>
          <w:rFonts w:asciiTheme="minorHAnsi" w:hAnsiTheme="minorHAnsi" w:cstheme="minorHAnsi"/>
          <w:bCs/>
          <w:color w:val="000000" w:themeColor="text1"/>
        </w:rPr>
      </w:pPr>
      <w:r w:rsidRPr="00DE5FDC">
        <w:rPr>
          <w:rFonts w:asciiTheme="minorHAnsi" w:hAnsiTheme="minorHAnsi" w:cstheme="minorHAnsi"/>
          <w:bCs/>
          <w:color w:val="000000" w:themeColor="text1"/>
        </w:rPr>
        <w:lastRenderedPageBreak/>
        <w:t>The Group C drugs delamanid and pyrazinamide are commonly included in all-oral regimen, while the other Group C drugs have either a poor side-effect profile, low efficacy or high res</w:t>
      </w:r>
      <w:r w:rsidR="007D2A41" w:rsidRPr="00DE5FDC">
        <w:rPr>
          <w:rFonts w:asciiTheme="minorHAnsi" w:hAnsiTheme="minorHAnsi" w:cstheme="minorHAnsi"/>
          <w:bCs/>
          <w:color w:val="000000" w:themeColor="text1"/>
        </w:rPr>
        <w:t>is</w:t>
      </w:r>
      <w:r w:rsidRPr="00DE5FDC">
        <w:rPr>
          <w:rFonts w:asciiTheme="minorHAnsi" w:hAnsiTheme="minorHAnsi" w:cstheme="minorHAnsi"/>
          <w:bCs/>
          <w:color w:val="000000" w:themeColor="text1"/>
        </w:rPr>
        <w:t>tance in MDR-TB.  Only the characteristics for Group C drugs of delamanid and pyrazinamide are</w:t>
      </w:r>
      <w:r w:rsidRPr="00DE5FDC">
        <w:rPr>
          <w:rFonts w:asciiTheme="minorHAnsi" w:hAnsiTheme="minorHAnsi" w:cstheme="minorHAnsi"/>
          <w:color w:val="000000" w:themeColor="text1"/>
        </w:rPr>
        <w:t xml:space="preserve"> discussed in this guide</w:t>
      </w:r>
    </w:p>
    <w:p w14:paraId="465A0062" w14:textId="17C32137" w:rsidR="002322DE" w:rsidRPr="00DE5FDC" w:rsidRDefault="002322DE" w:rsidP="006C7861">
      <w:pPr>
        <w:ind w:left="720"/>
        <w:rPr>
          <w:rFonts w:asciiTheme="minorHAnsi" w:hAnsiTheme="minorHAnsi" w:cstheme="minorHAnsi"/>
          <w:bCs/>
          <w:color w:val="000000" w:themeColor="text1"/>
          <w:lang w:val="x-none"/>
        </w:rPr>
      </w:pPr>
      <w:r w:rsidRPr="00DE5FDC">
        <w:rPr>
          <w:rFonts w:asciiTheme="minorHAnsi" w:hAnsiTheme="minorHAnsi" w:cstheme="minorHAnsi"/>
          <w:b/>
          <w:bCs/>
          <w:color w:val="000000" w:themeColor="text1"/>
          <w:lang w:val="x-none"/>
        </w:rPr>
        <w:t xml:space="preserve">Delamanid. </w:t>
      </w:r>
      <w:r w:rsidR="006C7861" w:rsidRPr="00DE5FDC">
        <w:rPr>
          <w:rFonts w:asciiTheme="minorHAnsi" w:hAnsiTheme="minorHAnsi" w:cstheme="minorHAnsi"/>
          <w:bCs/>
          <w:color w:val="000000" w:themeColor="text1"/>
        </w:rPr>
        <w:t>The</w:t>
      </w:r>
      <w:r w:rsidRPr="00DE5FDC">
        <w:rPr>
          <w:rFonts w:asciiTheme="minorHAnsi" w:hAnsiTheme="minorHAnsi" w:cstheme="minorHAnsi"/>
          <w:bCs/>
          <w:color w:val="000000" w:themeColor="text1"/>
        </w:rPr>
        <w:t xml:space="preserve"> low</w:t>
      </w:r>
      <w:r w:rsidR="006C7861" w:rsidRPr="00DE5FDC">
        <w:rPr>
          <w:rFonts w:asciiTheme="minorHAnsi" w:hAnsiTheme="minorHAnsi" w:cstheme="minorHAnsi"/>
          <w:bCs/>
          <w:color w:val="000000" w:themeColor="text1"/>
        </w:rPr>
        <w:t xml:space="preserve"> </w:t>
      </w:r>
      <w:r w:rsidRPr="00DE5FDC">
        <w:rPr>
          <w:rFonts w:asciiTheme="minorHAnsi" w:hAnsiTheme="minorHAnsi" w:cstheme="minorHAnsi"/>
          <w:bCs/>
          <w:color w:val="000000" w:themeColor="text1"/>
        </w:rPr>
        <w:t>side-effect profile and low background resistance</w:t>
      </w:r>
      <w:r w:rsidR="006C7861" w:rsidRPr="00DE5FDC">
        <w:rPr>
          <w:rFonts w:asciiTheme="minorHAnsi" w:hAnsiTheme="minorHAnsi" w:cstheme="minorHAnsi"/>
          <w:bCs/>
          <w:color w:val="000000" w:themeColor="text1"/>
        </w:rPr>
        <w:t xml:space="preserve"> make delamanid an excellent choice for a drug component in an all-oral STR</w:t>
      </w:r>
      <w:r w:rsidRPr="00DE5FDC">
        <w:rPr>
          <w:rFonts w:asciiTheme="minorHAnsi" w:hAnsiTheme="minorHAnsi" w:cstheme="minorHAnsi"/>
          <w:bCs/>
          <w:color w:val="000000" w:themeColor="text1"/>
        </w:rPr>
        <w:t>.  Delamanid also has advantages in patients with co-morbidities (HIV patients on certain ARVs and viral hepatitis co-infected patients) because of few drug</w:t>
      </w:r>
      <w:r w:rsidR="006C7861" w:rsidRPr="00DE5FDC">
        <w:rPr>
          <w:rFonts w:asciiTheme="minorHAnsi" w:hAnsiTheme="minorHAnsi" w:cstheme="minorHAnsi"/>
          <w:bCs/>
          <w:color w:val="000000" w:themeColor="text1"/>
        </w:rPr>
        <w:t>-</w:t>
      </w:r>
      <w:r w:rsidRPr="00DE5FDC">
        <w:rPr>
          <w:rFonts w:asciiTheme="minorHAnsi" w:hAnsiTheme="minorHAnsi" w:cstheme="minorHAnsi"/>
          <w:bCs/>
          <w:color w:val="000000" w:themeColor="text1"/>
        </w:rPr>
        <w:t>drug interactions (DDIs)</w:t>
      </w:r>
      <w:r w:rsidR="003E76B3" w:rsidRPr="00DE5FDC">
        <w:rPr>
          <w:rFonts w:asciiTheme="minorHAnsi" w:hAnsiTheme="minorHAnsi" w:cstheme="minorHAnsi"/>
          <w:bCs/>
          <w:color w:val="000000" w:themeColor="text1"/>
        </w:rPr>
        <w:t xml:space="preserve"> and low hepatotoxicity</w:t>
      </w:r>
      <w:r w:rsidRPr="00DE5FDC">
        <w:rPr>
          <w:rFonts w:asciiTheme="minorHAnsi" w:hAnsiTheme="minorHAnsi" w:cstheme="minorHAnsi"/>
          <w:bCs/>
          <w:color w:val="000000" w:themeColor="text1"/>
        </w:rPr>
        <w:t xml:space="preserve">. </w:t>
      </w:r>
    </w:p>
    <w:p w14:paraId="40FBCD6C" w14:textId="354AD723" w:rsidR="006C7861" w:rsidRPr="00DE5FDC" w:rsidRDefault="002322DE" w:rsidP="006C7861">
      <w:pPr>
        <w:ind w:left="720"/>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lang w:val="x-none"/>
        </w:rPr>
        <w:t xml:space="preserve">Delamanid has shown </w:t>
      </w:r>
      <w:r w:rsidR="00AD0BA7">
        <w:rPr>
          <w:rFonts w:asciiTheme="minorHAnsi" w:hAnsiTheme="minorHAnsi" w:cstheme="minorHAnsi"/>
          <w:bCs/>
          <w:color w:val="000000" w:themeColor="text1"/>
          <w:sz w:val="21"/>
          <w:szCs w:val="21"/>
        </w:rPr>
        <w:t>better culture conversion at month 2</w:t>
      </w:r>
      <w:r w:rsidR="00AD0BA7" w:rsidRPr="00DE5FDC">
        <w:rPr>
          <w:rFonts w:asciiTheme="minorHAnsi" w:hAnsiTheme="minorHAnsi" w:cstheme="minorHAnsi"/>
          <w:bCs/>
          <w:color w:val="000000" w:themeColor="text1"/>
          <w:sz w:val="21"/>
          <w:szCs w:val="21"/>
          <w:lang w:val="x-none"/>
        </w:rPr>
        <w:t xml:space="preserve"> </w:t>
      </w:r>
      <w:r w:rsidRPr="00DE5FDC">
        <w:rPr>
          <w:rFonts w:asciiTheme="minorHAnsi" w:hAnsiTheme="minorHAnsi" w:cstheme="minorHAnsi"/>
          <w:bCs/>
          <w:color w:val="000000" w:themeColor="text1"/>
          <w:sz w:val="21"/>
          <w:szCs w:val="21"/>
          <w:lang w:val="x-none"/>
        </w:rPr>
        <w:t>in</w:t>
      </w:r>
      <w:r w:rsidR="006C7861" w:rsidRPr="00DE5FDC">
        <w:rPr>
          <w:rFonts w:asciiTheme="minorHAnsi" w:hAnsiTheme="minorHAnsi" w:cstheme="minorHAnsi"/>
          <w:bCs/>
          <w:color w:val="000000" w:themeColor="text1"/>
          <w:sz w:val="21"/>
          <w:szCs w:val="21"/>
        </w:rPr>
        <w:t xml:space="preserve"> the</w:t>
      </w:r>
      <w:r w:rsidR="007F2294" w:rsidRPr="00DE5FDC">
        <w:rPr>
          <w:rFonts w:asciiTheme="minorHAnsi" w:hAnsiTheme="minorHAnsi" w:cstheme="minorHAnsi"/>
          <w:bCs/>
          <w:color w:val="000000" w:themeColor="text1"/>
          <w:sz w:val="21"/>
          <w:szCs w:val="21"/>
        </w:rPr>
        <w:t xml:space="preserve"> Phase</w:t>
      </w:r>
      <w:r w:rsidRPr="00DE5FDC">
        <w:rPr>
          <w:rFonts w:asciiTheme="minorHAnsi" w:hAnsiTheme="minorHAnsi" w:cstheme="minorHAnsi"/>
          <w:bCs/>
          <w:color w:val="000000" w:themeColor="text1"/>
          <w:sz w:val="21"/>
          <w:szCs w:val="21"/>
          <w:lang w:val="x-none"/>
        </w:rPr>
        <w:t xml:space="preserve"> 2</w:t>
      </w:r>
      <w:bookmarkStart w:id="52" w:name="_Ref12800319"/>
      <w:r w:rsidR="00F71BB8">
        <w:rPr>
          <w:rFonts w:asciiTheme="minorHAnsi" w:hAnsiTheme="minorHAnsi" w:cstheme="minorHAnsi"/>
          <w:bCs/>
          <w:color w:val="000000" w:themeColor="text1"/>
          <w:sz w:val="21"/>
          <w:szCs w:val="21"/>
        </w:rPr>
        <w:t xml:space="preserve"> trial.</w:t>
      </w:r>
      <w:r w:rsidR="00953EDB" w:rsidRPr="00DE5FDC">
        <w:rPr>
          <w:rStyle w:val="FootnoteReference"/>
          <w:rFonts w:asciiTheme="minorHAnsi" w:hAnsiTheme="minorHAnsi"/>
          <w:bCs/>
          <w:color w:val="000000" w:themeColor="text1"/>
          <w:sz w:val="21"/>
          <w:szCs w:val="21"/>
          <w:lang w:val="x-none"/>
        </w:rPr>
        <w:footnoteReference w:id="16"/>
      </w:r>
      <w:bookmarkEnd w:id="52"/>
      <w:r w:rsidRPr="00DE5FDC">
        <w:rPr>
          <w:rFonts w:asciiTheme="minorHAnsi" w:hAnsiTheme="minorHAnsi" w:cstheme="minorHAnsi"/>
          <w:bCs/>
          <w:color w:val="000000" w:themeColor="text1"/>
          <w:sz w:val="21"/>
          <w:szCs w:val="21"/>
          <w:lang w:val="x-none"/>
        </w:rPr>
        <w:t xml:space="preserve"> </w:t>
      </w:r>
      <w:r w:rsidR="00F71BB8">
        <w:rPr>
          <w:rFonts w:asciiTheme="minorHAnsi" w:hAnsiTheme="minorHAnsi" w:cstheme="minorHAnsi"/>
          <w:bCs/>
          <w:color w:val="000000" w:themeColor="text1"/>
          <w:sz w:val="21"/>
          <w:szCs w:val="21"/>
        </w:rPr>
        <w:t xml:space="preserve"> The Phase</w:t>
      </w:r>
      <w:r w:rsidR="00F71BB8" w:rsidRPr="00DE5FDC">
        <w:rPr>
          <w:rFonts w:asciiTheme="minorHAnsi" w:hAnsiTheme="minorHAnsi" w:cstheme="minorHAnsi"/>
          <w:bCs/>
          <w:color w:val="000000" w:themeColor="text1"/>
          <w:sz w:val="21"/>
          <w:szCs w:val="21"/>
          <w:lang w:val="x-none"/>
        </w:rPr>
        <w:t xml:space="preserve"> </w:t>
      </w:r>
      <w:r w:rsidRPr="00DE5FDC">
        <w:rPr>
          <w:rFonts w:asciiTheme="minorHAnsi" w:hAnsiTheme="minorHAnsi" w:cstheme="minorHAnsi"/>
          <w:bCs/>
          <w:color w:val="000000" w:themeColor="text1"/>
          <w:sz w:val="21"/>
          <w:szCs w:val="21"/>
          <w:lang w:val="x-none"/>
        </w:rPr>
        <w:t>3</w:t>
      </w:r>
      <w:bookmarkStart w:id="53" w:name="_Ref12800180"/>
      <w:r w:rsidR="00BA1AB1">
        <w:rPr>
          <w:rFonts w:asciiTheme="minorHAnsi" w:hAnsiTheme="minorHAnsi" w:cstheme="minorHAnsi"/>
          <w:bCs/>
          <w:color w:val="000000" w:themeColor="text1"/>
          <w:sz w:val="21"/>
          <w:szCs w:val="21"/>
        </w:rPr>
        <w:t xml:space="preserve"> trial</w:t>
      </w:r>
      <w:r w:rsidR="00953EDB" w:rsidRPr="00DE5FDC">
        <w:rPr>
          <w:rStyle w:val="FootnoteReference"/>
          <w:rFonts w:asciiTheme="minorHAnsi" w:hAnsiTheme="minorHAnsi"/>
          <w:bCs/>
          <w:color w:val="000000" w:themeColor="text1"/>
          <w:sz w:val="21"/>
          <w:szCs w:val="21"/>
          <w:lang w:val="x-none"/>
        </w:rPr>
        <w:footnoteReference w:id="17"/>
      </w:r>
      <w:bookmarkEnd w:id="53"/>
      <w:r w:rsidRPr="00DE5FDC">
        <w:rPr>
          <w:rFonts w:asciiTheme="minorHAnsi" w:hAnsiTheme="minorHAnsi" w:cstheme="minorHAnsi"/>
          <w:bCs/>
          <w:color w:val="000000" w:themeColor="text1"/>
          <w:sz w:val="21"/>
          <w:szCs w:val="21"/>
          <w:lang w:val="x-none"/>
        </w:rPr>
        <w:t xml:space="preserve"> </w:t>
      </w:r>
      <w:r w:rsidR="00F71BB8">
        <w:rPr>
          <w:rFonts w:asciiTheme="minorHAnsi" w:hAnsiTheme="minorHAnsi" w:cstheme="minorHAnsi"/>
          <w:bCs/>
          <w:color w:val="000000" w:themeColor="text1"/>
          <w:sz w:val="21"/>
          <w:szCs w:val="21"/>
        </w:rPr>
        <w:t xml:space="preserve"> </w:t>
      </w:r>
      <w:r w:rsidR="007138EB">
        <w:rPr>
          <w:rFonts w:asciiTheme="minorHAnsi" w:hAnsiTheme="minorHAnsi" w:cstheme="minorHAnsi"/>
          <w:bCs/>
          <w:color w:val="000000" w:themeColor="text1"/>
          <w:sz w:val="21"/>
          <w:szCs w:val="21"/>
        </w:rPr>
        <w:t xml:space="preserve">had as </w:t>
      </w:r>
      <w:r w:rsidR="006E0A26">
        <w:rPr>
          <w:rFonts w:asciiTheme="minorHAnsi" w:hAnsiTheme="minorHAnsi" w:cstheme="minorHAnsi"/>
          <w:bCs/>
          <w:color w:val="000000" w:themeColor="text1"/>
          <w:sz w:val="21"/>
          <w:szCs w:val="21"/>
        </w:rPr>
        <w:t>it</w:t>
      </w:r>
      <w:r w:rsidR="007138EB">
        <w:rPr>
          <w:rFonts w:asciiTheme="minorHAnsi" w:hAnsiTheme="minorHAnsi" w:cstheme="minorHAnsi"/>
          <w:bCs/>
          <w:color w:val="000000" w:themeColor="text1"/>
          <w:sz w:val="21"/>
          <w:szCs w:val="21"/>
        </w:rPr>
        <w:t>s primary outcome time</w:t>
      </w:r>
      <w:r w:rsidR="006E0A26">
        <w:rPr>
          <w:rFonts w:asciiTheme="minorHAnsi" w:hAnsiTheme="minorHAnsi" w:cstheme="minorHAnsi"/>
          <w:bCs/>
          <w:color w:val="000000" w:themeColor="text1"/>
          <w:sz w:val="21"/>
          <w:szCs w:val="21"/>
        </w:rPr>
        <w:t>-</w:t>
      </w:r>
      <w:r w:rsidR="007138EB">
        <w:rPr>
          <w:rFonts w:asciiTheme="minorHAnsi" w:hAnsiTheme="minorHAnsi" w:cstheme="minorHAnsi"/>
          <w:bCs/>
          <w:color w:val="000000" w:themeColor="text1"/>
          <w:sz w:val="21"/>
          <w:szCs w:val="21"/>
        </w:rPr>
        <w:t>to</w:t>
      </w:r>
      <w:r w:rsidR="006E0A26">
        <w:rPr>
          <w:rFonts w:asciiTheme="minorHAnsi" w:hAnsiTheme="minorHAnsi" w:cstheme="minorHAnsi"/>
          <w:bCs/>
          <w:color w:val="000000" w:themeColor="text1"/>
          <w:sz w:val="21"/>
          <w:szCs w:val="21"/>
        </w:rPr>
        <w:t>-</w:t>
      </w:r>
      <w:r w:rsidR="007138EB">
        <w:rPr>
          <w:rFonts w:asciiTheme="minorHAnsi" w:hAnsiTheme="minorHAnsi" w:cstheme="minorHAnsi"/>
          <w:bCs/>
          <w:color w:val="000000" w:themeColor="text1"/>
          <w:sz w:val="21"/>
          <w:szCs w:val="21"/>
        </w:rPr>
        <w:t>conversion and</w:t>
      </w:r>
      <w:r w:rsidR="00BA1AB1">
        <w:rPr>
          <w:rFonts w:asciiTheme="minorHAnsi" w:hAnsiTheme="minorHAnsi" w:cstheme="minorHAnsi"/>
          <w:bCs/>
          <w:color w:val="000000" w:themeColor="text1"/>
          <w:sz w:val="21"/>
          <w:szCs w:val="21"/>
        </w:rPr>
        <w:t xml:space="preserve"> the trial</w:t>
      </w:r>
      <w:r w:rsidR="007138EB">
        <w:rPr>
          <w:rFonts w:asciiTheme="minorHAnsi" w:hAnsiTheme="minorHAnsi" w:cstheme="minorHAnsi"/>
          <w:bCs/>
          <w:color w:val="000000" w:themeColor="text1"/>
          <w:sz w:val="21"/>
          <w:szCs w:val="21"/>
        </w:rPr>
        <w:t xml:space="preserve"> </w:t>
      </w:r>
      <w:r w:rsidR="00F71BB8">
        <w:rPr>
          <w:rFonts w:asciiTheme="minorHAnsi" w:hAnsiTheme="minorHAnsi" w:cstheme="minorHAnsi"/>
          <w:bCs/>
          <w:color w:val="000000" w:themeColor="text1"/>
          <w:sz w:val="21"/>
          <w:szCs w:val="21"/>
        </w:rPr>
        <w:t>did not show a statistically significant faster culture conversion</w:t>
      </w:r>
      <w:r w:rsidR="00432AC5">
        <w:rPr>
          <w:rFonts w:asciiTheme="minorHAnsi" w:hAnsiTheme="minorHAnsi" w:cstheme="minorHAnsi"/>
          <w:bCs/>
          <w:color w:val="000000" w:themeColor="text1"/>
          <w:sz w:val="21"/>
          <w:szCs w:val="21"/>
        </w:rPr>
        <w:t xml:space="preserve">. </w:t>
      </w:r>
      <w:r w:rsidR="00BC7DB0">
        <w:rPr>
          <w:rFonts w:asciiTheme="minorHAnsi" w:hAnsiTheme="minorHAnsi" w:cstheme="minorHAnsi"/>
          <w:bCs/>
          <w:color w:val="000000" w:themeColor="text1"/>
          <w:sz w:val="21"/>
          <w:szCs w:val="21"/>
        </w:rPr>
        <w:t xml:space="preserve">Both the Phase 2 and 3 trials demonstrated a good safety profile for delamanid. </w:t>
      </w:r>
      <w:r w:rsidR="006C7861" w:rsidRPr="00DE5FDC">
        <w:rPr>
          <w:rFonts w:asciiTheme="minorHAnsi" w:hAnsiTheme="minorHAnsi" w:cstheme="minorHAnsi"/>
          <w:bCs/>
          <w:color w:val="000000" w:themeColor="text1"/>
          <w:sz w:val="21"/>
          <w:szCs w:val="21"/>
        </w:rPr>
        <w:t xml:space="preserve">There have also been </w:t>
      </w:r>
      <w:r w:rsidRPr="00DE5FDC">
        <w:rPr>
          <w:rFonts w:asciiTheme="minorHAnsi" w:hAnsiTheme="minorHAnsi" w:cstheme="minorHAnsi"/>
          <w:bCs/>
          <w:color w:val="000000" w:themeColor="text1"/>
          <w:sz w:val="21"/>
          <w:szCs w:val="21"/>
          <w:lang w:val="x-none"/>
        </w:rPr>
        <w:t xml:space="preserve">observational studies </w:t>
      </w:r>
      <w:r w:rsidR="00953EDB" w:rsidRPr="00DE5FDC">
        <w:rPr>
          <w:rFonts w:asciiTheme="minorHAnsi" w:hAnsiTheme="minorHAnsi" w:cstheme="minorHAnsi"/>
          <w:bCs/>
          <w:color w:val="000000" w:themeColor="text1"/>
          <w:sz w:val="21"/>
          <w:szCs w:val="21"/>
        </w:rPr>
        <w:t xml:space="preserve">that further support the safety of delamanid; however, because delamanid was used in a multi-drug regimen the efficacy data from the observational studies </w:t>
      </w:r>
      <w:r w:rsidR="00394E83" w:rsidRPr="00DE5FDC">
        <w:rPr>
          <w:rFonts w:asciiTheme="minorHAnsi" w:hAnsiTheme="minorHAnsi" w:cstheme="minorHAnsi"/>
          <w:bCs/>
          <w:color w:val="000000" w:themeColor="text1"/>
          <w:sz w:val="21"/>
          <w:szCs w:val="21"/>
        </w:rPr>
        <w:t xml:space="preserve">does not determine the exact contribution of delamanid in MDR-TB regimens. </w:t>
      </w:r>
      <w:r w:rsidR="00AC6140">
        <w:rPr>
          <w:rFonts w:asciiTheme="minorHAnsi" w:hAnsiTheme="minorHAnsi" w:cstheme="minorHAnsi"/>
          <w:bCs/>
          <w:color w:val="000000" w:themeColor="text1"/>
          <w:sz w:val="21"/>
          <w:szCs w:val="21"/>
        </w:rPr>
        <w:t xml:space="preserve">The WHO ranks delamanid as the second highest Group C drug based on a combination of evidence of efficacy and safety. </w:t>
      </w:r>
    </w:p>
    <w:p w14:paraId="3938648F" w14:textId="6B728B36" w:rsidR="002322DE" w:rsidRPr="00DE5FDC" w:rsidRDefault="002322DE" w:rsidP="006C7861">
      <w:pPr>
        <w:ind w:left="720"/>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 xml:space="preserve">All programs should plan on having delamanid in their armament of drugs, </w:t>
      </w:r>
      <w:r w:rsidR="006C7861" w:rsidRPr="00DE5FDC">
        <w:rPr>
          <w:rFonts w:asciiTheme="minorHAnsi" w:hAnsiTheme="minorHAnsi" w:cstheme="minorHAnsi"/>
          <w:bCs/>
          <w:color w:val="000000" w:themeColor="text1"/>
          <w:sz w:val="21"/>
          <w:szCs w:val="21"/>
        </w:rPr>
        <w:t xml:space="preserve">even if they are using standardized all-oral STRs that do not contain delamanid.  This is because </w:t>
      </w:r>
      <w:r w:rsidR="00B20D8C" w:rsidRPr="00DE5FDC">
        <w:rPr>
          <w:rFonts w:asciiTheme="minorHAnsi" w:hAnsiTheme="minorHAnsi" w:cstheme="minorHAnsi"/>
          <w:bCs/>
          <w:color w:val="000000" w:themeColor="text1"/>
          <w:sz w:val="21"/>
          <w:szCs w:val="21"/>
        </w:rPr>
        <w:t>delamanid</w:t>
      </w:r>
      <w:r w:rsidR="006C7861" w:rsidRPr="00DE5FDC">
        <w:rPr>
          <w:rFonts w:asciiTheme="minorHAnsi" w:hAnsiTheme="minorHAnsi" w:cstheme="minorHAnsi"/>
          <w:bCs/>
          <w:color w:val="000000" w:themeColor="text1"/>
          <w:sz w:val="21"/>
          <w:szCs w:val="21"/>
        </w:rPr>
        <w:t xml:space="preserve"> is a good replacement drugs for </w:t>
      </w:r>
      <w:r w:rsidR="00B20D8C" w:rsidRPr="00DE5FDC">
        <w:rPr>
          <w:rFonts w:asciiTheme="minorHAnsi" w:hAnsiTheme="minorHAnsi" w:cstheme="minorHAnsi"/>
          <w:bCs/>
          <w:color w:val="000000" w:themeColor="text1"/>
          <w:sz w:val="21"/>
          <w:szCs w:val="21"/>
        </w:rPr>
        <w:t xml:space="preserve">when patients cannot tolerate a drug in non-delamanid containing regimens.  </w:t>
      </w:r>
    </w:p>
    <w:p w14:paraId="176951FA" w14:textId="01195466" w:rsidR="00B20D8C" w:rsidRPr="00DE5FDC" w:rsidRDefault="002322DE" w:rsidP="00394E83">
      <w:pPr>
        <w:ind w:left="720"/>
        <w:rPr>
          <w:rFonts w:asciiTheme="minorHAnsi" w:hAnsiTheme="minorHAnsi" w:cstheme="minorHAnsi"/>
          <w:bCs/>
          <w:color w:val="000000" w:themeColor="text1"/>
          <w:sz w:val="20"/>
          <w:szCs w:val="20"/>
        </w:rPr>
      </w:pPr>
      <w:r w:rsidRPr="00DE5FDC">
        <w:rPr>
          <w:rFonts w:asciiTheme="minorHAnsi" w:hAnsiTheme="minorHAnsi" w:cstheme="minorHAnsi"/>
          <w:bCs/>
          <w:color w:val="000000" w:themeColor="text1"/>
          <w:sz w:val="20"/>
          <w:szCs w:val="20"/>
        </w:rPr>
        <w:t>The dosing of delamanid is twice daily and seven days a week</w:t>
      </w:r>
      <w:r w:rsidR="00B20D8C" w:rsidRPr="00DE5FDC">
        <w:rPr>
          <w:rFonts w:asciiTheme="minorHAnsi" w:hAnsiTheme="minorHAnsi" w:cstheme="minorHAnsi"/>
          <w:bCs/>
          <w:color w:val="000000" w:themeColor="text1"/>
          <w:sz w:val="20"/>
          <w:szCs w:val="20"/>
        </w:rPr>
        <w:t xml:space="preserve"> (see </w:t>
      </w:r>
      <w:r w:rsidR="00B85AF0" w:rsidRPr="00DE5FDC">
        <w:rPr>
          <w:rFonts w:asciiTheme="minorHAnsi" w:hAnsiTheme="minorHAnsi" w:cstheme="minorHAnsi"/>
          <w:bCs/>
          <w:color w:val="000000" w:themeColor="text1"/>
          <w:sz w:val="20"/>
          <w:szCs w:val="20"/>
        </w:rPr>
        <w:fldChar w:fldCharType="begin"/>
      </w:r>
      <w:r w:rsidR="00B85AF0" w:rsidRPr="00DE5FDC">
        <w:rPr>
          <w:rFonts w:asciiTheme="minorHAnsi" w:hAnsiTheme="minorHAnsi" w:cstheme="minorHAnsi"/>
          <w:bCs/>
          <w:color w:val="000000" w:themeColor="text1"/>
          <w:sz w:val="20"/>
          <w:szCs w:val="20"/>
        </w:rPr>
        <w:instrText xml:space="preserve"> REF _Ref12949815 \h  \* MERGEFORMAT </w:instrText>
      </w:r>
      <w:r w:rsidR="00B85AF0" w:rsidRPr="00DE5FDC">
        <w:rPr>
          <w:rFonts w:asciiTheme="minorHAnsi" w:hAnsiTheme="minorHAnsi" w:cstheme="minorHAnsi"/>
          <w:bCs/>
          <w:color w:val="000000" w:themeColor="text1"/>
          <w:sz w:val="20"/>
          <w:szCs w:val="20"/>
        </w:rPr>
      </w:r>
      <w:r w:rsidR="00B85AF0" w:rsidRPr="00DE5FDC">
        <w:rPr>
          <w:rFonts w:asciiTheme="minorHAnsi" w:hAnsiTheme="minorHAnsi" w:cstheme="minorHAnsi"/>
          <w:bCs/>
          <w:color w:val="000000" w:themeColor="text1"/>
          <w:sz w:val="20"/>
          <w:szCs w:val="20"/>
        </w:rPr>
        <w:fldChar w:fldCharType="separate"/>
      </w:r>
      <w:r w:rsidR="00B85AF0" w:rsidRPr="00DE5FDC">
        <w:rPr>
          <w:rFonts w:asciiTheme="minorHAnsi" w:hAnsiTheme="minorHAnsi" w:cstheme="minorHAnsi"/>
          <w:sz w:val="20"/>
          <w:szCs w:val="20"/>
        </w:rPr>
        <w:t>Table 6</w:t>
      </w:r>
      <w:r w:rsidR="00B85AF0" w:rsidRPr="00DE5FDC">
        <w:rPr>
          <w:rFonts w:asciiTheme="minorHAnsi" w:hAnsiTheme="minorHAnsi" w:cstheme="minorHAnsi"/>
          <w:bCs/>
          <w:color w:val="000000" w:themeColor="text1"/>
          <w:sz w:val="20"/>
          <w:szCs w:val="20"/>
        </w:rPr>
        <w:fldChar w:fldCharType="end"/>
      </w:r>
      <w:r w:rsidR="00B85AF0" w:rsidRPr="00DE5FDC">
        <w:rPr>
          <w:rFonts w:asciiTheme="minorHAnsi" w:hAnsiTheme="minorHAnsi" w:cstheme="minorHAnsi"/>
          <w:bCs/>
          <w:color w:val="000000" w:themeColor="text1"/>
          <w:sz w:val="20"/>
          <w:szCs w:val="20"/>
        </w:rPr>
        <w:t xml:space="preserve">). </w:t>
      </w:r>
      <w:r w:rsidR="00B20D8C" w:rsidRPr="00DE5FDC">
        <w:rPr>
          <w:rFonts w:asciiTheme="minorHAnsi" w:hAnsiTheme="minorHAnsi" w:cstheme="minorHAnsi"/>
          <w:bCs/>
          <w:color w:val="000000" w:themeColor="text1"/>
          <w:sz w:val="20"/>
          <w:szCs w:val="20"/>
        </w:rPr>
        <w:t>Some experts feel that it is reasonable to shift to</w:t>
      </w:r>
      <w:r w:rsidRPr="00DE5FDC">
        <w:rPr>
          <w:rFonts w:asciiTheme="minorHAnsi" w:hAnsiTheme="minorHAnsi" w:cstheme="minorHAnsi"/>
          <w:bCs/>
          <w:color w:val="000000" w:themeColor="text1"/>
          <w:sz w:val="20"/>
          <w:szCs w:val="20"/>
        </w:rPr>
        <w:t xml:space="preserve"> once daily dosing after the first two months for convenience.  Because it is not known if the once daily dosing is equally efficacious to the twice daily dosing, this guide recommends going to once-daily dosing only in cases where twice daily dosing is impossible</w:t>
      </w:r>
      <w:r w:rsidR="00871C4A" w:rsidRPr="00DE5FDC">
        <w:rPr>
          <w:rFonts w:asciiTheme="minorHAnsi" w:hAnsiTheme="minorHAnsi" w:cstheme="minorHAnsi"/>
          <w:bCs/>
          <w:color w:val="000000" w:themeColor="text1"/>
          <w:sz w:val="20"/>
          <w:szCs w:val="20"/>
        </w:rPr>
        <w:t>. O</w:t>
      </w:r>
      <w:r w:rsidR="003E76B3" w:rsidRPr="00DE5FDC">
        <w:rPr>
          <w:rFonts w:asciiTheme="minorHAnsi" w:hAnsiTheme="minorHAnsi" w:cstheme="minorHAnsi"/>
          <w:bCs/>
          <w:color w:val="000000" w:themeColor="text1"/>
          <w:sz w:val="20"/>
          <w:szCs w:val="20"/>
        </w:rPr>
        <w:t>ptions for the evening dose</w:t>
      </w:r>
      <w:r w:rsidR="00871C4A" w:rsidRPr="00DE5FDC">
        <w:rPr>
          <w:rFonts w:asciiTheme="minorHAnsi" w:hAnsiTheme="minorHAnsi" w:cstheme="minorHAnsi"/>
          <w:bCs/>
          <w:color w:val="000000" w:themeColor="text1"/>
          <w:sz w:val="20"/>
          <w:szCs w:val="20"/>
        </w:rPr>
        <w:t>s and Sunday doses</w:t>
      </w:r>
      <w:r w:rsidR="003E76B3" w:rsidRPr="00DE5FDC">
        <w:rPr>
          <w:rFonts w:asciiTheme="minorHAnsi" w:hAnsiTheme="minorHAnsi" w:cstheme="minorHAnsi"/>
          <w:bCs/>
          <w:color w:val="000000" w:themeColor="text1"/>
          <w:sz w:val="20"/>
          <w:szCs w:val="20"/>
        </w:rPr>
        <w:t xml:space="preserve"> include family treatment supporter</w:t>
      </w:r>
      <w:r w:rsidR="00871C4A" w:rsidRPr="00DE5FDC">
        <w:rPr>
          <w:rFonts w:asciiTheme="minorHAnsi" w:hAnsiTheme="minorHAnsi" w:cstheme="minorHAnsi"/>
          <w:bCs/>
          <w:color w:val="000000" w:themeColor="text1"/>
          <w:sz w:val="20"/>
          <w:szCs w:val="20"/>
        </w:rPr>
        <w:t xml:space="preserve">s, </w:t>
      </w:r>
      <w:r w:rsidR="003E76B3" w:rsidRPr="00DE5FDC">
        <w:rPr>
          <w:rFonts w:asciiTheme="minorHAnsi" w:hAnsiTheme="minorHAnsi" w:cstheme="minorHAnsi"/>
          <w:bCs/>
          <w:color w:val="000000" w:themeColor="text1"/>
          <w:sz w:val="20"/>
          <w:szCs w:val="20"/>
        </w:rPr>
        <w:t>self</w:t>
      </w:r>
      <w:r w:rsidR="00394E83" w:rsidRPr="00DE5FDC">
        <w:rPr>
          <w:rFonts w:asciiTheme="minorHAnsi" w:hAnsiTheme="minorHAnsi" w:cstheme="minorHAnsi"/>
          <w:bCs/>
          <w:color w:val="000000" w:themeColor="text1"/>
          <w:sz w:val="20"/>
          <w:szCs w:val="20"/>
        </w:rPr>
        <w:t>-</w:t>
      </w:r>
      <w:r w:rsidR="003E76B3" w:rsidRPr="00DE5FDC">
        <w:rPr>
          <w:rFonts w:asciiTheme="minorHAnsi" w:hAnsiTheme="minorHAnsi" w:cstheme="minorHAnsi"/>
          <w:bCs/>
          <w:color w:val="000000" w:themeColor="text1"/>
          <w:sz w:val="20"/>
          <w:szCs w:val="20"/>
        </w:rPr>
        <w:t xml:space="preserve">administered treatment in adherent patients or </w:t>
      </w:r>
      <w:r w:rsidR="00871C4A" w:rsidRPr="00DE5FDC">
        <w:rPr>
          <w:rFonts w:asciiTheme="minorHAnsi" w:hAnsiTheme="minorHAnsi" w:cstheme="minorHAnsi"/>
          <w:bCs/>
          <w:color w:val="000000" w:themeColor="text1"/>
          <w:sz w:val="20"/>
          <w:szCs w:val="20"/>
        </w:rPr>
        <w:t>electronic</w:t>
      </w:r>
      <w:r w:rsidR="003E76B3" w:rsidRPr="00DE5FDC">
        <w:rPr>
          <w:rFonts w:asciiTheme="minorHAnsi" w:hAnsiTheme="minorHAnsi" w:cstheme="minorHAnsi"/>
          <w:bCs/>
          <w:color w:val="000000" w:themeColor="text1"/>
          <w:sz w:val="20"/>
          <w:szCs w:val="20"/>
        </w:rPr>
        <w:t xml:space="preserve"> DOT</w:t>
      </w:r>
      <w:r w:rsidR="00871C4A" w:rsidRPr="00DE5FDC">
        <w:rPr>
          <w:rFonts w:asciiTheme="minorHAnsi" w:hAnsiTheme="minorHAnsi" w:cstheme="minorHAnsi"/>
          <w:bCs/>
          <w:color w:val="000000" w:themeColor="text1"/>
          <w:sz w:val="20"/>
          <w:szCs w:val="20"/>
        </w:rPr>
        <w:t xml:space="preserve"> (of which video DOT is gaining evidence as an effective case management strategy</w:t>
      </w:r>
      <w:r w:rsidR="003E76B3" w:rsidRPr="00DE5FDC">
        <w:rPr>
          <w:rFonts w:asciiTheme="minorHAnsi" w:hAnsiTheme="minorHAnsi" w:cstheme="minorHAnsi"/>
          <w:bCs/>
          <w:color w:val="000000" w:themeColor="text1"/>
          <w:sz w:val="20"/>
          <w:szCs w:val="20"/>
        </w:rPr>
        <w:t>)</w:t>
      </w:r>
      <w:r w:rsidRPr="00DE5FDC">
        <w:rPr>
          <w:rFonts w:asciiTheme="minorHAnsi" w:hAnsiTheme="minorHAnsi" w:cstheme="minorHAnsi"/>
          <w:bCs/>
          <w:color w:val="000000" w:themeColor="text1"/>
          <w:sz w:val="20"/>
          <w:szCs w:val="20"/>
        </w:rPr>
        <w:t xml:space="preserve">.    </w:t>
      </w:r>
    </w:p>
    <w:p w14:paraId="49B58D46" w14:textId="6E358CD9" w:rsidR="002322DE" w:rsidRPr="00DE5FDC" w:rsidRDefault="002322DE" w:rsidP="00B20D8C">
      <w:pPr>
        <w:ind w:firstLine="720"/>
        <w:rPr>
          <w:rFonts w:asciiTheme="minorHAnsi" w:hAnsiTheme="minorHAnsi" w:cstheme="minorHAnsi"/>
          <w:bCs/>
          <w:color w:val="000000" w:themeColor="text1"/>
          <w:sz w:val="20"/>
          <w:szCs w:val="20"/>
          <w:lang w:val="x-none"/>
        </w:rPr>
      </w:pPr>
      <w:r w:rsidRPr="00DE5FDC">
        <w:rPr>
          <w:rFonts w:asciiTheme="minorHAnsi" w:hAnsiTheme="minorHAnsi" w:cstheme="minorHAnsi"/>
          <w:bCs/>
          <w:color w:val="000000" w:themeColor="text1"/>
          <w:sz w:val="20"/>
          <w:szCs w:val="20"/>
          <w:lang w:val="x-none"/>
        </w:rPr>
        <w:t>Delamanid is particularly useful in the following groups:</w:t>
      </w:r>
    </w:p>
    <w:p w14:paraId="54F988C6" w14:textId="4A75A974" w:rsidR="002322DE" w:rsidRPr="00DE5FDC" w:rsidRDefault="002322DE" w:rsidP="00CB2F8E">
      <w:pPr>
        <w:numPr>
          <w:ilvl w:val="0"/>
          <w:numId w:val="24"/>
        </w:numPr>
        <w:rPr>
          <w:rFonts w:asciiTheme="minorHAnsi" w:hAnsiTheme="minorHAnsi" w:cstheme="minorHAnsi"/>
          <w:bCs/>
          <w:color w:val="000000" w:themeColor="text1"/>
          <w:sz w:val="20"/>
          <w:szCs w:val="20"/>
          <w:lang w:val="x-none"/>
        </w:rPr>
      </w:pPr>
      <w:r w:rsidRPr="00DE5FDC">
        <w:rPr>
          <w:rFonts w:asciiTheme="minorHAnsi" w:hAnsiTheme="minorHAnsi" w:cstheme="minorHAnsi"/>
          <w:b/>
          <w:bCs/>
          <w:i/>
          <w:color w:val="000000" w:themeColor="text1"/>
          <w:sz w:val="20"/>
          <w:szCs w:val="20"/>
          <w:lang w:val="x-none"/>
        </w:rPr>
        <w:t>Children</w:t>
      </w:r>
      <w:r w:rsidRPr="00DE5FDC">
        <w:rPr>
          <w:rFonts w:asciiTheme="minorHAnsi" w:hAnsiTheme="minorHAnsi" w:cstheme="minorHAnsi"/>
          <w:b/>
          <w:bCs/>
          <w:i/>
          <w:color w:val="000000" w:themeColor="text1"/>
          <w:sz w:val="20"/>
          <w:szCs w:val="20"/>
        </w:rPr>
        <w:t>.</w:t>
      </w:r>
      <w:r w:rsidRPr="00DE5FDC">
        <w:rPr>
          <w:rFonts w:asciiTheme="minorHAnsi" w:hAnsiTheme="minorHAnsi" w:cstheme="minorHAnsi"/>
          <w:bCs/>
          <w:color w:val="000000" w:themeColor="text1"/>
          <w:sz w:val="20"/>
          <w:szCs w:val="20"/>
        </w:rPr>
        <w:t xml:space="preserve"> </w:t>
      </w:r>
      <w:r w:rsidRPr="00DE5FDC">
        <w:rPr>
          <w:rFonts w:asciiTheme="minorHAnsi" w:hAnsiTheme="minorHAnsi" w:cstheme="minorHAnsi"/>
          <w:bCs/>
          <w:color w:val="000000" w:themeColor="text1"/>
          <w:sz w:val="20"/>
          <w:szCs w:val="20"/>
          <w:lang w:val="x-none"/>
        </w:rPr>
        <w:t xml:space="preserve">Delamanid </w:t>
      </w:r>
      <w:r w:rsidRPr="00DE5FDC">
        <w:rPr>
          <w:rFonts w:asciiTheme="minorHAnsi" w:hAnsiTheme="minorHAnsi" w:cstheme="minorHAnsi"/>
          <w:bCs/>
          <w:color w:val="000000" w:themeColor="text1"/>
          <w:sz w:val="20"/>
          <w:szCs w:val="20"/>
        </w:rPr>
        <w:t>has been</w:t>
      </w:r>
      <w:r w:rsidRPr="00DE5FDC">
        <w:rPr>
          <w:rFonts w:asciiTheme="minorHAnsi" w:hAnsiTheme="minorHAnsi" w:cstheme="minorHAnsi"/>
          <w:bCs/>
          <w:color w:val="000000" w:themeColor="text1"/>
          <w:sz w:val="20"/>
          <w:szCs w:val="20"/>
          <w:lang w:val="x-none"/>
        </w:rPr>
        <w:t xml:space="preserve"> studied in children</w:t>
      </w:r>
      <w:r w:rsidR="00AF574C" w:rsidRPr="00DE5FDC">
        <w:rPr>
          <w:rFonts w:asciiTheme="minorHAnsi" w:hAnsiTheme="minorHAnsi" w:cstheme="minorHAnsi"/>
          <w:bCs/>
          <w:color w:val="000000" w:themeColor="text1"/>
          <w:sz w:val="20"/>
          <w:szCs w:val="20"/>
        </w:rPr>
        <w:t>. It</w:t>
      </w:r>
      <w:r w:rsidR="00C73257" w:rsidRPr="00DE5FDC">
        <w:rPr>
          <w:rFonts w:asciiTheme="minorHAnsi" w:hAnsiTheme="minorHAnsi" w:cstheme="minorHAnsi"/>
          <w:bCs/>
          <w:color w:val="000000" w:themeColor="text1"/>
          <w:sz w:val="20"/>
          <w:szCs w:val="20"/>
        </w:rPr>
        <w:t xml:space="preserve"> i</w:t>
      </w:r>
      <w:r w:rsidR="00AF574C" w:rsidRPr="00DE5FDC">
        <w:rPr>
          <w:rFonts w:asciiTheme="minorHAnsi" w:hAnsiTheme="minorHAnsi" w:cstheme="minorHAnsi"/>
          <w:bCs/>
          <w:color w:val="000000" w:themeColor="text1"/>
          <w:sz w:val="20"/>
          <w:szCs w:val="20"/>
        </w:rPr>
        <w:t xml:space="preserve">s recommended use is described in Section </w:t>
      </w:r>
      <w:r w:rsidR="009938C8" w:rsidRPr="00DE5FDC">
        <w:rPr>
          <w:rFonts w:asciiTheme="minorHAnsi" w:hAnsiTheme="minorHAnsi" w:cstheme="minorHAnsi"/>
          <w:bCs/>
          <w:color w:val="000000" w:themeColor="text1"/>
          <w:sz w:val="20"/>
          <w:szCs w:val="20"/>
        </w:rPr>
        <w:fldChar w:fldCharType="begin"/>
      </w:r>
      <w:r w:rsidR="009938C8" w:rsidRPr="00DE5FDC">
        <w:rPr>
          <w:rFonts w:asciiTheme="minorHAnsi" w:hAnsiTheme="minorHAnsi" w:cstheme="minorHAnsi"/>
          <w:bCs/>
          <w:color w:val="000000" w:themeColor="text1"/>
          <w:sz w:val="20"/>
          <w:szCs w:val="20"/>
        </w:rPr>
        <w:instrText xml:space="preserve"> REF _Ref12949896 \r \h  \* MERGEFORMAT </w:instrText>
      </w:r>
      <w:r w:rsidR="009938C8" w:rsidRPr="00DE5FDC">
        <w:rPr>
          <w:rFonts w:asciiTheme="minorHAnsi" w:hAnsiTheme="minorHAnsi" w:cstheme="minorHAnsi"/>
          <w:bCs/>
          <w:color w:val="000000" w:themeColor="text1"/>
          <w:sz w:val="20"/>
          <w:szCs w:val="20"/>
        </w:rPr>
      </w:r>
      <w:r w:rsidR="009938C8" w:rsidRPr="00DE5FDC">
        <w:rPr>
          <w:rFonts w:asciiTheme="minorHAnsi" w:hAnsiTheme="minorHAnsi" w:cstheme="minorHAnsi"/>
          <w:bCs/>
          <w:color w:val="000000" w:themeColor="text1"/>
          <w:sz w:val="20"/>
          <w:szCs w:val="20"/>
        </w:rPr>
        <w:fldChar w:fldCharType="separate"/>
      </w:r>
      <w:r w:rsidR="009938C8" w:rsidRPr="00DE5FDC">
        <w:rPr>
          <w:rFonts w:asciiTheme="minorHAnsi" w:hAnsiTheme="minorHAnsi" w:cstheme="minorHAnsi"/>
          <w:bCs/>
          <w:color w:val="000000" w:themeColor="text1"/>
          <w:sz w:val="20"/>
          <w:szCs w:val="20"/>
        </w:rPr>
        <w:t>4.8</w:t>
      </w:r>
      <w:r w:rsidR="009938C8" w:rsidRPr="00DE5FDC">
        <w:rPr>
          <w:rFonts w:asciiTheme="minorHAnsi" w:hAnsiTheme="minorHAnsi" w:cstheme="minorHAnsi"/>
          <w:bCs/>
          <w:color w:val="000000" w:themeColor="text1"/>
          <w:sz w:val="20"/>
          <w:szCs w:val="20"/>
        </w:rPr>
        <w:fldChar w:fldCharType="end"/>
      </w:r>
      <w:r w:rsidR="00304C62" w:rsidRPr="00DE5FDC">
        <w:rPr>
          <w:rFonts w:asciiTheme="minorHAnsi" w:hAnsiTheme="minorHAnsi" w:cstheme="minorHAnsi"/>
          <w:bCs/>
          <w:color w:val="000000" w:themeColor="text1"/>
          <w:sz w:val="20"/>
          <w:szCs w:val="20"/>
        </w:rPr>
        <w:t>.</w:t>
      </w:r>
    </w:p>
    <w:p w14:paraId="040105AD" w14:textId="77777777" w:rsidR="002322DE" w:rsidRPr="00DE5FDC" w:rsidRDefault="002322DE" w:rsidP="00CB2F8E">
      <w:pPr>
        <w:numPr>
          <w:ilvl w:val="0"/>
          <w:numId w:val="24"/>
        </w:numPr>
        <w:rPr>
          <w:rFonts w:asciiTheme="minorHAnsi" w:hAnsiTheme="minorHAnsi" w:cstheme="minorHAnsi"/>
          <w:bCs/>
          <w:color w:val="000000" w:themeColor="text1"/>
          <w:sz w:val="20"/>
          <w:szCs w:val="20"/>
          <w:lang w:val="x-none"/>
        </w:rPr>
      </w:pPr>
      <w:r w:rsidRPr="00DE5FDC">
        <w:rPr>
          <w:rFonts w:asciiTheme="minorHAnsi" w:hAnsiTheme="minorHAnsi" w:cstheme="minorHAnsi"/>
          <w:b/>
          <w:bCs/>
          <w:i/>
          <w:color w:val="000000" w:themeColor="text1"/>
          <w:sz w:val="20"/>
          <w:szCs w:val="20"/>
          <w:lang w:val="x-none"/>
        </w:rPr>
        <w:t>HIV co-infected patients on A</w:t>
      </w:r>
      <w:r w:rsidRPr="00DE5FDC">
        <w:rPr>
          <w:rFonts w:asciiTheme="minorHAnsi" w:hAnsiTheme="minorHAnsi" w:cstheme="minorHAnsi"/>
          <w:b/>
          <w:bCs/>
          <w:i/>
          <w:color w:val="000000" w:themeColor="text1"/>
          <w:sz w:val="20"/>
          <w:szCs w:val="20"/>
        </w:rPr>
        <w:t>RT</w:t>
      </w:r>
      <w:r w:rsidRPr="00DE5FDC">
        <w:rPr>
          <w:rFonts w:asciiTheme="minorHAnsi" w:hAnsiTheme="minorHAnsi" w:cstheme="minorHAnsi"/>
          <w:b/>
          <w:bCs/>
          <w:i/>
          <w:color w:val="000000" w:themeColor="text1"/>
          <w:sz w:val="20"/>
          <w:szCs w:val="20"/>
          <w:lang w:val="x-none"/>
        </w:rPr>
        <w:t>.</w:t>
      </w:r>
      <w:r w:rsidRPr="00DE5FDC">
        <w:rPr>
          <w:rFonts w:asciiTheme="minorHAnsi" w:hAnsiTheme="minorHAnsi" w:cstheme="minorHAnsi"/>
          <w:bCs/>
          <w:color w:val="000000" w:themeColor="text1"/>
          <w:sz w:val="20"/>
          <w:szCs w:val="20"/>
          <w:lang w:val="x-none"/>
        </w:rPr>
        <w:t xml:space="preserve"> Delamanid has very few drug interactions, less impact on the therapeutic drug levels and </w:t>
      </w:r>
      <w:r w:rsidRPr="00DE5FDC">
        <w:rPr>
          <w:rFonts w:asciiTheme="minorHAnsi" w:hAnsiTheme="minorHAnsi" w:cstheme="minorHAnsi"/>
          <w:bCs/>
          <w:color w:val="000000" w:themeColor="text1"/>
          <w:sz w:val="20"/>
          <w:szCs w:val="20"/>
        </w:rPr>
        <w:t xml:space="preserve">no significant </w:t>
      </w:r>
      <w:r w:rsidRPr="00DE5FDC">
        <w:rPr>
          <w:rFonts w:asciiTheme="minorHAnsi" w:hAnsiTheme="minorHAnsi" w:cstheme="minorHAnsi"/>
          <w:bCs/>
          <w:color w:val="000000" w:themeColor="text1"/>
          <w:sz w:val="20"/>
          <w:szCs w:val="20"/>
          <w:lang w:val="x-none"/>
        </w:rPr>
        <w:t>overlapping toxicities with AR</w:t>
      </w:r>
      <w:r w:rsidRPr="00DE5FDC">
        <w:rPr>
          <w:rFonts w:asciiTheme="minorHAnsi" w:hAnsiTheme="minorHAnsi" w:cstheme="minorHAnsi"/>
          <w:bCs/>
          <w:color w:val="000000" w:themeColor="text1"/>
          <w:sz w:val="20"/>
          <w:szCs w:val="20"/>
        </w:rPr>
        <w:t>T.</w:t>
      </w:r>
    </w:p>
    <w:p w14:paraId="364366FC" w14:textId="77777777" w:rsidR="002322DE" w:rsidRPr="00DE5FDC" w:rsidRDefault="002322DE" w:rsidP="00CB2F8E">
      <w:pPr>
        <w:numPr>
          <w:ilvl w:val="0"/>
          <w:numId w:val="24"/>
        </w:numPr>
        <w:rPr>
          <w:rFonts w:asciiTheme="minorHAnsi" w:hAnsiTheme="minorHAnsi" w:cstheme="minorHAnsi"/>
          <w:bCs/>
          <w:color w:val="000000" w:themeColor="text1"/>
          <w:sz w:val="20"/>
          <w:szCs w:val="20"/>
          <w:lang w:val="x-none"/>
        </w:rPr>
      </w:pPr>
      <w:r w:rsidRPr="00DE5FDC">
        <w:rPr>
          <w:rFonts w:asciiTheme="minorHAnsi" w:hAnsiTheme="minorHAnsi" w:cstheme="minorHAnsi"/>
          <w:b/>
          <w:bCs/>
          <w:i/>
          <w:color w:val="000000" w:themeColor="text1"/>
          <w:sz w:val="20"/>
          <w:szCs w:val="20"/>
          <w:lang w:val="x-none"/>
        </w:rPr>
        <w:t>Patients with liver toxicity or</w:t>
      </w:r>
      <w:r w:rsidRPr="00DE5FDC">
        <w:rPr>
          <w:rFonts w:asciiTheme="minorHAnsi" w:hAnsiTheme="minorHAnsi" w:cstheme="minorHAnsi"/>
          <w:b/>
          <w:bCs/>
          <w:i/>
          <w:color w:val="000000" w:themeColor="text1"/>
          <w:sz w:val="20"/>
          <w:szCs w:val="20"/>
        </w:rPr>
        <w:t xml:space="preserve"> viral</w:t>
      </w:r>
      <w:r w:rsidRPr="00DE5FDC">
        <w:rPr>
          <w:rFonts w:asciiTheme="minorHAnsi" w:hAnsiTheme="minorHAnsi" w:cstheme="minorHAnsi"/>
          <w:b/>
          <w:bCs/>
          <w:i/>
          <w:color w:val="000000" w:themeColor="text1"/>
          <w:sz w:val="20"/>
          <w:szCs w:val="20"/>
          <w:lang w:val="x-none"/>
        </w:rPr>
        <w:t xml:space="preserve"> hepatitis</w:t>
      </w:r>
      <w:r w:rsidRPr="00DE5FDC">
        <w:rPr>
          <w:rFonts w:asciiTheme="minorHAnsi" w:hAnsiTheme="minorHAnsi" w:cstheme="minorHAnsi"/>
          <w:bCs/>
          <w:color w:val="000000" w:themeColor="text1"/>
          <w:sz w:val="20"/>
          <w:szCs w:val="20"/>
        </w:rPr>
        <w:t>. D</w:t>
      </w:r>
      <w:r w:rsidRPr="00DE5FDC">
        <w:rPr>
          <w:rFonts w:asciiTheme="minorHAnsi" w:hAnsiTheme="minorHAnsi" w:cstheme="minorHAnsi"/>
          <w:bCs/>
          <w:color w:val="000000" w:themeColor="text1"/>
          <w:sz w:val="20"/>
          <w:szCs w:val="20"/>
          <w:lang w:val="x-none"/>
        </w:rPr>
        <w:t xml:space="preserve">elamanid </w:t>
      </w:r>
      <w:r w:rsidRPr="00DE5FDC">
        <w:rPr>
          <w:rFonts w:asciiTheme="minorHAnsi" w:hAnsiTheme="minorHAnsi" w:cstheme="minorHAnsi"/>
          <w:bCs/>
          <w:color w:val="000000" w:themeColor="text1"/>
          <w:sz w:val="20"/>
          <w:szCs w:val="20"/>
        </w:rPr>
        <w:t>has not been reported to be associated with</w:t>
      </w:r>
      <w:r w:rsidRPr="00DE5FDC">
        <w:rPr>
          <w:rFonts w:asciiTheme="minorHAnsi" w:hAnsiTheme="minorHAnsi" w:cstheme="minorHAnsi"/>
          <w:bCs/>
          <w:color w:val="000000" w:themeColor="text1"/>
          <w:sz w:val="20"/>
          <w:szCs w:val="20"/>
          <w:lang w:val="x-none"/>
        </w:rPr>
        <w:t xml:space="preserve"> liver toxicity and could be used in preference in patients with </w:t>
      </w:r>
      <w:r w:rsidRPr="00DE5FDC">
        <w:rPr>
          <w:rFonts w:asciiTheme="minorHAnsi" w:hAnsiTheme="minorHAnsi" w:cstheme="minorHAnsi"/>
          <w:bCs/>
          <w:color w:val="000000" w:themeColor="text1"/>
          <w:sz w:val="20"/>
          <w:szCs w:val="20"/>
        </w:rPr>
        <w:t>liver</w:t>
      </w:r>
      <w:r w:rsidRPr="00DE5FDC">
        <w:rPr>
          <w:rFonts w:asciiTheme="minorHAnsi" w:hAnsiTheme="minorHAnsi" w:cstheme="minorHAnsi"/>
          <w:bCs/>
          <w:color w:val="000000" w:themeColor="text1"/>
          <w:sz w:val="20"/>
          <w:szCs w:val="20"/>
          <w:lang w:val="x-none"/>
        </w:rPr>
        <w:t xml:space="preserve"> co-morbidities</w:t>
      </w:r>
      <w:r w:rsidRPr="00DE5FDC">
        <w:rPr>
          <w:rFonts w:asciiTheme="minorHAnsi" w:hAnsiTheme="minorHAnsi" w:cstheme="minorHAnsi"/>
          <w:bCs/>
          <w:color w:val="000000" w:themeColor="text1"/>
          <w:sz w:val="20"/>
          <w:szCs w:val="20"/>
        </w:rPr>
        <w:t>, such as viral hepatitis or alcoholic liver disease.</w:t>
      </w:r>
    </w:p>
    <w:p w14:paraId="1A4D0E3E" w14:textId="7DC5BCB2" w:rsidR="002322DE" w:rsidRPr="00DE5FDC" w:rsidRDefault="002322DE" w:rsidP="00CB2F8E">
      <w:pPr>
        <w:numPr>
          <w:ilvl w:val="0"/>
          <w:numId w:val="24"/>
        </w:numPr>
        <w:rPr>
          <w:rFonts w:asciiTheme="minorHAnsi" w:hAnsiTheme="minorHAnsi" w:cstheme="minorHAnsi"/>
          <w:bCs/>
          <w:color w:val="000000" w:themeColor="text1"/>
          <w:sz w:val="20"/>
          <w:szCs w:val="20"/>
          <w:lang w:val="x-none"/>
        </w:rPr>
      </w:pPr>
      <w:r w:rsidRPr="00DE5FDC">
        <w:rPr>
          <w:rFonts w:asciiTheme="minorHAnsi" w:hAnsiTheme="minorHAnsi" w:cstheme="minorHAnsi"/>
          <w:b/>
          <w:bCs/>
          <w:i/>
          <w:color w:val="000000" w:themeColor="text1"/>
          <w:sz w:val="20"/>
          <w:szCs w:val="20"/>
        </w:rPr>
        <w:t>As a drug replacement when a Group A or B drug is causing toxicity</w:t>
      </w:r>
      <w:r w:rsidRPr="00DE5FDC">
        <w:rPr>
          <w:rFonts w:asciiTheme="minorHAnsi" w:hAnsiTheme="minorHAnsi" w:cstheme="minorHAnsi"/>
          <w:bCs/>
          <w:color w:val="000000" w:themeColor="text1"/>
          <w:sz w:val="20"/>
          <w:szCs w:val="20"/>
        </w:rPr>
        <w:t xml:space="preserve">. When drug toxicity develops early, it is often desirable to replace the culprit drug with another TB drug.  Delamanid is often a good choice due to its high safety profile.  Delamanid is commonly used to replace linezolid when toxicities develop, and it is </w:t>
      </w:r>
      <w:r w:rsidR="00B841BE" w:rsidRPr="00DE5FDC">
        <w:rPr>
          <w:rFonts w:asciiTheme="minorHAnsi" w:hAnsiTheme="minorHAnsi" w:cstheme="minorHAnsi"/>
          <w:bCs/>
          <w:color w:val="000000" w:themeColor="text1"/>
          <w:sz w:val="20"/>
          <w:szCs w:val="20"/>
        </w:rPr>
        <w:t>preferable to maintain</w:t>
      </w:r>
      <w:r w:rsidRPr="00DE5FDC">
        <w:rPr>
          <w:rFonts w:asciiTheme="minorHAnsi" w:hAnsiTheme="minorHAnsi" w:cstheme="minorHAnsi"/>
          <w:bCs/>
          <w:color w:val="000000" w:themeColor="text1"/>
          <w:sz w:val="20"/>
          <w:szCs w:val="20"/>
        </w:rPr>
        <w:t xml:space="preserve"> the number of drugs in the regimen. </w:t>
      </w:r>
    </w:p>
    <w:p w14:paraId="33548180" w14:textId="160E85FF" w:rsidR="002322DE" w:rsidRPr="00DE5FDC" w:rsidRDefault="002322DE" w:rsidP="00B20D8C">
      <w:pPr>
        <w:ind w:left="477"/>
        <w:rPr>
          <w:rFonts w:asciiTheme="minorHAnsi" w:hAnsiTheme="minorHAnsi" w:cstheme="minorHAnsi"/>
          <w:bCs/>
          <w:color w:val="000000" w:themeColor="text1"/>
          <w:sz w:val="20"/>
          <w:szCs w:val="20"/>
        </w:rPr>
      </w:pPr>
      <w:r w:rsidRPr="00DE5FDC">
        <w:rPr>
          <w:rFonts w:asciiTheme="minorHAnsi" w:hAnsiTheme="minorHAnsi" w:cstheme="minorHAnsi"/>
          <w:bCs/>
          <w:color w:val="000000" w:themeColor="text1"/>
          <w:sz w:val="20"/>
          <w:szCs w:val="20"/>
        </w:rPr>
        <w:lastRenderedPageBreak/>
        <w:t xml:space="preserve">Delamanid should be given with food, often a light meal. This increases the absorption of the drug quite significantly.  </w:t>
      </w:r>
    </w:p>
    <w:p w14:paraId="4C773E69" w14:textId="480C3498" w:rsidR="002322DE" w:rsidRPr="00DE5FDC" w:rsidRDefault="002322DE" w:rsidP="00B20D8C">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 xml:space="preserve">Delamanid is a partially metabolized by the cytochrome P450 system enzymes in the liver, but is not influenced significantly by the inducers or inhibitors of the P450 enzyme system. Delamanid can be given with all ART medicines without dose adjustment. </w:t>
      </w:r>
    </w:p>
    <w:p w14:paraId="05F3316A" w14:textId="5F04E0F5" w:rsidR="002322DE" w:rsidRPr="00DE5FDC" w:rsidRDefault="002322DE" w:rsidP="00B20D8C">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 xml:space="preserve">Delamanid has a mild QT prolonging effect.  </w:t>
      </w:r>
      <w:r w:rsidR="00894980" w:rsidRPr="00DE5FDC">
        <w:rPr>
          <w:rFonts w:asciiTheme="minorHAnsi" w:hAnsiTheme="minorHAnsi" w:cstheme="minorHAnsi"/>
          <w:bCs/>
          <w:color w:val="000000" w:themeColor="text1"/>
          <w:sz w:val="21"/>
          <w:szCs w:val="21"/>
        </w:rPr>
        <w:t>QT monitoring for all-oral STRs is described in Section 7</w:t>
      </w:r>
      <w:r w:rsidR="00DD431B" w:rsidRPr="00DE5FDC">
        <w:rPr>
          <w:rFonts w:asciiTheme="minorHAnsi" w:hAnsiTheme="minorHAnsi" w:cstheme="minorHAnsi"/>
          <w:bCs/>
          <w:color w:val="000000" w:themeColor="text1"/>
          <w:sz w:val="21"/>
          <w:szCs w:val="21"/>
        </w:rPr>
        <w:t xml:space="preserve">. </w:t>
      </w:r>
      <w:r w:rsidRPr="00DE5FDC">
        <w:rPr>
          <w:rFonts w:asciiTheme="minorHAnsi" w:hAnsiTheme="minorHAnsi" w:cstheme="minorHAnsi"/>
          <w:bCs/>
          <w:color w:val="000000" w:themeColor="text1"/>
          <w:sz w:val="21"/>
          <w:szCs w:val="21"/>
        </w:rPr>
        <w:t>The non-TB drugs that cause QT-prolongation (</w:t>
      </w:r>
      <w:r w:rsidR="00DD431B" w:rsidRPr="00DE5FDC">
        <w:rPr>
          <w:rFonts w:asciiTheme="minorHAnsi" w:hAnsiTheme="minorHAnsi" w:cstheme="minorHAnsi"/>
          <w:bCs/>
          <w:color w:val="000000" w:themeColor="text1"/>
          <w:sz w:val="21"/>
          <w:szCs w:val="21"/>
        </w:rPr>
        <w:t xml:space="preserve">see Section </w:t>
      </w:r>
      <w:r w:rsidR="00333584" w:rsidRPr="00DE5FDC">
        <w:rPr>
          <w:rFonts w:asciiTheme="minorHAnsi" w:hAnsiTheme="minorHAnsi" w:cstheme="minorHAnsi"/>
          <w:bCs/>
          <w:color w:val="000000" w:themeColor="text1"/>
          <w:sz w:val="21"/>
          <w:szCs w:val="21"/>
        </w:rPr>
        <w:fldChar w:fldCharType="begin"/>
      </w:r>
      <w:r w:rsidR="00333584" w:rsidRPr="00DE5FDC">
        <w:rPr>
          <w:rFonts w:asciiTheme="minorHAnsi" w:hAnsiTheme="minorHAnsi" w:cstheme="minorHAnsi"/>
          <w:bCs/>
          <w:color w:val="000000" w:themeColor="text1"/>
          <w:sz w:val="21"/>
          <w:szCs w:val="21"/>
        </w:rPr>
        <w:instrText xml:space="preserve"> REF _Ref12949984 \r \h  \* MERGEFORMAT </w:instrText>
      </w:r>
      <w:r w:rsidR="00333584" w:rsidRPr="00DE5FDC">
        <w:rPr>
          <w:rFonts w:asciiTheme="minorHAnsi" w:hAnsiTheme="minorHAnsi" w:cstheme="minorHAnsi"/>
          <w:bCs/>
          <w:color w:val="000000" w:themeColor="text1"/>
          <w:sz w:val="21"/>
          <w:szCs w:val="21"/>
        </w:rPr>
      </w:r>
      <w:r w:rsidR="00333584" w:rsidRPr="00DE5FDC">
        <w:rPr>
          <w:rFonts w:asciiTheme="minorHAnsi" w:hAnsiTheme="minorHAnsi" w:cstheme="minorHAnsi"/>
          <w:bCs/>
          <w:color w:val="000000" w:themeColor="text1"/>
          <w:sz w:val="21"/>
          <w:szCs w:val="21"/>
        </w:rPr>
        <w:fldChar w:fldCharType="separate"/>
      </w:r>
      <w:r w:rsidR="00333584" w:rsidRPr="00DE5FDC">
        <w:rPr>
          <w:rFonts w:asciiTheme="minorHAnsi" w:hAnsiTheme="minorHAnsi" w:cstheme="minorHAnsi"/>
          <w:bCs/>
          <w:color w:val="000000" w:themeColor="text1"/>
          <w:sz w:val="21"/>
          <w:szCs w:val="21"/>
        </w:rPr>
        <w:t>3.4</w:t>
      </w:r>
      <w:r w:rsidR="00333584" w:rsidRPr="00DE5FDC">
        <w:rPr>
          <w:rFonts w:asciiTheme="minorHAnsi" w:hAnsiTheme="minorHAnsi" w:cstheme="minorHAnsi"/>
          <w:bCs/>
          <w:color w:val="000000" w:themeColor="text1"/>
          <w:sz w:val="21"/>
          <w:szCs w:val="21"/>
        </w:rPr>
        <w:fldChar w:fldCharType="end"/>
      </w:r>
      <w:r w:rsidRPr="00DE5FDC">
        <w:rPr>
          <w:rFonts w:asciiTheme="minorHAnsi" w:hAnsiTheme="minorHAnsi" w:cstheme="minorHAnsi"/>
          <w:bCs/>
          <w:color w:val="000000" w:themeColor="text1"/>
          <w:sz w:val="21"/>
          <w:szCs w:val="21"/>
        </w:rPr>
        <w:t xml:space="preserve">) should be avoided. </w:t>
      </w:r>
    </w:p>
    <w:p w14:paraId="07E6B54C" w14:textId="2098DF4F" w:rsidR="003B74D1" w:rsidRPr="00DE5FDC" w:rsidRDefault="003B74D1" w:rsidP="00B20D8C">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First-line anti-TB therapy with fixed dose combination of HREZ appears to decrease levels of delamanid in early studies. The mechanism is not clear. Avoid the use of delamanid with first-line anti-TB therapy.</w:t>
      </w:r>
    </w:p>
    <w:p w14:paraId="790CFB70" w14:textId="72800D77" w:rsidR="0082629A" w:rsidRPr="00DE5FDC" w:rsidRDefault="002322DE" w:rsidP="00674CDF">
      <w:pPr>
        <w:ind w:left="477"/>
        <w:rPr>
          <w:rFonts w:asciiTheme="minorHAnsi" w:hAnsiTheme="minorHAnsi" w:cstheme="minorHAnsi"/>
          <w:bCs/>
          <w:color w:val="000000" w:themeColor="text1"/>
          <w:sz w:val="21"/>
          <w:szCs w:val="21"/>
        </w:rPr>
      </w:pPr>
      <w:r w:rsidRPr="00DE5FDC">
        <w:rPr>
          <w:rFonts w:asciiTheme="minorHAnsi" w:hAnsiTheme="minorHAnsi" w:cstheme="minorHAnsi"/>
          <w:b/>
          <w:bCs/>
          <w:color w:val="000000" w:themeColor="text1"/>
          <w:sz w:val="21"/>
          <w:szCs w:val="21"/>
          <w:lang w:val="x-none"/>
        </w:rPr>
        <w:t>Pyrazinamide</w:t>
      </w:r>
      <w:r w:rsidR="00B20D8C" w:rsidRPr="00DE5FDC">
        <w:rPr>
          <w:rFonts w:asciiTheme="minorHAnsi" w:hAnsiTheme="minorHAnsi" w:cstheme="minorHAnsi"/>
          <w:b/>
          <w:bCs/>
          <w:color w:val="000000" w:themeColor="text1"/>
          <w:sz w:val="21"/>
          <w:szCs w:val="21"/>
        </w:rPr>
        <w:t xml:space="preserve">. </w:t>
      </w:r>
      <w:r w:rsidR="00B20D8C" w:rsidRPr="00DE5FDC">
        <w:rPr>
          <w:rFonts w:asciiTheme="minorHAnsi" w:hAnsiTheme="minorHAnsi" w:cstheme="minorHAnsi"/>
          <w:bCs/>
          <w:color w:val="000000" w:themeColor="text1"/>
          <w:sz w:val="21"/>
          <w:szCs w:val="21"/>
        </w:rPr>
        <w:t xml:space="preserve">Pyrazinamide is often employed in all-oral STRs, </w:t>
      </w:r>
      <w:r w:rsidR="00D555D7" w:rsidRPr="00DE5FDC">
        <w:rPr>
          <w:rFonts w:asciiTheme="minorHAnsi" w:hAnsiTheme="minorHAnsi" w:cstheme="minorHAnsi"/>
          <w:bCs/>
          <w:color w:val="000000" w:themeColor="text1"/>
          <w:sz w:val="21"/>
          <w:szCs w:val="21"/>
        </w:rPr>
        <w:t>with the</w:t>
      </w:r>
      <w:r w:rsidR="00B20D8C" w:rsidRPr="00DE5FDC">
        <w:rPr>
          <w:rFonts w:asciiTheme="minorHAnsi" w:hAnsiTheme="minorHAnsi" w:cstheme="minorHAnsi"/>
          <w:bCs/>
          <w:color w:val="000000" w:themeColor="text1"/>
          <w:sz w:val="21"/>
          <w:szCs w:val="21"/>
        </w:rPr>
        <w:t xml:space="preserve"> acknowledge</w:t>
      </w:r>
      <w:r w:rsidR="00D555D7" w:rsidRPr="00DE5FDC">
        <w:rPr>
          <w:rFonts w:asciiTheme="minorHAnsi" w:hAnsiTheme="minorHAnsi" w:cstheme="minorHAnsi"/>
          <w:bCs/>
          <w:color w:val="000000" w:themeColor="text1"/>
          <w:sz w:val="21"/>
          <w:szCs w:val="21"/>
        </w:rPr>
        <w:t>ment</w:t>
      </w:r>
      <w:r w:rsidR="00B20D8C" w:rsidRPr="00DE5FDC">
        <w:rPr>
          <w:rFonts w:asciiTheme="minorHAnsi" w:hAnsiTheme="minorHAnsi" w:cstheme="minorHAnsi"/>
          <w:bCs/>
          <w:color w:val="000000" w:themeColor="text1"/>
          <w:sz w:val="21"/>
          <w:szCs w:val="21"/>
        </w:rPr>
        <w:t xml:space="preserve"> that </w:t>
      </w:r>
      <w:r w:rsidR="00074BE5" w:rsidRPr="00DE5FDC">
        <w:rPr>
          <w:rFonts w:asciiTheme="minorHAnsi" w:hAnsiTheme="minorHAnsi" w:cstheme="minorHAnsi"/>
          <w:bCs/>
          <w:color w:val="000000" w:themeColor="text1"/>
          <w:sz w:val="21"/>
          <w:szCs w:val="21"/>
        </w:rPr>
        <w:t xml:space="preserve">its role in the regimen may be non-critical as many </w:t>
      </w:r>
      <w:r w:rsidR="00B20D8C" w:rsidRPr="00DE5FDC">
        <w:rPr>
          <w:rFonts w:asciiTheme="minorHAnsi" w:hAnsiTheme="minorHAnsi" w:cstheme="minorHAnsi"/>
          <w:bCs/>
          <w:color w:val="000000" w:themeColor="text1"/>
          <w:sz w:val="21"/>
          <w:szCs w:val="21"/>
        </w:rPr>
        <w:t xml:space="preserve">circulating MDR-TB stains have high rates of </w:t>
      </w:r>
      <w:r w:rsidR="00074BE5" w:rsidRPr="00DE5FDC">
        <w:rPr>
          <w:rFonts w:asciiTheme="minorHAnsi" w:hAnsiTheme="minorHAnsi" w:cstheme="minorHAnsi"/>
          <w:bCs/>
          <w:color w:val="000000" w:themeColor="text1"/>
          <w:sz w:val="21"/>
          <w:szCs w:val="21"/>
        </w:rPr>
        <w:t xml:space="preserve">pyrazinamide </w:t>
      </w:r>
      <w:r w:rsidR="00B20D8C" w:rsidRPr="00DE5FDC">
        <w:rPr>
          <w:rFonts w:asciiTheme="minorHAnsi" w:hAnsiTheme="minorHAnsi" w:cstheme="minorHAnsi"/>
          <w:bCs/>
          <w:color w:val="000000" w:themeColor="text1"/>
          <w:sz w:val="21"/>
          <w:szCs w:val="21"/>
        </w:rPr>
        <w:t xml:space="preserve">resistance.  </w:t>
      </w:r>
    </w:p>
    <w:p w14:paraId="4A1A89DD" w14:textId="061A1364" w:rsidR="000D1F1D" w:rsidRPr="00DE5FDC" w:rsidRDefault="00074BE5" w:rsidP="00674CDF">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 xml:space="preserve">If DST through molecular testing involving gene sequencing or </w:t>
      </w:r>
      <w:r w:rsidR="00B841BE" w:rsidRPr="00DE5FDC">
        <w:rPr>
          <w:rFonts w:asciiTheme="minorHAnsi" w:hAnsiTheme="minorHAnsi" w:cstheme="minorHAnsi"/>
          <w:bCs/>
          <w:color w:val="000000" w:themeColor="text1"/>
          <w:sz w:val="21"/>
          <w:szCs w:val="21"/>
        </w:rPr>
        <w:t xml:space="preserve">reliable </w:t>
      </w:r>
      <w:r w:rsidRPr="00DE5FDC">
        <w:rPr>
          <w:rFonts w:asciiTheme="minorHAnsi" w:hAnsiTheme="minorHAnsi" w:cstheme="minorHAnsi"/>
          <w:bCs/>
          <w:color w:val="000000" w:themeColor="text1"/>
          <w:sz w:val="21"/>
          <w:szCs w:val="21"/>
        </w:rPr>
        <w:t>phenotypic DST</w:t>
      </w:r>
      <w:r w:rsidR="00D555D7" w:rsidRPr="00DE5FDC">
        <w:rPr>
          <w:rFonts w:asciiTheme="minorHAnsi" w:hAnsiTheme="minorHAnsi" w:cstheme="minorHAnsi"/>
          <w:bCs/>
          <w:color w:val="000000" w:themeColor="text1"/>
          <w:sz w:val="21"/>
          <w:szCs w:val="21"/>
        </w:rPr>
        <w:t xml:space="preserve"> </w:t>
      </w:r>
      <w:r w:rsidR="00B841BE" w:rsidRPr="00DE5FDC">
        <w:rPr>
          <w:rFonts w:asciiTheme="minorHAnsi" w:hAnsiTheme="minorHAnsi" w:cstheme="minorHAnsi"/>
          <w:bCs/>
          <w:color w:val="000000" w:themeColor="text1"/>
          <w:sz w:val="21"/>
          <w:szCs w:val="21"/>
        </w:rPr>
        <w:t>done in a high</w:t>
      </w:r>
      <w:r w:rsidR="000F142F">
        <w:rPr>
          <w:rFonts w:asciiTheme="minorHAnsi" w:hAnsiTheme="minorHAnsi" w:cstheme="minorHAnsi"/>
          <w:bCs/>
          <w:color w:val="000000" w:themeColor="text1"/>
          <w:sz w:val="21"/>
          <w:szCs w:val="21"/>
        </w:rPr>
        <w:t>-</w:t>
      </w:r>
      <w:r w:rsidR="00B841BE" w:rsidRPr="00DE5FDC">
        <w:rPr>
          <w:rFonts w:asciiTheme="minorHAnsi" w:hAnsiTheme="minorHAnsi" w:cstheme="minorHAnsi"/>
          <w:bCs/>
          <w:color w:val="000000" w:themeColor="text1"/>
          <w:sz w:val="21"/>
          <w:szCs w:val="21"/>
        </w:rPr>
        <w:t xml:space="preserve">quality lab </w:t>
      </w:r>
      <w:r w:rsidR="00D555D7" w:rsidRPr="00DE5FDC">
        <w:rPr>
          <w:rFonts w:asciiTheme="minorHAnsi" w:hAnsiTheme="minorHAnsi" w:cstheme="minorHAnsi"/>
          <w:bCs/>
          <w:color w:val="000000" w:themeColor="text1"/>
          <w:sz w:val="21"/>
          <w:szCs w:val="21"/>
        </w:rPr>
        <w:t xml:space="preserve">is available, it </w:t>
      </w:r>
      <w:r w:rsidR="000D1F1D" w:rsidRPr="00DE5FDC">
        <w:rPr>
          <w:rFonts w:asciiTheme="minorHAnsi" w:hAnsiTheme="minorHAnsi" w:cstheme="minorHAnsi"/>
          <w:bCs/>
          <w:color w:val="000000" w:themeColor="text1"/>
          <w:sz w:val="21"/>
          <w:szCs w:val="21"/>
        </w:rPr>
        <w:t>can help guide the</w:t>
      </w:r>
      <w:r w:rsidR="00292ED9" w:rsidRPr="00DE5FDC">
        <w:rPr>
          <w:rFonts w:asciiTheme="minorHAnsi" w:hAnsiTheme="minorHAnsi" w:cstheme="minorHAnsi"/>
          <w:bCs/>
          <w:color w:val="000000" w:themeColor="text1"/>
          <w:sz w:val="21"/>
          <w:szCs w:val="21"/>
        </w:rPr>
        <w:t xml:space="preserve"> composition of</w:t>
      </w:r>
      <w:r w:rsidR="000D1F1D" w:rsidRPr="00DE5FDC">
        <w:rPr>
          <w:rFonts w:asciiTheme="minorHAnsi" w:hAnsiTheme="minorHAnsi" w:cstheme="minorHAnsi"/>
          <w:bCs/>
          <w:color w:val="000000" w:themeColor="text1"/>
          <w:sz w:val="21"/>
          <w:szCs w:val="21"/>
        </w:rPr>
        <w:t xml:space="preserve"> the </w:t>
      </w:r>
      <w:r w:rsidR="00292ED9" w:rsidRPr="00DE5FDC">
        <w:rPr>
          <w:rFonts w:asciiTheme="minorHAnsi" w:hAnsiTheme="minorHAnsi" w:cstheme="minorHAnsi"/>
          <w:bCs/>
          <w:color w:val="000000" w:themeColor="text1"/>
          <w:sz w:val="21"/>
          <w:szCs w:val="21"/>
        </w:rPr>
        <w:t>STR</w:t>
      </w:r>
      <w:r w:rsidR="00D555D7" w:rsidRPr="00DE5FDC">
        <w:rPr>
          <w:rFonts w:asciiTheme="minorHAnsi" w:hAnsiTheme="minorHAnsi" w:cstheme="minorHAnsi"/>
          <w:bCs/>
          <w:color w:val="000000" w:themeColor="text1"/>
          <w:sz w:val="21"/>
          <w:szCs w:val="21"/>
        </w:rPr>
        <w:t xml:space="preserve">. </w:t>
      </w:r>
    </w:p>
    <w:p w14:paraId="1A773C90" w14:textId="6133A499" w:rsidR="00D555D7" w:rsidRPr="00DE5FDC" w:rsidRDefault="00D555D7" w:rsidP="00674CDF">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If DST to pyrazinamide</w:t>
      </w:r>
      <w:r w:rsidR="00074BE5" w:rsidRPr="00DE5FDC">
        <w:rPr>
          <w:rFonts w:asciiTheme="minorHAnsi" w:hAnsiTheme="minorHAnsi" w:cstheme="minorHAnsi"/>
          <w:bCs/>
          <w:color w:val="000000" w:themeColor="text1"/>
          <w:sz w:val="21"/>
          <w:szCs w:val="21"/>
        </w:rPr>
        <w:t xml:space="preserve"> </w:t>
      </w:r>
      <w:r w:rsidR="000D1F1D" w:rsidRPr="00DE5FDC">
        <w:rPr>
          <w:rFonts w:asciiTheme="minorHAnsi" w:hAnsiTheme="minorHAnsi" w:cstheme="minorHAnsi"/>
          <w:bCs/>
          <w:color w:val="000000" w:themeColor="text1"/>
          <w:sz w:val="21"/>
          <w:szCs w:val="21"/>
        </w:rPr>
        <w:t>demonstrates</w:t>
      </w:r>
      <w:r w:rsidR="00074BE5" w:rsidRPr="00DE5FDC">
        <w:rPr>
          <w:rFonts w:asciiTheme="minorHAnsi" w:hAnsiTheme="minorHAnsi" w:cstheme="minorHAnsi"/>
          <w:bCs/>
          <w:color w:val="000000" w:themeColor="text1"/>
          <w:sz w:val="21"/>
          <w:szCs w:val="21"/>
        </w:rPr>
        <w:t xml:space="preserve"> resistance</w:t>
      </w:r>
      <w:r w:rsidRPr="00DE5FDC">
        <w:rPr>
          <w:rFonts w:asciiTheme="minorHAnsi" w:hAnsiTheme="minorHAnsi" w:cstheme="minorHAnsi"/>
          <w:bCs/>
          <w:color w:val="000000" w:themeColor="text1"/>
          <w:sz w:val="21"/>
          <w:szCs w:val="21"/>
        </w:rPr>
        <w:t>, the authors of this guide recommend</w:t>
      </w:r>
      <w:r w:rsidR="006531F2" w:rsidRPr="00DE5FDC">
        <w:rPr>
          <w:rFonts w:asciiTheme="minorHAnsi" w:hAnsiTheme="minorHAnsi" w:cstheme="minorHAnsi"/>
          <w:bCs/>
          <w:color w:val="000000" w:themeColor="text1"/>
          <w:sz w:val="21"/>
          <w:szCs w:val="21"/>
        </w:rPr>
        <w:t xml:space="preserve"> not using the drug in the STR</w:t>
      </w:r>
      <w:r w:rsidR="00103757" w:rsidRPr="00DE5FDC">
        <w:rPr>
          <w:rFonts w:asciiTheme="minorHAnsi" w:hAnsiTheme="minorHAnsi" w:cstheme="minorHAnsi"/>
          <w:bCs/>
          <w:color w:val="000000" w:themeColor="text1"/>
          <w:sz w:val="21"/>
          <w:szCs w:val="21"/>
        </w:rPr>
        <w:t>,</w:t>
      </w:r>
      <w:r w:rsidR="006531F2" w:rsidRPr="00DE5FDC">
        <w:rPr>
          <w:rFonts w:asciiTheme="minorHAnsi" w:hAnsiTheme="minorHAnsi" w:cstheme="minorHAnsi"/>
          <w:bCs/>
          <w:color w:val="000000" w:themeColor="text1"/>
          <w:sz w:val="21"/>
          <w:szCs w:val="21"/>
        </w:rPr>
        <w:t xml:space="preserve"> or</w:t>
      </w:r>
      <w:r w:rsidRPr="00DE5FDC">
        <w:rPr>
          <w:rFonts w:asciiTheme="minorHAnsi" w:hAnsiTheme="minorHAnsi" w:cstheme="minorHAnsi"/>
          <w:bCs/>
          <w:color w:val="000000" w:themeColor="text1"/>
          <w:sz w:val="21"/>
          <w:szCs w:val="21"/>
        </w:rPr>
        <w:t xml:space="preserve"> stopping </w:t>
      </w:r>
      <w:r w:rsidR="00074BE5" w:rsidRPr="00DE5FDC">
        <w:rPr>
          <w:rFonts w:asciiTheme="minorHAnsi" w:hAnsiTheme="minorHAnsi" w:cstheme="minorHAnsi"/>
          <w:bCs/>
          <w:color w:val="000000" w:themeColor="text1"/>
          <w:sz w:val="21"/>
          <w:szCs w:val="21"/>
        </w:rPr>
        <w:t>the drug</w:t>
      </w:r>
      <w:r w:rsidR="006531F2" w:rsidRPr="00DE5FDC">
        <w:rPr>
          <w:rFonts w:asciiTheme="minorHAnsi" w:hAnsiTheme="minorHAnsi" w:cstheme="minorHAnsi"/>
          <w:bCs/>
          <w:color w:val="000000" w:themeColor="text1"/>
          <w:sz w:val="21"/>
          <w:szCs w:val="21"/>
        </w:rPr>
        <w:t xml:space="preserve"> if </w:t>
      </w:r>
      <w:r w:rsidR="00103757" w:rsidRPr="00DE5FDC">
        <w:rPr>
          <w:rFonts w:asciiTheme="minorHAnsi" w:hAnsiTheme="minorHAnsi" w:cstheme="minorHAnsi"/>
          <w:bCs/>
          <w:color w:val="000000" w:themeColor="text1"/>
          <w:sz w:val="21"/>
          <w:szCs w:val="21"/>
        </w:rPr>
        <w:t>it has already been started,</w:t>
      </w:r>
      <w:r w:rsidR="00074BE5" w:rsidRPr="00DE5FDC">
        <w:rPr>
          <w:rFonts w:asciiTheme="minorHAnsi" w:hAnsiTheme="minorHAnsi" w:cstheme="minorHAnsi"/>
          <w:bCs/>
          <w:color w:val="000000" w:themeColor="text1"/>
          <w:sz w:val="21"/>
          <w:szCs w:val="21"/>
        </w:rPr>
        <w:t xml:space="preserve"> </w:t>
      </w:r>
      <w:r w:rsidRPr="00DE5FDC">
        <w:rPr>
          <w:rFonts w:asciiTheme="minorHAnsi" w:hAnsiTheme="minorHAnsi" w:cstheme="minorHAnsi"/>
          <w:bCs/>
          <w:color w:val="000000" w:themeColor="text1"/>
          <w:sz w:val="21"/>
          <w:szCs w:val="21"/>
        </w:rPr>
        <w:t>as the benefit</w:t>
      </w:r>
      <w:r w:rsidR="0082629A" w:rsidRPr="00DE5FDC">
        <w:rPr>
          <w:rFonts w:asciiTheme="minorHAnsi" w:hAnsiTheme="minorHAnsi" w:cstheme="minorHAnsi"/>
          <w:bCs/>
          <w:color w:val="000000" w:themeColor="text1"/>
          <w:sz w:val="21"/>
          <w:szCs w:val="21"/>
        </w:rPr>
        <w:t>s are</w:t>
      </w:r>
      <w:r w:rsidRPr="00DE5FDC">
        <w:rPr>
          <w:rFonts w:asciiTheme="minorHAnsi" w:hAnsiTheme="minorHAnsi" w:cstheme="minorHAnsi"/>
          <w:bCs/>
          <w:color w:val="000000" w:themeColor="text1"/>
          <w:sz w:val="21"/>
          <w:szCs w:val="21"/>
        </w:rPr>
        <w:t xml:space="preserve"> likely minimal or none and the </w:t>
      </w:r>
      <w:r w:rsidR="000D1F1D" w:rsidRPr="00DE5FDC">
        <w:rPr>
          <w:rFonts w:asciiTheme="minorHAnsi" w:hAnsiTheme="minorHAnsi" w:cstheme="minorHAnsi"/>
          <w:bCs/>
          <w:color w:val="000000" w:themeColor="text1"/>
          <w:sz w:val="21"/>
          <w:szCs w:val="21"/>
        </w:rPr>
        <w:t>potential harms due to</w:t>
      </w:r>
      <w:r w:rsidRPr="00DE5FDC">
        <w:rPr>
          <w:rFonts w:asciiTheme="minorHAnsi" w:hAnsiTheme="minorHAnsi" w:cstheme="minorHAnsi"/>
          <w:bCs/>
          <w:color w:val="000000" w:themeColor="text1"/>
          <w:sz w:val="21"/>
          <w:szCs w:val="21"/>
        </w:rPr>
        <w:t xml:space="preserve"> side</w:t>
      </w:r>
      <w:r w:rsidR="0082629A" w:rsidRPr="00DE5FDC">
        <w:rPr>
          <w:rFonts w:asciiTheme="minorHAnsi" w:hAnsiTheme="minorHAnsi" w:cstheme="minorHAnsi"/>
          <w:bCs/>
          <w:color w:val="000000" w:themeColor="text1"/>
          <w:sz w:val="21"/>
          <w:szCs w:val="21"/>
        </w:rPr>
        <w:t>-</w:t>
      </w:r>
      <w:r w:rsidRPr="00DE5FDC">
        <w:rPr>
          <w:rFonts w:asciiTheme="minorHAnsi" w:hAnsiTheme="minorHAnsi" w:cstheme="minorHAnsi"/>
          <w:bCs/>
          <w:color w:val="000000" w:themeColor="text1"/>
          <w:sz w:val="21"/>
          <w:szCs w:val="21"/>
        </w:rPr>
        <w:t xml:space="preserve">effects </w:t>
      </w:r>
      <w:r w:rsidR="000D1F1D" w:rsidRPr="00DE5FDC">
        <w:rPr>
          <w:rFonts w:asciiTheme="minorHAnsi" w:hAnsiTheme="minorHAnsi" w:cstheme="minorHAnsi"/>
          <w:bCs/>
          <w:color w:val="000000" w:themeColor="text1"/>
          <w:sz w:val="21"/>
          <w:szCs w:val="21"/>
        </w:rPr>
        <w:t>are significant</w:t>
      </w:r>
      <w:r w:rsidRPr="00DE5FDC">
        <w:rPr>
          <w:rFonts w:asciiTheme="minorHAnsi" w:hAnsiTheme="minorHAnsi" w:cstheme="minorHAnsi"/>
          <w:bCs/>
          <w:color w:val="000000" w:themeColor="text1"/>
          <w:sz w:val="21"/>
          <w:szCs w:val="21"/>
        </w:rPr>
        <w:t xml:space="preserve">. </w:t>
      </w:r>
    </w:p>
    <w:p w14:paraId="7880B2D6" w14:textId="5285C011" w:rsidR="002322DE" w:rsidRPr="00DE5FDC" w:rsidRDefault="00D555D7" w:rsidP="00674CDF">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 xml:space="preserve">In five-drug all-oral </w:t>
      </w:r>
      <w:r w:rsidR="000D1F1D" w:rsidRPr="00DE5FDC">
        <w:rPr>
          <w:rFonts w:asciiTheme="minorHAnsi" w:hAnsiTheme="minorHAnsi" w:cstheme="minorHAnsi"/>
          <w:bCs/>
          <w:color w:val="000000" w:themeColor="text1"/>
          <w:sz w:val="21"/>
          <w:szCs w:val="21"/>
        </w:rPr>
        <w:t>STR</w:t>
      </w:r>
      <w:r w:rsidRPr="00DE5FDC">
        <w:rPr>
          <w:rFonts w:asciiTheme="minorHAnsi" w:hAnsiTheme="minorHAnsi" w:cstheme="minorHAnsi"/>
          <w:bCs/>
          <w:color w:val="000000" w:themeColor="text1"/>
          <w:sz w:val="21"/>
          <w:szCs w:val="21"/>
        </w:rPr>
        <w:t xml:space="preserve">s, when resistance to pyrazinamide is documented the drug can be stopped without replacement if there is high confidence that the other 4 drugs are likely effective.  Some programs aim to have five-effective drugs for the whole 9-months and for programs that use this strategy when resistance is documented </w:t>
      </w:r>
      <w:r w:rsidR="009D0D15" w:rsidRPr="00DE5FDC">
        <w:rPr>
          <w:rFonts w:asciiTheme="minorHAnsi" w:hAnsiTheme="minorHAnsi" w:cstheme="minorHAnsi"/>
          <w:bCs/>
          <w:color w:val="000000" w:themeColor="text1"/>
          <w:sz w:val="21"/>
          <w:szCs w:val="21"/>
        </w:rPr>
        <w:t xml:space="preserve">to pyrazinamide </w:t>
      </w:r>
      <w:r w:rsidRPr="00DE5FDC">
        <w:rPr>
          <w:rFonts w:asciiTheme="minorHAnsi" w:hAnsiTheme="minorHAnsi" w:cstheme="minorHAnsi"/>
          <w:bCs/>
          <w:color w:val="000000" w:themeColor="text1"/>
          <w:sz w:val="21"/>
          <w:szCs w:val="21"/>
        </w:rPr>
        <w:t>the drug is</w:t>
      </w:r>
      <w:r w:rsidR="00FF2A6E" w:rsidRPr="00DE5FDC">
        <w:rPr>
          <w:rFonts w:asciiTheme="minorHAnsi" w:hAnsiTheme="minorHAnsi" w:cstheme="minorHAnsi"/>
          <w:bCs/>
          <w:color w:val="000000" w:themeColor="text1"/>
          <w:sz w:val="21"/>
          <w:szCs w:val="21"/>
        </w:rPr>
        <w:t xml:space="preserve"> often</w:t>
      </w:r>
      <w:r w:rsidR="000D1F1D" w:rsidRPr="00DE5FDC">
        <w:rPr>
          <w:rFonts w:asciiTheme="minorHAnsi" w:hAnsiTheme="minorHAnsi" w:cstheme="minorHAnsi"/>
          <w:bCs/>
          <w:color w:val="000000" w:themeColor="text1"/>
          <w:sz w:val="21"/>
          <w:szCs w:val="21"/>
        </w:rPr>
        <w:t xml:space="preserve"> </w:t>
      </w:r>
      <w:r w:rsidRPr="00DE5FDC">
        <w:rPr>
          <w:rFonts w:asciiTheme="minorHAnsi" w:hAnsiTheme="minorHAnsi" w:cstheme="minorHAnsi"/>
          <w:bCs/>
          <w:color w:val="000000" w:themeColor="text1"/>
          <w:sz w:val="21"/>
          <w:szCs w:val="21"/>
        </w:rPr>
        <w:t xml:space="preserve">replaced. </w:t>
      </w:r>
    </w:p>
    <w:p w14:paraId="4BC628A0" w14:textId="174FE83C" w:rsidR="002322DE" w:rsidRPr="00DE5FDC" w:rsidRDefault="00D555D7" w:rsidP="00674CDF">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Some experts would continue pyrazinamide in the regimen even if resistance is documented</w:t>
      </w:r>
      <w:r w:rsidR="0082629A" w:rsidRPr="00DE5FDC">
        <w:rPr>
          <w:rFonts w:asciiTheme="minorHAnsi" w:hAnsiTheme="minorHAnsi" w:cstheme="minorHAnsi"/>
          <w:bCs/>
          <w:color w:val="000000" w:themeColor="text1"/>
          <w:sz w:val="21"/>
          <w:szCs w:val="21"/>
        </w:rPr>
        <w:t xml:space="preserve"> for possible synergy with other drugs.  In fact, the endTB randomized controlled trial</w:t>
      </w:r>
      <w:r w:rsidR="00FF2A6E" w:rsidRPr="00DE5FDC">
        <w:rPr>
          <w:rFonts w:asciiTheme="minorHAnsi" w:hAnsiTheme="minorHAnsi" w:cstheme="minorHAnsi"/>
          <w:bCs/>
          <w:color w:val="000000" w:themeColor="text1"/>
          <w:sz w:val="21"/>
          <w:szCs w:val="21"/>
        </w:rPr>
        <w:t xml:space="preserve"> (RCT)</w:t>
      </w:r>
      <w:r w:rsidR="0082629A" w:rsidRPr="00DE5FDC">
        <w:rPr>
          <w:rFonts w:asciiTheme="minorHAnsi" w:hAnsiTheme="minorHAnsi" w:cstheme="minorHAnsi"/>
          <w:bCs/>
          <w:color w:val="000000" w:themeColor="text1"/>
          <w:sz w:val="21"/>
          <w:szCs w:val="21"/>
        </w:rPr>
        <w:t xml:space="preserve"> will examine the role of pyrazinamide in resistant vs susceptible strains</w:t>
      </w:r>
      <w:r w:rsidR="00372195" w:rsidRPr="00DE5FDC">
        <w:rPr>
          <w:rFonts w:asciiTheme="minorHAnsi" w:hAnsiTheme="minorHAnsi" w:cstheme="minorHAnsi"/>
          <w:bCs/>
          <w:color w:val="000000" w:themeColor="text1"/>
          <w:sz w:val="21"/>
          <w:szCs w:val="21"/>
        </w:rPr>
        <w:t>. The</w:t>
      </w:r>
      <w:r w:rsidR="0082629A" w:rsidRPr="00DE5FDC">
        <w:rPr>
          <w:rFonts w:asciiTheme="minorHAnsi" w:hAnsiTheme="minorHAnsi" w:cstheme="minorHAnsi"/>
          <w:bCs/>
          <w:color w:val="000000" w:themeColor="text1"/>
          <w:sz w:val="21"/>
          <w:szCs w:val="21"/>
        </w:rPr>
        <w:t xml:space="preserve"> </w:t>
      </w:r>
      <w:r w:rsidR="00372195" w:rsidRPr="00DE5FDC">
        <w:rPr>
          <w:rFonts w:asciiTheme="minorHAnsi" w:hAnsiTheme="minorHAnsi" w:cstheme="minorHAnsi"/>
          <w:bCs/>
          <w:color w:val="000000" w:themeColor="text1"/>
          <w:sz w:val="21"/>
          <w:szCs w:val="21"/>
        </w:rPr>
        <w:t xml:space="preserve">endTB </w:t>
      </w:r>
      <w:r w:rsidR="0082629A" w:rsidRPr="00DE5FDC">
        <w:rPr>
          <w:rFonts w:asciiTheme="minorHAnsi" w:hAnsiTheme="minorHAnsi" w:cstheme="minorHAnsi"/>
          <w:bCs/>
          <w:color w:val="000000" w:themeColor="text1"/>
          <w:sz w:val="21"/>
          <w:szCs w:val="21"/>
        </w:rPr>
        <w:t xml:space="preserve">experimental regimens </w:t>
      </w:r>
      <w:r w:rsidR="00372195" w:rsidRPr="00DE5FDC">
        <w:rPr>
          <w:rFonts w:asciiTheme="minorHAnsi" w:hAnsiTheme="minorHAnsi" w:cstheme="minorHAnsi"/>
          <w:bCs/>
          <w:color w:val="000000" w:themeColor="text1"/>
          <w:sz w:val="21"/>
          <w:szCs w:val="21"/>
        </w:rPr>
        <w:t xml:space="preserve">use pyrazinamide </w:t>
      </w:r>
      <w:r w:rsidR="0082629A" w:rsidRPr="00DE5FDC">
        <w:rPr>
          <w:rFonts w:asciiTheme="minorHAnsi" w:hAnsiTheme="minorHAnsi" w:cstheme="minorHAnsi"/>
          <w:bCs/>
          <w:color w:val="000000" w:themeColor="text1"/>
          <w:sz w:val="21"/>
          <w:szCs w:val="21"/>
        </w:rPr>
        <w:t>whether or not resistance is present</w:t>
      </w:r>
      <w:r w:rsidR="00372195" w:rsidRPr="00DE5FDC">
        <w:rPr>
          <w:rFonts w:asciiTheme="minorHAnsi" w:hAnsiTheme="minorHAnsi" w:cstheme="minorHAnsi"/>
          <w:bCs/>
          <w:color w:val="000000" w:themeColor="text1"/>
          <w:sz w:val="21"/>
          <w:szCs w:val="21"/>
        </w:rPr>
        <w:t>, and similar strategies can be employed programmatically for all-oral STRs</w:t>
      </w:r>
      <w:r w:rsidR="0082629A" w:rsidRPr="00DE5FDC">
        <w:rPr>
          <w:rFonts w:asciiTheme="minorHAnsi" w:hAnsiTheme="minorHAnsi" w:cstheme="minorHAnsi"/>
          <w:bCs/>
          <w:color w:val="000000" w:themeColor="text1"/>
          <w:sz w:val="21"/>
          <w:szCs w:val="21"/>
        </w:rPr>
        <w:t xml:space="preserve">. The results of the endTB clinical trial will not be available until </w:t>
      </w:r>
      <w:r w:rsidR="00A509A2" w:rsidRPr="00DE5FDC">
        <w:rPr>
          <w:rFonts w:asciiTheme="minorHAnsi" w:hAnsiTheme="minorHAnsi" w:cstheme="minorHAnsi"/>
          <w:bCs/>
          <w:color w:val="000000" w:themeColor="text1"/>
          <w:sz w:val="21"/>
          <w:szCs w:val="21"/>
        </w:rPr>
        <w:t xml:space="preserve">the end of </w:t>
      </w:r>
      <w:r w:rsidR="0082629A" w:rsidRPr="00DE5FDC">
        <w:rPr>
          <w:rFonts w:asciiTheme="minorHAnsi" w:hAnsiTheme="minorHAnsi" w:cstheme="minorHAnsi"/>
          <w:bCs/>
          <w:color w:val="000000" w:themeColor="text1"/>
          <w:sz w:val="21"/>
          <w:szCs w:val="21"/>
        </w:rPr>
        <w:t>2022</w:t>
      </w:r>
      <w:r w:rsidR="00372195" w:rsidRPr="00DE5FDC">
        <w:rPr>
          <w:rFonts w:asciiTheme="minorHAnsi" w:hAnsiTheme="minorHAnsi" w:cstheme="minorHAnsi"/>
          <w:bCs/>
          <w:color w:val="000000" w:themeColor="text1"/>
          <w:sz w:val="21"/>
          <w:szCs w:val="21"/>
        </w:rPr>
        <w:t xml:space="preserve">, so it will be some time before it can be determined </w:t>
      </w:r>
      <w:r w:rsidR="00773903" w:rsidRPr="00DE5FDC">
        <w:rPr>
          <w:rFonts w:asciiTheme="minorHAnsi" w:hAnsiTheme="minorHAnsi" w:cstheme="minorHAnsi"/>
          <w:bCs/>
          <w:color w:val="000000" w:themeColor="text1"/>
          <w:sz w:val="21"/>
          <w:szCs w:val="21"/>
        </w:rPr>
        <w:t>whether</w:t>
      </w:r>
      <w:r w:rsidR="00372195" w:rsidRPr="00DE5FDC">
        <w:rPr>
          <w:rFonts w:asciiTheme="minorHAnsi" w:hAnsiTheme="minorHAnsi" w:cstheme="minorHAnsi"/>
          <w:bCs/>
          <w:color w:val="000000" w:themeColor="text1"/>
          <w:sz w:val="21"/>
          <w:szCs w:val="21"/>
        </w:rPr>
        <w:t xml:space="preserve"> this is a good strategy</w:t>
      </w:r>
      <w:r w:rsidR="00773903" w:rsidRPr="00DE5FDC">
        <w:rPr>
          <w:rFonts w:asciiTheme="minorHAnsi" w:hAnsiTheme="minorHAnsi" w:cstheme="minorHAnsi"/>
          <w:bCs/>
          <w:color w:val="000000" w:themeColor="text1"/>
          <w:sz w:val="21"/>
          <w:szCs w:val="21"/>
        </w:rPr>
        <w:t xml:space="preserve"> or not</w:t>
      </w:r>
      <w:r w:rsidR="00372195" w:rsidRPr="00DE5FDC">
        <w:rPr>
          <w:rFonts w:asciiTheme="minorHAnsi" w:hAnsiTheme="minorHAnsi" w:cstheme="minorHAnsi"/>
          <w:bCs/>
          <w:color w:val="000000" w:themeColor="text1"/>
          <w:sz w:val="21"/>
          <w:szCs w:val="21"/>
        </w:rPr>
        <w:t xml:space="preserve">.  </w:t>
      </w:r>
    </w:p>
    <w:p w14:paraId="1186E463" w14:textId="308A6F66" w:rsidR="00372195" w:rsidRPr="00DE5FDC" w:rsidRDefault="00372195" w:rsidP="00674CDF">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 xml:space="preserve">Many programs do not have access to </w:t>
      </w:r>
      <w:r w:rsidR="00B841BE" w:rsidRPr="00DE5FDC">
        <w:rPr>
          <w:rFonts w:asciiTheme="minorHAnsi" w:hAnsiTheme="minorHAnsi" w:cstheme="minorHAnsi"/>
          <w:bCs/>
          <w:color w:val="000000" w:themeColor="text1"/>
          <w:sz w:val="21"/>
          <w:szCs w:val="21"/>
        </w:rPr>
        <w:t xml:space="preserve">reliable </w:t>
      </w:r>
      <w:r w:rsidRPr="00DE5FDC">
        <w:rPr>
          <w:rFonts w:asciiTheme="minorHAnsi" w:hAnsiTheme="minorHAnsi" w:cstheme="minorHAnsi"/>
          <w:bCs/>
          <w:color w:val="000000" w:themeColor="text1"/>
          <w:sz w:val="21"/>
          <w:szCs w:val="21"/>
        </w:rPr>
        <w:t>pyrazinamide</w:t>
      </w:r>
      <w:r w:rsidR="000D1F1D" w:rsidRPr="00DE5FDC">
        <w:rPr>
          <w:rFonts w:asciiTheme="minorHAnsi" w:hAnsiTheme="minorHAnsi" w:cstheme="minorHAnsi"/>
          <w:bCs/>
          <w:color w:val="000000" w:themeColor="text1"/>
          <w:sz w:val="21"/>
          <w:szCs w:val="21"/>
        </w:rPr>
        <w:t xml:space="preserve"> DST</w:t>
      </w:r>
      <w:r w:rsidRPr="00DE5FDC">
        <w:rPr>
          <w:rFonts w:asciiTheme="minorHAnsi" w:hAnsiTheme="minorHAnsi" w:cstheme="minorHAnsi"/>
          <w:bCs/>
          <w:color w:val="000000" w:themeColor="text1"/>
          <w:sz w:val="21"/>
          <w:szCs w:val="21"/>
        </w:rPr>
        <w:t xml:space="preserve"> and the rates of </w:t>
      </w:r>
      <w:r w:rsidR="000D1F1D" w:rsidRPr="00DE5FDC">
        <w:rPr>
          <w:rFonts w:asciiTheme="minorHAnsi" w:hAnsiTheme="minorHAnsi" w:cstheme="minorHAnsi"/>
          <w:bCs/>
          <w:color w:val="000000" w:themeColor="text1"/>
          <w:sz w:val="21"/>
          <w:szCs w:val="21"/>
        </w:rPr>
        <w:t>pyrazinamide</w:t>
      </w:r>
      <w:r w:rsidRPr="00DE5FDC">
        <w:rPr>
          <w:rFonts w:asciiTheme="minorHAnsi" w:hAnsiTheme="minorHAnsi" w:cstheme="minorHAnsi"/>
          <w:bCs/>
          <w:color w:val="000000" w:themeColor="text1"/>
          <w:sz w:val="21"/>
          <w:szCs w:val="21"/>
        </w:rPr>
        <w:t xml:space="preserve"> resistance in MDR-TB strains may help determine the</w:t>
      </w:r>
      <w:r w:rsidR="000D1F1D" w:rsidRPr="00DE5FDC">
        <w:rPr>
          <w:rFonts w:asciiTheme="minorHAnsi" w:hAnsiTheme="minorHAnsi" w:cstheme="minorHAnsi"/>
          <w:bCs/>
          <w:color w:val="000000" w:themeColor="text1"/>
          <w:sz w:val="21"/>
          <w:szCs w:val="21"/>
        </w:rPr>
        <w:t xml:space="preserve"> program’s</w:t>
      </w:r>
      <w:r w:rsidRPr="00DE5FDC">
        <w:rPr>
          <w:rFonts w:asciiTheme="minorHAnsi" w:hAnsiTheme="minorHAnsi" w:cstheme="minorHAnsi"/>
          <w:bCs/>
          <w:color w:val="000000" w:themeColor="text1"/>
          <w:sz w:val="21"/>
          <w:szCs w:val="21"/>
        </w:rPr>
        <w:t xml:space="preserve"> choice </w:t>
      </w:r>
      <w:r w:rsidR="000D1F1D" w:rsidRPr="00DE5FDC">
        <w:rPr>
          <w:rFonts w:asciiTheme="minorHAnsi" w:hAnsiTheme="minorHAnsi" w:cstheme="minorHAnsi"/>
          <w:bCs/>
          <w:color w:val="000000" w:themeColor="text1"/>
          <w:sz w:val="21"/>
          <w:szCs w:val="21"/>
        </w:rPr>
        <w:t xml:space="preserve">of drugs used </w:t>
      </w:r>
      <w:r w:rsidRPr="00DE5FDC">
        <w:rPr>
          <w:rFonts w:asciiTheme="minorHAnsi" w:hAnsiTheme="minorHAnsi" w:cstheme="minorHAnsi"/>
          <w:bCs/>
          <w:color w:val="000000" w:themeColor="text1"/>
          <w:sz w:val="21"/>
          <w:szCs w:val="21"/>
        </w:rPr>
        <w:t>in</w:t>
      </w:r>
      <w:r w:rsidR="000D1F1D" w:rsidRPr="00DE5FDC">
        <w:rPr>
          <w:rFonts w:asciiTheme="minorHAnsi" w:hAnsiTheme="minorHAnsi" w:cstheme="minorHAnsi"/>
          <w:bCs/>
          <w:color w:val="000000" w:themeColor="text1"/>
          <w:sz w:val="21"/>
          <w:szCs w:val="21"/>
        </w:rPr>
        <w:t xml:space="preserve"> the</w:t>
      </w:r>
      <w:r w:rsidRPr="00DE5FDC">
        <w:rPr>
          <w:rFonts w:asciiTheme="minorHAnsi" w:hAnsiTheme="minorHAnsi" w:cstheme="minorHAnsi"/>
          <w:bCs/>
          <w:color w:val="000000" w:themeColor="text1"/>
          <w:sz w:val="21"/>
          <w:szCs w:val="21"/>
        </w:rPr>
        <w:t xml:space="preserve"> all-oral STRs. </w:t>
      </w:r>
    </w:p>
    <w:p w14:paraId="3421C39C" w14:textId="14590F30" w:rsidR="002322DE" w:rsidRPr="00DE5FDC" w:rsidRDefault="002322DE" w:rsidP="00674CDF">
      <w:pPr>
        <w:ind w:left="477"/>
        <w:rPr>
          <w:rFonts w:asciiTheme="minorHAnsi" w:hAnsiTheme="minorHAnsi" w:cstheme="minorHAnsi"/>
          <w:bCs/>
          <w:color w:val="000000" w:themeColor="text1"/>
          <w:sz w:val="21"/>
          <w:szCs w:val="21"/>
        </w:rPr>
      </w:pPr>
      <w:r w:rsidRPr="00DE5FDC">
        <w:rPr>
          <w:rFonts w:asciiTheme="minorHAnsi" w:hAnsiTheme="minorHAnsi" w:cstheme="minorHAnsi"/>
          <w:bCs/>
          <w:color w:val="000000" w:themeColor="text1"/>
          <w:sz w:val="21"/>
          <w:szCs w:val="21"/>
        </w:rPr>
        <w:t xml:space="preserve">Pyrazinamide is often the cause of drug-induced liver toxicity and should be avoided in patients </w:t>
      </w:r>
      <w:r w:rsidR="000D1F1D" w:rsidRPr="00DE5FDC">
        <w:rPr>
          <w:rFonts w:asciiTheme="minorHAnsi" w:hAnsiTheme="minorHAnsi" w:cstheme="minorHAnsi"/>
          <w:bCs/>
          <w:color w:val="000000" w:themeColor="text1"/>
          <w:sz w:val="21"/>
          <w:szCs w:val="21"/>
        </w:rPr>
        <w:t>with elevated</w:t>
      </w:r>
      <w:r w:rsidRPr="00DE5FDC">
        <w:rPr>
          <w:rFonts w:asciiTheme="minorHAnsi" w:hAnsiTheme="minorHAnsi" w:cstheme="minorHAnsi"/>
          <w:bCs/>
          <w:color w:val="000000" w:themeColor="text1"/>
          <w:sz w:val="21"/>
          <w:szCs w:val="21"/>
        </w:rPr>
        <w:t xml:space="preserve"> liver enzymes or </w:t>
      </w:r>
      <w:r w:rsidR="000D1F1D" w:rsidRPr="00DE5FDC">
        <w:rPr>
          <w:rFonts w:asciiTheme="minorHAnsi" w:hAnsiTheme="minorHAnsi" w:cstheme="minorHAnsi"/>
          <w:bCs/>
          <w:color w:val="000000" w:themeColor="text1"/>
          <w:sz w:val="21"/>
          <w:szCs w:val="21"/>
        </w:rPr>
        <w:t xml:space="preserve">active </w:t>
      </w:r>
      <w:r w:rsidRPr="00DE5FDC">
        <w:rPr>
          <w:rFonts w:asciiTheme="minorHAnsi" w:hAnsiTheme="minorHAnsi" w:cstheme="minorHAnsi"/>
          <w:bCs/>
          <w:color w:val="000000" w:themeColor="text1"/>
          <w:sz w:val="21"/>
          <w:szCs w:val="21"/>
        </w:rPr>
        <w:t>hepatitis. In theory, there may be additive liver toxicity when bedaquiline and pyrazinamide are used together.  On the other hand, data from laboratory animals suggest bedaquiline and pyrazinamide are synergistic, even when pyrazinamide is resistant.</w:t>
      </w:r>
      <w:r w:rsidR="000D1F1D" w:rsidRPr="00DE5FDC">
        <w:rPr>
          <w:rStyle w:val="FootnoteReference"/>
          <w:rFonts w:asciiTheme="minorHAnsi" w:hAnsiTheme="minorHAnsi" w:cstheme="minorHAnsi"/>
          <w:bCs/>
          <w:color w:val="000000" w:themeColor="text1"/>
          <w:sz w:val="21"/>
          <w:szCs w:val="21"/>
        </w:rPr>
        <w:footnoteReference w:id="18"/>
      </w:r>
    </w:p>
    <w:p w14:paraId="282FF810" w14:textId="00627D6E" w:rsidR="001F1E9B" w:rsidRPr="00003170" w:rsidRDefault="6A814265" w:rsidP="00003170">
      <w:pPr>
        <w:pStyle w:val="Heading2"/>
      </w:pPr>
      <w:bookmarkStart w:id="54" w:name="_Toc12792948"/>
      <w:bookmarkStart w:id="55" w:name="_Toc12952359"/>
      <w:bookmarkStart w:id="56" w:name="_Toc13486708"/>
      <w:r w:rsidRPr="00003170">
        <w:t xml:space="preserve">Contraindications for </w:t>
      </w:r>
      <w:r w:rsidR="00571787" w:rsidRPr="00003170">
        <w:t xml:space="preserve">drugs </w:t>
      </w:r>
      <w:r w:rsidR="005A5471" w:rsidRPr="00003170">
        <w:t xml:space="preserve">commonly </w:t>
      </w:r>
      <w:r w:rsidR="00571787" w:rsidRPr="00003170">
        <w:t xml:space="preserve">used in </w:t>
      </w:r>
      <w:r w:rsidR="0041001C" w:rsidRPr="00003170">
        <w:t xml:space="preserve">all-oral </w:t>
      </w:r>
      <w:r w:rsidR="00A73D61" w:rsidRPr="00003170">
        <w:t>STRs</w:t>
      </w:r>
      <w:bookmarkEnd w:id="54"/>
      <w:bookmarkEnd w:id="55"/>
      <w:bookmarkEnd w:id="56"/>
    </w:p>
    <w:p w14:paraId="240EC11B" w14:textId="0B833622" w:rsidR="00973BC1" w:rsidRPr="00DE5FDC" w:rsidRDefault="0513D106" w:rsidP="00973BC1">
      <w:pPr>
        <w:rPr>
          <w:rFonts w:asciiTheme="minorHAnsi" w:hAnsiTheme="minorHAnsi" w:cstheme="minorHAnsi"/>
          <w:color w:val="000000" w:themeColor="text1"/>
        </w:rPr>
      </w:pPr>
      <w:bookmarkStart w:id="57" w:name="h.2s8eyo1" w:colFirst="0" w:colLast="0"/>
      <w:bookmarkEnd w:id="57"/>
      <w:r w:rsidRPr="00DE5FDC">
        <w:rPr>
          <w:rFonts w:asciiTheme="minorHAnsi" w:hAnsiTheme="minorHAnsi" w:cstheme="minorHAnsi"/>
          <w:color w:val="000000" w:themeColor="text1"/>
        </w:rPr>
        <w:t xml:space="preserve">There are </w:t>
      </w:r>
      <w:r w:rsidR="002C1CC3" w:rsidRPr="00DE5FDC">
        <w:rPr>
          <w:rFonts w:asciiTheme="minorHAnsi" w:hAnsiTheme="minorHAnsi" w:cstheme="minorHAnsi"/>
          <w:color w:val="000000" w:themeColor="text1"/>
        </w:rPr>
        <w:t>very few</w:t>
      </w:r>
      <w:r w:rsidRPr="00DE5FDC">
        <w:rPr>
          <w:rFonts w:asciiTheme="minorHAnsi" w:hAnsiTheme="minorHAnsi" w:cstheme="minorHAnsi"/>
          <w:color w:val="000000" w:themeColor="text1"/>
        </w:rPr>
        <w:t xml:space="preserve"> absolute contraindications for the use of any drug in the treatment of MDR- and XDR-TB, a disease that poses serious risk of death or debilitation to the patient if treated inadequately. </w:t>
      </w:r>
      <w:r w:rsidRPr="00DE5FDC">
        <w:rPr>
          <w:rFonts w:asciiTheme="minorHAnsi" w:hAnsiTheme="minorHAnsi" w:cstheme="minorHAnsi"/>
          <w:color w:val="000000" w:themeColor="text1"/>
        </w:rPr>
        <w:lastRenderedPageBreak/>
        <w:t>However, there are</w:t>
      </w:r>
      <w:r w:rsidR="002C1CC3" w:rsidRPr="00DE5FDC">
        <w:rPr>
          <w:rFonts w:asciiTheme="minorHAnsi" w:hAnsiTheme="minorHAnsi" w:cstheme="minorHAnsi"/>
          <w:color w:val="000000" w:themeColor="text1"/>
        </w:rPr>
        <w:t xml:space="preserve"> </w:t>
      </w:r>
      <w:r w:rsidRPr="00DE5FDC">
        <w:rPr>
          <w:rFonts w:asciiTheme="minorHAnsi" w:hAnsiTheme="minorHAnsi" w:cstheme="minorHAnsi"/>
          <w:color w:val="000000" w:themeColor="text1"/>
        </w:rPr>
        <w:t xml:space="preserve">relative contraindications for the use of </w:t>
      </w:r>
      <w:r w:rsidR="00696408" w:rsidRPr="00DE5FDC">
        <w:rPr>
          <w:rFonts w:asciiTheme="minorHAnsi" w:hAnsiTheme="minorHAnsi" w:cstheme="minorHAnsi"/>
          <w:color w:val="000000" w:themeColor="text1"/>
        </w:rPr>
        <w:t xml:space="preserve">many of the drugs used in </w:t>
      </w:r>
      <w:r w:rsidR="00696408" w:rsidRPr="00DE5FDC">
        <w:rPr>
          <w:rFonts w:asciiTheme="minorHAnsi" w:hAnsiTheme="minorHAnsi" w:cstheme="minorHAnsi"/>
          <w:color w:val="000000" w:themeColor="text1"/>
          <w:sz w:val="21"/>
          <w:szCs w:val="21"/>
        </w:rPr>
        <w:t>all-oral STRs</w:t>
      </w:r>
      <w:r w:rsidRPr="00DE5FDC">
        <w:rPr>
          <w:rFonts w:asciiTheme="minorHAnsi" w:hAnsiTheme="minorHAnsi" w:cstheme="minorHAnsi"/>
          <w:color w:val="000000" w:themeColor="text1"/>
          <w:sz w:val="21"/>
          <w:szCs w:val="21"/>
        </w:rPr>
        <w:t>. If the clinician</w:t>
      </w:r>
      <w:r w:rsidR="000E5BD8" w:rsidRPr="00DE5FDC">
        <w:rPr>
          <w:rFonts w:asciiTheme="minorHAnsi" w:hAnsiTheme="minorHAnsi" w:cstheme="minorHAnsi"/>
          <w:color w:val="000000" w:themeColor="text1"/>
          <w:sz w:val="21"/>
          <w:szCs w:val="21"/>
        </w:rPr>
        <w:t>,</w:t>
      </w:r>
      <w:r w:rsidR="0001503D" w:rsidRPr="00DE5FDC">
        <w:rPr>
          <w:rFonts w:asciiTheme="minorHAnsi" w:hAnsiTheme="minorHAnsi" w:cstheme="minorHAnsi"/>
          <w:color w:val="000000" w:themeColor="text1"/>
          <w:sz w:val="21"/>
          <w:szCs w:val="21"/>
        </w:rPr>
        <w:t xml:space="preserve"> together with the patient</w:t>
      </w:r>
      <w:r w:rsidR="000E5BD8" w:rsidRPr="00DE5FDC">
        <w:rPr>
          <w:rFonts w:asciiTheme="minorHAnsi" w:hAnsiTheme="minorHAnsi" w:cstheme="minorHAnsi"/>
          <w:color w:val="000000" w:themeColor="text1"/>
          <w:sz w:val="21"/>
          <w:szCs w:val="21"/>
        </w:rPr>
        <w:t xml:space="preserve">’s </w:t>
      </w:r>
      <w:r w:rsidR="00C71742" w:rsidRPr="00DE5FDC">
        <w:rPr>
          <w:rFonts w:asciiTheme="minorHAnsi" w:hAnsiTheme="minorHAnsi" w:cstheme="minorHAnsi"/>
          <w:color w:val="000000" w:themeColor="text1"/>
          <w:sz w:val="21"/>
          <w:szCs w:val="21"/>
        </w:rPr>
        <w:t>input, judges</w:t>
      </w:r>
      <w:r w:rsidRPr="00DE5FDC">
        <w:rPr>
          <w:rFonts w:asciiTheme="minorHAnsi" w:hAnsiTheme="minorHAnsi" w:cstheme="minorHAnsi"/>
          <w:color w:val="000000" w:themeColor="text1"/>
          <w:sz w:val="21"/>
          <w:szCs w:val="21"/>
        </w:rPr>
        <w:t xml:space="preserve"> that the potential benefits outweigh the potential risk, treatment may proceed with caution. </w:t>
      </w:r>
    </w:p>
    <w:p w14:paraId="534C3B7A" w14:textId="0CD10E57" w:rsidR="001F1E9B" w:rsidRPr="00DE5FDC" w:rsidRDefault="001F1E9B" w:rsidP="002C4FED">
      <w:pPr>
        <w:pStyle w:val="Heading3"/>
        <w:rPr>
          <w:rStyle w:val="IntenseEmphasis"/>
          <w:rFonts w:asciiTheme="minorHAnsi" w:hAnsiTheme="minorHAnsi"/>
          <w:b/>
          <w:bCs/>
          <w:i/>
          <w:color w:val="000000" w:themeColor="text1"/>
        </w:rPr>
      </w:pPr>
      <w:bookmarkStart w:id="58" w:name="_Toc12885970"/>
      <w:bookmarkStart w:id="59" w:name="_Toc12886217"/>
      <w:bookmarkStart w:id="60" w:name="_Toc12886844"/>
      <w:bookmarkStart w:id="61" w:name="_Toc13486762"/>
      <w:r w:rsidRPr="00DE5FDC">
        <w:rPr>
          <w:rStyle w:val="IntenseEmphasis"/>
          <w:rFonts w:asciiTheme="minorHAnsi" w:hAnsiTheme="minorHAnsi"/>
          <w:b/>
          <w:bCs/>
          <w:i/>
          <w:color w:val="000000" w:themeColor="text1"/>
        </w:rPr>
        <w:t xml:space="preserve">Table </w:t>
      </w:r>
      <w:r w:rsidR="005E0DF4" w:rsidRPr="00DE5FDC">
        <w:rPr>
          <w:rFonts w:asciiTheme="minorHAnsi" w:hAnsiTheme="minorHAnsi"/>
        </w:rPr>
        <w:t>4</w:t>
      </w:r>
      <w:r w:rsidRPr="00DE5FDC">
        <w:rPr>
          <w:rStyle w:val="IntenseEmphasis"/>
          <w:rFonts w:asciiTheme="minorHAnsi" w:hAnsiTheme="minorHAnsi"/>
          <w:b/>
          <w:bCs/>
          <w:i/>
          <w:color w:val="000000" w:themeColor="text1"/>
        </w:rPr>
        <w:t xml:space="preserve"> </w:t>
      </w:r>
      <w:r w:rsidR="00125D1F" w:rsidRPr="00DE5FDC">
        <w:rPr>
          <w:rStyle w:val="IntenseEmphasis"/>
          <w:rFonts w:asciiTheme="minorHAnsi" w:hAnsiTheme="minorHAnsi"/>
          <w:b/>
          <w:bCs/>
          <w:i/>
          <w:color w:val="000000" w:themeColor="text1"/>
        </w:rPr>
        <w:t>C</w:t>
      </w:r>
      <w:r w:rsidRPr="00DE5FDC">
        <w:rPr>
          <w:rStyle w:val="IntenseEmphasis"/>
          <w:rFonts w:asciiTheme="minorHAnsi" w:hAnsiTheme="minorHAnsi"/>
          <w:b/>
          <w:bCs/>
          <w:i/>
          <w:color w:val="000000" w:themeColor="text1"/>
        </w:rPr>
        <w:t xml:space="preserve">ontraindications for </w:t>
      </w:r>
      <w:r w:rsidR="00EC3424" w:rsidRPr="00DE5FDC">
        <w:rPr>
          <w:rStyle w:val="IntenseEmphasis"/>
          <w:rFonts w:asciiTheme="minorHAnsi" w:hAnsiTheme="minorHAnsi"/>
          <w:b/>
          <w:bCs/>
          <w:i/>
          <w:color w:val="000000" w:themeColor="text1"/>
        </w:rPr>
        <w:t>TB</w:t>
      </w:r>
      <w:r w:rsidRPr="00DE5FDC">
        <w:rPr>
          <w:rStyle w:val="IntenseEmphasis"/>
          <w:rFonts w:asciiTheme="minorHAnsi" w:hAnsiTheme="minorHAnsi"/>
          <w:b/>
          <w:bCs/>
          <w:i/>
          <w:color w:val="000000" w:themeColor="text1"/>
        </w:rPr>
        <w:t xml:space="preserve"> drug</w:t>
      </w:r>
      <w:r w:rsidR="00EC3424" w:rsidRPr="00DE5FDC">
        <w:rPr>
          <w:rStyle w:val="IntenseEmphasis"/>
          <w:rFonts w:asciiTheme="minorHAnsi" w:hAnsiTheme="minorHAnsi"/>
          <w:b/>
          <w:bCs/>
          <w:i/>
          <w:color w:val="000000" w:themeColor="text1"/>
        </w:rPr>
        <w:t>s commonly used in all-oral STR</w:t>
      </w:r>
      <w:r w:rsidRPr="00DE5FDC">
        <w:rPr>
          <w:rStyle w:val="IntenseEmphasis"/>
          <w:rFonts w:asciiTheme="minorHAnsi" w:hAnsiTheme="minorHAnsi"/>
          <w:b/>
          <w:bCs/>
          <w:i/>
          <w:color w:val="000000" w:themeColor="text1"/>
        </w:rPr>
        <w:t>s</w:t>
      </w:r>
      <w:r w:rsidR="00447D76" w:rsidRPr="00DE5FDC">
        <w:rPr>
          <w:rStyle w:val="IntenseEmphasis"/>
          <w:rFonts w:asciiTheme="minorHAnsi" w:hAnsiTheme="minorHAnsi"/>
          <w:b/>
          <w:bCs/>
          <w:i/>
          <w:color w:val="000000" w:themeColor="text1"/>
          <w:vertAlign w:val="superscript"/>
        </w:rPr>
        <w:t>*</w:t>
      </w:r>
      <w:bookmarkEnd w:id="58"/>
      <w:bookmarkEnd w:id="59"/>
      <w:bookmarkEnd w:id="60"/>
      <w:bookmarkEnd w:id="61"/>
    </w:p>
    <w:tbl>
      <w:tblPr>
        <w:tblW w:w="5000" w:type="pct"/>
        <w:tblBorders>
          <w:top w:val="single" w:sz="8" w:space="0" w:color="000000"/>
          <w:left w:val="single" w:sz="8" w:space="0" w:color="000000"/>
          <w:bottom w:val="single" w:sz="4" w:space="0" w:color="000000"/>
          <w:right w:val="single" w:sz="8" w:space="0" w:color="000000"/>
          <w:insideH w:val="single" w:sz="8" w:space="0" w:color="000000"/>
          <w:insideV w:val="single" w:sz="8" w:space="0" w:color="000000"/>
        </w:tblBorders>
        <w:tblCellMar>
          <w:left w:w="115" w:type="dxa"/>
          <w:right w:w="115" w:type="dxa"/>
        </w:tblCellMar>
        <w:tblLook w:val="0000" w:firstRow="0" w:lastRow="0" w:firstColumn="0" w:lastColumn="0" w:noHBand="0" w:noVBand="0"/>
      </w:tblPr>
      <w:tblGrid>
        <w:gridCol w:w="1203"/>
        <w:gridCol w:w="3271"/>
        <w:gridCol w:w="4866"/>
      </w:tblGrid>
      <w:tr w:rsidR="001F1E9B" w:rsidRPr="00B01D9B" w14:paraId="0D0FBC4C" w14:textId="77777777" w:rsidTr="00093E2C">
        <w:tc>
          <w:tcPr>
            <w:tcW w:w="644" w:type="pct"/>
            <w:shd w:val="clear" w:color="auto" w:fill="235868"/>
            <w:tcMar>
              <w:top w:w="100" w:type="dxa"/>
              <w:left w:w="100" w:type="dxa"/>
              <w:bottom w:w="100" w:type="dxa"/>
              <w:right w:w="100" w:type="dxa"/>
            </w:tcMar>
            <w:vAlign w:val="center"/>
          </w:tcPr>
          <w:p w14:paraId="2E92A3F8" w14:textId="77777777" w:rsidR="001F1E9B" w:rsidRPr="00B01D9B" w:rsidRDefault="0513D106" w:rsidP="00E20A53">
            <w:pPr>
              <w:jc w:val="center"/>
              <w:rPr>
                <w:rFonts w:asciiTheme="minorHAnsi" w:hAnsiTheme="minorHAnsi" w:cstheme="minorHAnsi"/>
                <w:b/>
                <w:color w:val="FFFFFF" w:themeColor="background1"/>
                <w:sz w:val="20"/>
                <w:szCs w:val="20"/>
              </w:rPr>
            </w:pPr>
            <w:r w:rsidRPr="00B01D9B">
              <w:rPr>
                <w:rFonts w:asciiTheme="minorHAnsi" w:hAnsiTheme="minorHAnsi" w:cstheme="minorHAnsi"/>
                <w:b/>
                <w:color w:val="FFFFFF" w:themeColor="background1"/>
                <w:sz w:val="20"/>
                <w:szCs w:val="20"/>
              </w:rPr>
              <w:t>Drug</w:t>
            </w:r>
          </w:p>
        </w:tc>
        <w:tc>
          <w:tcPr>
            <w:tcW w:w="1751" w:type="pct"/>
            <w:shd w:val="clear" w:color="auto" w:fill="235868"/>
            <w:tcMar>
              <w:top w:w="100" w:type="dxa"/>
              <w:left w:w="100" w:type="dxa"/>
              <w:bottom w:w="100" w:type="dxa"/>
              <w:right w:w="100" w:type="dxa"/>
            </w:tcMar>
            <w:vAlign w:val="center"/>
          </w:tcPr>
          <w:p w14:paraId="4AA9231B" w14:textId="4D8965A1" w:rsidR="001F1E9B" w:rsidRPr="00B01D9B" w:rsidRDefault="00F26B0A" w:rsidP="00E20A53">
            <w:pPr>
              <w:pStyle w:val="Tabletext"/>
              <w:jc w:val="center"/>
              <w:rPr>
                <w:rFonts w:asciiTheme="minorHAnsi" w:hAnsiTheme="minorHAnsi" w:cstheme="minorHAnsi"/>
                <w:b/>
                <w:color w:val="FFFFFF" w:themeColor="background1"/>
              </w:rPr>
            </w:pPr>
            <w:r w:rsidRPr="00B01D9B">
              <w:rPr>
                <w:rFonts w:asciiTheme="minorHAnsi" w:hAnsiTheme="minorHAnsi" w:cstheme="minorHAnsi"/>
                <w:b/>
                <w:color w:val="FFFFFF" w:themeColor="background1"/>
              </w:rPr>
              <w:t>Relative c</w:t>
            </w:r>
            <w:r w:rsidR="00C77CC6" w:rsidRPr="00B01D9B">
              <w:rPr>
                <w:rFonts w:asciiTheme="minorHAnsi" w:hAnsiTheme="minorHAnsi" w:cstheme="minorHAnsi"/>
                <w:b/>
                <w:color w:val="FFFFFF" w:themeColor="background1"/>
              </w:rPr>
              <w:t>ontraindications</w:t>
            </w:r>
          </w:p>
        </w:tc>
        <w:tc>
          <w:tcPr>
            <w:tcW w:w="2605" w:type="pct"/>
            <w:shd w:val="clear" w:color="auto" w:fill="235868"/>
            <w:tcMar>
              <w:top w:w="100" w:type="dxa"/>
              <w:left w:w="100" w:type="dxa"/>
              <w:bottom w:w="100" w:type="dxa"/>
              <w:right w:w="100" w:type="dxa"/>
            </w:tcMar>
            <w:vAlign w:val="center"/>
          </w:tcPr>
          <w:p w14:paraId="55B49D9F" w14:textId="77777777" w:rsidR="001F1E9B" w:rsidRPr="00B01D9B" w:rsidRDefault="0513D106" w:rsidP="00E20A53">
            <w:pPr>
              <w:pStyle w:val="Tabletext"/>
              <w:jc w:val="center"/>
              <w:rPr>
                <w:rFonts w:asciiTheme="minorHAnsi" w:hAnsiTheme="minorHAnsi" w:cstheme="minorHAnsi"/>
                <w:b/>
                <w:color w:val="FFFFFF" w:themeColor="background1"/>
              </w:rPr>
            </w:pPr>
            <w:r w:rsidRPr="00B01D9B">
              <w:rPr>
                <w:rFonts w:asciiTheme="minorHAnsi" w:hAnsiTheme="minorHAnsi" w:cstheme="minorHAnsi"/>
                <w:b/>
                <w:color w:val="FFFFFF" w:themeColor="background1"/>
              </w:rPr>
              <w:t>Remarks/Precautions</w:t>
            </w:r>
          </w:p>
        </w:tc>
      </w:tr>
      <w:tr w:rsidR="001F1E9B" w:rsidRPr="00B01D9B" w14:paraId="24A04878" w14:textId="77777777" w:rsidTr="003B74D1">
        <w:tc>
          <w:tcPr>
            <w:tcW w:w="644" w:type="pct"/>
            <w:shd w:val="clear" w:color="auto" w:fill="FFFFFF" w:themeFill="background1"/>
            <w:tcMar>
              <w:top w:w="100" w:type="dxa"/>
              <w:left w:w="100" w:type="dxa"/>
              <w:bottom w:w="100" w:type="dxa"/>
              <w:right w:w="100" w:type="dxa"/>
            </w:tcMar>
          </w:tcPr>
          <w:p w14:paraId="2FB779CA" w14:textId="77777777" w:rsidR="001F1E9B" w:rsidRPr="00B01D9B" w:rsidRDefault="0513D106"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All drugs</w:t>
            </w:r>
          </w:p>
        </w:tc>
        <w:tc>
          <w:tcPr>
            <w:tcW w:w="1751" w:type="pct"/>
            <w:shd w:val="clear" w:color="auto" w:fill="FFFFFF" w:themeFill="background1"/>
            <w:tcMar>
              <w:top w:w="100" w:type="dxa"/>
              <w:left w:w="100" w:type="dxa"/>
              <w:bottom w:w="100" w:type="dxa"/>
              <w:right w:w="100" w:type="dxa"/>
            </w:tcMar>
          </w:tcPr>
          <w:p w14:paraId="2CC80D7B" w14:textId="645F1C37" w:rsidR="001F1E9B" w:rsidRPr="00B01D9B" w:rsidRDefault="632BCC9D"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Known hypersensitivity to the drug</w:t>
            </w:r>
            <w:r w:rsidR="00FB3850" w:rsidRPr="00B01D9B">
              <w:rPr>
                <w:rFonts w:asciiTheme="minorHAnsi" w:hAnsiTheme="minorHAnsi" w:cstheme="minorHAnsi"/>
                <w:color w:val="000000" w:themeColor="text1"/>
              </w:rPr>
              <w:t xml:space="preserve"> </w:t>
            </w:r>
          </w:p>
        </w:tc>
        <w:tc>
          <w:tcPr>
            <w:tcW w:w="2605" w:type="pct"/>
            <w:shd w:val="clear" w:color="auto" w:fill="FFFFFF" w:themeFill="background1"/>
            <w:tcMar>
              <w:top w:w="100" w:type="dxa"/>
              <w:left w:w="100" w:type="dxa"/>
              <w:bottom w:w="100" w:type="dxa"/>
              <w:right w:w="100" w:type="dxa"/>
            </w:tcMar>
          </w:tcPr>
          <w:p w14:paraId="11B9EC05" w14:textId="6F6C085F" w:rsidR="001F1E9B" w:rsidRPr="00B01D9B" w:rsidRDefault="00FB3850"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 xml:space="preserve">A history of anaphylaxis or severe drug reaction </w:t>
            </w:r>
            <w:r w:rsidR="003E108A" w:rsidRPr="00B01D9B">
              <w:rPr>
                <w:rFonts w:asciiTheme="minorHAnsi" w:hAnsiTheme="minorHAnsi" w:cstheme="minorHAnsi"/>
                <w:color w:val="000000" w:themeColor="text1"/>
              </w:rPr>
              <w:t>like Steven</w:t>
            </w:r>
            <w:r w:rsidR="00D12F2A" w:rsidRPr="00B01D9B">
              <w:rPr>
                <w:rFonts w:asciiTheme="minorHAnsi" w:hAnsiTheme="minorHAnsi" w:cstheme="minorHAnsi"/>
                <w:color w:val="000000" w:themeColor="text1"/>
              </w:rPr>
              <w:t>s</w:t>
            </w:r>
            <w:r w:rsidR="003E108A" w:rsidRPr="00B01D9B">
              <w:rPr>
                <w:rFonts w:asciiTheme="minorHAnsi" w:hAnsiTheme="minorHAnsi" w:cstheme="minorHAnsi"/>
                <w:color w:val="000000" w:themeColor="text1"/>
              </w:rPr>
              <w:t xml:space="preserve">-Johnson </w:t>
            </w:r>
            <w:r w:rsidR="00D87364" w:rsidRPr="00B01D9B">
              <w:rPr>
                <w:rFonts w:asciiTheme="minorHAnsi" w:hAnsiTheme="minorHAnsi" w:cstheme="minorHAnsi"/>
                <w:color w:val="000000" w:themeColor="text1"/>
              </w:rPr>
              <w:t>s</w:t>
            </w:r>
            <w:r w:rsidR="003E108A" w:rsidRPr="00B01D9B">
              <w:rPr>
                <w:rFonts w:asciiTheme="minorHAnsi" w:hAnsiTheme="minorHAnsi" w:cstheme="minorHAnsi"/>
                <w:color w:val="000000" w:themeColor="text1"/>
              </w:rPr>
              <w:t xml:space="preserve">yndrome is an absolute contraindication. </w:t>
            </w:r>
          </w:p>
        </w:tc>
      </w:tr>
      <w:tr w:rsidR="001F1E9B" w:rsidRPr="00B01D9B" w14:paraId="1E94A201" w14:textId="77777777" w:rsidTr="003B74D1">
        <w:trPr>
          <w:trHeight w:val="632"/>
        </w:trPr>
        <w:tc>
          <w:tcPr>
            <w:tcW w:w="644" w:type="pct"/>
            <w:shd w:val="clear" w:color="auto" w:fill="FFFFFF" w:themeFill="background1"/>
            <w:tcMar>
              <w:top w:w="100" w:type="dxa"/>
              <w:left w:w="100" w:type="dxa"/>
              <w:bottom w:w="100" w:type="dxa"/>
              <w:right w:w="100" w:type="dxa"/>
            </w:tcMar>
          </w:tcPr>
          <w:p w14:paraId="3408F677" w14:textId="08543D00" w:rsidR="001F1E9B" w:rsidRPr="00B01D9B" w:rsidRDefault="00EF7E35"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 xml:space="preserve">Bdq, </w:t>
            </w:r>
            <w:r w:rsidR="003B74D1" w:rsidRPr="00B01D9B">
              <w:rPr>
                <w:rFonts w:asciiTheme="minorHAnsi" w:hAnsiTheme="minorHAnsi" w:cstheme="minorHAnsi"/>
                <w:color w:val="000000" w:themeColor="text1"/>
              </w:rPr>
              <w:t xml:space="preserve">Cfz, </w:t>
            </w:r>
            <w:r w:rsidR="0513D106" w:rsidRPr="00B01D9B">
              <w:rPr>
                <w:rFonts w:asciiTheme="minorHAnsi" w:hAnsiTheme="minorHAnsi" w:cstheme="minorHAnsi"/>
                <w:color w:val="000000" w:themeColor="text1"/>
              </w:rPr>
              <w:t>Dlm</w:t>
            </w:r>
            <w:r w:rsidR="003B74D1" w:rsidRPr="00B01D9B">
              <w:rPr>
                <w:rFonts w:asciiTheme="minorHAnsi" w:hAnsiTheme="minorHAnsi" w:cstheme="minorHAnsi"/>
                <w:color w:val="000000" w:themeColor="text1"/>
              </w:rPr>
              <w:t>, Mfx</w:t>
            </w:r>
            <w:r w:rsidR="003B74D1" w:rsidRPr="00B01D9B">
              <w:rPr>
                <w:rFonts w:asciiTheme="minorHAnsi" w:hAnsiTheme="minorHAnsi" w:cstheme="minorHAnsi"/>
                <w:color w:val="000000" w:themeColor="text1"/>
                <w:vertAlign w:val="superscript"/>
              </w:rPr>
              <w:t>hd</w:t>
            </w:r>
          </w:p>
        </w:tc>
        <w:tc>
          <w:tcPr>
            <w:tcW w:w="1751" w:type="pct"/>
            <w:shd w:val="clear" w:color="auto" w:fill="FFFFFF" w:themeFill="background1"/>
            <w:tcMar>
              <w:top w:w="100" w:type="dxa"/>
              <w:left w:w="100" w:type="dxa"/>
              <w:bottom w:w="100" w:type="dxa"/>
              <w:right w:w="100" w:type="dxa"/>
            </w:tcMar>
          </w:tcPr>
          <w:p w14:paraId="56E40906" w14:textId="77777777" w:rsidR="001F1E9B" w:rsidRPr="00B01D9B" w:rsidRDefault="0513D106" w:rsidP="007E11D3">
            <w:pPr>
              <w:pStyle w:val="Tabletext"/>
              <w:numPr>
                <w:ilvl w:val="0"/>
                <w:numId w:val="7"/>
              </w:numPr>
              <w:rPr>
                <w:rFonts w:asciiTheme="minorHAnsi" w:hAnsiTheme="minorHAnsi" w:cstheme="minorHAnsi"/>
                <w:color w:val="000000" w:themeColor="text1"/>
              </w:rPr>
            </w:pPr>
            <w:r w:rsidRPr="00B01D9B">
              <w:rPr>
                <w:rFonts w:asciiTheme="minorHAnsi" w:hAnsiTheme="minorHAnsi" w:cstheme="minorHAnsi"/>
                <w:color w:val="000000" w:themeColor="text1"/>
              </w:rPr>
              <w:t>Baseline ECG demonstrating a QTcF &gt; 500 ms (repeated); or</w:t>
            </w:r>
          </w:p>
          <w:p w14:paraId="053B0433" w14:textId="77777777" w:rsidR="001F1E9B" w:rsidRPr="00B01D9B" w:rsidRDefault="0513D106" w:rsidP="007E11D3">
            <w:pPr>
              <w:pStyle w:val="Tabletext"/>
              <w:numPr>
                <w:ilvl w:val="0"/>
                <w:numId w:val="7"/>
              </w:numPr>
              <w:rPr>
                <w:rFonts w:asciiTheme="minorHAnsi" w:hAnsiTheme="minorHAnsi" w:cstheme="minorHAnsi"/>
                <w:color w:val="000000" w:themeColor="text1"/>
              </w:rPr>
            </w:pPr>
            <w:r w:rsidRPr="00B01D9B">
              <w:rPr>
                <w:rFonts w:asciiTheme="minorHAnsi" w:hAnsiTheme="minorHAnsi" w:cstheme="minorHAnsi"/>
                <w:color w:val="000000" w:themeColor="text1"/>
              </w:rPr>
              <w:t>History of syncopal episodes, ventricular arrhythmias or severe coronary artery disease</w:t>
            </w:r>
          </w:p>
        </w:tc>
        <w:tc>
          <w:tcPr>
            <w:tcW w:w="2605" w:type="pct"/>
            <w:shd w:val="clear" w:color="auto" w:fill="FFFFFF" w:themeFill="background1"/>
            <w:tcMar>
              <w:top w:w="100" w:type="dxa"/>
              <w:left w:w="100" w:type="dxa"/>
              <w:bottom w:w="100" w:type="dxa"/>
              <w:right w:w="100" w:type="dxa"/>
            </w:tcMar>
          </w:tcPr>
          <w:p w14:paraId="0E1625ED" w14:textId="4B5B78E8" w:rsidR="005D44B5" w:rsidRPr="00B01D9B" w:rsidRDefault="0513D106"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 xml:space="preserve">Use with caution if </w:t>
            </w:r>
            <w:r w:rsidR="00CA18BA" w:rsidRPr="00B01D9B">
              <w:rPr>
                <w:rFonts w:asciiTheme="minorHAnsi" w:hAnsiTheme="minorHAnsi" w:cstheme="minorHAnsi"/>
                <w:color w:val="000000" w:themeColor="text1"/>
              </w:rPr>
              <w:t xml:space="preserve">baseline </w:t>
            </w:r>
            <w:r w:rsidRPr="00B01D9B">
              <w:rPr>
                <w:rFonts w:asciiTheme="minorHAnsi" w:hAnsiTheme="minorHAnsi" w:cstheme="minorHAnsi"/>
                <w:color w:val="000000" w:themeColor="text1"/>
              </w:rPr>
              <w:t xml:space="preserve">QTcF &gt; 450/470 ms in male/female patients. </w:t>
            </w:r>
          </w:p>
          <w:p w14:paraId="1CEA7A61" w14:textId="77777777" w:rsidR="005D44B5" w:rsidRPr="00B01D9B" w:rsidRDefault="005D44B5" w:rsidP="00D34548">
            <w:pPr>
              <w:pStyle w:val="Tabletext"/>
              <w:rPr>
                <w:rFonts w:asciiTheme="minorHAnsi" w:hAnsiTheme="minorHAnsi" w:cstheme="minorHAnsi"/>
                <w:color w:val="000000" w:themeColor="text1"/>
              </w:rPr>
            </w:pPr>
          </w:p>
          <w:p w14:paraId="441CC3E9" w14:textId="1D78D521" w:rsidR="001F1E9B" w:rsidRPr="00B01D9B" w:rsidRDefault="4B53EB66" w:rsidP="00F26B0A">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 xml:space="preserve">Weekly ECG monitoring and </w:t>
            </w:r>
            <w:r w:rsidR="00F26B0A" w:rsidRPr="00B01D9B">
              <w:rPr>
                <w:rFonts w:asciiTheme="minorHAnsi" w:hAnsiTheme="minorHAnsi" w:cstheme="minorHAnsi"/>
                <w:color w:val="000000" w:themeColor="text1"/>
              </w:rPr>
              <w:t xml:space="preserve">serum </w:t>
            </w:r>
            <w:r w:rsidRPr="00B01D9B">
              <w:rPr>
                <w:rFonts w:asciiTheme="minorHAnsi" w:hAnsiTheme="minorHAnsi" w:cstheme="minorHAnsi"/>
                <w:color w:val="000000" w:themeColor="text1"/>
              </w:rPr>
              <w:t xml:space="preserve">electrolyte </w:t>
            </w:r>
            <w:r w:rsidR="00B841BE" w:rsidRPr="00B01D9B">
              <w:rPr>
                <w:rFonts w:asciiTheme="minorHAnsi" w:hAnsiTheme="minorHAnsi" w:cstheme="minorHAnsi"/>
                <w:color w:val="000000" w:themeColor="text1"/>
              </w:rPr>
              <w:t xml:space="preserve">measurements </w:t>
            </w:r>
            <w:r w:rsidRPr="00B01D9B">
              <w:rPr>
                <w:rFonts w:asciiTheme="minorHAnsi" w:hAnsiTheme="minorHAnsi" w:cstheme="minorHAnsi"/>
                <w:color w:val="000000" w:themeColor="text1"/>
              </w:rPr>
              <w:t>should be performed</w:t>
            </w:r>
            <w:r w:rsidR="00CC530F">
              <w:rPr>
                <w:rFonts w:asciiTheme="minorHAnsi" w:hAnsiTheme="minorHAnsi" w:cstheme="minorHAnsi"/>
                <w:color w:val="000000" w:themeColor="text1"/>
              </w:rPr>
              <w:t xml:space="preserve"> for the first </w:t>
            </w:r>
            <w:r w:rsidR="00941FCE">
              <w:rPr>
                <w:rFonts w:asciiTheme="minorHAnsi" w:hAnsiTheme="minorHAnsi" w:cstheme="minorHAnsi"/>
                <w:color w:val="000000" w:themeColor="text1"/>
              </w:rPr>
              <w:t>8 to 12 weeks</w:t>
            </w:r>
            <w:r w:rsidR="005D44B5" w:rsidRPr="00B01D9B">
              <w:rPr>
                <w:rFonts w:asciiTheme="minorHAnsi" w:hAnsiTheme="minorHAnsi" w:cstheme="minorHAnsi"/>
                <w:color w:val="000000" w:themeColor="text1"/>
              </w:rPr>
              <w:t xml:space="preserve"> if </w:t>
            </w:r>
            <w:r w:rsidR="003B74D1" w:rsidRPr="00B01D9B">
              <w:rPr>
                <w:rFonts w:asciiTheme="minorHAnsi" w:hAnsiTheme="minorHAnsi" w:cstheme="minorHAnsi"/>
                <w:color w:val="000000" w:themeColor="text1"/>
              </w:rPr>
              <w:t xml:space="preserve">a drug </w:t>
            </w:r>
            <w:r w:rsidR="00A86AB9" w:rsidRPr="00B01D9B">
              <w:rPr>
                <w:rFonts w:asciiTheme="minorHAnsi" w:hAnsiTheme="minorHAnsi" w:cstheme="minorHAnsi"/>
                <w:color w:val="000000" w:themeColor="text1"/>
              </w:rPr>
              <w:t xml:space="preserve">is being used despite a </w:t>
            </w:r>
            <w:r w:rsidR="005D44B5" w:rsidRPr="00B01D9B">
              <w:rPr>
                <w:rFonts w:asciiTheme="minorHAnsi" w:hAnsiTheme="minorHAnsi" w:cstheme="minorHAnsi"/>
                <w:color w:val="000000" w:themeColor="text1"/>
              </w:rPr>
              <w:t xml:space="preserve">cardiac contraindication. </w:t>
            </w:r>
          </w:p>
        </w:tc>
      </w:tr>
      <w:tr w:rsidR="001F1E9B" w:rsidRPr="00B01D9B" w14:paraId="5E692A58" w14:textId="77777777" w:rsidTr="003B74D1">
        <w:trPr>
          <w:trHeight w:val="20"/>
        </w:trPr>
        <w:tc>
          <w:tcPr>
            <w:tcW w:w="644" w:type="pct"/>
            <w:shd w:val="clear" w:color="auto" w:fill="FFFFFF" w:themeFill="background1"/>
            <w:tcMar>
              <w:top w:w="100" w:type="dxa"/>
              <w:left w:w="100" w:type="dxa"/>
              <w:bottom w:w="100" w:type="dxa"/>
              <w:right w:w="100" w:type="dxa"/>
            </w:tcMar>
          </w:tcPr>
          <w:p w14:paraId="3F0540E5" w14:textId="610BB43C" w:rsidR="001F1E9B" w:rsidRPr="00B01D9B" w:rsidRDefault="0513D106"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Bdq</w:t>
            </w:r>
            <w:r w:rsidR="003B74D1" w:rsidRPr="00B01D9B">
              <w:rPr>
                <w:rFonts w:asciiTheme="minorHAnsi" w:hAnsiTheme="minorHAnsi" w:cstheme="minorHAnsi"/>
                <w:color w:val="000000" w:themeColor="text1"/>
              </w:rPr>
              <w:t>, Z</w:t>
            </w:r>
          </w:p>
        </w:tc>
        <w:tc>
          <w:tcPr>
            <w:tcW w:w="1751" w:type="pct"/>
            <w:shd w:val="clear" w:color="auto" w:fill="FFFFFF" w:themeFill="background1"/>
            <w:tcMar>
              <w:top w:w="100" w:type="dxa"/>
              <w:left w:w="100" w:type="dxa"/>
              <w:bottom w:w="100" w:type="dxa"/>
              <w:right w:w="100" w:type="dxa"/>
            </w:tcMar>
          </w:tcPr>
          <w:p w14:paraId="4797731F" w14:textId="77777777" w:rsidR="001F1E9B" w:rsidRPr="00B01D9B" w:rsidRDefault="0513D106"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Severe hepatic failure</w:t>
            </w:r>
          </w:p>
        </w:tc>
        <w:tc>
          <w:tcPr>
            <w:tcW w:w="2605" w:type="pct"/>
            <w:shd w:val="clear" w:color="auto" w:fill="FFFFFF" w:themeFill="background1"/>
            <w:tcMar>
              <w:top w:w="100" w:type="dxa"/>
              <w:left w:w="100" w:type="dxa"/>
              <w:bottom w:w="100" w:type="dxa"/>
              <w:right w:w="100" w:type="dxa"/>
            </w:tcMar>
          </w:tcPr>
          <w:p w14:paraId="1828559D" w14:textId="77777777" w:rsidR="001F1E9B" w:rsidRPr="00B01D9B" w:rsidRDefault="0513D106"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Caution in patients with severe hepatic impairment.</w:t>
            </w:r>
          </w:p>
        </w:tc>
      </w:tr>
      <w:tr w:rsidR="008C23E8" w:rsidRPr="00B01D9B" w14:paraId="43ADDC6C" w14:textId="77777777" w:rsidTr="003B74D1">
        <w:trPr>
          <w:trHeight w:val="20"/>
        </w:trPr>
        <w:tc>
          <w:tcPr>
            <w:tcW w:w="644" w:type="pct"/>
            <w:shd w:val="clear" w:color="auto" w:fill="FFFFFF" w:themeFill="background1"/>
            <w:tcMar>
              <w:top w:w="100" w:type="dxa"/>
              <w:left w:w="100" w:type="dxa"/>
              <w:bottom w:w="100" w:type="dxa"/>
              <w:right w:w="100" w:type="dxa"/>
            </w:tcMar>
          </w:tcPr>
          <w:p w14:paraId="772F2B8D" w14:textId="465D4DA6" w:rsidR="008C23E8" w:rsidRPr="00B01D9B" w:rsidRDefault="008C23E8" w:rsidP="00F2797C">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Bdq</w:t>
            </w:r>
            <w:r w:rsidR="00F2797C" w:rsidRPr="00B01D9B">
              <w:rPr>
                <w:rFonts w:asciiTheme="minorHAnsi" w:hAnsiTheme="minorHAnsi" w:cstheme="minorHAnsi"/>
                <w:color w:val="000000" w:themeColor="text1"/>
              </w:rPr>
              <w:t xml:space="preserve">, </w:t>
            </w:r>
            <w:r w:rsidRPr="00B01D9B">
              <w:rPr>
                <w:rFonts w:asciiTheme="minorHAnsi" w:hAnsiTheme="minorHAnsi" w:cstheme="minorHAnsi"/>
                <w:color w:val="000000" w:themeColor="text1"/>
              </w:rPr>
              <w:t>Dlm</w:t>
            </w:r>
            <w:r w:rsidR="00F2797C" w:rsidRPr="00B01D9B">
              <w:rPr>
                <w:rFonts w:asciiTheme="minorHAnsi" w:hAnsiTheme="minorHAnsi" w:cstheme="minorHAnsi"/>
                <w:color w:val="000000" w:themeColor="text1"/>
              </w:rPr>
              <w:t>, Lzd</w:t>
            </w:r>
          </w:p>
        </w:tc>
        <w:tc>
          <w:tcPr>
            <w:tcW w:w="1751" w:type="pct"/>
            <w:shd w:val="clear" w:color="auto" w:fill="FFFFFF" w:themeFill="background1"/>
            <w:tcMar>
              <w:top w:w="100" w:type="dxa"/>
              <w:left w:w="100" w:type="dxa"/>
              <w:bottom w:w="100" w:type="dxa"/>
              <w:right w:w="100" w:type="dxa"/>
            </w:tcMar>
          </w:tcPr>
          <w:p w14:paraId="67A6ADC4" w14:textId="5E2AA948" w:rsidR="008C23E8" w:rsidRPr="00B01D9B" w:rsidRDefault="008C23E8"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Severe renal failure</w:t>
            </w:r>
          </w:p>
        </w:tc>
        <w:tc>
          <w:tcPr>
            <w:tcW w:w="2605" w:type="pct"/>
            <w:shd w:val="clear" w:color="auto" w:fill="FFFFFF" w:themeFill="background1"/>
            <w:tcMar>
              <w:top w:w="100" w:type="dxa"/>
              <w:left w:w="100" w:type="dxa"/>
              <w:bottom w:w="100" w:type="dxa"/>
              <w:right w:w="100" w:type="dxa"/>
            </w:tcMar>
          </w:tcPr>
          <w:p w14:paraId="006527A0" w14:textId="577461CB" w:rsidR="008C23E8" w:rsidRPr="00B01D9B" w:rsidRDefault="008C23E8" w:rsidP="00D34548">
            <w:pPr>
              <w:pStyle w:val="Tabletext"/>
              <w:rPr>
                <w:rFonts w:asciiTheme="minorHAnsi" w:hAnsiTheme="minorHAnsi" w:cstheme="minorHAnsi"/>
                <w:color w:val="000000" w:themeColor="text1"/>
              </w:rPr>
            </w:pPr>
            <w:r w:rsidRPr="00B01D9B">
              <w:rPr>
                <w:rFonts w:asciiTheme="minorHAnsi" w:hAnsiTheme="minorHAnsi" w:cstheme="minorHAnsi"/>
                <w:color w:val="000000" w:themeColor="text1"/>
              </w:rPr>
              <w:t xml:space="preserve">Caution </w:t>
            </w:r>
            <w:r w:rsidR="00FD7C3F" w:rsidRPr="00B01D9B">
              <w:rPr>
                <w:rFonts w:asciiTheme="minorHAnsi" w:hAnsiTheme="minorHAnsi" w:cstheme="minorHAnsi"/>
                <w:color w:val="000000" w:themeColor="text1"/>
              </w:rPr>
              <w:t xml:space="preserve">in patients with severe renal </w:t>
            </w:r>
            <w:r w:rsidRPr="00B01D9B">
              <w:rPr>
                <w:rFonts w:asciiTheme="minorHAnsi" w:hAnsiTheme="minorHAnsi" w:cstheme="minorHAnsi"/>
                <w:color w:val="000000" w:themeColor="text1"/>
              </w:rPr>
              <w:t>impairment.</w:t>
            </w:r>
          </w:p>
        </w:tc>
      </w:tr>
      <w:tr w:rsidR="00447D76" w:rsidRPr="00B01D9B" w14:paraId="1F5FECCE" w14:textId="77777777" w:rsidTr="415BAB1B">
        <w:tc>
          <w:tcPr>
            <w:tcW w:w="5000" w:type="pct"/>
            <w:gridSpan w:val="3"/>
            <w:tcBorders>
              <w:top w:val="single" w:sz="4" w:space="0" w:color="auto"/>
              <w:left w:val="nil"/>
              <w:bottom w:val="nil"/>
              <w:right w:val="nil"/>
            </w:tcBorders>
            <w:shd w:val="clear" w:color="auto" w:fill="FFFFFF" w:themeFill="background1"/>
            <w:tcMar>
              <w:top w:w="100" w:type="dxa"/>
              <w:left w:w="100" w:type="dxa"/>
              <w:bottom w:w="100" w:type="dxa"/>
              <w:right w:w="100" w:type="dxa"/>
            </w:tcMar>
          </w:tcPr>
          <w:p w14:paraId="1191BF2D" w14:textId="3AB0BCAE" w:rsidR="00447D76" w:rsidRPr="00B01D9B" w:rsidRDefault="00447D76" w:rsidP="00D34548">
            <w:pPr>
              <w:pStyle w:val="Tabletext"/>
              <w:rPr>
                <w:rFonts w:asciiTheme="minorHAnsi" w:hAnsiTheme="minorHAnsi" w:cstheme="minorHAnsi"/>
                <w:color w:val="000000" w:themeColor="text1"/>
              </w:rPr>
            </w:pPr>
            <w:r w:rsidRPr="00DE5FDC">
              <w:rPr>
                <w:rFonts w:asciiTheme="minorHAnsi" w:hAnsiTheme="minorHAnsi" w:cstheme="minorHAnsi"/>
                <w:color w:val="000000" w:themeColor="text1"/>
                <w:sz w:val="18"/>
                <w:szCs w:val="21"/>
                <w:vertAlign w:val="superscript"/>
              </w:rPr>
              <w:t>*</w:t>
            </w:r>
            <w:r w:rsidRPr="00DE5FDC">
              <w:rPr>
                <w:rFonts w:asciiTheme="minorHAnsi" w:hAnsiTheme="minorHAnsi" w:cstheme="minorHAnsi"/>
                <w:color w:val="000000" w:themeColor="text1"/>
                <w:sz w:val="18"/>
                <w:szCs w:val="21"/>
              </w:rPr>
              <w:t xml:space="preserve"> See  </w:t>
            </w:r>
            <w:r w:rsidR="007A73D4" w:rsidRPr="00DE5FDC">
              <w:rPr>
                <w:rFonts w:asciiTheme="minorHAnsi" w:hAnsiTheme="minorHAnsi" w:cstheme="minorHAnsi"/>
                <w:color w:val="000000" w:themeColor="text1"/>
                <w:sz w:val="18"/>
                <w:szCs w:val="21"/>
              </w:rPr>
              <w:fldChar w:fldCharType="begin"/>
            </w:r>
            <w:r w:rsidR="007A73D4" w:rsidRPr="00DE5FDC">
              <w:rPr>
                <w:rFonts w:asciiTheme="minorHAnsi" w:hAnsiTheme="minorHAnsi" w:cstheme="minorHAnsi"/>
                <w:color w:val="000000" w:themeColor="text1"/>
                <w:sz w:val="18"/>
                <w:szCs w:val="21"/>
              </w:rPr>
              <w:instrText xml:space="preserve"> REF _Ref12950016 \h  \* MERGEFORMAT </w:instrText>
            </w:r>
            <w:r w:rsidR="007A73D4" w:rsidRPr="00DE5FDC">
              <w:rPr>
                <w:rFonts w:asciiTheme="minorHAnsi" w:hAnsiTheme="minorHAnsi" w:cstheme="minorHAnsi"/>
                <w:color w:val="000000" w:themeColor="text1"/>
                <w:sz w:val="18"/>
                <w:szCs w:val="21"/>
              </w:rPr>
            </w:r>
            <w:r w:rsidR="007A73D4" w:rsidRPr="00DE5FDC">
              <w:rPr>
                <w:rFonts w:asciiTheme="minorHAnsi" w:hAnsiTheme="minorHAnsi" w:cstheme="minorHAnsi"/>
                <w:color w:val="000000" w:themeColor="text1"/>
                <w:sz w:val="18"/>
                <w:szCs w:val="21"/>
              </w:rPr>
              <w:fldChar w:fldCharType="separate"/>
            </w:r>
            <w:r w:rsidR="007A73D4" w:rsidRPr="00DE5FDC">
              <w:rPr>
                <w:rFonts w:asciiTheme="minorHAnsi" w:hAnsiTheme="minorHAnsi" w:cstheme="minorHAnsi"/>
                <w:sz w:val="18"/>
                <w:szCs w:val="21"/>
              </w:rPr>
              <w:t xml:space="preserve">Table 7 </w:t>
            </w:r>
            <w:r w:rsidR="007A73D4" w:rsidRPr="00DE5FDC">
              <w:rPr>
                <w:rFonts w:asciiTheme="minorHAnsi" w:hAnsiTheme="minorHAnsi" w:cstheme="minorHAnsi"/>
                <w:color w:val="000000" w:themeColor="text1"/>
                <w:sz w:val="18"/>
                <w:szCs w:val="21"/>
              </w:rPr>
              <w:fldChar w:fldCharType="end"/>
            </w:r>
            <w:r w:rsidRPr="00DE5FDC">
              <w:rPr>
                <w:rFonts w:asciiTheme="minorHAnsi" w:hAnsiTheme="minorHAnsi" w:cstheme="minorHAnsi"/>
                <w:color w:val="000000" w:themeColor="text1"/>
                <w:sz w:val="18"/>
                <w:szCs w:val="21"/>
              </w:rPr>
              <w:t xml:space="preserve">for safety during pregnancy. </w:t>
            </w:r>
          </w:p>
        </w:tc>
      </w:tr>
    </w:tbl>
    <w:p w14:paraId="4EE4B0C0" w14:textId="2A0D6F1E" w:rsidR="00EF5CAA" w:rsidRPr="00B85017" w:rsidRDefault="00EF5CAA">
      <w:pPr>
        <w:spacing w:before="0" w:after="0"/>
        <w:jc w:val="left"/>
        <w:rPr>
          <w:b/>
          <w:bCs/>
          <w:i/>
          <w:color w:val="000000" w:themeColor="text1"/>
        </w:rPr>
      </w:pPr>
      <w:bookmarkStart w:id="62" w:name="h.17dp8vu" w:colFirst="0" w:colLast="0"/>
      <w:bookmarkStart w:id="63" w:name="h.3rdcrjn" w:colFirst="0" w:colLast="0"/>
      <w:bookmarkEnd w:id="62"/>
      <w:bookmarkEnd w:id="63"/>
    </w:p>
    <w:p w14:paraId="727DFAED" w14:textId="25E4E2FD" w:rsidR="00E008D6" w:rsidRPr="00003170" w:rsidRDefault="00AB74B0" w:rsidP="00003170">
      <w:pPr>
        <w:pStyle w:val="Heading2"/>
      </w:pPr>
      <w:bookmarkStart w:id="64" w:name="_Toc12792949"/>
      <w:bookmarkStart w:id="65" w:name="_Ref12888160"/>
      <w:bookmarkStart w:id="66" w:name="_Ref12949687"/>
      <w:bookmarkStart w:id="67" w:name="_Ref12949984"/>
      <w:bookmarkStart w:id="68" w:name="_Toc12952360"/>
      <w:bookmarkStart w:id="69" w:name="_Toc13486709"/>
      <w:r w:rsidRPr="00003170">
        <w:t xml:space="preserve">Non-TB drugs that cause QT prolongation or affect the heart </w:t>
      </w:r>
      <w:r w:rsidR="007A52A5" w:rsidRPr="00003170">
        <w:t>rhythm</w:t>
      </w:r>
      <w:bookmarkEnd w:id="64"/>
      <w:bookmarkEnd w:id="65"/>
      <w:bookmarkEnd w:id="66"/>
      <w:bookmarkEnd w:id="67"/>
      <w:bookmarkEnd w:id="68"/>
      <w:bookmarkEnd w:id="69"/>
    </w:p>
    <w:p w14:paraId="5636D59B" w14:textId="24B48667" w:rsidR="00E008D6" w:rsidRPr="00DE5FDC" w:rsidRDefault="0513D106" w:rsidP="00E008D6">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Every effort should be made to avoid the use of drugs with </w:t>
      </w:r>
      <w:r w:rsidR="00DD607A" w:rsidRPr="00DE5FDC">
        <w:rPr>
          <w:rFonts w:asciiTheme="minorHAnsi" w:hAnsiTheme="minorHAnsi" w:cstheme="minorHAnsi"/>
          <w:color w:val="000000" w:themeColor="text1"/>
        </w:rPr>
        <w:t xml:space="preserve">the </w:t>
      </w:r>
      <w:r w:rsidRPr="00DE5FDC">
        <w:rPr>
          <w:rFonts w:asciiTheme="minorHAnsi" w:hAnsiTheme="minorHAnsi" w:cstheme="minorHAnsi"/>
          <w:color w:val="000000" w:themeColor="text1"/>
        </w:rPr>
        <w:t>overlapping toxicit</w:t>
      </w:r>
      <w:r w:rsidR="00DD607A" w:rsidRPr="00DE5FDC">
        <w:rPr>
          <w:rFonts w:asciiTheme="minorHAnsi" w:hAnsiTheme="minorHAnsi" w:cstheme="minorHAnsi"/>
          <w:color w:val="000000" w:themeColor="text1"/>
        </w:rPr>
        <w:t>y of QT prolongation</w:t>
      </w:r>
      <w:r w:rsidRPr="00DE5FDC">
        <w:rPr>
          <w:rFonts w:asciiTheme="minorHAnsi" w:hAnsiTheme="minorHAnsi" w:cstheme="minorHAnsi"/>
          <w:color w:val="000000" w:themeColor="text1"/>
        </w:rPr>
        <w:t xml:space="preserve">. However, there may be circumstances where no other option is </w:t>
      </w:r>
      <w:r w:rsidR="009A2E64" w:rsidRPr="00DE5FDC">
        <w:rPr>
          <w:rFonts w:asciiTheme="minorHAnsi" w:hAnsiTheme="minorHAnsi" w:cstheme="minorHAnsi"/>
          <w:color w:val="000000" w:themeColor="text1"/>
        </w:rPr>
        <w:t>available,</w:t>
      </w:r>
      <w:r w:rsidRPr="00DE5FDC">
        <w:rPr>
          <w:rFonts w:asciiTheme="minorHAnsi" w:hAnsiTheme="minorHAnsi" w:cstheme="minorHAnsi"/>
          <w:color w:val="000000" w:themeColor="text1"/>
        </w:rPr>
        <w:t xml:space="preserve"> and the potential benefits outweigh the risks. </w:t>
      </w:r>
    </w:p>
    <w:p w14:paraId="6BF81CFA" w14:textId="036447E2" w:rsidR="00647B82" w:rsidRPr="00DE5FDC" w:rsidRDefault="0513D106" w:rsidP="00E008D6">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Psychiatric drugs are commonly used in MDR-TB patients </w:t>
      </w:r>
      <w:r w:rsidR="00706B19" w:rsidRPr="00DE5FDC">
        <w:rPr>
          <w:rFonts w:asciiTheme="minorHAnsi" w:hAnsiTheme="minorHAnsi" w:cstheme="minorHAnsi"/>
          <w:color w:val="000000" w:themeColor="text1"/>
        </w:rPr>
        <w:t xml:space="preserve">with existing psychiatric disease as well as </w:t>
      </w:r>
      <w:r w:rsidRPr="00DE5FDC">
        <w:rPr>
          <w:rFonts w:asciiTheme="minorHAnsi" w:hAnsiTheme="minorHAnsi" w:cstheme="minorHAnsi"/>
          <w:color w:val="000000" w:themeColor="text1"/>
        </w:rPr>
        <w:t xml:space="preserve">for the treatment of cycloserine-induced psychosis or reactive depression. The anti-psychotics in particular are well-known to prolong the QT interval. It is the responsibility of the TB physician to understand the effects and </w:t>
      </w:r>
      <w:r w:rsidR="00DB66D3" w:rsidRPr="00DE5FDC">
        <w:rPr>
          <w:rFonts w:asciiTheme="minorHAnsi" w:hAnsiTheme="minorHAnsi" w:cstheme="minorHAnsi"/>
          <w:color w:val="000000" w:themeColor="text1"/>
        </w:rPr>
        <w:t xml:space="preserve">adverse </w:t>
      </w:r>
      <w:r w:rsidRPr="00DE5FDC">
        <w:rPr>
          <w:rFonts w:asciiTheme="minorHAnsi" w:hAnsiTheme="minorHAnsi" w:cstheme="minorHAnsi"/>
          <w:color w:val="000000" w:themeColor="text1"/>
        </w:rPr>
        <w:t xml:space="preserve">effects of psychiatric drugs, and to monitor MDR-TB patients taking these drugs carefully, even if the patient is referred to a psychiatrist. </w:t>
      </w:r>
    </w:p>
    <w:p w14:paraId="07E009FD" w14:textId="4859833B" w:rsidR="00722767" w:rsidRPr="00DE5FDC" w:rsidRDefault="00904D65" w:rsidP="002E5FC1">
      <w:pPr>
        <w:rPr>
          <w:rFonts w:asciiTheme="minorHAnsi" w:hAnsiTheme="minorHAnsi" w:cstheme="minorHAnsi"/>
          <w:color w:val="000000" w:themeColor="text1"/>
        </w:rPr>
      </w:pPr>
      <w:r w:rsidRPr="00DE5FDC">
        <w:rPr>
          <w:rFonts w:asciiTheme="minorHAnsi" w:hAnsiTheme="minorHAnsi" w:cstheme="minorHAnsi"/>
          <w:color w:val="000000" w:themeColor="text1"/>
        </w:rPr>
        <w:fldChar w:fldCharType="begin"/>
      </w:r>
      <w:r w:rsidRPr="00DE5FDC">
        <w:rPr>
          <w:rFonts w:asciiTheme="minorHAnsi" w:hAnsiTheme="minorHAnsi" w:cstheme="minorHAnsi"/>
          <w:color w:val="000000" w:themeColor="text1"/>
        </w:rPr>
        <w:instrText xml:space="preserve"> REF _Ref12888022 \h  \* MERGEFORMAT </w:instrText>
      </w:r>
      <w:r w:rsidRPr="00DE5FDC">
        <w:rPr>
          <w:rFonts w:asciiTheme="minorHAnsi" w:hAnsiTheme="minorHAnsi" w:cstheme="minorHAnsi"/>
          <w:color w:val="000000" w:themeColor="text1"/>
        </w:rPr>
      </w:r>
      <w:r w:rsidRPr="00DE5FDC">
        <w:rPr>
          <w:rFonts w:asciiTheme="minorHAnsi" w:hAnsiTheme="minorHAnsi" w:cstheme="minorHAnsi"/>
          <w:color w:val="000000" w:themeColor="text1"/>
        </w:rPr>
        <w:fldChar w:fldCharType="separate"/>
      </w:r>
      <w:r w:rsidRPr="00DE5FDC">
        <w:rPr>
          <w:rFonts w:asciiTheme="minorHAnsi" w:hAnsiTheme="minorHAnsi" w:cstheme="minorHAnsi"/>
        </w:rPr>
        <w:t xml:space="preserve">Table 4 </w:t>
      </w:r>
      <w:r w:rsidRPr="00DE5FDC">
        <w:rPr>
          <w:rFonts w:asciiTheme="minorHAnsi" w:hAnsiTheme="minorHAnsi" w:cstheme="minorHAnsi"/>
          <w:color w:val="000000" w:themeColor="text1"/>
        </w:rPr>
        <w:fldChar w:fldCharType="end"/>
      </w:r>
      <w:r w:rsidR="00DD607A" w:rsidRPr="00DE5FDC">
        <w:rPr>
          <w:rFonts w:asciiTheme="minorHAnsi" w:hAnsiTheme="minorHAnsi" w:cstheme="minorHAnsi"/>
          <w:color w:val="000000" w:themeColor="text1"/>
        </w:rPr>
        <w:t xml:space="preserve">lists drugs that may affect the QT interval. </w:t>
      </w:r>
      <w:r w:rsidR="00722767" w:rsidRPr="00DE5FDC">
        <w:rPr>
          <w:rFonts w:asciiTheme="minorHAnsi" w:hAnsiTheme="minorHAnsi" w:cstheme="minorHAnsi"/>
          <w:color w:val="000000" w:themeColor="text1"/>
        </w:rPr>
        <w:t xml:space="preserve">Caution is warranted when </w:t>
      </w:r>
      <w:r w:rsidR="00DD607A" w:rsidRPr="00DE5FDC">
        <w:rPr>
          <w:rFonts w:asciiTheme="minorHAnsi" w:hAnsiTheme="minorHAnsi" w:cstheme="minorHAnsi"/>
          <w:color w:val="000000" w:themeColor="text1"/>
        </w:rPr>
        <w:t xml:space="preserve">non-TB drugs that </w:t>
      </w:r>
      <w:r w:rsidR="00722767" w:rsidRPr="00DE5FDC">
        <w:rPr>
          <w:rFonts w:asciiTheme="minorHAnsi" w:hAnsiTheme="minorHAnsi" w:cstheme="minorHAnsi"/>
          <w:color w:val="000000" w:themeColor="text1"/>
        </w:rPr>
        <w:t>can prolong the QT interval or affect the rhythm of the heart</w:t>
      </w:r>
      <w:r w:rsidR="00DD607A" w:rsidRPr="00DE5FDC">
        <w:rPr>
          <w:rFonts w:asciiTheme="minorHAnsi" w:hAnsiTheme="minorHAnsi" w:cstheme="minorHAnsi"/>
          <w:color w:val="000000" w:themeColor="text1"/>
        </w:rPr>
        <w:t xml:space="preserve"> </w:t>
      </w:r>
      <w:r w:rsidR="00722767" w:rsidRPr="00DE5FDC">
        <w:rPr>
          <w:rFonts w:asciiTheme="minorHAnsi" w:hAnsiTheme="minorHAnsi" w:cstheme="minorHAnsi"/>
          <w:color w:val="000000" w:themeColor="text1"/>
        </w:rPr>
        <w:t>are used concomitantly with</w:t>
      </w:r>
      <w:r w:rsidR="00DD607A" w:rsidRPr="00DE5FDC">
        <w:rPr>
          <w:rFonts w:asciiTheme="minorHAnsi" w:hAnsiTheme="minorHAnsi" w:cstheme="minorHAnsi"/>
          <w:color w:val="000000" w:themeColor="text1"/>
        </w:rPr>
        <w:t xml:space="preserve"> TB drugs that </w:t>
      </w:r>
      <w:r w:rsidR="00706B19" w:rsidRPr="00DE5FDC">
        <w:rPr>
          <w:rFonts w:asciiTheme="minorHAnsi" w:hAnsiTheme="minorHAnsi" w:cstheme="minorHAnsi"/>
          <w:color w:val="000000" w:themeColor="text1"/>
        </w:rPr>
        <w:t>a</w:t>
      </w:r>
      <w:r w:rsidR="00DD607A" w:rsidRPr="00DE5FDC">
        <w:rPr>
          <w:rFonts w:asciiTheme="minorHAnsi" w:hAnsiTheme="minorHAnsi" w:cstheme="minorHAnsi"/>
          <w:color w:val="000000" w:themeColor="text1"/>
        </w:rPr>
        <w:t>ffect the QT interva</w:t>
      </w:r>
      <w:r w:rsidR="00722767" w:rsidRPr="00DE5FDC">
        <w:rPr>
          <w:rFonts w:asciiTheme="minorHAnsi" w:hAnsiTheme="minorHAnsi" w:cstheme="minorHAnsi"/>
          <w:color w:val="000000" w:themeColor="text1"/>
        </w:rPr>
        <w:t xml:space="preserve">l.  Avoid the combined use if possible. </w:t>
      </w:r>
      <w:r w:rsidR="00DD607A" w:rsidRPr="00DE5FDC">
        <w:rPr>
          <w:rFonts w:asciiTheme="minorHAnsi" w:hAnsiTheme="minorHAnsi" w:cstheme="minorHAnsi"/>
          <w:color w:val="000000" w:themeColor="text1"/>
        </w:rPr>
        <w:t xml:space="preserve">When </w:t>
      </w:r>
      <w:r w:rsidR="00706B19" w:rsidRPr="00DE5FDC">
        <w:rPr>
          <w:rFonts w:asciiTheme="minorHAnsi" w:hAnsiTheme="minorHAnsi" w:cstheme="minorHAnsi"/>
          <w:color w:val="000000" w:themeColor="text1"/>
        </w:rPr>
        <w:t xml:space="preserve">the use of </w:t>
      </w:r>
      <w:r w:rsidR="00DD607A" w:rsidRPr="00DE5FDC">
        <w:rPr>
          <w:rFonts w:asciiTheme="minorHAnsi" w:hAnsiTheme="minorHAnsi" w:cstheme="minorHAnsi"/>
          <w:color w:val="000000" w:themeColor="text1"/>
        </w:rPr>
        <w:t>a</w:t>
      </w:r>
      <w:r w:rsidR="00706B19" w:rsidRPr="00DE5FDC">
        <w:rPr>
          <w:rFonts w:asciiTheme="minorHAnsi" w:hAnsiTheme="minorHAnsi" w:cstheme="minorHAnsi"/>
          <w:color w:val="000000" w:themeColor="text1"/>
        </w:rPr>
        <w:t>n additional</w:t>
      </w:r>
      <w:r w:rsidR="00DD607A" w:rsidRPr="00DE5FDC">
        <w:rPr>
          <w:rFonts w:asciiTheme="minorHAnsi" w:hAnsiTheme="minorHAnsi" w:cstheme="minorHAnsi"/>
          <w:color w:val="000000" w:themeColor="text1"/>
        </w:rPr>
        <w:t xml:space="preserve"> QT prolonging drug </w:t>
      </w:r>
      <w:r w:rsidR="00722767" w:rsidRPr="00DE5FDC">
        <w:rPr>
          <w:rFonts w:asciiTheme="minorHAnsi" w:hAnsiTheme="minorHAnsi" w:cstheme="minorHAnsi"/>
          <w:color w:val="000000" w:themeColor="text1"/>
        </w:rPr>
        <w:t>is not avoidable</w:t>
      </w:r>
      <w:r w:rsidR="00706B19" w:rsidRPr="00DE5FDC">
        <w:rPr>
          <w:rFonts w:asciiTheme="minorHAnsi" w:hAnsiTheme="minorHAnsi" w:cstheme="minorHAnsi"/>
          <w:color w:val="000000" w:themeColor="text1"/>
        </w:rPr>
        <w:t xml:space="preserve">, then </w:t>
      </w:r>
      <w:r w:rsidR="00DD607A" w:rsidRPr="00DE5FDC">
        <w:rPr>
          <w:rFonts w:asciiTheme="minorHAnsi" w:hAnsiTheme="minorHAnsi" w:cstheme="minorHAnsi"/>
          <w:color w:val="000000" w:themeColor="text1"/>
        </w:rPr>
        <w:t xml:space="preserve">more frequent QT interval monitoring </w:t>
      </w:r>
      <w:r w:rsidR="00722767" w:rsidRPr="00DE5FDC">
        <w:rPr>
          <w:rFonts w:asciiTheme="minorHAnsi" w:hAnsiTheme="minorHAnsi" w:cstheme="minorHAnsi"/>
          <w:color w:val="000000" w:themeColor="text1"/>
        </w:rPr>
        <w:t>may be needed</w:t>
      </w:r>
      <w:r w:rsidR="00706B19" w:rsidRPr="00DE5FDC">
        <w:rPr>
          <w:rFonts w:asciiTheme="minorHAnsi" w:hAnsiTheme="minorHAnsi" w:cstheme="minorHAnsi"/>
          <w:color w:val="000000" w:themeColor="text1"/>
        </w:rPr>
        <w:t xml:space="preserve"> (for example,</w:t>
      </w:r>
      <w:r w:rsidR="005701D0" w:rsidRPr="00DE5FDC">
        <w:rPr>
          <w:rFonts w:asciiTheme="minorHAnsi" w:hAnsiTheme="minorHAnsi" w:cstheme="minorHAnsi"/>
          <w:color w:val="000000" w:themeColor="text1"/>
        </w:rPr>
        <w:t xml:space="preserve"> every two weeks instead of monthly</w:t>
      </w:r>
      <w:r w:rsidR="00706B19" w:rsidRPr="00DE5FDC">
        <w:rPr>
          <w:rFonts w:asciiTheme="minorHAnsi" w:hAnsiTheme="minorHAnsi" w:cstheme="minorHAnsi"/>
          <w:color w:val="000000" w:themeColor="text1"/>
        </w:rPr>
        <w:t>)</w:t>
      </w:r>
    </w:p>
    <w:p w14:paraId="4F3743D7" w14:textId="66E0CF36" w:rsidR="001C6A18" w:rsidRPr="007D2A41" w:rsidRDefault="00E16825" w:rsidP="002C4FED">
      <w:pPr>
        <w:pStyle w:val="Heading3"/>
        <w:rPr>
          <w:rFonts w:asciiTheme="minorHAnsi" w:hAnsiTheme="minorHAnsi" w:cstheme="minorHAnsi"/>
        </w:rPr>
      </w:pPr>
      <w:bookmarkStart w:id="70" w:name="_Toc12885971"/>
      <w:bookmarkStart w:id="71" w:name="_Toc12886218"/>
      <w:bookmarkStart w:id="72" w:name="_Ref12888017"/>
      <w:bookmarkStart w:id="73" w:name="_Ref12888022"/>
      <w:bookmarkStart w:id="74" w:name="_Toc13486763"/>
      <w:r w:rsidRPr="007D2A41">
        <w:rPr>
          <w:rFonts w:asciiTheme="minorHAnsi" w:hAnsiTheme="minorHAnsi" w:cstheme="minorHAnsi"/>
        </w:rPr>
        <w:lastRenderedPageBreak/>
        <w:t xml:space="preserve">Table </w:t>
      </w:r>
      <w:r w:rsidR="005E0DF4" w:rsidRPr="007D2A41">
        <w:rPr>
          <w:rFonts w:asciiTheme="minorHAnsi" w:hAnsiTheme="minorHAnsi" w:cstheme="minorHAnsi"/>
        </w:rPr>
        <w:t>5</w:t>
      </w:r>
      <w:r w:rsidRPr="007D2A41">
        <w:rPr>
          <w:rFonts w:asciiTheme="minorHAnsi" w:hAnsiTheme="minorHAnsi" w:cstheme="minorHAnsi"/>
        </w:rPr>
        <w:t xml:space="preserve"> </w:t>
      </w:r>
      <w:r w:rsidR="001C6A18" w:rsidRPr="007D2A41">
        <w:rPr>
          <w:rFonts w:asciiTheme="minorHAnsi" w:hAnsiTheme="minorHAnsi" w:cstheme="minorHAnsi"/>
        </w:rPr>
        <w:t xml:space="preserve">Non-TB drugs that have </w:t>
      </w:r>
      <w:r w:rsidRPr="007D2A41">
        <w:rPr>
          <w:rFonts w:asciiTheme="minorHAnsi" w:hAnsiTheme="minorHAnsi" w:cstheme="minorHAnsi"/>
        </w:rPr>
        <w:t xml:space="preserve">potential </w:t>
      </w:r>
      <w:r w:rsidR="00894980" w:rsidRPr="007D2A41">
        <w:rPr>
          <w:rFonts w:asciiTheme="minorHAnsi" w:hAnsiTheme="minorHAnsi" w:cstheme="minorHAnsi"/>
        </w:rPr>
        <w:t>to cause QT prolongation or affect the heart rhythm</w:t>
      </w:r>
      <w:bookmarkEnd w:id="70"/>
      <w:bookmarkEnd w:id="71"/>
      <w:bookmarkEnd w:id="72"/>
      <w:bookmarkEnd w:id="73"/>
      <w:bookmarkEnd w:id="74"/>
      <w:r w:rsidR="00894980" w:rsidRPr="007D2A41">
        <w:rPr>
          <w:rFonts w:asciiTheme="minorHAnsi" w:hAnsiTheme="minorHAnsi" w:cstheme="minorHAnsi"/>
        </w:rPr>
        <w:t xml:space="preserve"> </w:t>
      </w:r>
    </w:p>
    <w:tbl>
      <w:tblPr>
        <w:tblStyle w:val="TableGrid"/>
        <w:tblW w:w="5837" w:type="dxa"/>
        <w:tblInd w:w="1939" w:type="dxa"/>
        <w:tblLook w:val="04A0" w:firstRow="1" w:lastRow="0" w:firstColumn="1" w:lastColumn="0" w:noHBand="0" w:noVBand="1"/>
      </w:tblPr>
      <w:tblGrid>
        <w:gridCol w:w="5837"/>
      </w:tblGrid>
      <w:tr w:rsidR="009A2E64" w:rsidRPr="00BB3552" w14:paraId="18029059" w14:textId="77777777" w:rsidTr="00093E2C">
        <w:tc>
          <w:tcPr>
            <w:tcW w:w="5837" w:type="dxa"/>
            <w:shd w:val="clear" w:color="auto" w:fill="235868"/>
            <w:vAlign w:val="center"/>
          </w:tcPr>
          <w:p w14:paraId="1E009937" w14:textId="43D322E7" w:rsidR="009A2E64" w:rsidRPr="007D2A41" w:rsidRDefault="009A2E64" w:rsidP="00E20A53">
            <w:pPr>
              <w:jc w:val="center"/>
              <w:rPr>
                <w:rFonts w:asciiTheme="minorHAnsi" w:hAnsiTheme="minorHAnsi" w:cstheme="minorHAnsi"/>
                <w:b/>
                <w:bCs/>
                <w:color w:val="FFFFFF" w:themeColor="background1"/>
                <w:sz w:val="20"/>
                <w:szCs w:val="20"/>
              </w:rPr>
            </w:pPr>
            <w:r w:rsidRPr="007D2A41">
              <w:rPr>
                <w:rFonts w:asciiTheme="minorHAnsi" w:hAnsiTheme="minorHAnsi" w:cstheme="minorHAnsi"/>
                <w:b/>
                <w:bCs/>
                <w:color w:val="FFFFFF" w:themeColor="background1"/>
                <w:sz w:val="20"/>
                <w:szCs w:val="20"/>
              </w:rPr>
              <w:t>Examples of non-TB QT prolonging drugs/notes</w:t>
            </w:r>
          </w:p>
        </w:tc>
      </w:tr>
      <w:tr w:rsidR="009A2E64" w:rsidRPr="00BB3552" w14:paraId="5C453A30" w14:textId="77777777" w:rsidTr="009A2E64">
        <w:trPr>
          <w:trHeight w:val="5345"/>
        </w:trPr>
        <w:tc>
          <w:tcPr>
            <w:tcW w:w="5837" w:type="dxa"/>
            <w:vAlign w:val="center"/>
          </w:tcPr>
          <w:p w14:paraId="645BFD4B" w14:textId="77777777" w:rsidR="00806B61" w:rsidRPr="007D2A41" w:rsidRDefault="00806B61" w:rsidP="00806B61">
            <w:pPr>
              <w:pStyle w:val="ListBullet"/>
              <w:spacing w:after="0"/>
              <w:rPr>
                <w:rFonts w:asciiTheme="minorHAnsi" w:eastAsia="Times New Roman" w:hAnsiTheme="minorHAnsi" w:cstheme="minorHAnsi"/>
                <w:color w:val="000000" w:themeColor="text1"/>
                <w:sz w:val="20"/>
                <w:szCs w:val="20"/>
              </w:rPr>
            </w:pPr>
            <w:r>
              <w:rPr>
                <w:rFonts w:asciiTheme="minorHAnsi" w:hAnsiTheme="minorHAnsi" w:cstheme="minorHAnsi"/>
                <w:color w:val="000000" w:themeColor="text1"/>
                <w:sz w:val="20"/>
                <w:szCs w:val="20"/>
              </w:rPr>
              <w:t>Tricyclic antidepressants</w:t>
            </w:r>
          </w:p>
          <w:p w14:paraId="38110E3F" w14:textId="77777777" w:rsidR="00806B61" w:rsidRDefault="00806B61" w:rsidP="00806B61">
            <w:pPr>
              <w:pStyle w:val="ListBullet2"/>
              <w:spacing w:before="0"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Amitriptyline</w:t>
            </w:r>
          </w:p>
          <w:p w14:paraId="015C653A" w14:textId="77777777" w:rsidR="00806B61" w:rsidRDefault="00806B61" w:rsidP="00806B61">
            <w:pPr>
              <w:pStyle w:val="ListBullet2"/>
              <w:spacing w:before="0"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Nortriptyline</w:t>
            </w:r>
          </w:p>
          <w:p w14:paraId="50A4097B" w14:textId="77777777" w:rsidR="00806B61" w:rsidRPr="000A5DAB" w:rsidRDefault="00806B61" w:rsidP="00806B61">
            <w:pPr>
              <w:pStyle w:val="ListBullet2"/>
              <w:spacing w:before="0" w:after="0"/>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(all tricyclic antidepressants)</w:t>
            </w:r>
          </w:p>
          <w:p w14:paraId="490D9EA6" w14:textId="77777777" w:rsidR="009A2E64" w:rsidRPr="007D2A41" w:rsidRDefault="009A2E64" w:rsidP="00ED12E6">
            <w:pPr>
              <w:pStyle w:val="ListBullet"/>
              <w:spacing w:after="0"/>
              <w:rPr>
                <w:rFonts w:asciiTheme="minorHAnsi" w:eastAsia="Times New Roman" w:hAnsiTheme="minorHAnsi" w:cstheme="minorHAnsi"/>
                <w:color w:val="000000" w:themeColor="text1"/>
                <w:sz w:val="20"/>
                <w:szCs w:val="20"/>
              </w:rPr>
            </w:pPr>
            <w:r w:rsidRPr="007D2A41">
              <w:rPr>
                <w:rFonts w:asciiTheme="minorHAnsi" w:hAnsiTheme="minorHAnsi" w:cstheme="minorHAnsi"/>
                <w:color w:val="000000" w:themeColor="text1"/>
                <w:sz w:val="20"/>
                <w:szCs w:val="20"/>
              </w:rPr>
              <w:t>Oral azole antifungals (can be used up to two weeks):</w:t>
            </w:r>
          </w:p>
          <w:p w14:paraId="2A8C33ED"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Ketoconazole</w:t>
            </w:r>
          </w:p>
          <w:p w14:paraId="5FB0DAF8"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Itraconazole</w:t>
            </w:r>
          </w:p>
          <w:p w14:paraId="1ECD4E10"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Fluconazole</w:t>
            </w:r>
          </w:p>
          <w:p w14:paraId="453879DA" w14:textId="77777777" w:rsidR="009A2E64" w:rsidRPr="007D2A41" w:rsidRDefault="009A2E64" w:rsidP="00ED12E6">
            <w:pPr>
              <w:pStyle w:val="ListBullet"/>
              <w:spacing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Macrolide antibiotics:</w:t>
            </w:r>
          </w:p>
          <w:p w14:paraId="22A78952"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Azithromycin</w:t>
            </w:r>
          </w:p>
          <w:p w14:paraId="104BE290"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Clarithromycin</w:t>
            </w:r>
          </w:p>
          <w:p w14:paraId="4A3F64A3"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 xml:space="preserve">Erythromycin </w:t>
            </w:r>
          </w:p>
          <w:p w14:paraId="32F42E52" w14:textId="77777777" w:rsidR="009A2E64" w:rsidRPr="007D2A41" w:rsidRDefault="009A2E64" w:rsidP="00ED12E6">
            <w:pPr>
              <w:pStyle w:val="ListBullet"/>
              <w:spacing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Antipsychotics (all have some risk), including:</w:t>
            </w:r>
          </w:p>
          <w:p w14:paraId="5CA1DC53"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Haloperidol</w:t>
            </w:r>
          </w:p>
          <w:p w14:paraId="488E4281"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Risperidone</w:t>
            </w:r>
          </w:p>
          <w:p w14:paraId="149A2D5A" w14:textId="77777777" w:rsidR="009A2E64" w:rsidRPr="007D2A41" w:rsidRDefault="009A2E64" w:rsidP="00ED12E6">
            <w:pPr>
              <w:pStyle w:val="ListBullet"/>
              <w:spacing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 xml:space="preserve">Many anti-nausea drugs, for example: </w:t>
            </w:r>
          </w:p>
          <w:p w14:paraId="79CA8B0B"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Ondansetron</w:t>
            </w:r>
          </w:p>
          <w:p w14:paraId="6A450B6C"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Granisetron</w:t>
            </w:r>
          </w:p>
          <w:p w14:paraId="75D413C2"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Domperidone</w:t>
            </w:r>
          </w:p>
          <w:p w14:paraId="6406FE66"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 xml:space="preserve">Chlorpromazine  </w:t>
            </w:r>
          </w:p>
          <w:p w14:paraId="7B5A71E2" w14:textId="77777777" w:rsidR="009A2E64" w:rsidRPr="007D2A41" w:rsidRDefault="009A2E64" w:rsidP="003D4D1F">
            <w:pPr>
              <w:pStyle w:val="ListBullet"/>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Methadone</w:t>
            </w:r>
          </w:p>
          <w:p w14:paraId="57CFDB58" w14:textId="77777777" w:rsidR="009A2E64" w:rsidRPr="007D2A41" w:rsidRDefault="009A2E64" w:rsidP="00ED12E6">
            <w:pPr>
              <w:pStyle w:val="ListBullet"/>
              <w:spacing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 xml:space="preserve">Cardiac drugs that may affect the heart rhythm, for example: </w:t>
            </w:r>
          </w:p>
          <w:p w14:paraId="2A37E1CA"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Amiodarone</w:t>
            </w:r>
          </w:p>
          <w:p w14:paraId="5C1E9CB4" w14:textId="13D10A2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Beta-blockers</w:t>
            </w:r>
          </w:p>
          <w:p w14:paraId="47B4F3E3" w14:textId="77777777"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Digoxin</w:t>
            </w:r>
          </w:p>
          <w:p w14:paraId="3469DCB7" w14:textId="451D65A3" w:rsidR="009A2E64" w:rsidRPr="007D2A41" w:rsidRDefault="009A2E64" w:rsidP="003D4D1F">
            <w:pPr>
              <w:pStyle w:val="ListBullet2"/>
              <w:spacing w:before="0" w:after="0"/>
              <w:rPr>
                <w:rFonts w:asciiTheme="minorHAnsi" w:hAnsiTheme="minorHAnsi" w:cstheme="minorHAnsi"/>
                <w:color w:val="000000" w:themeColor="text1"/>
                <w:sz w:val="20"/>
                <w:szCs w:val="20"/>
              </w:rPr>
            </w:pPr>
            <w:r w:rsidRPr="007D2A41">
              <w:rPr>
                <w:rFonts w:asciiTheme="minorHAnsi" w:hAnsiTheme="minorHAnsi" w:cstheme="minorHAnsi"/>
                <w:color w:val="000000" w:themeColor="text1"/>
                <w:sz w:val="20"/>
                <w:szCs w:val="20"/>
              </w:rPr>
              <w:t>Quinidine</w:t>
            </w:r>
          </w:p>
        </w:tc>
      </w:tr>
    </w:tbl>
    <w:p w14:paraId="2CAA4814" w14:textId="77777777" w:rsidR="009A2E64" w:rsidRPr="009A2E64" w:rsidRDefault="009A2E64" w:rsidP="00FC6FCE">
      <w:pPr>
        <w:rPr>
          <w:rFonts w:asciiTheme="minorHAnsi" w:hAnsiTheme="minorHAnsi" w:cstheme="minorHAnsi"/>
          <w:color w:val="000000" w:themeColor="text1"/>
          <w:sz w:val="23"/>
          <w:szCs w:val="23"/>
        </w:rPr>
      </w:pPr>
    </w:p>
    <w:p w14:paraId="0983099D" w14:textId="4B85F09A" w:rsidR="009A2E64" w:rsidRPr="00DE5FDC" w:rsidRDefault="00DD607A" w:rsidP="00FC6FCE">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Cardiac drugs are used in MDR-TB patients for a number of incorrect reasons, such as to </w:t>
      </w:r>
      <w:r w:rsidR="00A51BFF"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prevent</w:t>
      </w:r>
      <w:r w:rsidR="00A51BFF"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 arrhythmia, to treat cardiac symptoms, or to decrease the QT interval. In fact, there is no cardiac drug that can counteract or </w:t>
      </w:r>
      <w:r w:rsidR="00A51BFF"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protect</w:t>
      </w:r>
      <w:r w:rsidR="00A51BFF"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 from QT prolongation. Cardiac rhythm-controlling and rate-controlling drugs should therefore only be used for clear indications. </w:t>
      </w:r>
    </w:p>
    <w:p w14:paraId="648B144E" w14:textId="7D31487A" w:rsidR="000D4590" w:rsidRPr="00DE5FDC" w:rsidRDefault="00DD607A" w:rsidP="00FC6FCE">
      <w:pPr>
        <w:rPr>
          <w:color w:val="000000" w:themeColor="text1"/>
          <w:sz w:val="21"/>
          <w:szCs w:val="21"/>
        </w:rPr>
      </w:pPr>
      <w:r w:rsidRPr="00DE5FDC">
        <w:rPr>
          <w:rFonts w:asciiTheme="minorHAnsi" w:hAnsiTheme="minorHAnsi" w:cstheme="minorHAnsi"/>
          <w:color w:val="000000" w:themeColor="text1"/>
        </w:rPr>
        <w:t xml:space="preserve">Sinus tachycardia is often a physiologic response to other pathologies. It should be viewed as a symptom, not as a cardiac disorder. </w:t>
      </w:r>
      <w:r w:rsidR="003B7F55" w:rsidRPr="00DE5FDC">
        <w:rPr>
          <w:rFonts w:asciiTheme="minorHAnsi" w:hAnsiTheme="minorHAnsi" w:cstheme="minorHAnsi"/>
          <w:color w:val="000000" w:themeColor="text1"/>
        </w:rPr>
        <w:t>Importantly,</w:t>
      </w:r>
      <w:r w:rsidR="009A2E64" w:rsidRPr="00DE5FDC">
        <w:rPr>
          <w:rFonts w:asciiTheme="minorHAnsi" w:hAnsiTheme="minorHAnsi" w:cstheme="minorHAnsi"/>
          <w:color w:val="000000" w:themeColor="text1"/>
        </w:rPr>
        <w:t xml:space="preserve"> </w:t>
      </w:r>
      <w:r w:rsidRPr="00DE5FDC">
        <w:rPr>
          <w:rFonts w:asciiTheme="minorHAnsi" w:hAnsiTheme="minorHAnsi" w:cstheme="minorHAnsi"/>
          <w:color w:val="000000" w:themeColor="text1"/>
        </w:rPr>
        <w:t xml:space="preserve">beta-blockers should not be used to treat sinus tachycardia </w:t>
      </w:r>
      <w:r w:rsidR="003B7F55" w:rsidRPr="00DE5FDC">
        <w:rPr>
          <w:rFonts w:asciiTheme="minorHAnsi" w:hAnsiTheme="minorHAnsi" w:cstheme="minorHAnsi"/>
          <w:color w:val="000000" w:themeColor="text1"/>
        </w:rPr>
        <w:t>or prevent QT prolongation</w:t>
      </w:r>
      <w:r w:rsidRPr="00DE5FDC">
        <w:rPr>
          <w:rFonts w:asciiTheme="minorHAnsi" w:hAnsiTheme="minorHAnsi" w:cstheme="minorHAnsi"/>
          <w:color w:val="000000" w:themeColor="text1"/>
        </w:rPr>
        <w:t xml:space="preserve"> in TB patients.</w:t>
      </w:r>
      <w:r w:rsidRPr="00DE5FDC">
        <w:rPr>
          <w:rStyle w:val="FootnoteReference"/>
          <w:rFonts w:asciiTheme="minorHAnsi" w:hAnsiTheme="minorHAnsi" w:cstheme="minorHAnsi"/>
          <w:color w:val="000000" w:themeColor="text1"/>
          <w:sz w:val="22"/>
        </w:rPr>
        <w:footnoteReference w:id="19"/>
      </w:r>
      <w:r w:rsidRPr="00DE5FDC">
        <w:rPr>
          <w:rFonts w:asciiTheme="minorHAnsi" w:hAnsiTheme="minorHAnsi" w:cstheme="minorHAnsi"/>
          <w:color w:val="000000" w:themeColor="text1"/>
        </w:rPr>
        <w:t xml:space="preserve"> </w:t>
      </w:r>
      <w:r w:rsidR="009A2E64" w:rsidRPr="00DE5FDC">
        <w:rPr>
          <w:rFonts w:asciiTheme="minorHAnsi" w:hAnsiTheme="minorHAnsi" w:cstheme="minorHAnsi"/>
          <w:color w:val="000000" w:themeColor="text1"/>
        </w:rPr>
        <w:t xml:space="preserve">The authors of this guide strongly recommend to avoid using </w:t>
      </w:r>
      <w:r w:rsidR="009A2E64" w:rsidRPr="00DE5FDC">
        <w:rPr>
          <w:rFonts w:asciiTheme="minorHAnsi" w:hAnsiTheme="minorHAnsi" w:cstheme="minorHAnsi"/>
          <w:color w:val="000000" w:themeColor="text1"/>
        </w:rPr>
        <w:lastRenderedPageBreak/>
        <w:t>beta-blockers in patients with TB that are on QT prolonging TB drugs, as a non-beta-blocker substitute can be found in most cases.</w:t>
      </w:r>
      <w:r w:rsidR="009A2E64" w:rsidRPr="00DE5FDC">
        <w:rPr>
          <w:color w:val="000000" w:themeColor="text1"/>
          <w:sz w:val="21"/>
          <w:szCs w:val="21"/>
        </w:rPr>
        <w:t xml:space="preserve">  </w:t>
      </w:r>
      <w:r w:rsidR="000D4590" w:rsidRPr="00DE5FDC">
        <w:rPr>
          <w:color w:val="000000" w:themeColor="text1"/>
          <w:sz w:val="21"/>
          <w:szCs w:val="21"/>
        </w:rPr>
        <w:br w:type="page"/>
      </w:r>
    </w:p>
    <w:p w14:paraId="32C3B748" w14:textId="3BA69825" w:rsidR="001F1E9B" w:rsidRPr="00003170" w:rsidRDefault="004668F7" w:rsidP="00003170">
      <w:pPr>
        <w:pStyle w:val="Heading1"/>
      </w:pPr>
      <w:bookmarkStart w:id="75" w:name="_Toc12792950"/>
      <w:bookmarkStart w:id="76" w:name="_Ref12885267"/>
      <w:bookmarkStart w:id="77" w:name="_Toc12952361"/>
      <w:bookmarkStart w:id="78" w:name="_Toc13486710"/>
      <w:r w:rsidRPr="00003170">
        <w:lastRenderedPageBreak/>
        <w:t xml:space="preserve">Design </w:t>
      </w:r>
      <w:r w:rsidR="00E112D4" w:rsidRPr="00003170">
        <w:t xml:space="preserve">and implementation </w:t>
      </w:r>
      <w:r w:rsidRPr="00003170">
        <w:t>of an all-oral shorter r</w:t>
      </w:r>
      <w:r w:rsidR="6A814265" w:rsidRPr="00003170">
        <w:t>egimen</w:t>
      </w:r>
      <w:bookmarkEnd w:id="75"/>
      <w:bookmarkEnd w:id="76"/>
      <w:bookmarkEnd w:id="77"/>
      <w:bookmarkEnd w:id="78"/>
      <w:r w:rsidR="6A814265" w:rsidRPr="00003170">
        <w:t xml:space="preserve"> </w:t>
      </w:r>
    </w:p>
    <w:p w14:paraId="7B019B70" w14:textId="5787AC32" w:rsidR="009637C1" w:rsidRPr="00003170" w:rsidRDefault="009637C1" w:rsidP="00003170">
      <w:pPr>
        <w:pStyle w:val="Heading2"/>
      </w:pPr>
      <w:bookmarkStart w:id="79" w:name="h.2jxsxqh" w:colFirst="0" w:colLast="0"/>
      <w:bookmarkStart w:id="80" w:name="h.3as4poj" w:colFirst="0" w:colLast="0"/>
      <w:bookmarkStart w:id="81" w:name="_Toc12792951"/>
      <w:bookmarkStart w:id="82" w:name="_Toc12952362"/>
      <w:bookmarkStart w:id="83" w:name="_Toc13486711"/>
      <w:bookmarkStart w:id="84" w:name="_Ref13514909"/>
      <w:bookmarkStart w:id="85" w:name="_Ref426106393"/>
      <w:bookmarkEnd w:id="79"/>
      <w:bookmarkEnd w:id="80"/>
      <w:r w:rsidRPr="00003170">
        <w:t>Duration of the regimen in all-oral STR</w:t>
      </w:r>
      <w:bookmarkEnd w:id="81"/>
      <w:bookmarkEnd w:id="82"/>
      <w:bookmarkEnd w:id="83"/>
      <w:bookmarkEnd w:id="84"/>
    </w:p>
    <w:p w14:paraId="34C059BE" w14:textId="5D587B51" w:rsidR="009637C1" w:rsidRPr="00462ED2" w:rsidRDefault="009637C1" w:rsidP="009637C1">
      <w:pPr>
        <w:rPr>
          <w:rFonts w:asciiTheme="minorHAnsi" w:hAnsiTheme="minorHAnsi" w:cstheme="minorHAnsi"/>
          <w:color w:val="000000" w:themeColor="text1"/>
        </w:rPr>
      </w:pPr>
      <w:r w:rsidRPr="00462ED2">
        <w:rPr>
          <w:rFonts w:asciiTheme="minorHAnsi" w:hAnsiTheme="minorHAnsi" w:cstheme="minorHAnsi"/>
          <w:color w:val="000000" w:themeColor="text1"/>
        </w:rPr>
        <w:t xml:space="preserve">In general, all-oral STRs are standardized four- or five-drug regimens that are given for 9 to 12 months. </w:t>
      </w:r>
    </w:p>
    <w:p w14:paraId="668DD588" w14:textId="736B5DE9" w:rsidR="000A384C" w:rsidRPr="00462ED2" w:rsidRDefault="00D84A55" w:rsidP="009637C1">
      <w:pPr>
        <w:rPr>
          <w:rFonts w:asciiTheme="minorHAnsi" w:hAnsiTheme="minorHAnsi" w:cstheme="minorHAnsi"/>
          <w:color w:val="000000" w:themeColor="text1"/>
        </w:rPr>
      </w:pPr>
      <w:r>
        <w:rPr>
          <w:rFonts w:asciiTheme="minorHAnsi" w:hAnsiTheme="minorHAnsi" w:cstheme="minorHAnsi"/>
          <w:color w:val="000000" w:themeColor="text1"/>
        </w:rPr>
        <w:t>The Month 4 clinical assessment</w:t>
      </w:r>
      <w:r w:rsidR="004555BC">
        <w:rPr>
          <w:rFonts w:asciiTheme="minorHAnsi" w:hAnsiTheme="minorHAnsi" w:cstheme="minorHAnsi"/>
          <w:color w:val="000000" w:themeColor="text1"/>
        </w:rPr>
        <w:t xml:space="preserve"> and bacteriological response is routinely used to </w:t>
      </w:r>
      <w:r w:rsidR="00CC3556">
        <w:rPr>
          <w:rFonts w:asciiTheme="minorHAnsi" w:hAnsiTheme="minorHAnsi" w:cstheme="minorHAnsi"/>
          <w:color w:val="000000" w:themeColor="text1"/>
        </w:rPr>
        <w:t>determine if the patient is responding to treatment.</w:t>
      </w:r>
      <w:r w:rsidR="004555BC">
        <w:rPr>
          <w:rFonts w:asciiTheme="minorHAnsi" w:hAnsiTheme="minorHAnsi" w:cstheme="minorHAnsi"/>
          <w:color w:val="000000" w:themeColor="text1"/>
        </w:rPr>
        <w:t xml:space="preserve">  </w:t>
      </w:r>
      <w:r w:rsidR="00767D32" w:rsidRPr="00462ED2">
        <w:rPr>
          <w:rFonts w:asciiTheme="minorHAnsi" w:hAnsiTheme="minorHAnsi" w:cstheme="minorHAnsi"/>
          <w:color w:val="000000" w:themeColor="text1"/>
        </w:rPr>
        <w:t>If there is no response to treatment at 4 months (</w:t>
      </w:r>
      <w:r w:rsidR="00D740C0">
        <w:rPr>
          <w:rFonts w:asciiTheme="minorHAnsi" w:hAnsiTheme="minorHAnsi" w:cstheme="minorHAnsi"/>
          <w:color w:val="000000" w:themeColor="text1"/>
        </w:rPr>
        <w:t>on</w:t>
      </w:r>
      <w:r w:rsidR="003F2497">
        <w:rPr>
          <w:rFonts w:asciiTheme="minorHAnsi" w:hAnsiTheme="minorHAnsi" w:cstheme="minorHAnsi"/>
          <w:color w:val="000000" w:themeColor="text1"/>
        </w:rPr>
        <w:t xml:space="preserve"> </w:t>
      </w:r>
      <w:r w:rsidR="00D740C0">
        <w:rPr>
          <w:rFonts w:asciiTheme="minorHAnsi" w:hAnsiTheme="minorHAnsi" w:cstheme="minorHAnsi"/>
          <w:color w:val="000000" w:themeColor="text1"/>
        </w:rPr>
        <w:t xml:space="preserve">clinical assessment or </w:t>
      </w:r>
      <w:r w:rsidR="000443AB" w:rsidRPr="00462ED2">
        <w:rPr>
          <w:rFonts w:asciiTheme="minorHAnsi" w:hAnsiTheme="minorHAnsi" w:cstheme="minorHAnsi"/>
          <w:color w:val="000000" w:themeColor="text1"/>
        </w:rPr>
        <w:t xml:space="preserve">month 4 </w:t>
      </w:r>
      <w:r w:rsidR="00767D32" w:rsidRPr="00462ED2">
        <w:rPr>
          <w:rFonts w:asciiTheme="minorHAnsi" w:hAnsiTheme="minorHAnsi" w:cstheme="minorHAnsi"/>
          <w:color w:val="000000" w:themeColor="text1"/>
        </w:rPr>
        <w:t>culture is positive) then</w:t>
      </w:r>
      <w:r w:rsidR="003B3857">
        <w:rPr>
          <w:rFonts w:asciiTheme="minorHAnsi" w:hAnsiTheme="minorHAnsi" w:cstheme="minorHAnsi"/>
          <w:color w:val="000000" w:themeColor="text1"/>
        </w:rPr>
        <w:t xml:space="preserve"> consideration for stopping the</w:t>
      </w:r>
      <w:r w:rsidR="00767D32" w:rsidRPr="00462ED2">
        <w:rPr>
          <w:rFonts w:asciiTheme="minorHAnsi" w:hAnsiTheme="minorHAnsi" w:cstheme="minorHAnsi"/>
          <w:color w:val="000000" w:themeColor="text1"/>
        </w:rPr>
        <w:t xml:space="preserve"> all</w:t>
      </w:r>
      <w:r w:rsidR="000A384C" w:rsidRPr="00462ED2">
        <w:rPr>
          <w:rFonts w:asciiTheme="minorHAnsi" w:hAnsiTheme="minorHAnsi" w:cstheme="minorHAnsi"/>
          <w:color w:val="000000" w:themeColor="text1"/>
        </w:rPr>
        <w:t>-</w:t>
      </w:r>
      <w:r w:rsidR="00767D32" w:rsidRPr="00462ED2">
        <w:rPr>
          <w:rFonts w:asciiTheme="minorHAnsi" w:hAnsiTheme="minorHAnsi" w:cstheme="minorHAnsi"/>
          <w:color w:val="000000" w:themeColor="text1"/>
        </w:rPr>
        <w:t xml:space="preserve">oral STR </w:t>
      </w:r>
      <w:r w:rsidR="003B3857">
        <w:rPr>
          <w:rFonts w:asciiTheme="minorHAnsi" w:hAnsiTheme="minorHAnsi" w:cstheme="minorHAnsi"/>
          <w:color w:val="000000" w:themeColor="text1"/>
        </w:rPr>
        <w:t xml:space="preserve"> and designing </w:t>
      </w:r>
      <w:r w:rsidR="00767D32" w:rsidRPr="00462ED2">
        <w:rPr>
          <w:rFonts w:asciiTheme="minorHAnsi" w:hAnsiTheme="minorHAnsi" w:cstheme="minorHAnsi"/>
          <w:color w:val="000000" w:themeColor="text1"/>
        </w:rPr>
        <w:t xml:space="preserve">a new individualized </w:t>
      </w:r>
      <w:r w:rsidR="000A384C" w:rsidRPr="00462ED2">
        <w:rPr>
          <w:rFonts w:asciiTheme="minorHAnsi" w:hAnsiTheme="minorHAnsi" w:cstheme="minorHAnsi"/>
          <w:color w:val="000000" w:themeColor="text1"/>
        </w:rPr>
        <w:t>LTR</w:t>
      </w:r>
      <w:r w:rsidR="002230FC">
        <w:rPr>
          <w:rFonts w:asciiTheme="minorHAnsi" w:hAnsiTheme="minorHAnsi" w:cstheme="minorHAnsi"/>
          <w:color w:val="000000" w:themeColor="text1"/>
        </w:rPr>
        <w:t xml:space="preserve"> can be done</w:t>
      </w:r>
      <w:r w:rsidR="00767D32" w:rsidRPr="00462ED2">
        <w:rPr>
          <w:rFonts w:asciiTheme="minorHAnsi" w:hAnsiTheme="minorHAnsi" w:cstheme="minorHAnsi"/>
          <w:color w:val="000000" w:themeColor="text1"/>
        </w:rPr>
        <w:t xml:space="preserve">. </w:t>
      </w:r>
      <w:r w:rsidR="000A384C" w:rsidRPr="00462ED2">
        <w:rPr>
          <w:rFonts w:asciiTheme="minorHAnsi" w:hAnsiTheme="minorHAnsi" w:cstheme="minorHAnsi"/>
          <w:color w:val="000000" w:themeColor="text1"/>
        </w:rPr>
        <w:t xml:space="preserve">Treatment can also be stopped before 4 months if there is evidence of a poor clinical response and the treatment regimen is determined to be failing. </w:t>
      </w:r>
    </w:p>
    <w:p w14:paraId="583C534D" w14:textId="675C42E9" w:rsidR="00F76B20" w:rsidRDefault="00767D32" w:rsidP="009637C1">
      <w:pPr>
        <w:rPr>
          <w:rFonts w:asciiTheme="minorHAnsi" w:hAnsiTheme="minorHAnsi" w:cstheme="minorHAnsi"/>
          <w:color w:val="000000" w:themeColor="text1"/>
        </w:rPr>
      </w:pPr>
      <w:r w:rsidRPr="00462ED2">
        <w:rPr>
          <w:rFonts w:asciiTheme="minorHAnsi" w:hAnsiTheme="minorHAnsi" w:cstheme="minorHAnsi"/>
          <w:color w:val="000000" w:themeColor="text1"/>
        </w:rPr>
        <w:t>Some programs may</w:t>
      </w:r>
      <w:r w:rsidR="009637C1" w:rsidRPr="00462ED2">
        <w:rPr>
          <w:rFonts w:asciiTheme="minorHAnsi" w:hAnsiTheme="minorHAnsi" w:cstheme="minorHAnsi"/>
          <w:color w:val="000000" w:themeColor="text1"/>
        </w:rPr>
        <w:t xml:space="preserve"> choose to extend </w:t>
      </w:r>
      <w:r w:rsidR="000A384C" w:rsidRPr="00462ED2">
        <w:rPr>
          <w:rFonts w:asciiTheme="minorHAnsi" w:hAnsiTheme="minorHAnsi" w:cstheme="minorHAnsi"/>
          <w:color w:val="000000" w:themeColor="text1"/>
        </w:rPr>
        <w:t xml:space="preserve">total </w:t>
      </w:r>
      <w:r w:rsidR="009637C1" w:rsidRPr="00462ED2">
        <w:rPr>
          <w:rFonts w:asciiTheme="minorHAnsi" w:hAnsiTheme="minorHAnsi" w:cstheme="minorHAnsi"/>
          <w:color w:val="000000" w:themeColor="text1"/>
        </w:rPr>
        <w:t xml:space="preserve">treatment to </w:t>
      </w:r>
      <w:r w:rsidR="00A41042" w:rsidRPr="00462ED2">
        <w:rPr>
          <w:rFonts w:asciiTheme="minorHAnsi" w:hAnsiTheme="minorHAnsi" w:cstheme="minorHAnsi"/>
          <w:color w:val="000000" w:themeColor="text1"/>
        </w:rPr>
        <w:t xml:space="preserve">11 or </w:t>
      </w:r>
      <w:r w:rsidR="009637C1" w:rsidRPr="00462ED2">
        <w:rPr>
          <w:rFonts w:asciiTheme="minorHAnsi" w:hAnsiTheme="minorHAnsi" w:cstheme="minorHAnsi"/>
          <w:color w:val="000000" w:themeColor="text1"/>
        </w:rPr>
        <w:t>12 months if</w:t>
      </w:r>
      <w:r w:rsidR="00F76B20" w:rsidRPr="00462ED2">
        <w:rPr>
          <w:rFonts w:asciiTheme="minorHAnsi" w:hAnsiTheme="minorHAnsi" w:cstheme="minorHAnsi"/>
          <w:color w:val="000000" w:themeColor="text1"/>
        </w:rPr>
        <w:t xml:space="preserve"> the smear or</w:t>
      </w:r>
      <w:r w:rsidR="009637C1" w:rsidRPr="00462ED2">
        <w:rPr>
          <w:rFonts w:asciiTheme="minorHAnsi" w:hAnsiTheme="minorHAnsi" w:cstheme="minorHAnsi"/>
          <w:color w:val="000000" w:themeColor="text1"/>
        </w:rPr>
        <w:t xml:space="preserve"> culture is still positive at month 4</w:t>
      </w:r>
      <w:r w:rsidR="007D26E1" w:rsidRPr="00462ED2">
        <w:rPr>
          <w:rFonts w:asciiTheme="minorHAnsi" w:hAnsiTheme="minorHAnsi" w:cstheme="minorHAnsi"/>
          <w:color w:val="000000" w:themeColor="text1"/>
        </w:rPr>
        <w:t xml:space="preserve"> or 5</w:t>
      </w:r>
      <w:r w:rsidR="00F054AB">
        <w:rPr>
          <w:rFonts w:asciiTheme="minorHAnsi" w:hAnsiTheme="minorHAnsi" w:cstheme="minorHAnsi"/>
          <w:color w:val="000000" w:themeColor="text1"/>
        </w:rPr>
        <w:t>, and the patient is clinically doing well</w:t>
      </w:r>
      <w:r w:rsidR="009637C1" w:rsidRPr="00462ED2">
        <w:rPr>
          <w:rFonts w:asciiTheme="minorHAnsi" w:hAnsiTheme="minorHAnsi" w:cstheme="minorHAnsi"/>
          <w:color w:val="000000" w:themeColor="text1"/>
        </w:rPr>
        <w:t xml:space="preserve">. </w:t>
      </w:r>
      <w:r w:rsidR="00B02123" w:rsidRPr="00462ED2">
        <w:rPr>
          <w:rFonts w:asciiTheme="minorHAnsi" w:hAnsiTheme="minorHAnsi" w:cstheme="minorHAnsi"/>
          <w:color w:val="000000" w:themeColor="text1"/>
        </w:rPr>
        <w:t xml:space="preserve"> </w:t>
      </w:r>
      <w:r w:rsidR="000A384C" w:rsidRPr="00462ED2">
        <w:rPr>
          <w:rFonts w:asciiTheme="minorHAnsi" w:hAnsiTheme="minorHAnsi" w:cstheme="minorHAnsi"/>
          <w:color w:val="000000" w:themeColor="text1"/>
        </w:rPr>
        <w:t xml:space="preserve">If </w:t>
      </w:r>
      <w:r w:rsidR="009637C1" w:rsidRPr="00462ED2">
        <w:rPr>
          <w:rFonts w:asciiTheme="minorHAnsi" w:hAnsiTheme="minorHAnsi" w:cstheme="minorHAnsi"/>
          <w:color w:val="000000" w:themeColor="text1"/>
        </w:rPr>
        <w:t>the</w:t>
      </w:r>
      <w:r w:rsidR="007C00C7">
        <w:rPr>
          <w:rFonts w:asciiTheme="minorHAnsi" w:hAnsiTheme="minorHAnsi" w:cstheme="minorHAnsi"/>
          <w:color w:val="000000" w:themeColor="text1"/>
        </w:rPr>
        <w:t xml:space="preserve"> </w:t>
      </w:r>
      <w:r w:rsidR="009637C1" w:rsidRPr="00462ED2">
        <w:rPr>
          <w:rFonts w:asciiTheme="minorHAnsi" w:hAnsiTheme="minorHAnsi" w:cstheme="minorHAnsi"/>
          <w:color w:val="000000" w:themeColor="text1"/>
        </w:rPr>
        <w:t>culture is still pos</w:t>
      </w:r>
      <w:r w:rsidR="00F76B20" w:rsidRPr="00462ED2">
        <w:rPr>
          <w:rFonts w:asciiTheme="minorHAnsi" w:hAnsiTheme="minorHAnsi" w:cstheme="minorHAnsi"/>
          <w:color w:val="000000" w:themeColor="text1"/>
        </w:rPr>
        <w:t xml:space="preserve">itive at month </w:t>
      </w:r>
      <w:r w:rsidR="007D26E1" w:rsidRPr="00462ED2">
        <w:rPr>
          <w:rFonts w:asciiTheme="minorHAnsi" w:hAnsiTheme="minorHAnsi" w:cstheme="minorHAnsi"/>
          <w:color w:val="000000" w:themeColor="text1"/>
        </w:rPr>
        <w:t>6</w:t>
      </w:r>
      <w:r w:rsidR="00F76B20" w:rsidRPr="00462ED2">
        <w:rPr>
          <w:rFonts w:asciiTheme="minorHAnsi" w:hAnsiTheme="minorHAnsi" w:cstheme="minorHAnsi"/>
          <w:color w:val="000000" w:themeColor="text1"/>
        </w:rPr>
        <w:t xml:space="preserve"> or beyond, </w:t>
      </w:r>
      <w:r w:rsidR="009637C1" w:rsidRPr="00462ED2">
        <w:rPr>
          <w:rFonts w:asciiTheme="minorHAnsi" w:hAnsiTheme="minorHAnsi" w:cstheme="minorHAnsi"/>
          <w:color w:val="000000" w:themeColor="text1"/>
        </w:rPr>
        <w:t>the</w:t>
      </w:r>
      <w:r w:rsidRPr="00462ED2">
        <w:rPr>
          <w:rFonts w:asciiTheme="minorHAnsi" w:hAnsiTheme="minorHAnsi" w:cstheme="minorHAnsi"/>
          <w:color w:val="000000" w:themeColor="text1"/>
        </w:rPr>
        <w:t>n</w:t>
      </w:r>
      <w:r w:rsidR="00F76B20" w:rsidRPr="00462ED2">
        <w:rPr>
          <w:rFonts w:asciiTheme="minorHAnsi" w:hAnsiTheme="minorHAnsi" w:cstheme="minorHAnsi"/>
          <w:color w:val="000000" w:themeColor="text1"/>
        </w:rPr>
        <w:t xml:space="preserve"> </w:t>
      </w:r>
      <w:r w:rsidR="009637C1" w:rsidRPr="00462ED2">
        <w:rPr>
          <w:rFonts w:asciiTheme="minorHAnsi" w:hAnsiTheme="minorHAnsi" w:cstheme="minorHAnsi"/>
          <w:color w:val="000000" w:themeColor="text1"/>
        </w:rPr>
        <w:t xml:space="preserve">the treatment outcome should be declared </w:t>
      </w:r>
      <w:r w:rsidR="000C5436">
        <w:rPr>
          <w:rFonts w:asciiTheme="minorHAnsi" w:hAnsiTheme="minorHAnsi" w:cstheme="minorHAnsi"/>
          <w:color w:val="000000" w:themeColor="text1"/>
        </w:rPr>
        <w:t>failed</w:t>
      </w:r>
      <w:r w:rsidR="009637C1" w:rsidRPr="00462ED2">
        <w:rPr>
          <w:rFonts w:asciiTheme="minorHAnsi" w:hAnsiTheme="minorHAnsi" w:cstheme="minorHAnsi"/>
          <w:color w:val="000000" w:themeColor="text1"/>
        </w:rPr>
        <w:t xml:space="preserve"> and a new </w:t>
      </w:r>
      <w:r w:rsidR="000A384C" w:rsidRPr="00462ED2">
        <w:rPr>
          <w:rFonts w:asciiTheme="minorHAnsi" w:hAnsiTheme="minorHAnsi" w:cstheme="minorHAnsi"/>
          <w:color w:val="000000" w:themeColor="text1"/>
        </w:rPr>
        <w:t>LTR</w:t>
      </w:r>
      <w:r w:rsidR="009637C1" w:rsidRPr="00462ED2">
        <w:rPr>
          <w:rFonts w:asciiTheme="minorHAnsi" w:hAnsiTheme="minorHAnsi" w:cstheme="minorHAnsi"/>
          <w:color w:val="000000" w:themeColor="text1"/>
        </w:rPr>
        <w:t xml:space="preserve"> </w:t>
      </w:r>
      <w:r w:rsidR="00F76B20" w:rsidRPr="00462ED2">
        <w:rPr>
          <w:rFonts w:asciiTheme="minorHAnsi" w:hAnsiTheme="minorHAnsi" w:cstheme="minorHAnsi"/>
          <w:color w:val="000000" w:themeColor="text1"/>
        </w:rPr>
        <w:t>should be individually designed</w:t>
      </w:r>
      <w:r w:rsidR="0009508D" w:rsidRPr="00462ED2">
        <w:rPr>
          <w:rFonts w:asciiTheme="minorHAnsi" w:hAnsiTheme="minorHAnsi" w:cstheme="minorHAnsi"/>
          <w:color w:val="000000" w:themeColor="text1"/>
        </w:rPr>
        <w:t xml:space="preserve">. </w:t>
      </w:r>
      <w:r w:rsidR="007D26E1" w:rsidRPr="00462ED2">
        <w:rPr>
          <w:rFonts w:asciiTheme="minorHAnsi" w:hAnsiTheme="minorHAnsi" w:cstheme="minorHAnsi"/>
          <w:color w:val="000000" w:themeColor="text1"/>
        </w:rPr>
        <w:t xml:space="preserve">Salvage regimens for patients in whom an all-oral STR has failed are discussed in </w:t>
      </w:r>
      <w:r w:rsidR="00B02123" w:rsidRPr="00462ED2">
        <w:rPr>
          <w:rFonts w:asciiTheme="minorHAnsi" w:hAnsiTheme="minorHAnsi" w:cstheme="minorHAnsi"/>
          <w:color w:val="000000" w:themeColor="text1"/>
        </w:rPr>
        <w:t xml:space="preserve">Appendix </w:t>
      </w:r>
      <w:r w:rsidR="00CC3363" w:rsidRPr="00462ED2">
        <w:rPr>
          <w:rFonts w:asciiTheme="minorHAnsi" w:hAnsiTheme="minorHAnsi" w:cstheme="minorHAnsi"/>
          <w:color w:val="000000" w:themeColor="text1"/>
        </w:rPr>
        <w:t>2</w:t>
      </w:r>
      <w:r w:rsidR="00B02123" w:rsidRPr="00462ED2">
        <w:rPr>
          <w:rFonts w:asciiTheme="minorHAnsi" w:hAnsiTheme="minorHAnsi" w:cstheme="minorHAnsi"/>
          <w:color w:val="000000" w:themeColor="text1"/>
        </w:rPr>
        <w:t>.</w:t>
      </w:r>
      <w:r w:rsidR="007D26E1" w:rsidRPr="00462ED2">
        <w:rPr>
          <w:rFonts w:asciiTheme="minorHAnsi" w:hAnsiTheme="minorHAnsi" w:cstheme="minorHAnsi"/>
          <w:color w:val="000000" w:themeColor="text1"/>
        </w:rPr>
        <w:t xml:space="preserve">   </w:t>
      </w:r>
    </w:p>
    <w:p w14:paraId="286C4F03" w14:textId="77777777" w:rsidR="005D20E7" w:rsidRDefault="00A9375E" w:rsidP="009637C1">
      <w:pPr>
        <w:rPr>
          <w:rFonts w:asciiTheme="minorHAnsi" w:hAnsiTheme="minorHAnsi" w:cstheme="minorHAnsi"/>
          <w:color w:val="000000" w:themeColor="text1"/>
        </w:rPr>
      </w:pPr>
      <w:r>
        <w:rPr>
          <w:rFonts w:asciiTheme="minorHAnsi" w:hAnsiTheme="minorHAnsi" w:cstheme="minorHAnsi"/>
          <w:color w:val="000000" w:themeColor="text1"/>
        </w:rPr>
        <w:t xml:space="preserve">This guide does not address </w:t>
      </w:r>
      <w:r w:rsidRPr="00462ED2">
        <w:rPr>
          <w:rFonts w:asciiTheme="minorHAnsi" w:hAnsiTheme="minorHAnsi" w:cstheme="minorHAnsi"/>
          <w:color w:val="000000" w:themeColor="text1"/>
        </w:rPr>
        <w:t>STRs for</w:t>
      </w:r>
      <w:r w:rsidR="003B2625">
        <w:rPr>
          <w:rFonts w:asciiTheme="minorHAnsi" w:hAnsiTheme="minorHAnsi" w:cstheme="minorHAnsi"/>
          <w:color w:val="000000" w:themeColor="text1"/>
        </w:rPr>
        <w:t xml:space="preserve"> FQ-resistant MDR-TB (including</w:t>
      </w:r>
      <w:r w:rsidRPr="00462ED2">
        <w:rPr>
          <w:rFonts w:asciiTheme="minorHAnsi" w:hAnsiTheme="minorHAnsi" w:cstheme="minorHAnsi"/>
          <w:color w:val="000000" w:themeColor="text1"/>
        </w:rPr>
        <w:t xml:space="preserve"> XDR-TB</w:t>
      </w:r>
      <w:r w:rsidR="003B2625">
        <w:rPr>
          <w:rFonts w:asciiTheme="minorHAnsi" w:hAnsiTheme="minorHAnsi" w:cstheme="minorHAnsi"/>
          <w:color w:val="000000" w:themeColor="text1"/>
        </w:rPr>
        <w:t>)</w:t>
      </w:r>
      <w:r>
        <w:rPr>
          <w:rFonts w:asciiTheme="minorHAnsi" w:hAnsiTheme="minorHAnsi" w:cstheme="minorHAnsi"/>
          <w:color w:val="000000" w:themeColor="text1"/>
        </w:rPr>
        <w:t xml:space="preserve">.  STRs for </w:t>
      </w:r>
      <w:r w:rsidR="003B2625">
        <w:rPr>
          <w:rFonts w:asciiTheme="minorHAnsi" w:hAnsiTheme="minorHAnsi" w:cstheme="minorHAnsi"/>
          <w:color w:val="000000" w:themeColor="text1"/>
        </w:rPr>
        <w:t xml:space="preserve">FQ-resistant MDR-TB </w:t>
      </w:r>
      <w:r>
        <w:rPr>
          <w:rFonts w:asciiTheme="minorHAnsi" w:hAnsiTheme="minorHAnsi" w:cstheme="minorHAnsi"/>
          <w:color w:val="000000" w:themeColor="text1"/>
        </w:rPr>
        <w:t xml:space="preserve">have limited </w:t>
      </w:r>
      <w:r w:rsidR="003B2625">
        <w:rPr>
          <w:rFonts w:asciiTheme="minorHAnsi" w:hAnsiTheme="minorHAnsi" w:cstheme="minorHAnsi"/>
          <w:color w:val="000000" w:themeColor="text1"/>
        </w:rPr>
        <w:t xml:space="preserve">evidence; however, the the Nix-TB </w:t>
      </w:r>
      <w:r>
        <w:rPr>
          <w:rFonts w:asciiTheme="minorHAnsi" w:hAnsiTheme="minorHAnsi" w:cstheme="minorHAnsi"/>
          <w:color w:val="000000" w:themeColor="text1"/>
        </w:rPr>
        <w:t xml:space="preserve">which used 6 to 9 months of </w:t>
      </w:r>
      <w:r w:rsidRPr="003A6901">
        <w:rPr>
          <w:rFonts w:asciiTheme="minorHAnsi" w:hAnsiTheme="minorHAnsi" w:cstheme="minorHAnsi"/>
          <w:color w:val="000000" w:themeColor="text1"/>
        </w:rPr>
        <w:t>pretomanid, bedaquiline, and linezolid</w:t>
      </w:r>
      <w:r w:rsidR="003B2625">
        <w:rPr>
          <w:rFonts w:asciiTheme="minorHAnsi" w:hAnsiTheme="minorHAnsi" w:cstheme="minorHAnsi"/>
          <w:color w:val="000000" w:themeColor="text1"/>
        </w:rPr>
        <w:t xml:space="preserve"> is under evaluation and initial results are very promising.</w:t>
      </w:r>
      <w:r w:rsidRPr="003A690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w:t>
      </w:r>
      <w:r w:rsidR="003B2625">
        <w:rPr>
          <w:rFonts w:asciiTheme="minorHAnsi" w:hAnsiTheme="minorHAnsi" w:cstheme="minorHAnsi"/>
          <w:color w:val="000000" w:themeColor="text1"/>
        </w:rPr>
        <w:t xml:space="preserve">Until more evidence on STRs and FQ-resistant MDR-TB is available, </w:t>
      </w:r>
      <w:r>
        <w:rPr>
          <w:rFonts w:asciiTheme="minorHAnsi" w:hAnsiTheme="minorHAnsi" w:cstheme="minorHAnsi"/>
          <w:color w:val="000000" w:themeColor="text1"/>
        </w:rPr>
        <w:t xml:space="preserve">programs may want to </w:t>
      </w:r>
      <w:r w:rsidR="00186E1E">
        <w:rPr>
          <w:rFonts w:asciiTheme="minorHAnsi" w:hAnsiTheme="minorHAnsi" w:cstheme="minorHAnsi"/>
          <w:color w:val="000000" w:themeColor="text1"/>
        </w:rPr>
        <w:t>treat all FQ-resistant MDR-TB</w:t>
      </w:r>
      <w:r w:rsidR="005D20E7">
        <w:rPr>
          <w:rFonts w:asciiTheme="minorHAnsi" w:hAnsiTheme="minorHAnsi" w:cstheme="minorHAnsi"/>
          <w:color w:val="000000" w:themeColor="text1"/>
        </w:rPr>
        <w:t xml:space="preserve"> with LTRs.  </w:t>
      </w:r>
    </w:p>
    <w:p w14:paraId="527D52ED" w14:textId="583C81FB" w:rsidR="00A9375E" w:rsidRPr="00462ED2" w:rsidRDefault="005D20E7" w:rsidP="009637C1">
      <w:pPr>
        <w:rPr>
          <w:rFonts w:asciiTheme="minorHAnsi" w:hAnsiTheme="minorHAnsi" w:cstheme="minorHAnsi"/>
          <w:color w:val="000000" w:themeColor="text1"/>
        </w:rPr>
      </w:pPr>
      <w:r>
        <w:rPr>
          <w:rFonts w:asciiTheme="minorHAnsi" w:hAnsiTheme="minorHAnsi" w:cstheme="minorHAnsi"/>
          <w:color w:val="000000" w:themeColor="text1"/>
        </w:rPr>
        <w:t xml:space="preserve">If the FQ-resistance is discovered a few months after the start of the all-oral STR, the patient should be </w:t>
      </w:r>
      <w:r w:rsidR="004B45C5">
        <w:rPr>
          <w:rFonts w:asciiTheme="minorHAnsi" w:hAnsiTheme="minorHAnsi" w:cstheme="minorHAnsi"/>
          <w:color w:val="000000" w:themeColor="text1"/>
        </w:rPr>
        <w:t>assessed,</w:t>
      </w:r>
      <w:r>
        <w:rPr>
          <w:rFonts w:asciiTheme="minorHAnsi" w:hAnsiTheme="minorHAnsi" w:cstheme="minorHAnsi"/>
          <w:color w:val="000000" w:themeColor="text1"/>
        </w:rPr>
        <w:t xml:space="preserve"> and regimen reviewed. In many cases, the patient will be doing </w:t>
      </w:r>
      <w:r w:rsidR="004B45C5">
        <w:rPr>
          <w:rFonts w:asciiTheme="minorHAnsi" w:hAnsiTheme="minorHAnsi" w:cstheme="minorHAnsi"/>
          <w:color w:val="000000" w:themeColor="text1"/>
        </w:rPr>
        <w:t>well,</w:t>
      </w:r>
      <w:r>
        <w:rPr>
          <w:rFonts w:asciiTheme="minorHAnsi" w:hAnsiTheme="minorHAnsi" w:cstheme="minorHAnsi"/>
          <w:color w:val="000000" w:themeColor="text1"/>
        </w:rPr>
        <w:t xml:space="preserve"> and the regimen has enough drugs that are “likely effective” against the FQ-resistant strain</w:t>
      </w:r>
      <w:r w:rsidR="004B45C5">
        <w:rPr>
          <w:rFonts w:asciiTheme="minorHAnsi" w:hAnsiTheme="minorHAnsi" w:cstheme="minorHAnsi"/>
          <w:color w:val="000000" w:themeColor="text1"/>
        </w:rPr>
        <w:t>,</w:t>
      </w:r>
      <w:r>
        <w:rPr>
          <w:rFonts w:asciiTheme="minorHAnsi" w:hAnsiTheme="minorHAnsi" w:cstheme="minorHAnsi"/>
          <w:color w:val="000000" w:themeColor="text1"/>
        </w:rPr>
        <w:t xml:space="preserve"> that either the regimen can be continued or reinforced with one or two drugs. </w:t>
      </w:r>
      <w:r w:rsidR="00EB2B89">
        <w:rPr>
          <w:rFonts w:asciiTheme="minorHAnsi" w:hAnsiTheme="minorHAnsi" w:cstheme="minorHAnsi"/>
          <w:color w:val="000000" w:themeColor="text1"/>
        </w:rPr>
        <w:t>(</w:t>
      </w:r>
      <w:r>
        <w:rPr>
          <w:rFonts w:asciiTheme="minorHAnsi" w:hAnsiTheme="minorHAnsi" w:cstheme="minorHAnsi"/>
          <w:color w:val="000000" w:themeColor="text1"/>
        </w:rPr>
        <w:t>Be sure to never add a single drug to a regimen that may be failing</w:t>
      </w:r>
      <w:r w:rsidR="00EB2B89">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EB2B89">
        <w:rPr>
          <w:rFonts w:asciiTheme="minorHAnsi" w:hAnsiTheme="minorHAnsi" w:cstheme="minorHAnsi"/>
          <w:color w:val="000000" w:themeColor="text1"/>
        </w:rPr>
        <w:t xml:space="preserve">The </w:t>
      </w:r>
      <w:r w:rsidR="00BE5F90">
        <w:rPr>
          <w:rFonts w:asciiTheme="minorHAnsi" w:hAnsiTheme="minorHAnsi" w:cstheme="minorHAnsi"/>
          <w:color w:val="000000" w:themeColor="text1"/>
        </w:rPr>
        <w:t xml:space="preserve">regimen is usually extended in time, often to 18 months total.  Using shorter durations, like 12 months, is possible under operational research conditions. </w:t>
      </w:r>
    </w:p>
    <w:p w14:paraId="264CE5EC" w14:textId="1317E06E" w:rsidR="00644CA5" w:rsidRPr="00462ED2" w:rsidRDefault="003C13A2" w:rsidP="00003170">
      <w:pPr>
        <w:pStyle w:val="Heading2"/>
        <w:rPr>
          <w:rFonts w:asciiTheme="minorHAnsi" w:hAnsiTheme="minorHAnsi" w:cstheme="minorHAnsi"/>
        </w:rPr>
      </w:pPr>
      <w:bookmarkStart w:id="86" w:name="_Toc12792952"/>
      <w:bookmarkStart w:id="87" w:name="_Toc12952363"/>
      <w:bookmarkStart w:id="88" w:name="_Toc13486712"/>
      <w:r w:rsidRPr="00462ED2">
        <w:rPr>
          <w:rFonts w:asciiTheme="minorHAnsi" w:hAnsiTheme="minorHAnsi" w:cstheme="minorHAnsi"/>
        </w:rPr>
        <w:t>Duration of the p</w:t>
      </w:r>
      <w:r w:rsidR="00644CA5" w:rsidRPr="00462ED2">
        <w:rPr>
          <w:rFonts w:asciiTheme="minorHAnsi" w:hAnsiTheme="minorHAnsi" w:cstheme="minorHAnsi"/>
        </w:rPr>
        <w:t>ost</w:t>
      </w:r>
      <w:r w:rsidR="00A54691" w:rsidRPr="00462ED2">
        <w:rPr>
          <w:rFonts w:asciiTheme="minorHAnsi" w:hAnsiTheme="minorHAnsi" w:cstheme="minorHAnsi"/>
        </w:rPr>
        <w:t>-end-of-</w:t>
      </w:r>
      <w:r w:rsidR="00644CA5" w:rsidRPr="00462ED2">
        <w:rPr>
          <w:rFonts w:asciiTheme="minorHAnsi" w:hAnsiTheme="minorHAnsi" w:cstheme="minorHAnsi"/>
        </w:rPr>
        <w:t>treatment follow</w:t>
      </w:r>
      <w:r w:rsidR="0074768E" w:rsidRPr="00462ED2">
        <w:rPr>
          <w:rFonts w:asciiTheme="minorHAnsi" w:hAnsiTheme="minorHAnsi" w:cstheme="minorHAnsi"/>
        </w:rPr>
        <w:t>-</w:t>
      </w:r>
      <w:r w:rsidR="00644CA5" w:rsidRPr="00462ED2">
        <w:rPr>
          <w:rFonts w:asciiTheme="minorHAnsi" w:hAnsiTheme="minorHAnsi" w:cstheme="minorHAnsi"/>
        </w:rPr>
        <w:t>up after an all</w:t>
      </w:r>
      <w:r w:rsidRPr="00462ED2">
        <w:rPr>
          <w:rFonts w:asciiTheme="minorHAnsi" w:hAnsiTheme="minorHAnsi" w:cstheme="minorHAnsi"/>
        </w:rPr>
        <w:t>-</w:t>
      </w:r>
      <w:r w:rsidR="00644CA5" w:rsidRPr="00462ED2">
        <w:rPr>
          <w:rFonts w:asciiTheme="minorHAnsi" w:hAnsiTheme="minorHAnsi" w:cstheme="minorHAnsi"/>
        </w:rPr>
        <w:t>oral STR</w:t>
      </w:r>
      <w:bookmarkEnd w:id="86"/>
      <w:bookmarkEnd w:id="87"/>
      <w:bookmarkEnd w:id="88"/>
    </w:p>
    <w:p w14:paraId="1A1438EA" w14:textId="2B38D1EA" w:rsidR="005A5543" w:rsidRPr="00DE5FDC" w:rsidRDefault="00644CA5" w:rsidP="005A5543">
      <w:pPr>
        <w:rPr>
          <w:rFonts w:asciiTheme="minorHAnsi" w:hAnsiTheme="minorHAnsi" w:cstheme="minorHAnsi"/>
          <w:color w:val="000000" w:themeColor="text1"/>
        </w:rPr>
      </w:pPr>
      <w:r w:rsidRPr="00DE5FDC">
        <w:rPr>
          <w:rFonts w:asciiTheme="minorHAnsi" w:hAnsiTheme="minorHAnsi" w:cstheme="minorHAnsi"/>
          <w:color w:val="000000" w:themeColor="text1"/>
        </w:rPr>
        <w:t>Shorter regimens have many advantages for patients and programs</w:t>
      </w:r>
      <w:r w:rsidR="00A54691"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 however</w:t>
      </w:r>
      <w:r w:rsidR="00A54691" w:rsidRPr="00DE5FDC">
        <w:rPr>
          <w:rFonts w:asciiTheme="minorHAnsi" w:hAnsiTheme="minorHAnsi" w:cstheme="minorHAnsi"/>
          <w:color w:val="000000" w:themeColor="text1"/>
        </w:rPr>
        <w:t xml:space="preserve">, the </w:t>
      </w:r>
      <w:r w:rsidR="005A5543" w:rsidRPr="00DE5FDC">
        <w:rPr>
          <w:rFonts w:asciiTheme="minorHAnsi" w:hAnsiTheme="minorHAnsi" w:cstheme="minorHAnsi"/>
          <w:color w:val="000000" w:themeColor="text1"/>
        </w:rPr>
        <w:t>ultimate proof of their efficacy</w:t>
      </w:r>
      <w:r w:rsidR="00A54691" w:rsidRPr="00DE5FDC">
        <w:rPr>
          <w:rFonts w:asciiTheme="minorHAnsi" w:hAnsiTheme="minorHAnsi" w:cstheme="minorHAnsi"/>
          <w:color w:val="000000" w:themeColor="text1"/>
        </w:rPr>
        <w:t xml:space="preserve"> is to demonstrate that all-oral STRs have no increase in </w:t>
      </w:r>
      <w:r w:rsidR="005A5543" w:rsidRPr="00DE5FDC">
        <w:rPr>
          <w:rFonts w:asciiTheme="minorHAnsi" w:hAnsiTheme="minorHAnsi" w:cstheme="minorHAnsi"/>
          <w:color w:val="000000" w:themeColor="text1"/>
        </w:rPr>
        <w:t xml:space="preserve">TB </w:t>
      </w:r>
      <w:r w:rsidR="00A54691" w:rsidRPr="00DE5FDC">
        <w:rPr>
          <w:rFonts w:asciiTheme="minorHAnsi" w:hAnsiTheme="minorHAnsi" w:cstheme="minorHAnsi"/>
          <w:color w:val="000000" w:themeColor="text1"/>
        </w:rPr>
        <w:t>recurrence compared to the LTRs. Therefore,</w:t>
      </w:r>
      <w:r w:rsidRPr="00DE5FDC">
        <w:rPr>
          <w:rFonts w:asciiTheme="minorHAnsi" w:hAnsiTheme="minorHAnsi" w:cstheme="minorHAnsi"/>
          <w:color w:val="000000" w:themeColor="text1"/>
        </w:rPr>
        <w:t xml:space="preserve"> patients</w:t>
      </w:r>
      <w:r w:rsidR="00A54691" w:rsidRPr="00DE5FDC">
        <w:rPr>
          <w:rFonts w:asciiTheme="minorHAnsi" w:hAnsiTheme="minorHAnsi" w:cstheme="minorHAnsi"/>
          <w:color w:val="000000" w:themeColor="text1"/>
        </w:rPr>
        <w:t xml:space="preserve"> that have completed the STR with a successful </w:t>
      </w:r>
      <w:r w:rsidR="005A5543" w:rsidRPr="00DE5FDC">
        <w:rPr>
          <w:rFonts w:asciiTheme="minorHAnsi" w:hAnsiTheme="minorHAnsi" w:cstheme="minorHAnsi"/>
          <w:color w:val="000000" w:themeColor="text1"/>
        </w:rPr>
        <w:t>treatment outcome</w:t>
      </w:r>
      <w:r w:rsidRPr="00DE5FDC">
        <w:rPr>
          <w:rFonts w:asciiTheme="minorHAnsi" w:hAnsiTheme="minorHAnsi" w:cstheme="minorHAnsi"/>
          <w:color w:val="000000" w:themeColor="text1"/>
        </w:rPr>
        <w:t xml:space="preserve"> need to be monitor</w:t>
      </w:r>
      <w:r w:rsidR="00A54691" w:rsidRPr="00DE5FDC">
        <w:rPr>
          <w:rFonts w:asciiTheme="minorHAnsi" w:hAnsiTheme="minorHAnsi" w:cstheme="minorHAnsi"/>
          <w:color w:val="000000" w:themeColor="text1"/>
        </w:rPr>
        <w:t>ed</w:t>
      </w:r>
      <w:r w:rsidRPr="00DE5FDC">
        <w:rPr>
          <w:rFonts w:asciiTheme="minorHAnsi" w:hAnsiTheme="minorHAnsi" w:cstheme="minorHAnsi"/>
          <w:color w:val="000000" w:themeColor="text1"/>
        </w:rPr>
        <w:t xml:space="preserve"> for recurrence</w:t>
      </w:r>
      <w:r w:rsidR="005A5543" w:rsidRPr="00DE5FDC">
        <w:rPr>
          <w:rFonts w:asciiTheme="minorHAnsi" w:hAnsiTheme="minorHAnsi" w:cstheme="minorHAnsi"/>
          <w:color w:val="000000" w:themeColor="text1"/>
        </w:rPr>
        <w:t xml:space="preserve"> for </w:t>
      </w:r>
      <w:r w:rsidR="003C13A2" w:rsidRPr="00DE5FDC">
        <w:rPr>
          <w:rFonts w:asciiTheme="minorHAnsi" w:hAnsiTheme="minorHAnsi" w:cstheme="minorHAnsi"/>
          <w:color w:val="000000" w:themeColor="text1"/>
        </w:rPr>
        <w:t xml:space="preserve">a duration of </w:t>
      </w:r>
      <w:r w:rsidR="005A5543" w:rsidRPr="00DE5FDC">
        <w:rPr>
          <w:rFonts w:asciiTheme="minorHAnsi" w:hAnsiTheme="minorHAnsi" w:cstheme="minorHAnsi"/>
          <w:color w:val="000000" w:themeColor="text1"/>
        </w:rPr>
        <w:t xml:space="preserve">at least 12 months after the end of treatment. </w:t>
      </w:r>
    </w:p>
    <w:p w14:paraId="6F271587" w14:textId="597FDD0E" w:rsidR="00C91BF8" w:rsidRPr="00DE5FDC" w:rsidRDefault="00644CA5" w:rsidP="005A5543">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A patient who presents with TB after treatment </w:t>
      </w:r>
      <w:r w:rsidR="005A5543" w:rsidRPr="00DE5FDC">
        <w:rPr>
          <w:rFonts w:asciiTheme="minorHAnsi" w:hAnsiTheme="minorHAnsi" w:cstheme="minorHAnsi"/>
          <w:color w:val="000000" w:themeColor="text1"/>
        </w:rPr>
        <w:t xml:space="preserve">completion </w:t>
      </w:r>
      <w:r w:rsidRPr="00DE5FDC">
        <w:rPr>
          <w:rFonts w:asciiTheme="minorHAnsi" w:hAnsiTheme="minorHAnsi" w:cstheme="minorHAnsi"/>
          <w:color w:val="000000" w:themeColor="text1"/>
        </w:rPr>
        <w:t>may be sick due to a relapse with the same TB strain or due to re-infection with a new strain.</w:t>
      </w:r>
      <w:r w:rsidR="005A5543" w:rsidRPr="00DE5FDC">
        <w:rPr>
          <w:rFonts w:asciiTheme="minorHAnsi" w:hAnsiTheme="minorHAnsi" w:cstheme="minorHAnsi"/>
          <w:color w:val="000000" w:themeColor="text1"/>
        </w:rPr>
        <w:t xml:space="preserve"> Genetic fingerprinting can compare the initial infecting TB strain to the recurrent TB strain. </w:t>
      </w:r>
      <w:r w:rsidRPr="00DE5FDC">
        <w:rPr>
          <w:rFonts w:asciiTheme="minorHAnsi" w:hAnsiTheme="minorHAnsi" w:cstheme="minorHAnsi"/>
          <w:color w:val="000000" w:themeColor="text1"/>
        </w:rPr>
        <w:t>In m</w:t>
      </w:r>
      <w:r w:rsidR="00A83C09" w:rsidRPr="00DE5FDC">
        <w:rPr>
          <w:rFonts w:asciiTheme="minorHAnsi" w:hAnsiTheme="minorHAnsi" w:cstheme="minorHAnsi"/>
          <w:color w:val="000000" w:themeColor="text1"/>
        </w:rPr>
        <w:t>any</w:t>
      </w:r>
      <w:r w:rsidRPr="00DE5FDC">
        <w:rPr>
          <w:rFonts w:asciiTheme="minorHAnsi" w:hAnsiTheme="minorHAnsi" w:cstheme="minorHAnsi"/>
          <w:color w:val="000000" w:themeColor="text1"/>
        </w:rPr>
        <w:t xml:space="preserve"> settings it is not possible </w:t>
      </w:r>
      <w:r w:rsidR="00C91BF8" w:rsidRPr="00DE5FDC">
        <w:rPr>
          <w:rFonts w:asciiTheme="minorHAnsi" w:hAnsiTheme="minorHAnsi" w:cstheme="minorHAnsi"/>
          <w:color w:val="000000" w:themeColor="text1"/>
        </w:rPr>
        <w:t>because</w:t>
      </w:r>
      <w:r w:rsidR="002924C7" w:rsidRPr="00DE5FDC">
        <w:rPr>
          <w:rFonts w:asciiTheme="minorHAnsi" w:hAnsiTheme="minorHAnsi" w:cstheme="minorHAnsi"/>
          <w:color w:val="000000" w:themeColor="text1"/>
        </w:rPr>
        <w:t xml:space="preserve"> genetic</w:t>
      </w:r>
      <w:r w:rsidR="005A5543" w:rsidRPr="00DE5FDC">
        <w:rPr>
          <w:rFonts w:asciiTheme="minorHAnsi" w:hAnsiTheme="minorHAnsi" w:cstheme="minorHAnsi"/>
          <w:color w:val="000000" w:themeColor="text1"/>
        </w:rPr>
        <w:t xml:space="preserve"> fingerprinting is not available. In areas with access to </w:t>
      </w:r>
      <w:r w:rsidR="002924C7" w:rsidRPr="00DE5FDC">
        <w:rPr>
          <w:rFonts w:asciiTheme="minorHAnsi" w:hAnsiTheme="minorHAnsi" w:cstheme="minorHAnsi"/>
          <w:color w:val="000000" w:themeColor="text1"/>
        </w:rPr>
        <w:t xml:space="preserve">genetic fingerprinting, documenting </w:t>
      </w:r>
      <w:r w:rsidR="00C91BF8" w:rsidRPr="00DE5FDC">
        <w:rPr>
          <w:rFonts w:asciiTheme="minorHAnsi" w:hAnsiTheme="minorHAnsi" w:cstheme="minorHAnsi"/>
          <w:color w:val="000000" w:themeColor="text1"/>
        </w:rPr>
        <w:t>relapse</w:t>
      </w:r>
      <w:r w:rsidR="002924C7" w:rsidRPr="00DE5FDC">
        <w:rPr>
          <w:rFonts w:asciiTheme="minorHAnsi" w:hAnsiTheme="minorHAnsi" w:cstheme="minorHAnsi"/>
          <w:color w:val="000000" w:themeColor="text1"/>
        </w:rPr>
        <w:t xml:space="preserve"> from </w:t>
      </w:r>
      <w:r w:rsidR="00C91BF8" w:rsidRPr="00DE5FDC">
        <w:rPr>
          <w:rFonts w:asciiTheme="minorHAnsi" w:hAnsiTheme="minorHAnsi" w:cstheme="minorHAnsi"/>
          <w:color w:val="000000" w:themeColor="text1"/>
        </w:rPr>
        <w:t>re-infection can be an important sub-study imbedded in the operational research</w:t>
      </w:r>
      <w:r w:rsidR="005A5543" w:rsidRPr="00DE5FDC">
        <w:rPr>
          <w:rFonts w:asciiTheme="minorHAnsi" w:hAnsiTheme="minorHAnsi" w:cstheme="minorHAnsi"/>
          <w:color w:val="000000" w:themeColor="text1"/>
        </w:rPr>
        <w:t xml:space="preserve"> </w:t>
      </w:r>
      <w:r w:rsidR="00A83C09" w:rsidRPr="00DE5FDC">
        <w:rPr>
          <w:rFonts w:asciiTheme="minorHAnsi" w:hAnsiTheme="minorHAnsi" w:cstheme="minorHAnsi"/>
          <w:color w:val="000000" w:themeColor="text1"/>
        </w:rPr>
        <w:t xml:space="preserve">on STRs.  </w:t>
      </w:r>
      <w:r w:rsidR="00F05D21">
        <w:rPr>
          <w:rFonts w:asciiTheme="minorHAnsi" w:hAnsiTheme="minorHAnsi" w:cstheme="minorHAnsi"/>
          <w:color w:val="000000" w:themeColor="text1"/>
        </w:rPr>
        <w:t>If programs have the capacity, they</w:t>
      </w:r>
      <w:r w:rsidR="00A83C09" w:rsidRPr="00DE5FDC">
        <w:rPr>
          <w:rFonts w:asciiTheme="minorHAnsi" w:hAnsiTheme="minorHAnsi" w:cstheme="minorHAnsi"/>
          <w:color w:val="000000" w:themeColor="text1"/>
        </w:rPr>
        <w:t xml:space="preserve"> are encouraged to </w:t>
      </w:r>
      <w:r w:rsidR="00EC4871" w:rsidRPr="00DE5FDC">
        <w:rPr>
          <w:rFonts w:asciiTheme="minorHAnsi" w:hAnsiTheme="minorHAnsi" w:cstheme="minorHAnsi"/>
          <w:color w:val="000000" w:themeColor="text1"/>
        </w:rPr>
        <w:t xml:space="preserve">freeze the baseline specimen so that it can be used for future comparison should the patient relapse. </w:t>
      </w:r>
    </w:p>
    <w:p w14:paraId="3D26E728" w14:textId="65E968A5" w:rsidR="00644CA5" w:rsidRPr="00DE5FDC" w:rsidRDefault="00644CA5" w:rsidP="005A5543">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In all cases it is important to detect recurrence and to design a new </w:t>
      </w:r>
      <w:r w:rsidR="00C91BF8" w:rsidRPr="00DE5FDC">
        <w:rPr>
          <w:rFonts w:asciiTheme="minorHAnsi" w:hAnsiTheme="minorHAnsi" w:cstheme="minorHAnsi"/>
          <w:color w:val="000000" w:themeColor="text1"/>
        </w:rPr>
        <w:t>LTR</w:t>
      </w:r>
      <w:r w:rsidRPr="00DE5FDC">
        <w:rPr>
          <w:rFonts w:asciiTheme="minorHAnsi" w:hAnsiTheme="minorHAnsi" w:cstheme="minorHAnsi"/>
          <w:color w:val="000000" w:themeColor="text1"/>
        </w:rPr>
        <w:t xml:space="preserve"> with drug which have not been previously used and are thought to be likely effective. Th</w:t>
      </w:r>
      <w:r w:rsidR="00EC4871" w:rsidRPr="00DE5FDC">
        <w:rPr>
          <w:rFonts w:asciiTheme="minorHAnsi" w:hAnsiTheme="minorHAnsi" w:cstheme="minorHAnsi"/>
          <w:color w:val="000000" w:themeColor="text1"/>
        </w:rPr>
        <w:t>e</w:t>
      </w:r>
      <w:r w:rsidRPr="00DE5FDC">
        <w:rPr>
          <w:rFonts w:asciiTheme="minorHAnsi" w:hAnsiTheme="minorHAnsi" w:cstheme="minorHAnsi"/>
          <w:color w:val="000000" w:themeColor="text1"/>
        </w:rPr>
        <w:t xml:space="preserve"> </w:t>
      </w:r>
      <w:r w:rsidR="00EC4871" w:rsidRPr="00DE5FDC">
        <w:rPr>
          <w:rFonts w:asciiTheme="minorHAnsi" w:hAnsiTheme="minorHAnsi" w:cstheme="minorHAnsi"/>
          <w:color w:val="000000" w:themeColor="text1"/>
        </w:rPr>
        <w:t xml:space="preserve">principles of on how to design a salvage regimen are provided in Appendix </w:t>
      </w:r>
      <w:r w:rsidR="00CC3363" w:rsidRPr="00DE5FDC">
        <w:rPr>
          <w:rFonts w:asciiTheme="minorHAnsi" w:hAnsiTheme="minorHAnsi" w:cstheme="minorHAnsi"/>
          <w:color w:val="000000" w:themeColor="text1"/>
        </w:rPr>
        <w:t>2</w:t>
      </w:r>
      <w:r w:rsidR="00EC4871" w:rsidRPr="00DE5FDC">
        <w:rPr>
          <w:rFonts w:asciiTheme="minorHAnsi" w:hAnsiTheme="minorHAnsi" w:cstheme="minorHAnsi"/>
          <w:color w:val="000000" w:themeColor="text1"/>
        </w:rPr>
        <w:t xml:space="preserve">; however, this appendix is not a substitute for WHO guidance on DR-TB </w:t>
      </w:r>
      <w:r w:rsidR="00EC4871" w:rsidRPr="00DE5FDC">
        <w:rPr>
          <w:rFonts w:asciiTheme="minorHAnsi" w:hAnsiTheme="minorHAnsi" w:cstheme="minorHAnsi"/>
          <w:color w:val="000000" w:themeColor="text1"/>
        </w:rPr>
        <w:lastRenderedPageBreak/>
        <w:t>regimen design</w:t>
      </w:r>
      <w:r w:rsidR="00CC3363" w:rsidRPr="00DE5FDC">
        <w:rPr>
          <w:rFonts w:asciiTheme="minorHAnsi" w:hAnsiTheme="minorHAnsi" w:cstheme="minorHAnsi"/>
          <w:color w:val="000000" w:themeColor="text1"/>
          <w:vertAlign w:val="superscript"/>
        </w:rPr>
        <w:fldChar w:fldCharType="begin"/>
      </w:r>
      <w:r w:rsidR="00CC3363" w:rsidRPr="00DE5FDC">
        <w:rPr>
          <w:rFonts w:asciiTheme="minorHAnsi" w:hAnsiTheme="minorHAnsi" w:cstheme="minorHAnsi"/>
          <w:color w:val="000000" w:themeColor="text1"/>
          <w:vertAlign w:val="superscript"/>
        </w:rPr>
        <w:instrText xml:space="preserve"> NOTEREF _Ref12801326 \h  \* MERGEFORMAT </w:instrText>
      </w:r>
      <w:r w:rsidR="00CC3363" w:rsidRPr="00DE5FDC">
        <w:rPr>
          <w:rFonts w:asciiTheme="minorHAnsi" w:hAnsiTheme="minorHAnsi" w:cstheme="minorHAnsi"/>
          <w:color w:val="000000" w:themeColor="text1"/>
          <w:vertAlign w:val="superscript"/>
        </w:rPr>
      </w:r>
      <w:r w:rsidR="00CC3363" w:rsidRPr="00DE5FDC">
        <w:rPr>
          <w:rFonts w:asciiTheme="minorHAnsi" w:hAnsiTheme="minorHAnsi" w:cstheme="minorHAnsi"/>
          <w:color w:val="000000" w:themeColor="text1"/>
          <w:vertAlign w:val="superscript"/>
        </w:rPr>
        <w:fldChar w:fldCharType="separate"/>
      </w:r>
      <w:r w:rsidR="00C21E58" w:rsidRPr="00DE5FDC">
        <w:rPr>
          <w:rFonts w:asciiTheme="minorHAnsi" w:hAnsiTheme="minorHAnsi" w:cstheme="minorHAnsi"/>
          <w:color w:val="000000" w:themeColor="text1"/>
          <w:vertAlign w:val="superscript"/>
        </w:rPr>
        <w:t>2</w:t>
      </w:r>
      <w:r w:rsidR="00CC3363" w:rsidRPr="00DE5FDC">
        <w:rPr>
          <w:rFonts w:asciiTheme="minorHAnsi" w:hAnsiTheme="minorHAnsi" w:cstheme="minorHAnsi"/>
          <w:color w:val="000000" w:themeColor="text1"/>
          <w:vertAlign w:val="superscript"/>
        </w:rPr>
        <w:fldChar w:fldCharType="end"/>
      </w:r>
      <w:r w:rsidR="00EC4871" w:rsidRPr="00DE5FDC">
        <w:rPr>
          <w:rFonts w:asciiTheme="minorHAnsi" w:hAnsiTheme="minorHAnsi" w:cstheme="minorHAnsi"/>
          <w:color w:val="000000" w:themeColor="text1"/>
        </w:rPr>
        <w:t xml:space="preserve"> and consulting with MDR-TB treatment experts</w:t>
      </w:r>
      <w:r w:rsidR="00E77B06" w:rsidRPr="00DE5FDC">
        <w:rPr>
          <w:rFonts w:asciiTheme="minorHAnsi" w:hAnsiTheme="minorHAnsi" w:cstheme="minorHAnsi"/>
          <w:color w:val="000000" w:themeColor="text1"/>
        </w:rPr>
        <w:t xml:space="preserve">.  Patients that fail a STR present unique challenges and often their next regimen may be their last opportunity for cure. </w:t>
      </w:r>
    </w:p>
    <w:p w14:paraId="366E0236" w14:textId="215BE0B0" w:rsidR="000443AB" w:rsidRPr="00DE5FDC" w:rsidRDefault="00B02123" w:rsidP="00A83C09">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This guide suggests the following post-end-of-treatment schedule, </w:t>
      </w:r>
      <w:r w:rsidR="00E77B06" w:rsidRPr="00DE5FDC">
        <w:rPr>
          <w:rFonts w:asciiTheme="minorHAnsi" w:hAnsiTheme="minorHAnsi" w:cstheme="minorHAnsi"/>
          <w:color w:val="000000" w:themeColor="text1"/>
        </w:rPr>
        <w:t xml:space="preserve">described </w:t>
      </w:r>
      <w:r w:rsidRPr="00DE5FDC">
        <w:rPr>
          <w:rFonts w:asciiTheme="minorHAnsi" w:hAnsiTheme="minorHAnsi" w:cstheme="minorHAnsi"/>
          <w:color w:val="000000" w:themeColor="text1"/>
        </w:rPr>
        <w:t xml:space="preserve">in </w:t>
      </w:r>
      <w:r w:rsidR="00E77B06" w:rsidRPr="00DE5FDC">
        <w:rPr>
          <w:rFonts w:asciiTheme="minorHAnsi" w:hAnsiTheme="minorHAnsi" w:cstheme="minorHAnsi"/>
          <w:color w:val="000000" w:themeColor="text1"/>
        </w:rPr>
        <w:t>T</w:t>
      </w:r>
      <w:r w:rsidRPr="00DE5FDC">
        <w:rPr>
          <w:rFonts w:asciiTheme="minorHAnsi" w:hAnsiTheme="minorHAnsi" w:cstheme="minorHAnsi"/>
          <w:color w:val="000000" w:themeColor="text1"/>
        </w:rPr>
        <w:t xml:space="preserve">able X. </w:t>
      </w:r>
      <w:r w:rsidR="00E77B06" w:rsidRPr="00DE5FDC">
        <w:rPr>
          <w:rFonts w:asciiTheme="minorHAnsi" w:hAnsiTheme="minorHAnsi" w:cstheme="minorHAnsi"/>
          <w:color w:val="000000" w:themeColor="text1"/>
        </w:rPr>
        <w:t xml:space="preserve">Monitoring cultures are sent at month 6 and month 12 regardless if the patient has symptoms of TB or not. </w:t>
      </w:r>
      <w:r w:rsidR="003C13A2" w:rsidRPr="00DE5FDC">
        <w:rPr>
          <w:rFonts w:asciiTheme="minorHAnsi" w:hAnsiTheme="minorHAnsi" w:cstheme="minorHAnsi"/>
          <w:color w:val="000000" w:themeColor="text1"/>
        </w:rPr>
        <w:t xml:space="preserve"> A combined monitoring table for during treatment and post-end-of-treatment follow is provided in </w:t>
      </w:r>
      <w:r w:rsidR="003C13A2" w:rsidRPr="00DE5FDC">
        <w:rPr>
          <w:rFonts w:asciiTheme="minorHAnsi" w:hAnsiTheme="minorHAnsi" w:cstheme="minorHAnsi"/>
          <w:color w:val="000000" w:themeColor="text1"/>
        </w:rPr>
        <w:fldChar w:fldCharType="begin"/>
      </w:r>
      <w:r w:rsidR="003C13A2" w:rsidRPr="00DE5FDC">
        <w:rPr>
          <w:rFonts w:asciiTheme="minorHAnsi" w:hAnsiTheme="minorHAnsi" w:cstheme="minorHAnsi"/>
          <w:color w:val="000000" w:themeColor="text1"/>
        </w:rPr>
        <w:instrText xml:space="preserve"> REF _Ref11322201 \h </w:instrText>
      </w:r>
      <w:r w:rsidR="00462ED2" w:rsidRPr="00DE5FDC">
        <w:rPr>
          <w:rFonts w:asciiTheme="minorHAnsi" w:hAnsiTheme="minorHAnsi" w:cstheme="minorHAnsi"/>
          <w:color w:val="000000" w:themeColor="text1"/>
        </w:rPr>
        <w:instrText xml:space="preserve"> \* MERGEFORMAT </w:instrText>
      </w:r>
      <w:r w:rsidR="003C13A2" w:rsidRPr="00DE5FDC">
        <w:rPr>
          <w:rFonts w:asciiTheme="minorHAnsi" w:hAnsiTheme="minorHAnsi" w:cstheme="minorHAnsi"/>
          <w:color w:val="000000" w:themeColor="text1"/>
        </w:rPr>
      </w:r>
      <w:r w:rsidR="003C13A2" w:rsidRPr="00DE5FDC">
        <w:rPr>
          <w:rFonts w:asciiTheme="minorHAnsi" w:hAnsiTheme="minorHAnsi" w:cstheme="minorHAnsi"/>
          <w:color w:val="000000" w:themeColor="text1"/>
        </w:rPr>
        <w:fldChar w:fldCharType="separate"/>
      </w:r>
      <w:r w:rsidR="00C21E58" w:rsidRPr="00DE5FDC">
        <w:rPr>
          <w:rFonts w:asciiTheme="minorHAnsi" w:hAnsiTheme="minorHAnsi" w:cstheme="minorHAnsi"/>
          <w:color w:val="000000" w:themeColor="text1"/>
          <w:sz w:val="21"/>
          <w:szCs w:val="21"/>
        </w:rPr>
        <w:t xml:space="preserve">Table </w:t>
      </w:r>
      <w:r w:rsidR="00C21E58" w:rsidRPr="00DE5FDC">
        <w:rPr>
          <w:rFonts w:asciiTheme="minorHAnsi" w:hAnsiTheme="minorHAnsi" w:cstheme="minorHAnsi"/>
          <w:noProof/>
          <w:color w:val="000000" w:themeColor="text1"/>
          <w:sz w:val="21"/>
          <w:szCs w:val="21"/>
        </w:rPr>
        <w:t>6</w:t>
      </w:r>
      <w:r w:rsidR="003C13A2" w:rsidRPr="00DE5FDC">
        <w:rPr>
          <w:rFonts w:asciiTheme="minorHAnsi" w:hAnsiTheme="minorHAnsi" w:cstheme="minorHAnsi"/>
          <w:color w:val="000000" w:themeColor="text1"/>
        </w:rPr>
        <w:fldChar w:fldCharType="end"/>
      </w:r>
      <w:r w:rsidR="003C13A2" w:rsidRPr="00DE5FDC">
        <w:rPr>
          <w:rFonts w:asciiTheme="minorHAnsi" w:hAnsiTheme="minorHAnsi" w:cstheme="minorHAnsi"/>
          <w:color w:val="000000" w:themeColor="text1"/>
        </w:rPr>
        <w:t xml:space="preserve">. </w:t>
      </w:r>
    </w:p>
    <w:p w14:paraId="014A5870" w14:textId="77777777" w:rsidR="00DE5FDC" w:rsidRDefault="00DE5FDC" w:rsidP="002C4FED">
      <w:pPr>
        <w:pStyle w:val="Heading3"/>
      </w:pPr>
    </w:p>
    <w:p w14:paraId="637701B4" w14:textId="77777777" w:rsidR="00DE5FDC" w:rsidRDefault="00DE5FDC" w:rsidP="002C4FED">
      <w:pPr>
        <w:pStyle w:val="Heading3"/>
      </w:pPr>
    </w:p>
    <w:p w14:paraId="742DF9F0" w14:textId="1C2F73B7" w:rsidR="00B02123" w:rsidRPr="00DE5FDC" w:rsidRDefault="00B02123" w:rsidP="002C4FED">
      <w:pPr>
        <w:pStyle w:val="Heading3"/>
        <w:rPr>
          <w:rFonts w:asciiTheme="minorHAnsi" w:hAnsiTheme="minorHAnsi"/>
        </w:rPr>
      </w:pPr>
      <w:bookmarkStart w:id="89" w:name="_Toc13486764"/>
      <w:r w:rsidRPr="00DE5FDC">
        <w:rPr>
          <w:rFonts w:asciiTheme="minorHAnsi" w:hAnsiTheme="minorHAnsi"/>
        </w:rPr>
        <w:t xml:space="preserve">Table </w:t>
      </w:r>
      <w:r w:rsidR="005E0DF4" w:rsidRPr="00DE5FDC">
        <w:rPr>
          <w:rFonts w:asciiTheme="minorHAnsi" w:hAnsiTheme="minorHAnsi"/>
        </w:rPr>
        <w:t>6</w:t>
      </w:r>
      <w:r w:rsidRPr="00DE5FDC">
        <w:rPr>
          <w:rFonts w:asciiTheme="minorHAnsi" w:hAnsiTheme="minorHAnsi"/>
        </w:rPr>
        <w:t xml:space="preserve">  Post-end-of treatment schedule</w:t>
      </w:r>
      <w:bookmarkEnd w:id="89"/>
    </w:p>
    <w:tbl>
      <w:tblPr>
        <w:tblStyle w:val="TableGrid"/>
        <w:tblW w:w="9625" w:type="dxa"/>
        <w:tblLook w:val="04A0" w:firstRow="1" w:lastRow="0" w:firstColumn="1" w:lastColumn="0" w:noHBand="0" w:noVBand="1"/>
      </w:tblPr>
      <w:tblGrid>
        <w:gridCol w:w="3865"/>
        <w:gridCol w:w="1440"/>
        <w:gridCol w:w="1440"/>
        <w:gridCol w:w="1440"/>
        <w:gridCol w:w="1440"/>
      </w:tblGrid>
      <w:tr w:rsidR="00B85017" w:rsidRPr="00BB3552" w14:paraId="7F216D8F" w14:textId="77777777" w:rsidTr="00093E2C">
        <w:tc>
          <w:tcPr>
            <w:tcW w:w="3865" w:type="dxa"/>
            <w:shd w:val="clear" w:color="auto" w:fill="235868"/>
          </w:tcPr>
          <w:p w14:paraId="42C63E8D" w14:textId="18BC3641" w:rsidR="00A83C09" w:rsidRPr="007D2A41" w:rsidRDefault="00F816DC" w:rsidP="00E20A53">
            <w:pPr>
              <w:jc w:val="center"/>
              <w:rPr>
                <w:rFonts w:asciiTheme="minorHAnsi" w:hAnsiTheme="minorHAnsi" w:cstheme="minorHAnsi"/>
                <w:b/>
                <w:bCs/>
                <w:color w:val="FFFFFF" w:themeColor="background1"/>
                <w:sz w:val="21"/>
                <w:szCs w:val="21"/>
              </w:rPr>
            </w:pPr>
            <w:r w:rsidRPr="007D2A41">
              <w:rPr>
                <w:rFonts w:asciiTheme="minorHAnsi" w:hAnsiTheme="minorHAnsi" w:cstheme="minorHAnsi"/>
                <w:b/>
                <w:bCs/>
                <w:color w:val="FFFFFF" w:themeColor="background1"/>
                <w:sz w:val="21"/>
                <w:szCs w:val="21"/>
              </w:rPr>
              <w:t>Activity</w:t>
            </w:r>
          </w:p>
        </w:tc>
        <w:tc>
          <w:tcPr>
            <w:tcW w:w="1440" w:type="dxa"/>
            <w:shd w:val="clear" w:color="auto" w:fill="235868"/>
            <w:vAlign w:val="center"/>
          </w:tcPr>
          <w:p w14:paraId="4A5A8AE1" w14:textId="2EBDFCAC" w:rsidR="00A83C09" w:rsidRPr="007D2A41" w:rsidRDefault="00A83C09" w:rsidP="00A83C09">
            <w:pPr>
              <w:jc w:val="center"/>
              <w:rPr>
                <w:rFonts w:asciiTheme="minorHAnsi" w:hAnsiTheme="minorHAnsi" w:cstheme="minorHAnsi"/>
                <w:color w:val="FFFFFF" w:themeColor="background1"/>
                <w:sz w:val="21"/>
                <w:szCs w:val="21"/>
              </w:rPr>
            </w:pPr>
            <w:r w:rsidRPr="007D2A41">
              <w:rPr>
                <w:rFonts w:asciiTheme="minorHAnsi" w:hAnsiTheme="minorHAnsi" w:cstheme="minorHAnsi"/>
                <w:b/>
                <w:bCs/>
                <w:color w:val="FFFFFF" w:themeColor="background1"/>
                <w:sz w:val="16"/>
                <w:szCs w:val="16"/>
              </w:rPr>
              <w:t>3 months post-end-of-treatment</w:t>
            </w:r>
          </w:p>
        </w:tc>
        <w:tc>
          <w:tcPr>
            <w:tcW w:w="1440" w:type="dxa"/>
            <w:shd w:val="clear" w:color="auto" w:fill="235868"/>
          </w:tcPr>
          <w:p w14:paraId="0E8EA38C" w14:textId="46390307" w:rsidR="00A83C09" w:rsidRPr="007D2A41" w:rsidRDefault="00A83C09" w:rsidP="00A83C09">
            <w:pPr>
              <w:jc w:val="center"/>
              <w:rPr>
                <w:rFonts w:asciiTheme="minorHAnsi" w:hAnsiTheme="minorHAnsi" w:cstheme="minorHAnsi"/>
                <w:color w:val="FFFFFF" w:themeColor="background1"/>
                <w:sz w:val="21"/>
                <w:szCs w:val="21"/>
              </w:rPr>
            </w:pPr>
            <w:r w:rsidRPr="007D2A41">
              <w:rPr>
                <w:rFonts w:asciiTheme="minorHAnsi" w:hAnsiTheme="minorHAnsi" w:cstheme="minorHAnsi"/>
                <w:b/>
                <w:bCs/>
                <w:color w:val="FFFFFF" w:themeColor="background1"/>
                <w:sz w:val="16"/>
                <w:szCs w:val="16"/>
              </w:rPr>
              <w:t>6 months post-end-of-treatment</w:t>
            </w:r>
          </w:p>
        </w:tc>
        <w:tc>
          <w:tcPr>
            <w:tcW w:w="1440" w:type="dxa"/>
            <w:shd w:val="clear" w:color="auto" w:fill="235868"/>
            <w:vAlign w:val="center"/>
          </w:tcPr>
          <w:p w14:paraId="1124E21E" w14:textId="1435FFA2" w:rsidR="00A83C09" w:rsidRPr="007D2A41" w:rsidRDefault="00A83C09" w:rsidP="00A83C09">
            <w:pPr>
              <w:jc w:val="center"/>
              <w:rPr>
                <w:rFonts w:asciiTheme="minorHAnsi" w:hAnsiTheme="minorHAnsi" w:cstheme="minorHAnsi"/>
                <w:color w:val="FFFFFF" w:themeColor="background1"/>
                <w:sz w:val="21"/>
                <w:szCs w:val="21"/>
              </w:rPr>
            </w:pPr>
            <w:r w:rsidRPr="007D2A41">
              <w:rPr>
                <w:rFonts w:asciiTheme="minorHAnsi" w:hAnsiTheme="minorHAnsi" w:cstheme="minorHAnsi"/>
                <w:b/>
                <w:bCs/>
                <w:color w:val="FFFFFF" w:themeColor="background1"/>
                <w:sz w:val="16"/>
                <w:szCs w:val="16"/>
              </w:rPr>
              <w:t>9 months post-end-of-treatment</w:t>
            </w:r>
          </w:p>
        </w:tc>
        <w:tc>
          <w:tcPr>
            <w:tcW w:w="1440" w:type="dxa"/>
            <w:shd w:val="clear" w:color="auto" w:fill="235868"/>
          </w:tcPr>
          <w:p w14:paraId="4F034B79" w14:textId="769CA664" w:rsidR="00A83C09" w:rsidRPr="007D2A41" w:rsidRDefault="00A83C09" w:rsidP="00A83C09">
            <w:pPr>
              <w:jc w:val="center"/>
              <w:rPr>
                <w:rFonts w:asciiTheme="minorHAnsi" w:hAnsiTheme="minorHAnsi" w:cstheme="minorHAnsi"/>
                <w:color w:val="FFFFFF" w:themeColor="background1"/>
                <w:sz w:val="21"/>
                <w:szCs w:val="21"/>
              </w:rPr>
            </w:pPr>
            <w:r w:rsidRPr="007D2A41">
              <w:rPr>
                <w:rFonts w:asciiTheme="minorHAnsi" w:hAnsiTheme="minorHAnsi" w:cstheme="minorHAnsi"/>
                <w:b/>
                <w:bCs/>
                <w:color w:val="FFFFFF" w:themeColor="background1"/>
                <w:sz w:val="16"/>
                <w:szCs w:val="16"/>
              </w:rPr>
              <w:t>12 months post-end-of-treatment</w:t>
            </w:r>
          </w:p>
        </w:tc>
      </w:tr>
      <w:tr w:rsidR="00B85017" w:rsidRPr="00BB3552" w14:paraId="79E609D8" w14:textId="77777777" w:rsidTr="00875502">
        <w:tc>
          <w:tcPr>
            <w:tcW w:w="3865" w:type="dxa"/>
          </w:tcPr>
          <w:p w14:paraId="4074F70B" w14:textId="103F1AA5" w:rsidR="00A83C09" w:rsidRPr="007D2A41" w:rsidRDefault="00A83C09" w:rsidP="00DE5FDC">
            <w:pPr>
              <w:jc w:val="left"/>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In</w:t>
            </w:r>
            <w:r w:rsidR="00BB3552">
              <w:rPr>
                <w:rFonts w:asciiTheme="minorHAnsi" w:hAnsiTheme="minorHAnsi" w:cstheme="minorHAnsi"/>
                <w:color w:val="000000" w:themeColor="text1"/>
                <w:sz w:val="21"/>
                <w:szCs w:val="21"/>
              </w:rPr>
              <w:t>-</w:t>
            </w:r>
            <w:r w:rsidRPr="00BB3552">
              <w:rPr>
                <w:rFonts w:asciiTheme="minorHAnsi" w:hAnsiTheme="minorHAnsi" w:cstheme="minorHAnsi"/>
                <w:color w:val="000000" w:themeColor="text1"/>
                <w:sz w:val="21"/>
                <w:szCs w:val="21"/>
              </w:rPr>
              <w:t>person</w:t>
            </w:r>
            <w:r w:rsidRPr="007D2A41">
              <w:rPr>
                <w:rFonts w:asciiTheme="minorHAnsi" w:hAnsiTheme="minorHAnsi" w:cstheme="minorHAnsi"/>
                <w:color w:val="000000" w:themeColor="text1"/>
                <w:sz w:val="21"/>
                <w:szCs w:val="21"/>
              </w:rPr>
              <w:t xml:space="preserve"> clinic visit</w:t>
            </w:r>
            <w:r w:rsidR="00F816DC" w:rsidRPr="007D2A41">
              <w:rPr>
                <w:rFonts w:asciiTheme="minorHAnsi" w:hAnsiTheme="minorHAnsi" w:cstheme="minorHAnsi"/>
                <w:color w:val="000000" w:themeColor="text1"/>
                <w:sz w:val="21"/>
                <w:szCs w:val="21"/>
              </w:rPr>
              <w:t>*</w:t>
            </w:r>
            <w:r w:rsidRPr="007D2A41">
              <w:rPr>
                <w:rFonts w:asciiTheme="minorHAnsi" w:hAnsiTheme="minorHAnsi" w:cstheme="minorHAnsi"/>
                <w:color w:val="000000" w:themeColor="text1"/>
                <w:sz w:val="21"/>
                <w:szCs w:val="21"/>
              </w:rPr>
              <w:t xml:space="preserve"> or telephone contact</w:t>
            </w:r>
            <w:r w:rsidR="000443AB" w:rsidRPr="007D2A41">
              <w:rPr>
                <w:rFonts w:asciiTheme="minorHAnsi" w:hAnsiTheme="minorHAnsi" w:cstheme="minorHAnsi"/>
                <w:color w:val="000000" w:themeColor="text1"/>
                <w:sz w:val="21"/>
                <w:szCs w:val="21"/>
              </w:rPr>
              <w:t>**</w:t>
            </w:r>
            <w:r w:rsidRPr="007D2A41">
              <w:rPr>
                <w:rFonts w:asciiTheme="minorHAnsi" w:hAnsiTheme="minorHAnsi" w:cstheme="minorHAnsi"/>
                <w:color w:val="000000" w:themeColor="text1"/>
                <w:sz w:val="21"/>
                <w:szCs w:val="21"/>
              </w:rPr>
              <w:t xml:space="preserve"> </w:t>
            </w:r>
          </w:p>
        </w:tc>
        <w:tc>
          <w:tcPr>
            <w:tcW w:w="1440" w:type="dxa"/>
            <w:vAlign w:val="center"/>
          </w:tcPr>
          <w:p w14:paraId="623630A5" w14:textId="19A9002E" w:rsidR="00A83C09" w:rsidRPr="007D2A41" w:rsidRDefault="00875502" w:rsidP="00875502">
            <w:pPr>
              <w:jc w:val="center"/>
              <w:rPr>
                <w:rFonts w:asciiTheme="minorHAnsi" w:hAnsiTheme="minorHAnsi" w:cstheme="minorHAnsi"/>
                <w:color w:val="000000" w:themeColor="text1"/>
                <w:sz w:val="21"/>
                <w:szCs w:val="21"/>
              </w:rPr>
            </w:pPr>
            <w:r w:rsidRPr="00BB3552">
              <w:rPr>
                <w:rFonts w:asciiTheme="minorHAnsi" w:hAnsiTheme="minorHAnsi" w:cstheme="minorHAnsi"/>
                <w:sz w:val="20"/>
              </w:rPr>
              <w:sym w:font="Symbol" w:char="F0D6"/>
            </w:r>
          </w:p>
        </w:tc>
        <w:tc>
          <w:tcPr>
            <w:tcW w:w="1440" w:type="dxa"/>
            <w:vAlign w:val="center"/>
          </w:tcPr>
          <w:p w14:paraId="53F50700" w14:textId="0FA09DBA" w:rsidR="00A83C09" w:rsidRPr="007D2A41" w:rsidRDefault="00875502" w:rsidP="00875502">
            <w:pPr>
              <w:jc w:val="center"/>
              <w:rPr>
                <w:rFonts w:asciiTheme="minorHAnsi" w:hAnsiTheme="minorHAnsi" w:cstheme="minorHAnsi"/>
                <w:color w:val="000000" w:themeColor="text1"/>
                <w:sz w:val="21"/>
                <w:szCs w:val="21"/>
              </w:rPr>
            </w:pPr>
            <w:r w:rsidRPr="00BB3552">
              <w:rPr>
                <w:rFonts w:asciiTheme="minorHAnsi" w:hAnsiTheme="minorHAnsi" w:cstheme="minorHAnsi"/>
                <w:sz w:val="20"/>
              </w:rPr>
              <w:sym w:font="Symbol" w:char="F0D6"/>
            </w:r>
          </w:p>
        </w:tc>
        <w:tc>
          <w:tcPr>
            <w:tcW w:w="1440" w:type="dxa"/>
            <w:vAlign w:val="center"/>
          </w:tcPr>
          <w:p w14:paraId="7A1A7BC4" w14:textId="4541C12C" w:rsidR="00A83C09" w:rsidRPr="007D2A41" w:rsidRDefault="00875502" w:rsidP="00875502">
            <w:pPr>
              <w:jc w:val="center"/>
              <w:rPr>
                <w:rFonts w:asciiTheme="minorHAnsi" w:hAnsiTheme="minorHAnsi" w:cstheme="minorHAnsi"/>
                <w:color w:val="000000" w:themeColor="text1"/>
                <w:sz w:val="21"/>
                <w:szCs w:val="21"/>
              </w:rPr>
            </w:pPr>
            <w:r w:rsidRPr="00BB3552">
              <w:rPr>
                <w:rFonts w:asciiTheme="minorHAnsi" w:hAnsiTheme="minorHAnsi" w:cstheme="minorHAnsi"/>
                <w:sz w:val="20"/>
              </w:rPr>
              <w:sym w:font="Symbol" w:char="F0D6"/>
            </w:r>
          </w:p>
        </w:tc>
        <w:tc>
          <w:tcPr>
            <w:tcW w:w="1440" w:type="dxa"/>
            <w:vAlign w:val="center"/>
          </w:tcPr>
          <w:p w14:paraId="650AF634" w14:textId="793AFA32" w:rsidR="00A83C09" w:rsidRPr="007D2A41" w:rsidRDefault="00875502" w:rsidP="00875502">
            <w:pPr>
              <w:jc w:val="center"/>
              <w:rPr>
                <w:rFonts w:asciiTheme="minorHAnsi" w:hAnsiTheme="minorHAnsi" w:cstheme="minorHAnsi"/>
                <w:color w:val="000000" w:themeColor="text1"/>
                <w:sz w:val="21"/>
                <w:szCs w:val="21"/>
              </w:rPr>
            </w:pPr>
            <w:r w:rsidRPr="00BB3552">
              <w:rPr>
                <w:rFonts w:asciiTheme="minorHAnsi" w:hAnsiTheme="minorHAnsi" w:cstheme="minorHAnsi"/>
                <w:sz w:val="20"/>
              </w:rPr>
              <w:sym w:font="Symbol" w:char="F0D6"/>
            </w:r>
          </w:p>
        </w:tc>
      </w:tr>
      <w:tr w:rsidR="00B85017" w:rsidRPr="00BB3552" w14:paraId="305F8386" w14:textId="77777777" w:rsidTr="00875502">
        <w:tc>
          <w:tcPr>
            <w:tcW w:w="3865" w:type="dxa"/>
          </w:tcPr>
          <w:p w14:paraId="0914924B" w14:textId="05446A21" w:rsidR="00A83C09" w:rsidRPr="007D2A41" w:rsidRDefault="00875502" w:rsidP="00DE5FDC">
            <w:pPr>
              <w:jc w:val="left"/>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Monitoring</w:t>
            </w:r>
            <w:r w:rsidR="00A83C09" w:rsidRPr="007D2A41">
              <w:rPr>
                <w:rFonts w:asciiTheme="minorHAnsi" w:hAnsiTheme="minorHAnsi" w:cstheme="minorHAnsi"/>
                <w:color w:val="000000" w:themeColor="text1"/>
                <w:sz w:val="21"/>
                <w:szCs w:val="21"/>
              </w:rPr>
              <w:t xml:space="preserve"> </w:t>
            </w:r>
            <w:r>
              <w:rPr>
                <w:rFonts w:asciiTheme="minorHAnsi" w:hAnsiTheme="minorHAnsi" w:cstheme="minorHAnsi"/>
                <w:color w:val="000000" w:themeColor="text1"/>
                <w:sz w:val="21"/>
                <w:szCs w:val="21"/>
              </w:rPr>
              <w:t xml:space="preserve">smear and </w:t>
            </w:r>
            <w:r w:rsidR="00A83C09" w:rsidRPr="007D2A41">
              <w:rPr>
                <w:rFonts w:asciiTheme="minorHAnsi" w:hAnsiTheme="minorHAnsi" w:cstheme="minorHAnsi"/>
                <w:color w:val="000000" w:themeColor="text1"/>
                <w:sz w:val="21"/>
                <w:szCs w:val="21"/>
              </w:rPr>
              <w:t xml:space="preserve">culture </w:t>
            </w:r>
            <w:r>
              <w:rPr>
                <w:rFonts w:asciiTheme="minorHAnsi" w:hAnsiTheme="minorHAnsi" w:cstheme="minorHAnsi"/>
                <w:color w:val="000000" w:themeColor="text1"/>
                <w:sz w:val="21"/>
                <w:szCs w:val="21"/>
              </w:rPr>
              <w:t xml:space="preserve">(done </w:t>
            </w:r>
            <w:r w:rsidR="00A83C09" w:rsidRPr="007D2A41">
              <w:rPr>
                <w:rFonts w:asciiTheme="minorHAnsi" w:hAnsiTheme="minorHAnsi" w:cstheme="minorHAnsi"/>
                <w:color w:val="000000" w:themeColor="text1"/>
                <w:sz w:val="21"/>
                <w:szCs w:val="21"/>
              </w:rPr>
              <w:t xml:space="preserve">regardless of signs of recurrence being present.   </w:t>
            </w:r>
          </w:p>
        </w:tc>
        <w:tc>
          <w:tcPr>
            <w:tcW w:w="1440" w:type="dxa"/>
            <w:vAlign w:val="center"/>
          </w:tcPr>
          <w:p w14:paraId="753CED3B" w14:textId="75689A5C" w:rsidR="00A83C09" w:rsidRPr="007D2A41" w:rsidRDefault="00875502" w:rsidP="00875502">
            <w:pPr>
              <w:jc w:val="center"/>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If indicated</w:t>
            </w:r>
          </w:p>
        </w:tc>
        <w:tc>
          <w:tcPr>
            <w:tcW w:w="1440" w:type="dxa"/>
            <w:vAlign w:val="center"/>
          </w:tcPr>
          <w:p w14:paraId="3D65F428" w14:textId="70679D1A" w:rsidR="00A83C09" w:rsidRPr="007D2A41" w:rsidRDefault="00875502" w:rsidP="00875502">
            <w:pPr>
              <w:jc w:val="center"/>
              <w:rPr>
                <w:rFonts w:asciiTheme="minorHAnsi" w:hAnsiTheme="minorHAnsi" w:cstheme="minorHAnsi"/>
                <w:color w:val="000000" w:themeColor="text1"/>
                <w:sz w:val="21"/>
                <w:szCs w:val="21"/>
              </w:rPr>
            </w:pPr>
            <w:r w:rsidRPr="00BB3552">
              <w:rPr>
                <w:rFonts w:asciiTheme="minorHAnsi" w:hAnsiTheme="minorHAnsi" w:cstheme="minorHAnsi"/>
                <w:sz w:val="20"/>
              </w:rPr>
              <w:sym w:font="Symbol" w:char="F0D6"/>
            </w:r>
          </w:p>
        </w:tc>
        <w:tc>
          <w:tcPr>
            <w:tcW w:w="1440" w:type="dxa"/>
            <w:vAlign w:val="center"/>
          </w:tcPr>
          <w:p w14:paraId="0B5488F6" w14:textId="026F8EC6" w:rsidR="00A83C09" w:rsidRPr="007D2A41" w:rsidRDefault="00875502" w:rsidP="00875502">
            <w:pPr>
              <w:jc w:val="center"/>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If indicated</w:t>
            </w:r>
          </w:p>
        </w:tc>
        <w:tc>
          <w:tcPr>
            <w:tcW w:w="1440" w:type="dxa"/>
            <w:vAlign w:val="center"/>
          </w:tcPr>
          <w:p w14:paraId="45170475" w14:textId="43ABCEB3" w:rsidR="00A83C09" w:rsidRPr="007D2A41" w:rsidRDefault="00875502" w:rsidP="00875502">
            <w:pPr>
              <w:jc w:val="center"/>
              <w:rPr>
                <w:rFonts w:asciiTheme="minorHAnsi" w:hAnsiTheme="minorHAnsi" w:cstheme="minorHAnsi"/>
                <w:color w:val="000000" w:themeColor="text1"/>
                <w:sz w:val="21"/>
                <w:szCs w:val="21"/>
              </w:rPr>
            </w:pPr>
            <w:r w:rsidRPr="00BB3552">
              <w:rPr>
                <w:rFonts w:asciiTheme="minorHAnsi" w:hAnsiTheme="minorHAnsi" w:cstheme="minorHAnsi"/>
                <w:sz w:val="20"/>
              </w:rPr>
              <w:sym w:font="Symbol" w:char="F0D6"/>
            </w:r>
          </w:p>
        </w:tc>
      </w:tr>
      <w:tr w:rsidR="00F816DC" w:rsidRPr="00BB3552" w14:paraId="5F0BB6D5" w14:textId="77777777" w:rsidTr="00875502">
        <w:tc>
          <w:tcPr>
            <w:tcW w:w="3865" w:type="dxa"/>
          </w:tcPr>
          <w:p w14:paraId="6523C572" w14:textId="357F6BA0" w:rsidR="00F816DC" w:rsidRPr="007D2A41" w:rsidRDefault="00F816DC" w:rsidP="00DE5FDC">
            <w:pPr>
              <w:jc w:val="left"/>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 xml:space="preserve">Chest X-ray </w:t>
            </w:r>
          </w:p>
        </w:tc>
        <w:tc>
          <w:tcPr>
            <w:tcW w:w="1440" w:type="dxa"/>
            <w:vAlign w:val="center"/>
          </w:tcPr>
          <w:p w14:paraId="285AA4D2" w14:textId="36C623E3" w:rsidR="00F816DC" w:rsidRPr="007D2A41" w:rsidRDefault="00F816DC" w:rsidP="00875502">
            <w:pPr>
              <w:jc w:val="center"/>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If indicated</w:t>
            </w:r>
          </w:p>
        </w:tc>
        <w:tc>
          <w:tcPr>
            <w:tcW w:w="1440" w:type="dxa"/>
            <w:vAlign w:val="center"/>
          </w:tcPr>
          <w:p w14:paraId="3871D02D" w14:textId="059B6104" w:rsidR="00F816DC" w:rsidRPr="007D2A41" w:rsidRDefault="00F816DC" w:rsidP="00875502">
            <w:pPr>
              <w:jc w:val="center"/>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If indicated</w:t>
            </w:r>
          </w:p>
        </w:tc>
        <w:tc>
          <w:tcPr>
            <w:tcW w:w="1440" w:type="dxa"/>
            <w:vAlign w:val="center"/>
          </w:tcPr>
          <w:p w14:paraId="014C178F" w14:textId="7BDCA883" w:rsidR="00F816DC" w:rsidRPr="007D2A41" w:rsidRDefault="00F816DC" w:rsidP="00875502">
            <w:pPr>
              <w:jc w:val="center"/>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If indicated</w:t>
            </w:r>
          </w:p>
        </w:tc>
        <w:tc>
          <w:tcPr>
            <w:tcW w:w="1440" w:type="dxa"/>
            <w:vAlign w:val="center"/>
          </w:tcPr>
          <w:p w14:paraId="5F3067D1" w14:textId="7450A6BF" w:rsidR="00F816DC" w:rsidRPr="007D2A41" w:rsidRDefault="00A37314" w:rsidP="00875502">
            <w:pPr>
              <w:jc w:val="center"/>
              <w:rPr>
                <w:rFonts w:asciiTheme="minorHAnsi" w:hAnsiTheme="minorHAnsi" w:cstheme="minorHAnsi"/>
                <w:color w:val="000000" w:themeColor="text1"/>
                <w:sz w:val="21"/>
                <w:szCs w:val="21"/>
              </w:rPr>
            </w:pPr>
            <w:r>
              <w:rPr>
                <w:rFonts w:asciiTheme="minorHAnsi" w:hAnsiTheme="minorHAnsi" w:cstheme="minorHAnsi"/>
                <w:sz w:val="20"/>
              </w:rPr>
              <w:t>If indicated</w:t>
            </w:r>
          </w:p>
        </w:tc>
      </w:tr>
      <w:tr w:rsidR="00B85017" w:rsidRPr="00BB3552" w14:paraId="44CB097B" w14:textId="77777777" w:rsidTr="00522AF3">
        <w:tc>
          <w:tcPr>
            <w:tcW w:w="3865" w:type="dxa"/>
          </w:tcPr>
          <w:p w14:paraId="09D1EC59" w14:textId="312CF8A0" w:rsidR="00E77B06" w:rsidRPr="007D2A41" w:rsidRDefault="00B80AEC" w:rsidP="00DE5FDC">
            <w:pPr>
              <w:jc w:val="left"/>
              <w:rPr>
                <w:rFonts w:asciiTheme="minorHAnsi" w:hAnsiTheme="minorHAnsi" w:cstheme="minorHAnsi"/>
                <w:color w:val="000000" w:themeColor="text1"/>
                <w:sz w:val="21"/>
                <w:szCs w:val="21"/>
              </w:rPr>
            </w:pPr>
            <w:r>
              <w:rPr>
                <w:rFonts w:asciiTheme="minorHAnsi" w:hAnsiTheme="minorHAnsi" w:cstheme="minorHAnsi"/>
                <w:color w:val="000000" w:themeColor="text1"/>
                <w:sz w:val="21"/>
                <w:szCs w:val="21"/>
              </w:rPr>
              <w:t>A</w:t>
            </w:r>
            <w:r w:rsidR="00E77B06" w:rsidRPr="00BB3552">
              <w:rPr>
                <w:rFonts w:asciiTheme="minorHAnsi" w:hAnsiTheme="minorHAnsi" w:cstheme="minorHAnsi"/>
                <w:color w:val="000000" w:themeColor="text1"/>
                <w:sz w:val="21"/>
                <w:szCs w:val="21"/>
              </w:rPr>
              <w:t>ny</w:t>
            </w:r>
            <w:r w:rsidR="00E77B06" w:rsidRPr="007D2A41">
              <w:rPr>
                <w:rFonts w:asciiTheme="minorHAnsi" w:hAnsiTheme="minorHAnsi" w:cstheme="minorHAnsi"/>
                <w:color w:val="000000" w:themeColor="text1"/>
                <w:sz w:val="21"/>
                <w:szCs w:val="21"/>
              </w:rPr>
              <w:t xml:space="preserve"> positive culture in the post-</w:t>
            </w:r>
            <w:r w:rsidRPr="00BB3552">
              <w:rPr>
                <w:rFonts w:asciiTheme="minorHAnsi" w:hAnsiTheme="minorHAnsi" w:cstheme="minorHAnsi"/>
                <w:color w:val="000000" w:themeColor="text1"/>
                <w:sz w:val="21"/>
                <w:szCs w:val="21"/>
              </w:rPr>
              <w:t xml:space="preserve"> </w:t>
            </w:r>
            <w:r w:rsidR="00E77B06" w:rsidRPr="007D2A41">
              <w:rPr>
                <w:rFonts w:asciiTheme="minorHAnsi" w:hAnsiTheme="minorHAnsi" w:cstheme="minorHAnsi"/>
                <w:color w:val="000000" w:themeColor="text1"/>
                <w:sz w:val="21"/>
                <w:szCs w:val="21"/>
              </w:rPr>
              <w:t>treatment period</w:t>
            </w:r>
          </w:p>
        </w:tc>
        <w:tc>
          <w:tcPr>
            <w:tcW w:w="5760" w:type="dxa"/>
            <w:gridSpan w:val="4"/>
          </w:tcPr>
          <w:p w14:paraId="6581EF6D" w14:textId="604D39D0" w:rsidR="00E77B06" w:rsidRPr="007D2A41" w:rsidRDefault="00E77B06" w:rsidP="00A83C09">
            <w:pPr>
              <w:jc w:val="center"/>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 xml:space="preserve">Send </w:t>
            </w:r>
            <w:r w:rsidR="00F816DC" w:rsidRPr="007D2A41">
              <w:rPr>
                <w:rFonts w:asciiTheme="minorHAnsi" w:hAnsiTheme="minorHAnsi" w:cstheme="minorHAnsi"/>
                <w:color w:val="000000" w:themeColor="text1"/>
                <w:sz w:val="21"/>
                <w:szCs w:val="21"/>
              </w:rPr>
              <w:t xml:space="preserve">baseline and post-end-of treatment </w:t>
            </w:r>
            <w:r w:rsidRPr="007D2A41">
              <w:rPr>
                <w:rFonts w:asciiTheme="minorHAnsi" w:hAnsiTheme="minorHAnsi" w:cstheme="minorHAnsi"/>
                <w:color w:val="000000" w:themeColor="text1"/>
                <w:sz w:val="21"/>
                <w:szCs w:val="21"/>
              </w:rPr>
              <w:t xml:space="preserve">culture for LPA to second-line drugs and DST to FQs, Bdq, Lzd, Dlm, Cfz, Z, and injectables </w:t>
            </w:r>
          </w:p>
        </w:tc>
      </w:tr>
      <w:tr w:rsidR="00B85017" w:rsidRPr="00BB3552" w14:paraId="1CEF50E6" w14:textId="77777777" w:rsidTr="00522AF3">
        <w:tc>
          <w:tcPr>
            <w:tcW w:w="3865" w:type="dxa"/>
          </w:tcPr>
          <w:p w14:paraId="1E723EC8" w14:textId="6E8D2EE6" w:rsidR="00E77B06" w:rsidRPr="007D2A41" w:rsidRDefault="00E77B06" w:rsidP="00DE5FDC">
            <w:pPr>
              <w:jc w:val="left"/>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Genetic fingerprinting</w:t>
            </w:r>
          </w:p>
        </w:tc>
        <w:tc>
          <w:tcPr>
            <w:tcW w:w="5760" w:type="dxa"/>
            <w:gridSpan w:val="4"/>
          </w:tcPr>
          <w:p w14:paraId="0DB61278" w14:textId="6A4F7443" w:rsidR="00E77B06" w:rsidRPr="007D2A41" w:rsidRDefault="00E77B06" w:rsidP="00A83C09">
            <w:pPr>
              <w:jc w:val="center"/>
              <w:rPr>
                <w:rFonts w:asciiTheme="minorHAnsi" w:hAnsiTheme="minorHAnsi" w:cstheme="minorHAnsi"/>
                <w:color w:val="000000" w:themeColor="text1"/>
                <w:sz w:val="21"/>
                <w:szCs w:val="21"/>
              </w:rPr>
            </w:pPr>
            <w:r w:rsidRPr="007D2A41">
              <w:rPr>
                <w:rFonts w:asciiTheme="minorHAnsi" w:hAnsiTheme="minorHAnsi" w:cstheme="minorHAnsi"/>
                <w:color w:val="000000" w:themeColor="text1"/>
                <w:sz w:val="21"/>
                <w:szCs w:val="21"/>
              </w:rPr>
              <w:t xml:space="preserve">Perform genotyping on baseline strain </w:t>
            </w:r>
            <w:r w:rsidR="00E978DC">
              <w:rPr>
                <w:rFonts w:asciiTheme="minorHAnsi" w:hAnsiTheme="minorHAnsi" w:cstheme="minorHAnsi"/>
                <w:color w:val="000000" w:themeColor="text1"/>
                <w:sz w:val="21"/>
                <w:szCs w:val="21"/>
              </w:rPr>
              <w:t>to compare with</w:t>
            </w:r>
            <w:r w:rsidRPr="007D2A41">
              <w:rPr>
                <w:rFonts w:asciiTheme="minorHAnsi" w:hAnsiTheme="minorHAnsi" w:cstheme="minorHAnsi"/>
                <w:color w:val="000000" w:themeColor="text1"/>
                <w:sz w:val="21"/>
                <w:szCs w:val="21"/>
              </w:rPr>
              <w:t xml:space="preserve"> any positive post-treatment period culture (if possible</w:t>
            </w:r>
            <w:r w:rsidRPr="00BB3552">
              <w:rPr>
                <w:rFonts w:asciiTheme="minorHAnsi" w:hAnsiTheme="minorHAnsi" w:cstheme="minorHAnsi"/>
                <w:color w:val="000000" w:themeColor="text1"/>
                <w:sz w:val="21"/>
                <w:szCs w:val="21"/>
              </w:rPr>
              <w:t>)</w:t>
            </w:r>
          </w:p>
        </w:tc>
      </w:tr>
    </w:tbl>
    <w:p w14:paraId="2F40D84D" w14:textId="5570A089" w:rsidR="00B02123" w:rsidRPr="007D2A41" w:rsidRDefault="00F816DC" w:rsidP="00B02123">
      <w:pPr>
        <w:rPr>
          <w:rFonts w:asciiTheme="minorHAnsi" w:hAnsiTheme="minorHAnsi" w:cstheme="minorHAnsi"/>
          <w:color w:val="000000" w:themeColor="text1"/>
          <w:sz w:val="16"/>
          <w:szCs w:val="16"/>
        </w:rPr>
      </w:pPr>
      <w:r w:rsidRPr="007D2A41">
        <w:rPr>
          <w:rFonts w:asciiTheme="minorHAnsi" w:hAnsiTheme="minorHAnsi" w:cstheme="minorHAnsi"/>
          <w:color w:val="000000" w:themeColor="text1"/>
          <w:sz w:val="16"/>
          <w:szCs w:val="16"/>
        </w:rPr>
        <w:t>*The clinical visit should consist of the weight, body mass index, brief peripheral neuropathy screen and visual acuity</w:t>
      </w:r>
      <w:r w:rsidR="003C13A2" w:rsidRPr="007D2A41">
        <w:rPr>
          <w:rFonts w:asciiTheme="minorHAnsi" w:hAnsiTheme="minorHAnsi" w:cstheme="minorHAnsi"/>
          <w:color w:val="000000" w:themeColor="text1"/>
          <w:sz w:val="16"/>
          <w:szCs w:val="16"/>
        </w:rPr>
        <w:t xml:space="preserve"> in all patients</w:t>
      </w:r>
      <w:r w:rsidRPr="007D2A41">
        <w:rPr>
          <w:rFonts w:asciiTheme="minorHAnsi" w:hAnsiTheme="minorHAnsi" w:cstheme="minorHAnsi"/>
          <w:color w:val="000000" w:themeColor="text1"/>
          <w:sz w:val="16"/>
          <w:szCs w:val="16"/>
        </w:rPr>
        <w:t xml:space="preserve">, as well as any other clinical and laboratory examination </w:t>
      </w:r>
      <w:r w:rsidR="003C13A2" w:rsidRPr="007D2A41">
        <w:rPr>
          <w:rFonts w:asciiTheme="minorHAnsi" w:hAnsiTheme="minorHAnsi" w:cstheme="minorHAnsi"/>
          <w:color w:val="000000" w:themeColor="text1"/>
          <w:sz w:val="16"/>
          <w:szCs w:val="16"/>
        </w:rPr>
        <w:t>needed based on symptoms.</w:t>
      </w:r>
    </w:p>
    <w:p w14:paraId="5CCB8820" w14:textId="4DFF6730" w:rsidR="000443AB" w:rsidRPr="007D2A41" w:rsidRDefault="000443AB" w:rsidP="00B02123">
      <w:pPr>
        <w:rPr>
          <w:rFonts w:asciiTheme="minorHAnsi" w:hAnsiTheme="minorHAnsi" w:cstheme="minorHAnsi"/>
          <w:color w:val="000000" w:themeColor="text1"/>
          <w:sz w:val="16"/>
          <w:szCs w:val="16"/>
        </w:rPr>
      </w:pPr>
      <w:r w:rsidRPr="007D2A41">
        <w:rPr>
          <w:rFonts w:asciiTheme="minorHAnsi" w:hAnsiTheme="minorHAnsi" w:cstheme="minorHAnsi"/>
          <w:color w:val="000000" w:themeColor="text1"/>
          <w:sz w:val="16"/>
          <w:szCs w:val="16"/>
        </w:rPr>
        <w:t>*</w:t>
      </w:r>
      <w:r w:rsidR="00875502">
        <w:rPr>
          <w:rFonts w:asciiTheme="minorHAnsi" w:hAnsiTheme="minorHAnsi" w:cstheme="minorHAnsi"/>
          <w:color w:val="000000" w:themeColor="text1"/>
          <w:sz w:val="16"/>
          <w:szCs w:val="16"/>
        </w:rPr>
        <w:t xml:space="preserve">Telephone contact is acceptable only when it is not feasible for the patient </w:t>
      </w:r>
      <w:r w:rsidR="0001094D">
        <w:rPr>
          <w:rFonts w:asciiTheme="minorHAnsi" w:hAnsiTheme="minorHAnsi" w:cstheme="minorHAnsi"/>
          <w:color w:val="000000" w:themeColor="text1"/>
          <w:sz w:val="16"/>
          <w:szCs w:val="16"/>
        </w:rPr>
        <w:t>come for</w:t>
      </w:r>
      <w:r w:rsidR="00875502">
        <w:rPr>
          <w:rFonts w:asciiTheme="minorHAnsi" w:hAnsiTheme="minorHAnsi" w:cstheme="minorHAnsi"/>
          <w:color w:val="000000" w:themeColor="text1"/>
          <w:sz w:val="16"/>
          <w:szCs w:val="16"/>
        </w:rPr>
        <w:t xml:space="preserve"> an in</w:t>
      </w:r>
      <w:r w:rsidR="0001094D">
        <w:rPr>
          <w:rFonts w:asciiTheme="minorHAnsi" w:hAnsiTheme="minorHAnsi" w:cstheme="minorHAnsi"/>
          <w:color w:val="000000" w:themeColor="text1"/>
          <w:sz w:val="16"/>
          <w:szCs w:val="16"/>
        </w:rPr>
        <w:t>-person</w:t>
      </w:r>
      <w:r w:rsidR="00875502">
        <w:rPr>
          <w:rFonts w:asciiTheme="minorHAnsi" w:hAnsiTheme="minorHAnsi" w:cstheme="minorHAnsi"/>
          <w:color w:val="000000" w:themeColor="text1"/>
          <w:sz w:val="16"/>
          <w:szCs w:val="16"/>
        </w:rPr>
        <w:t xml:space="preserve"> clinic visit. </w:t>
      </w:r>
      <w:r w:rsidR="00D05094" w:rsidRPr="007D2A41">
        <w:rPr>
          <w:rFonts w:asciiTheme="minorHAnsi" w:hAnsiTheme="minorHAnsi" w:cstheme="minorHAnsi"/>
          <w:color w:val="000000" w:themeColor="text1"/>
          <w:sz w:val="16"/>
          <w:szCs w:val="16"/>
        </w:rPr>
        <w:t xml:space="preserve">Discuss directly with the patient only, unless permission has been granted to discuss the patient’s illness with a family </w:t>
      </w:r>
      <w:r w:rsidR="00574391">
        <w:rPr>
          <w:rFonts w:asciiTheme="minorHAnsi" w:hAnsiTheme="minorHAnsi" w:cstheme="minorHAnsi"/>
          <w:color w:val="000000" w:themeColor="text1"/>
          <w:sz w:val="16"/>
          <w:szCs w:val="16"/>
        </w:rPr>
        <w:t xml:space="preserve">member </w:t>
      </w:r>
      <w:r w:rsidR="00D05094" w:rsidRPr="007D2A41">
        <w:rPr>
          <w:rFonts w:asciiTheme="minorHAnsi" w:hAnsiTheme="minorHAnsi" w:cstheme="minorHAnsi"/>
          <w:color w:val="000000" w:themeColor="text1"/>
          <w:sz w:val="16"/>
          <w:szCs w:val="16"/>
        </w:rPr>
        <w:t>or health proxy.</w:t>
      </w:r>
    </w:p>
    <w:p w14:paraId="56BAA264" w14:textId="77777777" w:rsidR="00C73257" w:rsidRDefault="00C73257" w:rsidP="00B02123">
      <w:pPr>
        <w:rPr>
          <w:color w:val="000000" w:themeColor="text1"/>
          <w:sz w:val="23"/>
          <w:szCs w:val="23"/>
        </w:rPr>
      </w:pPr>
    </w:p>
    <w:p w14:paraId="65447771" w14:textId="3FFFE32A" w:rsidR="00644CA5" w:rsidRPr="00DE5FDC" w:rsidRDefault="00644CA5" w:rsidP="00B02123">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The patient should be well informed to contact the program should symptoms of TB reoccur or if any family members </w:t>
      </w:r>
      <w:r w:rsidR="00864842" w:rsidRPr="00DE5FDC">
        <w:rPr>
          <w:rFonts w:asciiTheme="minorHAnsi" w:hAnsiTheme="minorHAnsi" w:cstheme="minorHAnsi"/>
          <w:color w:val="000000" w:themeColor="text1"/>
        </w:rPr>
        <w:t xml:space="preserve">or close contacts </w:t>
      </w:r>
      <w:r w:rsidR="00A54691" w:rsidRPr="00DE5FDC">
        <w:rPr>
          <w:rFonts w:asciiTheme="minorHAnsi" w:hAnsiTheme="minorHAnsi" w:cstheme="minorHAnsi"/>
          <w:color w:val="000000" w:themeColor="text1"/>
        </w:rPr>
        <w:t>develop symptoms of TB</w:t>
      </w:r>
      <w:r w:rsidRPr="00DE5FDC">
        <w:rPr>
          <w:rFonts w:asciiTheme="minorHAnsi" w:hAnsiTheme="minorHAnsi" w:cstheme="minorHAnsi"/>
          <w:color w:val="000000" w:themeColor="text1"/>
        </w:rPr>
        <w:t xml:space="preserve">. </w:t>
      </w:r>
    </w:p>
    <w:p w14:paraId="510E4C52" w14:textId="34FB3358" w:rsidR="00644CA5" w:rsidRPr="00DE5FDC" w:rsidRDefault="00644CA5" w:rsidP="003C13A2">
      <w:pPr>
        <w:rPr>
          <w:rFonts w:asciiTheme="minorHAnsi" w:hAnsiTheme="minorHAnsi" w:cstheme="minorHAnsi"/>
          <w:color w:val="000000" w:themeColor="text1"/>
        </w:rPr>
      </w:pPr>
      <w:r w:rsidRPr="00DE5FDC">
        <w:rPr>
          <w:rFonts w:asciiTheme="minorHAnsi" w:hAnsiTheme="minorHAnsi" w:cstheme="minorHAnsi"/>
          <w:color w:val="000000" w:themeColor="text1"/>
        </w:rPr>
        <w:t>At the end of 12 months of post</w:t>
      </w:r>
      <w:r w:rsidR="00864842" w:rsidRPr="00DE5FDC">
        <w:rPr>
          <w:rFonts w:asciiTheme="minorHAnsi" w:hAnsiTheme="minorHAnsi" w:cstheme="minorHAnsi"/>
          <w:color w:val="000000" w:themeColor="text1"/>
        </w:rPr>
        <w:t>-end-of-</w:t>
      </w:r>
      <w:r w:rsidRPr="00DE5FDC">
        <w:rPr>
          <w:rFonts w:asciiTheme="minorHAnsi" w:hAnsiTheme="minorHAnsi" w:cstheme="minorHAnsi"/>
          <w:color w:val="000000" w:themeColor="text1"/>
        </w:rPr>
        <w:t>treatment follow</w:t>
      </w:r>
      <w:r w:rsidR="0074768E" w:rsidRPr="00DE5FDC">
        <w:rPr>
          <w:rFonts w:asciiTheme="minorHAnsi" w:hAnsiTheme="minorHAnsi" w:cstheme="minorHAnsi"/>
          <w:color w:val="000000" w:themeColor="text1"/>
        </w:rPr>
        <w:t>-</w:t>
      </w:r>
      <w:r w:rsidRPr="00DE5FDC">
        <w:rPr>
          <w:rFonts w:asciiTheme="minorHAnsi" w:hAnsiTheme="minorHAnsi" w:cstheme="minorHAnsi"/>
          <w:color w:val="000000" w:themeColor="text1"/>
        </w:rPr>
        <w:t xml:space="preserve">up the patient will be </w:t>
      </w:r>
      <w:r w:rsidR="0074768E" w:rsidRPr="00DE5FDC">
        <w:rPr>
          <w:rFonts w:asciiTheme="minorHAnsi" w:hAnsiTheme="minorHAnsi" w:cstheme="minorHAnsi"/>
          <w:color w:val="000000" w:themeColor="text1"/>
        </w:rPr>
        <w:t>given a post</w:t>
      </w:r>
      <w:r w:rsidR="00864842" w:rsidRPr="00DE5FDC">
        <w:rPr>
          <w:rFonts w:asciiTheme="minorHAnsi" w:hAnsiTheme="minorHAnsi" w:cstheme="minorHAnsi"/>
          <w:color w:val="000000" w:themeColor="text1"/>
        </w:rPr>
        <w:t>-end-of-</w:t>
      </w:r>
      <w:r w:rsidR="0074768E" w:rsidRPr="00DE5FDC">
        <w:rPr>
          <w:rFonts w:asciiTheme="minorHAnsi" w:hAnsiTheme="minorHAnsi" w:cstheme="minorHAnsi"/>
          <w:color w:val="000000" w:themeColor="text1"/>
        </w:rPr>
        <w:t xml:space="preserve">treatment outcome: </w:t>
      </w:r>
      <w:r w:rsidR="00864842" w:rsidRPr="00DE5FDC">
        <w:rPr>
          <w:rFonts w:asciiTheme="minorHAnsi" w:hAnsiTheme="minorHAnsi" w:cstheme="minorHAnsi"/>
          <w:color w:val="000000" w:themeColor="text1"/>
        </w:rPr>
        <w:t>sustained successful treatment (no evidence of recurrence), recurrence, death or lost to follow-up</w:t>
      </w:r>
      <w:r w:rsidRPr="00DE5FDC">
        <w:rPr>
          <w:rFonts w:asciiTheme="minorHAnsi" w:hAnsiTheme="minorHAnsi" w:cstheme="minorHAnsi"/>
          <w:color w:val="000000" w:themeColor="text1"/>
        </w:rPr>
        <w:t>.</w:t>
      </w:r>
    </w:p>
    <w:p w14:paraId="5D673036" w14:textId="77777777" w:rsidR="004D5E3B" w:rsidRPr="00B85017" w:rsidRDefault="004D5E3B" w:rsidP="003C13A2">
      <w:pPr>
        <w:ind w:left="576"/>
        <w:rPr>
          <w:color w:val="000000" w:themeColor="text1"/>
          <w:sz w:val="23"/>
          <w:szCs w:val="23"/>
        </w:rPr>
      </w:pPr>
    </w:p>
    <w:p w14:paraId="36C804DA" w14:textId="394C224E" w:rsidR="0009508D" w:rsidRPr="00003170" w:rsidRDefault="0009508D" w:rsidP="00003170">
      <w:pPr>
        <w:pStyle w:val="Heading2"/>
      </w:pPr>
      <w:bookmarkStart w:id="90" w:name="_Toc12792953"/>
      <w:bookmarkStart w:id="91" w:name="_Toc12952364"/>
      <w:bookmarkStart w:id="92" w:name="_Toc13486713"/>
      <w:r w:rsidRPr="00003170">
        <w:lastRenderedPageBreak/>
        <w:t>Number of drugs used in an all-oral STR</w:t>
      </w:r>
      <w:bookmarkEnd w:id="90"/>
      <w:bookmarkEnd w:id="91"/>
      <w:bookmarkEnd w:id="92"/>
    </w:p>
    <w:p w14:paraId="2FC815DC" w14:textId="77777777" w:rsidR="00FF2FD0" w:rsidRPr="00462ED2" w:rsidRDefault="0009508D" w:rsidP="0009508D">
      <w:pPr>
        <w:rPr>
          <w:rFonts w:asciiTheme="minorHAnsi" w:hAnsiTheme="minorHAnsi" w:cstheme="minorHAnsi"/>
          <w:color w:val="000000" w:themeColor="text1"/>
        </w:rPr>
      </w:pPr>
      <w:r w:rsidRPr="00462ED2">
        <w:rPr>
          <w:rFonts w:asciiTheme="minorHAnsi" w:hAnsiTheme="minorHAnsi" w:cstheme="minorHAnsi"/>
          <w:color w:val="000000" w:themeColor="text1"/>
        </w:rPr>
        <w:t xml:space="preserve">Similar to WHO recommended LTRs the number of drugs in the STR should contain at least 4 likely effective drugs.  Many programs choose regimens that contain 5 likely effective drugs to cover for the possibility that one of the drugs may not be effective.  </w:t>
      </w:r>
    </w:p>
    <w:p w14:paraId="3F60AB68" w14:textId="6F38123D" w:rsidR="0009508D" w:rsidRPr="00462ED2" w:rsidRDefault="00FF2FD0" w:rsidP="0009508D">
      <w:pPr>
        <w:rPr>
          <w:rFonts w:asciiTheme="minorHAnsi" w:hAnsiTheme="minorHAnsi" w:cstheme="minorHAnsi"/>
          <w:color w:val="000000" w:themeColor="text1"/>
        </w:rPr>
      </w:pPr>
      <w:r w:rsidRPr="00462ED2">
        <w:rPr>
          <w:rFonts w:asciiTheme="minorHAnsi" w:hAnsiTheme="minorHAnsi" w:cstheme="minorHAnsi"/>
          <w:color w:val="000000" w:themeColor="text1"/>
        </w:rPr>
        <w:t>This guide recommends that</w:t>
      </w:r>
      <w:r w:rsidR="0009508D" w:rsidRPr="00462ED2">
        <w:rPr>
          <w:rFonts w:asciiTheme="minorHAnsi" w:hAnsiTheme="minorHAnsi" w:cstheme="minorHAnsi"/>
          <w:color w:val="000000" w:themeColor="text1"/>
        </w:rPr>
        <w:t xml:space="preserve"> all drugs </w:t>
      </w:r>
      <w:r w:rsidR="00F017DE" w:rsidRPr="00462ED2">
        <w:rPr>
          <w:rFonts w:asciiTheme="minorHAnsi" w:hAnsiTheme="minorHAnsi" w:cstheme="minorHAnsi"/>
          <w:color w:val="000000" w:themeColor="text1"/>
        </w:rPr>
        <w:t xml:space="preserve">in the regimen </w:t>
      </w:r>
      <w:r w:rsidR="0009508D" w:rsidRPr="00462ED2">
        <w:rPr>
          <w:rFonts w:asciiTheme="minorHAnsi" w:hAnsiTheme="minorHAnsi" w:cstheme="minorHAnsi"/>
          <w:color w:val="000000" w:themeColor="text1"/>
        </w:rPr>
        <w:t xml:space="preserve">are used </w:t>
      </w:r>
      <w:r w:rsidR="00F017DE" w:rsidRPr="00462ED2">
        <w:rPr>
          <w:rFonts w:asciiTheme="minorHAnsi" w:hAnsiTheme="minorHAnsi" w:cstheme="minorHAnsi"/>
          <w:color w:val="000000" w:themeColor="text1"/>
        </w:rPr>
        <w:t>for the</w:t>
      </w:r>
      <w:r w:rsidR="0009508D" w:rsidRPr="00462ED2">
        <w:rPr>
          <w:rFonts w:asciiTheme="minorHAnsi" w:hAnsiTheme="minorHAnsi" w:cstheme="minorHAnsi"/>
          <w:color w:val="000000" w:themeColor="text1"/>
        </w:rPr>
        <w:t xml:space="preserve"> full treatment duration</w:t>
      </w:r>
      <w:r w:rsidR="00F017DE" w:rsidRPr="00462ED2">
        <w:rPr>
          <w:rFonts w:asciiTheme="minorHAnsi" w:hAnsiTheme="minorHAnsi" w:cstheme="minorHAnsi"/>
          <w:color w:val="000000" w:themeColor="text1"/>
        </w:rPr>
        <w:t xml:space="preserve"> if tolerated</w:t>
      </w:r>
      <w:r w:rsidR="0021656D" w:rsidRPr="00462ED2">
        <w:rPr>
          <w:rFonts w:asciiTheme="minorHAnsi" w:hAnsiTheme="minorHAnsi" w:cstheme="minorHAnsi"/>
          <w:color w:val="000000" w:themeColor="text1"/>
        </w:rPr>
        <w:t xml:space="preserve">. </w:t>
      </w:r>
      <w:r w:rsidR="00EE1258" w:rsidRPr="00462ED2">
        <w:rPr>
          <w:rFonts w:asciiTheme="minorHAnsi" w:hAnsiTheme="minorHAnsi" w:cstheme="minorHAnsi"/>
          <w:color w:val="000000" w:themeColor="text1"/>
        </w:rPr>
        <w:t>R</w:t>
      </w:r>
      <w:r w:rsidR="0009508D" w:rsidRPr="00462ED2">
        <w:rPr>
          <w:rFonts w:asciiTheme="minorHAnsi" w:hAnsiTheme="minorHAnsi" w:cstheme="minorHAnsi"/>
          <w:color w:val="000000" w:themeColor="text1"/>
        </w:rPr>
        <w:t>outinely stopping one drug in the regimen has not been properly evaluated</w:t>
      </w:r>
      <w:r w:rsidR="006E2546" w:rsidRPr="00462ED2">
        <w:rPr>
          <w:rFonts w:asciiTheme="minorHAnsi" w:hAnsiTheme="minorHAnsi" w:cstheme="minorHAnsi"/>
          <w:color w:val="000000" w:themeColor="text1"/>
        </w:rPr>
        <w:t xml:space="preserve"> in terms of effectiveness.</w:t>
      </w:r>
      <w:r w:rsidR="0009508D" w:rsidRPr="00462ED2">
        <w:rPr>
          <w:rFonts w:asciiTheme="minorHAnsi" w:hAnsiTheme="minorHAnsi" w:cstheme="minorHAnsi"/>
          <w:color w:val="000000" w:themeColor="text1"/>
        </w:rPr>
        <w:t xml:space="preserve">  </w:t>
      </w:r>
    </w:p>
    <w:p w14:paraId="78919386" w14:textId="5AF9F5DA" w:rsidR="0009508D" w:rsidRPr="00462ED2" w:rsidRDefault="0009508D" w:rsidP="0009508D">
      <w:pPr>
        <w:rPr>
          <w:rFonts w:asciiTheme="minorHAnsi" w:hAnsiTheme="minorHAnsi" w:cstheme="minorHAnsi"/>
          <w:color w:val="000000" w:themeColor="text1"/>
        </w:rPr>
      </w:pPr>
      <w:r w:rsidRPr="00462ED2">
        <w:rPr>
          <w:rFonts w:asciiTheme="minorHAnsi" w:hAnsiTheme="minorHAnsi" w:cstheme="minorHAnsi"/>
          <w:color w:val="000000" w:themeColor="text1"/>
        </w:rPr>
        <w:t xml:space="preserve">While </w:t>
      </w:r>
      <w:r w:rsidR="0021656D" w:rsidRPr="00462ED2">
        <w:rPr>
          <w:rFonts w:asciiTheme="minorHAnsi" w:hAnsiTheme="minorHAnsi" w:cstheme="minorHAnsi"/>
          <w:color w:val="000000" w:themeColor="text1"/>
        </w:rPr>
        <w:t xml:space="preserve">not </w:t>
      </w:r>
      <w:r w:rsidRPr="00462ED2">
        <w:rPr>
          <w:rFonts w:asciiTheme="minorHAnsi" w:hAnsiTheme="minorHAnsi" w:cstheme="minorHAnsi"/>
          <w:color w:val="000000" w:themeColor="text1"/>
        </w:rPr>
        <w:t>the preference of the authors of this guide</w:t>
      </w:r>
      <w:r w:rsidR="0021656D" w:rsidRPr="00462ED2">
        <w:rPr>
          <w:rFonts w:asciiTheme="minorHAnsi" w:hAnsiTheme="minorHAnsi" w:cstheme="minorHAnsi"/>
          <w:color w:val="000000" w:themeColor="text1"/>
        </w:rPr>
        <w:t xml:space="preserve">, it is recognized that some programs may prefer </w:t>
      </w:r>
      <w:r w:rsidR="006E2546" w:rsidRPr="00462ED2">
        <w:rPr>
          <w:rFonts w:asciiTheme="minorHAnsi" w:hAnsiTheme="minorHAnsi" w:cstheme="minorHAnsi"/>
          <w:color w:val="000000" w:themeColor="text1"/>
        </w:rPr>
        <w:t>to routinely stop one of the drugs</w:t>
      </w:r>
      <w:r w:rsidR="0021656D" w:rsidRPr="00462ED2">
        <w:rPr>
          <w:rFonts w:asciiTheme="minorHAnsi" w:hAnsiTheme="minorHAnsi" w:cstheme="minorHAnsi"/>
          <w:color w:val="000000" w:themeColor="text1"/>
        </w:rPr>
        <w:t>, such as</w:t>
      </w:r>
      <w:r w:rsidR="006E2546" w:rsidRPr="00462ED2">
        <w:rPr>
          <w:rFonts w:asciiTheme="minorHAnsi" w:hAnsiTheme="minorHAnsi" w:cstheme="minorHAnsi"/>
          <w:color w:val="000000" w:themeColor="text1"/>
        </w:rPr>
        <w:t xml:space="preserve"> linezolid or bedaquiline</w:t>
      </w:r>
      <w:r w:rsidR="0021656D" w:rsidRPr="00462ED2">
        <w:rPr>
          <w:rFonts w:asciiTheme="minorHAnsi" w:hAnsiTheme="minorHAnsi" w:cstheme="minorHAnsi"/>
          <w:color w:val="000000" w:themeColor="text1"/>
        </w:rPr>
        <w:t>,</w:t>
      </w:r>
      <w:r w:rsidR="006E2546" w:rsidRPr="00462ED2">
        <w:rPr>
          <w:rFonts w:asciiTheme="minorHAnsi" w:hAnsiTheme="minorHAnsi" w:cstheme="minorHAnsi"/>
          <w:color w:val="000000" w:themeColor="text1"/>
        </w:rPr>
        <w:t xml:space="preserve"> after a set period of time.  </w:t>
      </w:r>
      <w:r w:rsidR="0021656D" w:rsidRPr="00462ED2">
        <w:rPr>
          <w:rFonts w:asciiTheme="minorHAnsi" w:hAnsiTheme="minorHAnsi" w:cstheme="minorHAnsi"/>
          <w:color w:val="000000" w:themeColor="text1"/>
        </w:rPr>
        <w:t xml:space="preserve">Because linezolid is difficult to tolerate in comparison to bedaquiline, </w:t>
      </w:r>
      <w:r w:rsidR="00666A59" w:rsidRPr="00462ED2">
        <w:rPr>
          <w:rFonts w:asciiTheme="minorHAnsi" w:hAnsiTheme="minorHAnsi" w:cstheme="minorHAnsi"/>
          <w:color w:val="000000" w:themeColor="text1"/>
        </w:rPr>
        <w:t xml:space="preserve">dropping linezolid would be the logical choice for </w:t>
      </w:r>
      <w:r w:rsidR="0021656D" w:rsidRPr="00462ED2">
        <w:rPr>
          <w:rFonts w:asciiTheme="minorHAnsi" w:hAnsiTheme="minorHAnsi" w:cstheme="minorHAnsi"/>
          <w:color w:val="000000" w:themeColor="text1"/>
        </w:rPr>
        <w:t xml:space="preserve">programs </w:t>
      </w:r>
      <w:r w:rsidR="00666A59" w:rsidRPr="00462ED2">
        <w:rPr>
          <w:rFonts w:asciiTheme="minorHAnsi" w:hAnsiTheme="minorHAnsi" w:cstheme="minorHAnsi"/>
          <w:color w:val="000000" w:themeColor="text1"/>
        </w:rPr>
        <w:t xml:space="preserve">that desire to </w:t>
      </w:r>
      <w:r w:rsidR="0021656D" w:rsidRPr="00462ED2">
        <w:rPr>
          <w:rFonts w:asciiTheme="minorHAnsi" w:hAnsiTheme="minorHAnsi" w:cstheme="minorHAnsi"/>
          <w:color w:val="000000" w:themeColor="text1"/>
        </w:rPr>
        <w:t>routinely drop one drug</w:t>
      </w:r>
      <w:r w:rsidR="00666A59" w:rsidRPr="00462ED2">
        <w:rPr>
          <w:rFonts w:asciiTheme="minorHAnsi" w:hAnsiTheme="minorHAnsi" w:cstheme="minorHAnsi"/>
          <w:color w:val="000000" w:themeColor="text1"/>
        </w:rPr>
        <w:t>.</w:t>
      </w:r>
      <w:r w:rsidR="0021656D" w:rsidRPr="00462ED2">
        <w:rPr>
          <w:rFonts w:asciiTheme="minorHAnsi" w:hAnsiTheme="minorHAnsi" w:cstheme="minorHAnsi"/>
          <w:color w:val="000000" w:themeColor="text1"/>
        </w:rPr>
        <w:t xml:space="preserve"> </w:t>
      </w:r>
      <w:r w:rsidR="006E2546" w:rsidRPr="00462ED2">
        <w:rPr>
          <w:rFonts w:asciiTheme="minorHAnsi" w:hAnsiTheme="minorHAnsi" w:cstheme="minorHAnsi"/>
          <w:color w:val="000000" w:themeColor="text1"/>
        </w:rPr>
        <w:t xml:space="preserve">Alternatively, </w:t>
      </w:r>
      <w:r w:rsidR="00666A59" w:rsidRPr="00462ED2">
        <w:rPr>
          <w:rFonts w:asciiTheme="minorHAnsi" w:hAnsiTheme="minorHAnsi" w:cstheme="minorHAnsi"/>
          <w:color w:val="000000" w:themeColor="text1"/>
        </w:rPr>
        <w:t xml:space="preserve">the dose of </w:t>
      </w:r>
      <w:r w:rsidR="006E2546" w:rsidRPr="00462ED2">
        <w:rPr>
          <w:rFonts w:asciiTheme="minorHAnsi" w:hAnsiTheme="minorHAnsi" w:cstheme="minorHAnsi"/>
          <w:color w:val="000000" w:themeColor="text1"/>
        </w:rPr>
        <w:t>a drug like linezolid may be routinely reduced at month 4.  (Note: in the endTB clinical trial all patients receiving linezolid will have a dose reduction of linezolid at month 4 – from 600 mg daily to either 300 mg daily or 600 mg Monday-Wednesday-Friday</w:t>
      </w:r>
      <w:r w:rsidR="0021656D" w:rsidRPr="00462ED2">
        <w:rPr>
          <w:rFonts w:asciiTheme="minorHAnsi" w:hAnsiTheme="minorHAnsi" w:cstheme="minorHAnsi"/>
          <w:color w:val="000000" w:themeColor="text1"/>
        </w:rPr>
        <w:t xml:space="preserve">. </w:t>
      </w:r>
      <w:r w:rsidR="00BD5FDC" w:rsidRPr="00462ED2">
        <w:rPr>
          <w:rFonts w:asciiTheme="minorHAnsi" w:hAnsiTheme="minorHAnsi" w:cstheme="minorHAnsi"/>
          <w:color w:val="000000" w:themeColor="text1"/>
        </w:rPr>
        <w:t>The analysis of this</w:t>
      </w:r>
      <w:r w:rsidR="0021656D" w:rsidRPr="00462ED2">
        <w:rPr>
          <w:rFonts w:asciiTheme="minorHAnsi" w:hAnsiTheme="minorHAnsi" w:cstheme="minorHAnsi"/>
          <w:color w:val="000000" w:themeColor="text1"/>
        </w:rPr>
        <w:t xml:space="preserve"> practice is expected in </w:t>
      </w:r>
      <w:r w:rsidR="00E93913" w:rsidRPr="00462ED2">
        <w:rPr>
          <w:rFonts w:asciiTheme="minorHAnsi" w:hAnsiTheme="minorHAnsi" w:cstheme="minorHAnsi"/>
          <w:color w:val="000000" w:themeColor="text1"/>
        </w:rPr>
        <w:t xml:space="preserve">late </w:t>
      </w:r>
      <w:r w:rsidR="0021656D" w:rsidRPr="00462ED2">
        <w:rPr>
          <w:rFonts w:asciiTheme="minorHAnsi" w:hAnsiTheme="minorHAnsi" w:cstheme="minorHAnsi"/>
          <w:color w:val="000000" w:themeColor="text1"/>
        </w:rPr>
        <w:t>2022</w:t>
      </w:r>
      <w:r w:rsidR="006E2546" w:rsidRPr="00462ED2">
        <w:rPr>
          <w:rFonts w:asciiTheme="minorHAnsi" w:hAnsiTheme="minorHAnsi" w:cstheme="minorHAnsi"/>
          <w:color w:val="000000" w:themeColor="text1"/>
        </w:rPr>
        <w:t xml:space="preserve">).  </w:t>
      </w:r>
    </w:p>
    <w:p w14:paraId="00112247" w14:textId="063E031B" w:rsidR="00F76B20" w:rsidRPr="00462ED2" w:rsidRDefault="0009508D" w:rsidP="00003170">
      <w:pPr>
        <w:pStyle w:val="Heading2"/>
        <w:rPr>
          <w:rFonts w:asciiTheme="minorHAnsi" w:hAnsiTheme="minorHAnsi" w:cstheme="minorHAnsi"/>
        </w:rPr>
      </w:pPr>
      <w:bookmarkStart w:id="93" w:name="_Toc12792954"/>
      <w:bookmarkStart w:id="94" w:name="_Ref12885064"/>
      <w:bookmarkStart w:id="95" w:name="_Toc12952365"/>
      <w:bookmarkStart w:id="96" w:name="_Toc13486714"/>
      <w:r w:rsidRPr="00462ED2">
        <w:rPr>
          <w:rFonts w:asciiTheme="minorHAnsi" w:hAnsiTheme="minorHAnsi" w:cstheme="minorHAnsi"/>
        </w:rPr>
        <w:t>Choosing the drug composition</w:t>
      </w:r>
      <w:r w:rsidR="006F42D0" w:rsidRPr="00462ED2">
        <w:rPr>
          <w:rFonts w:asciiTheme="minorHAnsi" w:hAnsiTheme="minorHAnsi" w:cstheme="minorHAnsi"/>
        </w:rPr>
        <w:t xml:space="preserve"> of the all-oral STR</w:t>
      </w:r>
      <w:bookmarkEnd w:id="93"/>
      <w:bookmarkEnd w:id="94"/>
      <w:bookmarkEnd w:id="95"/>
      <w:bookmarkEnd w:id="96"/>
    </w:p>
    <w:p w14:paraId="7197A869" w14:textId="2CD3A778" w:rsidR="00A02D3D" w:rsidRDefault="0009508D" w:rsidP="00A02D3D">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As described in Section 3.1, all-oral STRs are composed of a combination of drugs that have high efficacy, a good side-effect profile and low prevalence of resistance.  </w:t>
      </w:r>
      <w:r w:rsidR="003B2625">
        <w:rPr>
          <w:rFonts w:asciiTheme="minorHAnsi" w:hAnsiTheme="minorHAnsi" w:cstheme="minorHAnsi"/>
          <w:color w:val="000000" w:themeColor="text1"/>
        </w:rPr>
        <w:t>T</w:t>
      </w:r>
      <w:r w:rsidR="0021656D" w:rsidRPr="00DE5FDC">
        <w:rPr>
          <w:rFonts w:asciiTheme="minorHAnsi" w:hAnsiTheme="minorHAnsi" w:cstheme="minorHAnsi"/>
          <w:color w:val="000000" w:themeColor="text1"/>
        </w:rPr>
        <w:t>his clinical guide only addresses regimens that use WHO endorsed Group A drugs (</w:t>
      </w:r>
      <w:r w:rsidRPr="00DE5FDC">
        <w:rPr>
          <w:rFonts w:asciiTheme="minorHAnsi" w:hAnsiTheme="minorHAnsi" w:cstheme="minorHAnsi"/>
          <w:color w:val="000000" w:themeColor="text1"/>
        </w:rPr>
        <w:t>levofloxacin or moxifloxacin, bedaquiline, linezolid</w:t>
      </w:r>
      <w:r w:rsidR="0021656D" w:rsidRPr="00DE5FDC">
        <w:rPr>
          <w:rFonts w:asciiTheme="minorHAnsi" w:hAnsiTheme="minorHAnsi" w:cstheme="minorHAnsi"/>
          <w:color w:val="000000" w:themeColor="text1"/>
        </w:rPr>
        <w:t>) the Group B drug clofazimine</w:t>
      </w:r>
      <w:r w:rsidR="00A02D3D" w:rsidRPr="00DE5FDC">
        <w:rPr>
          <w:rFonts w:asciiTheme="minorHAnsi" w:hAnsiTheme="minorHAnsi" w:cstheme="minorHAnsi"/>
          <w:color w:val="000000" w:themeColor="text1"/>
        </w:rPr>
        <w:t xml:space="preserve"> or the Group C drugs of delamanid or </w:t>
      </w:r>
      <w:r w:rsidR="00666A59" w:rsidRPr="00DE5FDC">
        <w:rPr>
          <w:rFonts w:asciiTheme="minorHAnsi" w:hAnsiTheme="minorHAnsi" w:cstheme="minorHAnsi"/>
          <w:color w:val="000000" w:themeColor="text1"/>
        </w:rPr>
        <w:t>pyrazinamide</w:t>
      </w:r>
      <w:r w:rsidRPr="00DE5FDC">
        <w:rPr>
          <w:rFonts w:asciiTheme="minorHAnsi" w:hAnsiTheme="minorHAnsi" w:cstheme="minorHAnsi"/>
          <w:color w:val="000000" w:themeColor="text1"/>
        </w:rPr>
        <w:t>.</w:t>
      </w:r>
      <w:r w:rsidR="006F42D0" w:rsidRPr="00DE5FDC">
        <w:rPr>
          <w:rFonts w:asciiTheme="minorHAnsi" w:hAnsiTheme="minorHAnsi" w:cstheme="minorHAnsi"/>
          <w:color w:val="000000" w:themeColor="text1"/>
        </w:rPr>
        <w:t xml:space="preserve">  Because the drug pretomanid is not yet available commercially and has not been evaluated by the WHO or a stringent regulatory authority, it is not included as an option in drug composition </w:t>
      </w:r>
      <w:r w:rsidR="003B2625">
        <w:rPr>
          <w:rFonts w:asciiTheme="minorHAnsi" w:hAnsiTheme="minorHAnsi" w:cstheme="minorHAnsi"/>
          <w:color w:val="000000" w:themeColor="text1"/>
        </w:rPr>
        <w:t>in this guide</w:t>
      </w:r>
      <w:r w:rsidR="006F42D0" w:rsidRPr="00DE5FDC">
        <w:rPr>
          <w:rFonts w:asciiTheme="minorHAnsi" w:hAnsiTheme="minorHAnsi" w:cstheme="minorHAnsi"/>
          <w:color w:val="000000" w:themeColor="text1"/>
        </w:rPr>
        <w:t xml:space="preserve">. </w:t>
      </w:r>
    </w:p>
    <w:p w14:paraId="6224BD87" w14:textId="45DDDCFD" w:rsidR="00A02D3D" w:rsidRPr="00DE5FDC" w:rsidRDefault="00A02D3D" w:rsidP="00A02D3D">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The advantage of using regimens that are </w:t>
      </w:r>
      <w:r w:rsidR="00992F7C" w:rsidRPr="00DE5FDC">
        <w:rPr>
          <w:rFonts w:asciiTheme="minorHAnsi" w:hAnsiTheme="minorHAnsi" w:cstheme="minorHAnsi"/>
          <w:color w:val="000000" w:themeColor="text1"/>
        </w:rPr>
        <w:t xml:space="preserve">currently </w:t>
      </w:r>
      <w:r w:rsidRPr="00DE5FDC">
        <w:rPr>
          <w:rFonts w:asciiTheme="minorHAnsi" w:hAnsiTheme="minorHAnsi" w:cstheme="minorHAnsi"/>
          <w:color w:val="000000" w:themeColor="text1"/>
        </w:rPr>
        <w:t xml:space="preserve">undergoing randomized control trials (RCTs) </w:t>
      </w:r>
      <w:r w:rsidR="00992F7C" w:rsidRPr="00DE5FDC">
        <w:rPr>
          <w:rFonts w:asciiTheme="minorHAnsi" w:hAnsiTheme="minorHAnsi" w:cstheme="minorHAnsi"/>
          <w:color w:val="000000" w:themeColor="text1"/>
        </w:rPr>
        <w:t xml:space="preserve">is that the operational research done on the regimen can add to the knowledge of the results of the RCT and </w:t>
      </w:r>
      <w:r w:rsidRPr="00DE5FDC">
        <w:rPr>
          <w:rFonts w:asciiTheme="minorHAnsi" w:hAnsiTheme="minorHAnsi" w:cstheme="minorHAnsi"/>
          <w:color w:val="000000" w:themeColor="text1"/>
        </w:rPr>
        <w:t xml:space="preserve">because eventually </w:t>
      </w:r>
      <w:r w:rsidR="00992F7C" w:rsidRPr="00DE5FDC">
        <w:rPr>
          <w:rFonts w:asciiTheme="minorHAnsi" w:hAnsiTheme="minorHAnsi" w:cstheme="minorHAnsi"/>
          <w:color w:val="000000" w:themeColor="text1"/>
        </w:rPr>
        <w:t xml:space="preserve">robust </w:t>
      </w:r>
      <w:r w:rsidRPr="00DE5FDC">
        <w:rPr>
          <w:rFonts w:asciiTheme="minorHAnsi" w:hAnsiTheme="minorHAnsi" w:cstheme="minorHAnsi"/>
          <w:color w:val="000000" w:themeColor="text1"/>
        </w:rPr>
        <w:t>information will be available on the effectiveness of the</w:t>
      </w:r>
      <w:r w:rsidR="00992F7C" w:rsidRPr="00DE5FDC">
        <w:rPr>
          <w:rFonts w:asciiTheme="minorHAnsi" w:hAnsiTheme="minorHAnsi" w:cstheme="minorHAnsi"/>
          <w:color w:val="000000" w:themeColor="text1"/>
        </w:rPr>
        <w:t>se</w:t>
      </w:r>
      <w:r w:rsidRPr="00DE5FDC">
        <w:rPr>
          <w:rFonts w:asciiTheme="minorHAnsi" w:hAnsiTheme="minorHAnsi" w:cstheme="minorHAnsi"/>
          <w:color w:val="000000" w:themeColor="text1"/>
        </w:rPr>
        <w:t xml:space="preserve"> all-oral STR</w:t>
      </w:r>
      <w:r w:rsidR="00992F7C" w:rsidRPr="00DE5FDC">
        <w:rPr>
          <w:rFonts w:asciiTheme="minorHAnsi" w:hAnsiTheme="minorHAnsi" w:cstheme="minorHAnsi"/>
          <w:color w:val="000000" w:themeColor="text1"/>
        </w:rPr>
        <w:t>s</w:t>
      </w:r>
      <w:r w:rsidRPr="00DE5FDC">
        <w:rPr>
          <w:rFonts w:asciiTheme="minorHAnsi" w:hAnsiTheme="minorHAnsi" w:cstheme="minorHAnsi"/>
          <w:color w:val="000000" w:themeColor="text1"/>
        </w:rPr>
        <w:t xml:space="preserve"> .</w:t>
      </w:r>
    </w:p>
    <w:p w14:paraId="3687C7C6" w14:textId="5519F47B" w:rsidR="00A02D3D" w:rsidRPr="00DE5FDC" w:rsidRDefault="00A02D3D" w:rsidP="00A02D3D">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Examples of </w:t>
      </w:r>
      <w:r w:rsidR="00D60573">
        <w:rPr>
          <w:rFonts w:asciiTheme="minorHAnsi" w:hAnsiTheme="minorHAnsi" w:cstheme="minorHAnsi"/>
          <w:color w:val="000000" w:themeColor="text1"/>
        </w:rPr>
        <w:t xml:space="preserve">all-oral </w:t>
      </w:r>
      <w:r w:rsidRPr="00DE5FDC">
        <w:rPr>
          <w:rFonts w:asciiTheme="minorHAnsi" w:hAnsiTheme="minorHAnsi" w:cstheme="minorHAnsi"/>
          <w:color w:val="000000" w:themeColor="text1"/>
        </w:rPr>
        <w:t xml:space="preserve">regimens being used in RCTs that </w:t>
      </w:r>
      <w:r w:rsidR="00611EFC">
        <w:rPr>
          <w:rFonts w:asciiTheme="minorHAnsi" w:hAnsiTheme="minorHAnsi" w:cstheme="minorHAnsi"/>
          <w:color w:val="000000" w:themeColor="text1"/>
        </w:rPr>
        <w:t>use drugs that are available through the Global Drug Facility</w:t>
      </w:r>
      <w:r w:rsidR="00D60573">
        <w:rPr>
          <w:rFonts w:asciiTheme="minorHAnsi" w:hAnsiTheme="minorHAnsi" w:cstheme="minorHAnsi"/>
          <w:color w:val="000000" w:themeColor="text1"/>
        </w:rPr>
        <w:t xml:space="preserve"> (GDF)</w:t>
      </w:r>
      <w:r w:rsidR="00611EFC">
        <w:rPr>
          <w:rFonts w:asciiTheme="minorHAnsi" w:hAnsiTheme="minorHAnsi" w:cstheme="minorHAnsi"/>
          <w:color w:val="000000" w:themeColor="text1"/>
        </w:rPr>
        <w:t xml:space="preserve"> </w:t>
      </w:r>
      <w:r w:rsidRPr="00DE5FDC">
        <w:rPr>
          <w:rFonts w:asciiTheme="minorHAnsi" w:hAnsiTheme="minorHAnsi" w:cstheme="minorHAnsi"/>
          <w:color w:val="000000" w:themeColor="text1"/>
        </w:rPr>
        <w:t>are provided below:</w:t>
      </w:r>
    </w:p>
    <w:p w14:paraId="6BAEA4DF" w14:textId="7C09BCEC" w:rsidR="00E978DC" w:rsidRPr="00DE5FDC" w:rsidRDefault="00E978DC" w:rsidP="00E978DC">
      <w:pPr>
        <w:rPr>
          <w:rFonts w:asciiTheme="minorHAnsi" w:hAnsiTheme="minorHAnsi" w:cstheme="minorHAnsi"/>
          <w:b/>
          <w:bCs/>
          <w:color w:val="000000" w:themeColor="text1"/>
        </w:rPr>
      </w:pPr>
      <w:r w:rsidRPr="00DE5FDC">
        <w:rPr>
          <w:rFonts w:asciiTheme="minorHAnsi" w:hAnsiTheme="minorHAnsi" w:cstheme="minorHAnsi"/>
          <w:color w:val="000000" w:themeColor="text1"/>
        </w:rPr>
        <w:tab/>
      </w:r>
      <w:r w:rsidRPr="00DE5FDC">
        <w:rPr>
          <w:rFonts w:asciiTheme="minorHAnsi" w:hAnsiTheme="minorHAnsi" w:cstheme="minorHAnsi"/>
          <w:b/>
          <w:bCs/>
          <w:color w:val="000000" w:themeColor="text1"/>
        </w:rPr>
        <w:t>Regimen being used in the MDR END clinical trial:</w:t>
      </w:r>
    </w:p>
    <w:p w14:paraId="1207C7B5" w14:textId="4CFB9C79" w:rsidR="00A02D3D" w:rsidRPr="00DE5FDC" w:rsidRDefault="00A02D3D" w:rsidP="00CB2F8E">
      <w:pPr>
        <w:numPr>
          <w:ilvl w:val="0"/>
          <w:numId w:val="25"/>
        </w:numPr>
        <w:rPr>
          <w:rFonts w:asciiTheme="minorHAnsi" w:hAnsiTheme="minorHAnsi" w:cstheme="minorHAnsi"/>
          <w:color w:val="000000" w:themeColor="text1"/>
        </w:rPr>
      </w:pPr>
      <w:r w:rsidRPr="00DE5FDC">
        <w:rPr>
          <w:rFonts w:asciiTheme="minorHAnsi" w:hAnsiTheme="minorHAnsi" w:cstheme="minorHAnsi"/>
          <w:b/>
          <w:bCs/>
          <w:color w:val="000000" w:themeColor="text1"/>
        </w:rPr>
        <w:t>MDR END:</w:t>
      </w:r>
      <w:r w:rsidRPr="00DE5FDC">
        <w:rPr>
          <w:rFonts w:asciiTheme="minorHAnsi" w:hAnsiTheme="minorHAnsi" w:cstheme="minorHAnsi"/>
          <w:color w:val="000000" w:themeColor="text1"/>
        </w:rPr>
        <w:t xml:space="preserve"> Dlm-Lzd-Lfx-Z (36-52 weeks) </w:t>
      </w:r>
    </w:p>
    <w:p w14:paraId="50BC8493" w14:textId="1CA1B2A1" w:rsidR="001B40C5" w:rsidRPr="00DE5FDC" w:rsidRDefault="001B40C5" w:rsidP="00E978DC">
      <w:pPr>
        <w:ind w:left="720"/>
        <w:rPr>
          <w:rFonts w:asciiTheme="minorHAnsi" w:hAnsiTheme="minorHAnsi" w:cstheme="minorHAnsi"/>
          <w:color w:val="000000" w:themeColor="text1"/>
        </w:rPr>
      </w:pPr>
      <w:r w:rsidRPr="00DE5FDC">
        <w:rPr>
          <w:rFonts w:asciiTheme="minorHAnsi" w:hAnsiTheme="minorHAnsi" w:cstheme="minorHAnsi"/>
          <w:b/>
          <w:bCs/>
          <w:color w:val="000000" w:themeColor="text1"/>
        </w:rPr>
        <w:t>Regimens being used in the endTB clinical trial</w:t>
      </w:r>
      <w:r w:rsidR="00E978DC" w:rsidRPr="00DE5FDC">
        <w:rPr>
          <w:rFonts w:asciiTheme="minorHAnsi" w:hAnsiTheme="minorHAnsi" w:cstheme="minorHAnsi"/>
          <w:b/>
          <w:bCs/>
          <w:color w:val="000000" w:themeColor="text1"/>
        </w:rPr>
        <w:t>:</w:t>
      </w:r>
    </w:p>
    <w:p w14:paraId="3FCBDBC8" w14:textId="78A08AC6" w:rsidR="00A02D3D" w:rsidRPr="00DE5FDC" w:rsidRDefault="00A02D3D" w:rsidP="00CB2F8E">
      <w:pPr>
        <w:numPr>
          <w:ilvl w:val="0"/>
          <w:numId w:val="25"/>
        </w:numPr>
        <w:rPr>
          <w:rFonts w:asciiTheme="minorHAnsi" w:hAnsiTheme="minorHAnsi" w:cstheme="minorHAnsi"/>
          <w:color w:val="000000" w:themeColor="text1"/>
        </w:rPr>
      </w:pPr>
      <w:r w:rsidRPr="00DE5FDC">
        <w:rPr>
          <w:rFonts w:asciiTheme="minorHAnsi" w:hAnsiTheme="minorHAnsi" w:cstheme="minorHAnsi"/>
          <w:b/>
          <w:bCs/>
          <w:color w:val="000000" w:themeColor="text1"/>
        </w:rPr>
        <w:t>endTB regimen 1:</w:t>
      </w:r>
      <w:r w:rsidRPr="00DE5FDC">
        <w:rPr>
          <w:rFonts w:asciiTheme="minorHAnsi" w:hAnsiTheme="minorHAnsi" w:cstheme="minorHAnsi"/>
          <w:color w:val="000000" w:themeColor="text1"/>
        </w:rPr>
        <w:t xml:space="preserve"> Bdq-Lzd-Mfx-Z (39 weeks)</w:t>
      </w:r>
    </w:p>
    <w:p w14:paraId="0ABB4EEB" w14:textId="77777777" w:rsidR="00A02D3D" w:rsidRPr="00DE5FDC" w:rsidRDefault="00A02D3D" w:rsidP="00CB2F8E">
      <w:pPr>
        <w:numPr>
          <w:ilvl w:val="0"/>
          <w:numId w:val="25"/>
        </w:numPr>
        <w:rPr>
          <w:rFonts w:asciiTheme="minorHAnsi" w:hAnsiTheme="minorHAnsi" w:cstheme="minorHAnsi"/>
          <w:color w:val="000000" w:themeColor="text1"/>
        </w:rPr>
      </w:pPr>
      <w:r w:rsidRPr="00DE5FDC">
        <w:rPr>
          <w:rFonts w:asciiTheme="minorHAnsi" w:hAnsiTheme="minorHAnsi" w:cstheme="minorHAnsi"/>
          <w:b/>
          <w:bCs/>
          <w:color w:val="000000" w:themeColor="text1"/>
        </w:rPr>
        <w:t>endTB regimen 2:</w:t>
      </w:r>
      <w:r w:rsidRPr="00DE5FDC">
        <w:rPr>
          <w:rFonts w:asciiTheme="minorHAnsi" w:hAnsiTheme="minorHAnsi" w:cstheme="minorHAnsi"/>
          <w:color w:val="000000" w:themeColor="text1"/>
        </w:rPr>
        <w:t xml:space="preserve"> Bdq-Cfz-Lzd-Lfx-Z (39 weeks)</w:t>
      </w:r>
    </w:p>
    <w:p w14:paraId="4ECF36E1" w14:textId="6B73A734" w:rsidR="00A02D3D" w:rsidRPr="00DE5FDC" w:rsidRDefault="00A02D3D" w:rsidP="00CB2F8E">
      <w:pPr>
        <w:numPr>
          <w:ilvl w:val="0"/>
          <w:numId w:val="25"/>
        </w:numPr>
        <w:rPr>
          <w:rFonts w:asciiTheme="minorHAnsi" w:hAnsiTheme="minorHAnsi" w:cstheme="minorHAnsi"/>
          <w:color w:val="000000" w:themeColor="text1"/>
        </w:rPr>
      </w:pPr>
      <w:r w:rsidRPr="00DE5FDC">
        <w:rPr>
          <w:rFonts w:asciiTheme="minorHAnsi" w:hAnsiTheme="minorHAnsi" w:cstheme="minorHAnsi"/>
          <w:b/>
          <w:bCs/>
          <w:color w:val="000000" w:themeColor="text1"/>
        </w:rPr>
        <w:t>endTB regimen 3:</w:t>
      </w:r>
      <w:r w:rsidRPr="00DE5FDC">
        <w:rPr>
          <w:rFonts w:asciiTheme="minorHAnsi" w:hAnsiTheme="minorHAnsi" w:cstheme="minorHAnsi"/>
          <w:color w:val="000000" w:themeColor="text1"/>
        </w:rPr>
        <w:t xml:space="preserve"> Bdq-Dlm-Lzd-Lfx-Z (39 weeks)</w:t>
      </w:r>
    </w:p>
    <w:p w14:paraId="7E7947B3" w14:textId="77777777" w:rsidR="00A02D3D" w:rsidRPr="00DE5FDC" w:rsidRDefault="00A02D3D" w:rsidP="00CB2F8E">
      <w:pPr>
        <w:numPr>
          <w:ilvl w:val="0"/>
          <w:numId w:val="25"/>
        </w:numPr>
        <w:rPr>
          <w:rFonts w:asciiTheme="minorHAnsi" w:hAnsiTheme="minorHAnsi" w:cstheme="minorHAnsi"/>
          <w:color w:val="000000" w:themeColor="text1"/>
        </w:rPr>
      </w:pPr>
      <w:r w:rsidRPr="00DE5FDC">
        <w:rPr>
          <w:rFonts w:asciiTheme="minorHAnsi" w:hAnsiTheme="minorHAnsi" w:cstheme="minorHAnsi"/>
          <w:b/>
          <w:bCs/>
          <w:color w:val="000000" w:themeColor="text1"/>
        </w:rPr>
        <w:t>endTB regimen 4:</w:t>
      </w:r>
      <w:r w:rsidRPr="00DE5FDC">
        <w:rPr>
          <w:rFonts w:asciiTheme="minorHAnsi" w:hAnsiTheme="minorHAnsi" w:cstheme="minorHAnsi"/>
          <w:color w:val="000000" w:themeColor="text1"/>
        </w:rPr>
        <w:t xml:space="preserve"> Dlm-Cfz-Lzd-Lfx-Z (39 weeks)</w:t>
      </w:r>
    </w:p>
    <w:p w14:paraId="0DC0A8CC" w14:textId="0DAE62B2" w:rsidR="00A02D3D" w:rsidRDefault="00A02D3D" w:rsidP="00CB2F8E">
      <w:pPr>
        <w:numPr>
          <w:ilvl w:val="0"/>
          <w:numId w:val="25"/>
        </w:numPr>
        <w:rPr>
          <w:rFonts w:asciiTheme="minorHAnsi" w:hAnsiTheme="minorHAnsi" w:cstheme="minorHAnsi"/>
          <w:color w:val="000000" w:themeColor="text1"/>
        </w:rPr>
      </w:pPr>
      <w:r w:rsidRPr="00DE5FDC">
        <w:rPr>
          <w:rFonts w:asciiTheme="minorHAnsi" w:hAnsiTheme="minorHAnsi" w:cstheme="minorHAnsi"/>
          <w:b/>
          <w:bCs/>
          <w:color w:val="000000" w:themeColor="text1"/>
        </w:rPr>
        <w:t>endTB regimen 5:</w:t>
      </w:r>
      <w:r w:rsidRPr="00DE5FDC">
        <w:rPr>
          <w:rFonts w:asciiTheme="minorHAnsi" w:hAnsiTheme="minorHAnsi" w:cstheme="minorHAnsi"/>
          <w:color w:val="000000" w:themeColor="text1"/>
        </w:rPr>
        <w:t xml:space="preserve"> Dlm-Cfz-Mfx-Z (39 weeks)</w:t>
      </w:r>
    </w:p>
    <w:p w14:paraId="760D0706" w14:textId="52530C62" w:rsidR="0076365F" w:rsidRPr="00D60573" w:rsidRDefault="0076365F" w:rsidP="0076365F">
      <w:pPr>
        <w:ind w:left="720"/>
        <w:rPr>
          <w:rFonts w:asciiTheme="minorHAnsi" w:hAnsiTheme="minorHAnsi" w:cstheme="minorHAnsi"/>
          <w:b/>
          <w:bCs/>
          <w:color w:val="000000" w:themeColor="text1"/>
        </w:rPr>
      </w:pPr>
      <w:r w:rsidRPr="00D60573">
        <w:rPr>
          <w:rFonts w:asciiTheme="minorHAnsi" w:hAnsiTheme="minorHAnsi" w:cstheme="minorHAnsi"/>
          <w:b/>
          <w:bCs/>
          <w:color w:val="000000" w:themeColor="text1"/>
        </w:rPr>
        <w:t xml:space="preserve">Stream </w:t>
      </w:r>
      <w:r w:rsidR="00E43033">
        <w:rPr>
          <w:rFonts w:asciiTheme="minorHAnsi" w:hAnsiTheme="minorHAnsi" w:cstheme="minorHAnsi"/>
          <w:b/>
          <w:bCs/>
          <w:color w:val="000000" w:themeColor="text1"/>
        </w:rPr>
        <w:t xml:space="preserve">2 </w:t>
      </w:r>
      <w:r w:rsidRPr="00D60573">
        <w:rPr>
          <w:rFonts w:asciiTheme="minorHAnsi" w:hAnsiTheme="minorHAnsi" w:cstheme="minorHAnsi"/>
          <w:b/>
          <w:bCs/>
          <w:color w:val="000000" w:themeColor="text1"/>
        </w:rPr>
        <w:t>Tr</w:t>
      </w:r>
      <w:r w:rsidR="00D60573" w:rsidRPr="00D60573">
        <w:rPr>
          <w:rFonts w:asciiTheme="minorHAnsi" w:hAnsiTheme="minorHAnsi" w:cstheme="minorHAnsi"/>
          <w:b/>
          <w:bCs/>
          <w:color w:val="000000" w:themeColor="text1"/>
        </w:rPr>
        <w:t>ial</w:t>
      </w:r>
    </w:p>
    <w:p w14:paraId="56E74D58" w14:textId="71236E5D" w:rsidR="00D60573" w:rsidRPr="00CC1264" w:rsidRDefault="00E43033" w:rsidP="0080707A">
      <w:pPr>
        <w:numPr>
          <w:ilvl w:val="0"/>
          <w:numId w:val="25"/>
        </w:numPr>
        <w:rPr>
          <w:rFonts w:asciiTheme="minorHAnsi" w:hAnsiTheme="minorHAnsi" w:cstheme="minorHAnsi"/>
          <w:color w:val="000000" w:themeColor="text1"/>
        </w:rPr>
      </w:pPr>
      <w:r w:rsidRPr="00395962">
        <w:rPr>
          <w:rFonts w:asciiTheme="minorHAnsi" w:hAnsiTheme="minorHAnsi" w:cstheme="minorHAnsi"/>
          <w:b/>
          <w:bCs/>
          <w:color w:val="000000" w:themeColor="text1"/>
        </w:rPr>
        <w:lastRenderedPageBreak/>
        <w:t>Regimen C:</w:t>
      </w:r>
      <w:r>
        <w:rPr>
          <w:rFonts w:asciiTheme="minorHAnsi" w:hAnsiTheme="minorHAnsi" w:cstheme="minorHAnsi"/>
          <w:color w:val="000000" w:themeColor="text1"/>
        </w:rPr>
        <w:t xml:space="preserve"> </w:t>
      </w:r>
      <w:r w:rsidR="00026A42">
        <w:rPr>
          <w:rFonts w:asciiTheme="minorHAnsi" w:hAnsiTheme="minorHAnsi" w:cstheme="minorHAnsi"/>
          <w:color w:val="000000" w:themeColor="text1"/>
        </w:rPr>
        <w:t xml:space="preserve">40 weeks of </w:t>
      </w:r>
      <w:r w:rsidR="00CC1264" w:rsidRPr="00CC1264">
        <w:rPr>
          <w:rFonts w:asciiTheme="minorHAnsi" w:hAnsiTheme="minorHAnsi" w:cstheme="minorHAnsi"/>
          <w:color w:val="000000" w:themeColor="text1"/>
        </w:rPr>
        <w:t>Bdq, Cfz, E, Z, Lfx,</w:t>
      </w:r>
      <w:r w:rsidR="00026A42">
        <w:rPr>
          <w:rFonts w:asciiTheme="minorHAnsi" w:hAnsiTheme="minorHAnsi" w:cstheme="minorHAnsi"/>
          <w:color w:val="000000" w:themeColor="text1"/>
        </w:rPr>
        <w:t xml:space="preserve"> supplemented by H and Pto for the first 16 weeks</w:t>
      </w:r>
    </w:p>
    <w:p w14:paraId="33185CDF" w14:textId="402EF318" w:rsidR="00A02D3D" w:rsidRPr="00DE5FDC" w:rsidRDefault="00A02D3D" w:rsidP="00A02D3D">
      <w:pPr>
        <w:rPr>
          <w:rFonts w:asciiTheme="minorHAnsi" w:hAnsiTheme="minorHAnsi" w:cstheme="minorHAnsi"/>
          <w:color w:val="000000" w:themeColor="text1"/>
        </w:rPr>
      </w:pPr>
      <w:r w:rsidRPr="00DE5FDC">
        <w:rPr>
          <w:rFonts w:asciiTheme="minorHAnsi" w:hAnsiTheme="minorHAnsi" w:cstheme="minorHAnsi"/>
          <w:color w:val="000000" w:themeColor="text1"/>
        </w:rPr>
        <w:t xml:space="preserve">Programs do not have to use all-oral STRs that are being studied in RCTs. Examples of regimens that are not used in RCTs but are good candidates for </w:t>
      </w:r>
      <w:r w:rsidR="00BC4641" w:rsidRPr="00DE5FDC">
        <w:rPr>
          <w:rFonts w:asciiTheme="minorHAnsi" w:hAnsiTheme="minorHAnsi" w:cstheme="minorHAnsi"/>
          <w:color w:val="000000" w:themeColor="text1"/>
        </w:rPr>
        <w:t xml:space="preserve">use under </w:t>
      </w:r>
      <w:r w:rsidRPr="00DE5FDC">
        <w:rPr>
          <w:rFonts w:asciiTheme="minorHAnsi" w:hAnsiTheme="minorHAnsi" w:cstheme="minorHAnsi"/>
          <w:color w:val="000000" w:themeColor="text1"/>
        </w:rPr>
        <w:t xml:space="preserve">operational research </w:t>
      </w:r>
      <w:r w:rsidR="00BC4641" w:rsidRPr="00DE5FDC">
        <w:rPr>
          <w:rFonts w:asciiTheme="minorHAnsi" w:hAnsiTheme="minorHAnsi" w:cstheme="minorHAnsi"/>
          <w:color w:val="000000" w:themeColor="text1"/>
        </w:rPr>
        <w:t xml:space="preserve">conditions </w:t>
      </w:r>
      <w:r w:rsidRPr="00DE5FDC">
        <w:rPr>
          <w:rFonts w:asciiTheme="minorHAnsi" w:hAnsiTheme="minorHAnsi" w:cstheme="minorHAnsi"/>
          <w:color w:val="000000" w:themeColor="text1"/>
        </w:rPr>
        <w:t>are provided below:</w:t>
      </w:r>
    </w:p>
    <w:p w14:paraId="48AFAAC8" w14:textId="77777777" w:rsidR="00A02D3D" w:rsidRPr="00DE5FDC" w:rsidRDefault="00A02D3D" w:rsidP="00CB2F8E">
      <w:pPr>
        <w:numPr>
          <w:ilvl w:val="0"/>
          <w:numId w:val="25"/>
        </w:numPr>
        <w:rPr>
          <w:rFonts w:asciiTheme="minorHAnsi" w:hAnsiTheme="minorHAnsi" w:cstheme="minorHAnsi"/>
          <w:color w:val="000000" w:themeColor="text1"/>
        </w:rPr>
      </w:pPr>
      <w:r w:rsidRPr="00DE5FDC">
        <w:rPr>
          <w:rFonts w:asciiTheme="minorHAnsi" w:hAnsiTheme="minorHAnsi" w:cstheme="minorHAnsi"/>
          <w:color w:val="000000" w:themeColor="text1"/>
        </w:rPr>
        <w:t>Lfx-Bdq-Lzd-Cfz (a common all-oral LTR, which can be used as an all-oral STR under operational research conditions)</w:t>
      </w:r>
    </w:p>
    <w:p w14:paraId="16379758" w14:textId="4EE2792A" w:rsidR="00A02D3D" w:rsidRPr="00DE5FDC" w:rsidRDefault="00A02D3D" w:rsidP="00CB2F8E">
      <w:pPr>
        <w:numPr>
          <w:ilvl w:val="0"/>
          <w:numId w:val="25"/>
        </w:numPr>
        <w:rPr>
          <w:rFonts w:asciiTheme="minorHAnsi" w:hAnsiTheme="minorHAnsi" w:cstheme="minorHAnsi"/>
          <w:color w:val="000000" w:themeColor="text1"/>
        </w:rPr>
      </w:pPr>
      <w:r w:rsidRPr="00DE5FDC">
        <w:rPr>
          <w:rFonts w:asciiTheme="minorHAnsi" w:hAnsiTheme="minorHAnsi" w:cstheme="minorHAnsi"/>
          <w:color w:val="000000" w:themeColor="text1"/>
        </w:rPr>
        <w:t>Lfx-Bdq-Lzd-Cfz-Dlm (adds a fifth bactericidal drug, delamanid, to a potent and common backbone of drugs</w:t>
      </w:r>
      <w:r w:rsidR="001B40C5" w:rsidRPr="00DE5FDC">
        <w:rPr>
          <w:rFonts w:asciiTheme="minorHAnsi" w:hAnsiTheme="minorHAnsi" w:cstheme="minorHAnsi"/>
          <w:color w:val="000000" w:themeColor="text1"/>
        </w:rPr>
        <w:t>.  A disadvantage of this regimen is it has three QT prolonging drugs</w:t>
      </w:r>
      <w:r w:rsidRPr="00DE5FDC">
        <w:rPr>
          <w:rFonts w:asciiTheme="minorHAnsi" w:hAnsiTheme="minorHAnsi" w:cstheme="minorHAnsi"/>
          <w:color w:val="000000" w:themeColor="text1"/>
        </w:rPr>
        <w:t xml:space="preserve">) </w:t>
      </w:r>
    </w:p>
    <w:p w14:paraId="0441159D" w14:textId="7C9DC9BB" w:rsidR="00100CEB" w:rsidRPr="00DE5FDC" w:rsidRDefault="00134186" w:rsidP="00CB2F8E">
      <w:pPr>
        <w:numPr>
          <w:ilvl w:val="0"/>
          <w:numId w:val="25"/>
        </w:numPr>
        <w:rPr>
          <w:rFonts w:asciiTheme="minorHAnsi" w:hAnsiTheme="minorHAnsi" w:cstheme="minorHAnsi"/>
          <w:color w:val="000000" w:themeColor="text1"/>
        </w:rPr>
      </w:pPr>
      <w:r w:rsidRPr="00DE5FDC">
        <w:rPr>
          <w:rFonts w:asciiTheme="minorHAnsi" w:hAnsiTheme="minorHAnsi" w:cstheme="minorHAnsi"/>
          <w:color w:val="000000" w:themeColor="text1"/>
        </w:rPr>
        <w:t>Lfx-Bdq-Lzd-Dlm (</w:t>
      </w:r>
      <w:r w:rsidR="00100CEB" w:rsidRPr="00DE5FDC">
        <w:rPr>
          <w:rFonts w:asciiTheme="minorHAnsi" w:hAnsiTheme="minorHAnsi" w:cstheme="minorHAnsi"/>
          <w:color w:val="000000" w:themeColor="text1"/>
        </w:rPr>
        <w:t>similar to endTB regimen 3 but no pyrazinamide</w:t>
      </w:r>
      <w:r w:rsidRPr="00DE5FDC">
        <w:rPr>
          <w:rFonts w:asciiTheme="minorHAnsi" w:hAnsiTheme="minorHAnsi" w:cstheme="minorHAnsi"/>
          <w:color w:val="000000" w:themeColor="text1"/>
        </w:rPr>
        <w:t xml:space="preserve">). </w:t>
      </w:r>
    </w:p>
    <w:p w14:paraId="3D6B8F2B" w14:textId="3B6EEE82" w:rsidR="00DB3C7D" w:rsidRPr="00BA3FB4" w:rsidRDefault="00100CEB" w:rsidP="00347623">
      <w:pPr>
        <w:rPr>
          <w:rFonts w:asciiTheme="minorHAnsi" w:hAnsiTheme="minorHAnsi" w:cstheme="minorHAnsi"/>
          <w:color w:val="000000" w:themeColor="text1"/>
        </w:rPr>
      </w:pPr>
      <w:r w:rsidRPr="00BA3FB4">
        <w:rPr>
          <w:rFonts w:asciiTheme="minorHAnsi" w:hAnsiTheme="minorHAnsi" w:cstheme="minorHAnsi"/>
          <w:color w:val="000000" w:themeColor="text1"/>
        </w:rPr>
        <w:t xml:space="preserve">The authors lean against </w:t>
      </w:r>
      <w:r w:rsidR="00992F7C" w:rsidRPr="00BA3FB4">
        <w:rPr>
          <w:rFonts w:asciiTheme="minorHAnsi" w:hAnsiTheme="minorHAnsi" w:cstheme="minorHAnsi"/>
          <w:color w:val="000000" w:themeColor="text1"/>
        </w:rPr>
        <w:t xml:space="preserve">regimens </w:t>
      </w:r>
      <w:r w:rsidR="00E978DC">
        <w:rPr>
          <w:rFonts w:asciiTheme="minorHAnsi" w:hAnsiTheme="minorHAnsi" w:cstheme="minorHAnsi"/>
          <w:color w:val="000000" w:themeColor="text1"/>
        </w:rPr>
        <w:t>that</w:t>
      </w:r>
      <w:r w:rsidR="00992F7C" w:rsidRPr="00BA3FB4">
        <w:rPr>
          <w:rFonts w:asciiTheme="minorHAnsi" w:hAnsiTheme="minorHAnsi" w:cstheme="minorHAnsi"/>
          <w:color w:val="000000" w:themeColor="text1"/>
        </w:rPr>
        <w:t xml:space="preserve"> use more than 5 drugs, or if </w:t>
      </w:r>
      <w:r w:rsidR="001B40C5" w:rsidRPr="00BA3FB4">
        <w:rPr>
          <w:rFonts w:asciiTheme="minorHAnsi" w:hAnsiTheme="minorHAnsi" w:cstheme="minorHAnsi"/>
          <w:color w:val="000000" w:themeColor="text1"/>
        </w:rPr>
        <w:t>multiple</w:t>
      </w:r>
      <w:r w:rsidRPr="00BA3FB4">
        <w:rPr>
          <w:rFonts w:asciiTheme="minorHAnsi" w:hAnsiTheme="minorHAnsi" w:cstheme="minorHAnsi"/>
          <w:color w:val="000000" w:themeColor="text1"/>
        </w:rPr>
        <w:t xml:space="preserve"> drugs </w:t>
      </w:r>
      <w:r w:rsidR="00766296" w:rsidRPr="00BA3FB4">
        <w:rPr>
          <w:rFonts w:asciiTheme="minorHAnsi" w:hAnsiTheme="minorHAnsi" w:cstheme="minorHAnsi"/>
          <w:color w:val="000000" w:themeColor="text1"/>
        </w:rPr>
        <w:t>used in the regimen</w:t>
      </w:r>
      <w:r w:rsidRPr="00BA3FB4">
        <w:rPr>
          <w:rFonts w:asciiTheme="minorHAnsi" w:hAnsiTheme="minorHAnsi" w:cstheme="minorHAnsi"/>
          <w:color w:val="000000" w:themeColor="text1"/>
        </w:rPr>
        <w:t xml:space="preserve"> </w:t>
      </w:r>
      <w:r w:rsidR="00992F7C" w:rsidRPr="00BA3FB4">
        <w:rPr>
          <w:rFonts w:asciiTheme="minorHAnsi" w:hAnsiTheme="minorHAnsi" w:cstheme="minorHAnsi"/>
          <w:color w:val="000000" w:themeColor="text1"/>
        </w:rPr>
        <w:t xml:space="preserve">are </w:t>
      </w:r>
      <w:r w:rsidRPr="00BA3FB4">
        <w:rPr>
          <w:rFonts w:asciiTheme="minorHAnsi" w:hAnsiTheme="minorHAnsi" w:cstheme="minorHAnsi"/>
          <w:color w:val="000000" w:themeColor="text1"/>
        </w:rPr>
        <w:t>commonly resistant in strains of MDR-TB (i.e. ethambutol</w:t>
      </w:r>
      <w:r w:rsidR="00766296" w:rsidRPr="00BA3FB4">
        <w:rPr>
          <w:rFonts w:asciiTheme="minorHAnsi" w:hAnsiTheme="minorHAnsi" w:cstheme="minorHAnsi"/>
          <w:color w:val="000000" w:themeColor="text1"/>
        </w:rPr>
        <w:t>, pyrazinamide</w:t>
      </w:r>
      <w:r w:rsidRPr="00BA3FB4">
        <w:rPr>
          <w:rFonts w:asciiTheme="minorHAnsi" w:hAnsiTheme="minorHAnsi" w:cstheme="minorHAnsi"/>
          <w:color w:val="000000" w:themeColor="text1"/>
        </w:rPr>
        <w:t xml:space="preserve"> and isoniazid)</w:t>
      </w:r>
      <w:r w:rsidR="001B40C5" w:rsidRPr="00BA3FB4">
        <w:rPr>
          <w:rFonts w:asciiTheme="minorHAnsi" w:hAnsiTheme="minorHAnsi" w:cstheme="minorHAnsi"/>
          <w:color w:val="000000" w:themeColor="text1"/>
        </w:rPr>
        <w:t xml:space="preserve">. The authors also recommend avoiding drugs in STRs that are </w:t>
      </w:r>
      <w:r w:rsidR="00992F7C" w:rsidRPr="00BA3FB4">
        <w:rPr>
          <w:rFonts w:asciiTheme="minorHAnsi" w:hAnsiTheme="minorHAnsi" w:cstheme="minorHAnsi"/>
          <w:color w:val="000000" w:themeColor="text1"/>
        </w:rPr>
        <w:t>poorly</w:t>
      </w:r>
      <w:r w:rsidRPr="00BA3FB4">
        <w:rPr>
          <w:rFonts w:asciiTheme="minorHAnsi" w:hAnsiTheme="minorHAnsi" w:cstheme="minorHAnsi"/>
          <w:color w:val="000000" w:themeColor="text1"/>
        </w:rPr>
        <w:t xml:space="preserve"> tolerated (i.e. prothionamide</w:t>
      </w:r>
      <w:r w:rsidR="001B40C5" w:rsidRPr="00BA3FB4">
        <w:rPr>
          <w:rFonts w:asciiTheme="minorHAnsi" w:hAnsiTheme="minorHAnsi" w:cstheme="minorHAnsi"/>
          <w:color w:val="000000" w:themeColor="text1"/>
        </w:rPr>
        <w:t>, cycloserine and injectables</w:t>
      </w:r>
      <w:r w:rsidRPr="00BA3FB4">
        <w:rPr>
          <w:rFonts w:asciiTheme="minorHAnsi" w:hAnsiTheme="minorHAnsi" w:cstheme="minorHAnsi"/>
          <w:color w:val="000000" w:themeColor="text1"/>
        </w:rPr>
        <w:t xml:space="preserve">).  </w:t>
      </w:r>
      <w:r w:rsidR="00CD7247">
        <w:rPr>
          <w:rFonts w:asciiTheme="minorHAnsi" w:hAnsiTheme="minorHAnsi" w:cstheme="minorHAnsi"/>
          <w:color w:val="000000" w:themeColor="text1"/>
        </w:rPr>
        <w:t>T</w:t>
      </w:r>
      <w:r w:rsidR="001B40C5" w:rsidRPr="00BA3FB4">
        <w:rPr>
          <w:rFonts w:asciiTheme="minorHAnsi" w:hAnsiTheme="minorHAnsi" w:cstheme="minorHAnsi"/>
          <w:color w:val="000000" w:themeColor="text1"/>
        </w:rPr>
        <w:t xml:space="preserve">he authors </w:t>
      </w:r>
      <w:r w:rsidR="00E978DC">
        <w:rPr>
          <w:rFonts w:asciiTheme="minorHAnsi" w:hAnsiTheme="minorHAnsi" w:cstheme="minorHAnsi"/>
          <w:color w:val="000000" w:themeColor="text1"/>
        </w:rPr>
        <w:t xml:space="preserve">of this guide </w:t>
      </w:r>
      <w:r w:rsidR="001B40C5" w:rsidRPr="00BA3FB4">
        <w:rPr>
          <w:rFonts w:asciiTheme="minorHAnsi" w:hAnsiTheme="minorHAnsi" w:cstheme="minorHAnsi"/>
          <w:color w:val="000000" w:themeColor="text1"/>
        </w:rPr>
        <w:t>strongly recommend against using</w:t>
      </w:r>
      <w:r w:rsidR="00992F7C" w:rsidRPr="00BA3FB4">
        <w:rPr>
          <w:rFonts w:asciiTheme="minorHAnsi" w:hAnsiTheme="minorHAnsi" w:cstheme="minorHAnsi"/>
          <w:color w:val="000000" w:themeColor="text1"/>
        </w:rPr>
        <w:t xml:space="preserve"> injectable</w:t>
      </w:r>
      <w:r w:rsidR="001B40C5" w:rsidRPr="00BA3FB4">
        <w:rPr>
          <w:rFonts w:asciiTheme="minorHAnsi" w:hAnsiTheme="minorHAnsi" w:cstheme="minorHAnsi"/>
          <w:color w:val="000000" w:themeColor="text1"/>
        </w:rPr>
        <w:t>s</w:t>
      </w:r>
      <w:r w:rsidR="00992F7C" w:rsidRPr="00BA3FB4">
        <w:rPr>
          <w:rFonts w:asciiTheme="minorHAnsi" w:hAnsiTheme="minorHAnsi" w:cstheme="minorHAnsi"/>
          <w:color w:val="000000" w:themeColor="text1"/>
        </w:rPr>
        <w:t xml:space="preserve"> </w:t>
      </w:r>
      <w:r w:rsidR="001B40C5" w:rsidRPr="00BA3FB4">
        <w:rPr>
          <w:rFonts w:asciiTheme="minorHAnsi" w:hAnsiTheme="minorHAnsi" w:cstheme="minorHAnsi"/>
          <w:color w:val="000000" w:themeColor="text1"/>
        </w:rPr>
        <w:t>in</w:t>
      </w:r>
      <w:r w:rsidR="00E978DC">
        <w:rPr>
          <w:rFonts w:asciiTheme="minorHAnsi" w:hAnsiTheme="minorHAnsi" w:cstheme="minorHAnsi"/>
          <w:color w:val="000000" w:themeColor="text1"/>
        </w:rPr>
        <w:t xml:space="preserve"> STRs that treat</w:t>
      </w:r>
      <w:r w:rsidR="001B40C5" w:rsidRPr="00BA3FB4">
        <w:rPr>
          <w:rFonts w:asciiTheme="minorHAnsi" w:hAnsiTheme="minorHAnsi" w:cstheme="minorHAnsi"/>
          <w:color w:val="000000" w:themeColor="text1"/>
        </w:rPr>
        <w:t xml:space="preserve"> </w:t>
      </w:r>
      <w:r w:rsidR="006F42D0" w:rsidRPr="00BA3FB4">
        <w:rPr>
          <w:rFonts w:asciiTheme="minorHAnsi" w:hAnsiTheme="minorHAnsi" w:cstheme="minorHAnsi"/>
          <w:color w:val="000000" w:themeColor="text1"/>
        </w:rPr>
        <w:t>FQ-susceptible MDR-T</w:t>
      </w:r>
      <w:r w:rsidR="00CD7247">
        <w:rPr>
          <w:rFonts w:asciiTheme="minorHAnsi" w:hAnsiTheme="minorHAnsi" w:cstheme="minorHAnsi"/>
          <w:color w:val="000000" w:themeColor="text1"/>
        </w:rPr>
        <w:t>B.</w:t>
      </w:r>
    </w:p>
    <w:p w14:paraId="7AFF71EC" w14:textId="5EC3ACBA" w:rsidR="001F1E9B" w:rsidRPr="00003170" w:rsidRDefault="001C6D1E" w:rsidP="00003170">
      <w:pPr>
        <w:pStyle w:val="Heading2"/>
      </w:pPr>
      <w:bookmarkStart w:id="97" w:name="_Toc12792955"/>
      <w:bookmarkStart w:id="98" w:name="_Toc12952366"/>
      <w:bookmarkStart w:id="99" w:name="_Toc13486715"/>
      <w:r w:rsidRPr="00003170">
        <w:t>C</w:t>
      </w:r>
      <w:r w:rsidR="003A15C8" w:rsidRPr="00003170">
        <w:t xml:space="preserve">hoosing </w:t>
      </w:r>
      <w:bookmarkEnd w:id="85"/>
      <w:r w:rsidR="00191D6B" w:rsidRPr="00003170">
        <w:t>an all-oral STR based on the epidemiological and programmatic conditions of the country</w:t>
      </w:r>
      <w:bookmarkEnd w:id="97"/>
      <w:bookmarkEnd w:id="98"/>
      <w:bookmarkEnd w:id="99"/>
    </w:p>
    <w:p w14:paraId="34C251D7" w14:textId="6FEE2014" w:rsidR="001F1E9B" w:rsidRPr="00DE5FDC" w:rsidRDefault="003A15C8" w:rsidP="0513D106">
      <w:pPr>
        <w:rPr>
          <w:rFonts w:asciiTheme="minorHAnsi" w:hAnsiTheme="minorHAnsi" w:cstheme="minorHAnsi"/>
          <w:bCs/>
          <w:color w:val="000000" w:themeColor="text1"/>
        </w:rPr>
      </w:pPr>
      <w:r w:rsidRPr="00DE5FDC">
        <w:rPr>
          <w:rFonts w:asciiTheme="minorHAnsi" w:hAnsiTheme="minorHAnsi" w:cstheme="minorHAnsi"/>
          <w:bCs/>
          <w:color w:val="000000" w:themeColor="text1"/>
        </w:rPr>
        <w:t>There are a number of f</w:t>
      </w:r>
      <w:r w:rsidR="0513D106" w:rsidRPr="00DE5FDC">
        <w:rPr>
          <w:rFonts w:asciiTheme="minorHAnsi" w:hAnsiTheme="minorHAnsi" w:cstheme="minorHAnsi"/>
          <w:bCs/>
          <w:color w:val="000000" w:themeColor="text1"/>
        </w:rPr>
        <w:t xml:space="preserve">actors to be taken in consideration when deciding </w:t>
      </w:r>
      <w:r w:rsidRPr="00DE5FDC">
        <w:rPr>
          <w:rFonts w:asciiTheme="minorHAnsi" w:hAnsiTheme="minorHAnsi" w:cstheme="minorHAnsi"/>
          <w:bCs/>
          <w:color w:val="000000" w:themeColor="text1"/>
        </w:rPr>
        <w:t xml:space="preserve">the </w:t>
      </w:r>
      <w:r w:rsidR="009D686B" w:rsidRPr="00DE5FDC">
        <w:rPr>
          <w:rFonts w:asciiTheme="minorHAnsi" w:hAnsiTheme="minorHAnsi" w:cstheme="minorHAnsi"/>
          <w:bCs/>
          <w:color w:val="000000" w:themeColor="text1"/>
        </w:rPr>
        <w:t xml:space="preserve">final </w:t>
      </w:r>
      <w:r w:rsidRPr="00DE5FDC">
        <w:rPr>
          <w:rFonts w:asciiTheme="minorHAnsi" w:hAnsiTheme="minorHAnsi" w:cstheme="minorHAnsi"/>
          <w:bCs/>
          <w:color w:val="000000" w:themeColor="text1"/>
        </w:rPr>
        <w:t xml:space="preserve">composition of </w:t>
      </w:r>
      <w:r w:rsidR="009D686B" w:rsidRPr="00DE5FDC">
        <w:rPr>
          <w:rFonts w:asciiTheme="minorHAnsi" w:hAnsiTheme="minorHAnsi" w:cstheme="minorHAnsi"/>
          <w:bCs/>
          <w:color w:val="000000" w:themeColor="text1"/>
        </w:rPr>
        <w:t xml:space="preserve">an </w:t>
      </w:r>
      <w:r w:rsidRPr="00DE5FDC">
        <w:rPr>
          <w:rFonts w:asciiTheme="minorHAnsi" w:hAnsiTheme="minorHAnsi" w:cstheme="minorHAnsi"/>
          <w:bCs/>
          <w:color w:val="000000" w:themeColor="text1"/>
        </w:rPr>
        <w:t>all-oral STR</w:t>
      </w:r>
      <w:r w:rsidR="0513D106" w:rsidRPr="00DE5FDC">
        <w:rPr>
          <w:rFonts w:asciiTheme="minorHAnsi" w:hAnsiTheme="minorHAnsi" w:cstheme="minorHAnsi"/>
          <w:bCs/>
          <w:color w:val="000000" w:themeColor="text1"/>
        </w:rPr>
        <w:t>:</w:t>
      </w:r>
    </w:p>
    <w:p w14:paraId="6D09AEA4" w14:textId="422B6945" w:rsidR="0028721F" w:rsidRPr="00DE5FDC" w:rsidRDefault="00686393" w:rsidP="00686393">
      <w:pPr>
        <w:pStyle w:val="ListBullet"/>
        <w:rPr>
          <w:rFonts w:asciiTheme="minorHAnsi" w:hAnsiTheme="minorHAnsi" w:cstheme="minorHAnsi"/>
          <w:bCs/>
          <w:color w:val="000000" w:themeColor="text1"/>
        </w:rPr>
      </w:pPr>
      <w:r w:rsidRPr="00DE5FDC">
        <w:rPr>
          <w:rFonts w:asciiTheme="minorHAnsi" w:hAnsiTheme="minorHAnsi" w:cstheme="minorHAnsi"/>
          <w:bCs/>
          <w:color w:val="000000" w:themeColor="text1"/>
        </w:rPr>
        <w:t>There</w:t>
      </w:r>
      <w:r w:rsidR="003A15C8" w:rsidRPr="00DE5FDC">
        <w:rPr>
          <w:rFonts w:asciiTheme="minorHAnsi" w:hAnsiTheme="minorHAnsi" w:cstheme="minorHAnsi"/>
          <w:bCs/>
          <w:color w:val="000000" w:themeColor="text1"/>
        </w:rPr>
        <w:t xml:space="preserve"> </w:t>
      </w:r>
      <w:r w:rsidR="00FD7A86" w:rsidRPr="00DE5FDC">
        <w:rPr>
          <w:rFonts w:asciiTheme="minorHAnsi" w:hAnsiTheme="minorHAnsi" w:cstheme="minorHAnsi"/>
          <w:bCs/>
          <w:color w:val="000000" w:themeColor="text1"/>
        </w:rPr>
        <w:t xml:space="preserve">is </w:t>
      </w:r>
      <w:r w:rsidR="003A15C8" w:rsidRPr="00DE5FDC">
        <w:rPr>
          <w:rFonts w:asciiTheme="minorHAnsi" w:hAnsiTheme="minorHAnsi" w:cstheme="minorHAnsi"/>
          <w:bCs/>
          <w:color w:val="000000" w:themeColor="text1"/>
        </w:rPr>
        <w:t>extensive safety and efficacy data on the FQs.  All-oral STRs designed to treat FQ-susceptible MDR-TB</w:t>
      </w:r>
      <w:r w:rsidR="0094693A">
        <w:rPr>
          <w:rFonts w:asciiTheme="minorHAnsi" w:hAnsiTheme="minorHAnsi" w:cstheme="minorHAnsi"/>
          <w:bCs/>
          <w:color w:val="000000" w:themeColor="text1"/>
        </w:rPr>
        <w:t xml:space="preserve"> and</w:t>
      </w:r>
      <w:r w:rsidR="003A15C8" w:rsidRPr="00DE5FDC">
        <w:rPr>
          <w:rFonts w:asciiTheme="minorHAnsi" w:hAnsiTheme="minorHAnsi" w:cstheme="minorHAnsi"/>
          <w:bCs/>
          <w:color w:val="000000" w:themeColor="text1"/>
        </w:rPr>
        <w:t xml:space="preserve"> </w:t>
      </w:r>
      <w:r w:rsidR="0028721F" w:rsidRPr="00DE5FDC">
        <w:rPr>
          <w:rFonts w:asciiTheme="minorHAnsi" w:hAnsiTheme="minorHAnsi" w:cstheme="minorHAnsi"/>
          <w:bCs/>
          <w:color w:val="000000" w:themeColor="text1"/>
        </w:rPr>
        <w:t xml:space="preserve">contain an FQ as one of the backbone drugs. </w:t>
      </w:r>
    </w:p>
    <w:p w14:paraId="65A10D75" w14:textId="56AB4269" w:rsidR="0028721F" w:rsidRPr="00DE5FDC" w:rsidRDefault="0028721F" w:rsidP="00686393">
      <w:pPr>
        <w:pStyle w:val="ListBullet"/>
        <w:rPr>
          <w:rFonts w:asciiTheme="minorHAnsi" w:hAnsiTheme="minorHAnsi" w:cstheme="minorHAnsi"/>
          <w:bCs/>
          <w:color w:val="000000" w:themeColor="text1"/>
        </w:rPr>
      </w:pPr>
      <w:r w:rsidRPr="00DE5FDC">
        <w:rPr>
          <w:rFonts w:asciiTheme="minorHAnsi" w:hAnsiTheme="minorHAnsi" w:cstheme="minorHAnsi"/>
          <w:bCs/>
          <w:color w:val="000000" w:themeColor="text1"/>
        </w:rPr>
        <w:t>There</w:t>
      </w:r>
      <w:r w:rsidR="00686393" w:rsidRPr="00DE5FDC">
        <w:rPr>
          <w:rFonts w:asciiTheme="minorHAnsi" w:hAnsiTheme="minorHAnsi" w:cstheme="minorHAnsi"/>
          <w:bCs/>
          <w:color w:val="000000" w:themeColor="text1"/>
        </w:rPr>
        <w:t xml:space="preserve"> is </w:t>
      </w:r>
      <w:r w:rsidRPr="00DE5FDC">
        <w:rPr>
          <w:rFonts w:asciiTheme="minorHAnsi" w:hAnsiTheme="minorHAnsi" w:cstheme="minorHAnsi"/>
          <w:bCs/>
          <w:color w:val="000000" w:themeColor="text1"/>
        </w:rPr>
        <w:t xml:space="preserve">an expanding knowledge base on the </w:t>
      </w:r>
      <w:r w:rsidR="00686393" w:rsidRPr="00DE5FDC">
        <w:rPr>
          <w:rFonts w:asciiTheme="minorHAnsi" w:hAnsiTheme="minorHAnsi" w:cstheme="minorHAnsi"/>
          <w:bCs/>
          <w:color w:val="000000" w:themeColor="text1"/>
        </w:rPr>
        <w:t>use of bedaquiline</w:t>
      </w:r>
      <w:r w:rsidR="00686393" w:rsidRPr="00DE5FDC">
        <w:rPr>
          <w:rStyle w:val="FootnoteReference"/>
          <w:rFonts w:asciiTheme="minorHAnsi" w:hAnsiTheme="minorHAnsi" w:cstheme="minorHAnsi"/>
          <w:bCs/>
          <w:color w:val="000000" w:themeColor="text1"/>
          <w:sz w:val="22"/>
        </w:rPr>
        <w:footnoteReference w:id="20"/>
      </w:r>
      <w:r w:rsidR="00686393" w:rsidRPr="00DE5FDC">
        <w:rPr>
          <w:rFonts w:asciiTheme="minorHAnsi" w:hAnsiTheme="minorHAnsi" w:cstheme="minorHAnsi"/>
          <w:bCs/>
          <w:color w:val="000000" w:themeColor="text1"/>
          <w:vertAlign w:val="superscript"/>
        </w:rPr>
        <w:t>,</w:t>
      </w:r>
      <w:r w:rsidR="00686393" w:rsidRPr="00DE5FDC">
        <w:rPr>
          <w:rStyle w:val="FootnoteReference"/>
          <w:rFonts w:asciiTheme="minorHAnsi" w:hAnsiTheme="minorHAnsi" w:cstheme="minorHAnsi"/>
          <w:bCs/>
          <w:color w:val="000000" w:themeColor="text1"/>
          <w:sz w:val="22"/>
        </w:rPr>
        <w:footnoteReference w:id="21"/>
      </w:r>
      <w:r w:rsidR="00686393" w:rsidRPr="00DE5FDC">
        <w:rPr>
          <w:rFonts w:asciiTheme="minorHAnsi" w:hAnsiTheme="minorHAnsi" w:cstheme="minorHAnsi"/>
          <w:bCs/>
          <w:color w:val="000000" w:themeColor="text1"/>
          <w:vertAlign w:val="superscript"/>
        </w:rPr>
        <w:t>,</w:t>
      </w:r>
      <w:r w:rsidR="00686393" w:rsidRPr="00DE5FDC">
        <w:rPr>
          <w:rStyle w:val="FootnoteReference"/>
          <w:rFonts w:asciiTheme="minorHAnsi" w:hAnsiTheme="minorHAnsi" w:cstheme="minorHAnsi"/>
          <w:bCs/>
          <w:color w:val="000000" w:themeColor="text1"/>
          <w:sz w:val="22"/>
        </w:rPr>
        <w:footnoteReference w:id="22"/>
      </w:r>
      <w:r w:rsidR="00686393" w:rsidRPr="00DE5FDC">
        <w:rPr>
          <w:rFonts w:asciiTheme="minorHAnsi" w:hAnsiTheme="minorHAnsi" w:cstheme="minorHAnsi"/>
          <w:bCs/>
          <w:color w:val="000000" w:themeColor="text1"/>
          <w:vertAlign w:val="superscript"/>
        </w:rPr>
        <w:t>,</w:t>
      </w:r>
      <w:r w:rsidR="00686393" w:rsidRPr="00DE5FDC">
        <w:rPr>
          <w:rStyle w:val="FootnoteReference"/>
          <w:rFonts w:asciiTheme="minorHAnsi" w:hAnsiTheme="minorHAnsi" w:cstheme="minorHAnsi"/>
          <w:bCs/>
          <w:color w:val="000000" w:themeColor="text1"/>
          <w:sz w:val="22"/>
        </w:rPr>
        <w:footnoteReference w:id="23"/>
      </w:r>
      <w:r w:rsidR="00686393" w:rsidRPr="00DE5FDC">
        <w:rPr>
          <w:rFonts w:asciiTheme="minorHAnsi" w:hAnsiTheme="minorHAnsi" w:cstheme="minorHAnsi"/>
          <w:bCs/>
          <w:color w:val="000000" w:themeColor="text1"/>
        </w:rPr>
        <w:t xml:space="preserve"> in the treatment of</w:t>
      </w:r>
      <w:r w:rsidR="003A15C8" w:rsidRPr="00DE5FDC">
        <w:rPr>
          <w:rFonts w:asciiTheme="minorHAnsi" w:hAnsiTheme="minorHAnsi" w:cstheme="minorHAnsi"/>
          <w:bCs/>
          <w:color w:val="000000" w:themeColor="text1"/>
        </w:rPr>
        <w:t xml:space="preserve"> </w:t>
      </w:r>
      <w:r w:rsidRPr="00DE5FDC">
        <w:rPr>
          <w:rFonts w:asciiTheme="minorHAnsi" w:hAnsiTheme="minorHAnsi" w:cstheme="minorHAnsi"/>
          <w:bCs/>
          <w:color w:val="000000" w:themeColor="text1"/>
        </w:rPr>
        <w:t xml:space="preserve">MDR-TB.  The drug </w:t>
      </w:r>
      <w:r w:rsidR="00643951" w:rsidRPr="00DE5FDC">
        <w:rPr>
          <w:rFonts w:asciiTheme="minorHAnsi" w:hAnsiTheme="minorHAnsi" w:cstheme="minorHAnsi"/>
          <w:bCs/>
          <w:color w:val="000000" w:themeColor="text1"/>
        </w:rPr>
        <w:t>performed</w:t>
      </w:r>
      <w:r w:rsidRPr="00DE5FDC">
        <w:rPr>
          <w:rFonts w:asciiTheme="minorHAnsi" w:hAnsiTheme="minorHAnsi" w:cstheme="minorHAnsi"/>
          <w:bCs/>
          <w:color w:val="000000" w:themeColor="text1"/>
        </w:rPr>
        <w:t xml:space="preserve"> very well in the WHO sponsored individual patient database (IPD) meta-analysis.  However, bedaquiline has not completed </w:t>
      </w:r>
      <w:r w:rsidR="00FC395D" w:rsidRPr="00DE5FDC">
        <w:rPr>
          <w:rFonts w:asciiTheme="minorHAnsi" w:hAnsiTheme="minorHAnsi" w:cstheme="minorHAnsi"/>
          <w:bCs/>
          <w:color w:val="000000" w:themeColor="text1"/>
        </w:rPr>
        <w:t>a P</w:t>
      </w:r>
      <w:r w:rsidRPr="00DE5FDC">
        <w:rPr>
          <w:rFonts w:asciiTheme="minorHAnsi" w:hAnsiTheme="minorHAnsi" w:cstheme="minorHAnsi"/>
          <w:bCs/>
          <w:color w:val="000000" w:themeColor="text1"/>
        </w:rPr>
        <w:t xml:space="preserve">hase III clinical trial. Bedaquiline prolongs the QT interval and can elevate liver enzymes. It is not mandatory that all-oral </w:t>
      </w:r>
      <w:r w:rsidR="00643951" w:rsidRPr="00DE5FDC">
        <w:rPr>
          <w:rFonts w:asciiTheme="minorHAnsi" w:hAnsiTheme="minorHAnsi" w:cstheme="minorHAnsi"/>
          <w:bCs/>
          <w:color w:val="000000" w:themeColor="text1"/>
        </w:rPr>
        <w:t>STR</w:t>
      </w:r>
      <w:r w:rsidRPr="00DE5FDC">
        <w:rPr>
          <w:rFonts w:asciiTheme="minorHAnsi" w:hAnsiTheme="minorHAnsi" w:cstheme="minorHAnsi"/>
          <w:bCs/>
          <w:color w:val="000000" w:themeColor="text1"/>
        </w:rPr>
        <w:t xml:space="preserve">s always contain bedaquiline but it a common choice and may be the </w:t>
      </w:r>
      <w:r w:rsidR="00E83F86" w:rsidRPr="00DE5FDC">
        <w:rPr>
          <w:rFonts w:asciiTheme="minorHAnsi" w:hAnsiTheme="minorHAnsi" w:cstheme="minorHAnsi"/>
          <w:bCs/>
          <w:color w:val="000000" w:themeColor="text1"/>
        </w:rPr>
        <w:t>second-best</w:t>
      </w:r>
      <w:r w:rsidRPr="00DE5FDC">
        <w:rPr>
          <w:rFonts w:asciiTheme="minorHAnsi" w:hAnsiTheme="minorHAnsi" w:cstheme="minorHAnsi"/>
          <w:bCs/>
          <w:color w:val="000000" w:themeColor="text1"/>
        </w:rPr>
        <w:t xml:space="preserve"> option of a second-line TB drug after the FQs. </w:t>
      </w:r>
    </w:p>
    <w:p w14:paraId="5560456A" w14:textId="1A9EEED8" w:rsidR="0028721F" w:rsidRPr="00DE5FDC" w:rsidRDefault="0028721F" w:rsidP="00686393">
      <w:pPr>
        <w:pStyle w:val="ListBullet"/>
        <w:rPr>
          <w:rFonts w:asciiTheme="minorHAnsi" w:hAnsiTheme="minorHAnsi" w:cstheme="minorHAnsi"/>
          <w:bCs/>
          <w:color w:val="000000" w:themeColor="text1"/>
        </w:rPr>
      </w:pPr>
      <w:r w:rsidRPr="00DE5FDC">
        <w:rPr>
          <w:rFonts w:asciiTheme="minorHAnsi" w:hAnsiTheme="minorHAnsi" w:cstheme="minorHAnsi"/>
          <w:bCs/>
          <w:color w:val="000000" w:themeColor="text1"/>
        </w:rPr>
        <w:t xml:space="preserve">Linezolid </w:t>
      </w:r>
      <w:r w:rsidR="009D686B" w:rsidRPr="00DE5FDC">
        <w:rPr>
          <w:rFonts w:asciiTheme="minorHAnsi" w:hAnsiTheme="minorHAnsi" w:cstheme="minorHAnsi"/>
          <w:bCs/>
          <w:color w:val="000000" w:themeColor="text1"/>
        </w:rPr>
        <w:t>performed</w:t>
      </w:r>
      <w:r w:rsidRPr="00DE5FDC">
        <w:rPr>
          <w:rFonts w:asciiTheme="minorHAnsi" w:hAnsiTheme="minorHAnsi" w:cstheme="minorHAnsi"/>
          <w:bCs/>
          <w:color w:val="000000" w:themeColor="text1"/>
        </w:rPr>
        <w:t xml:space="preserve"> very well in the WHO sponsored IPD meta-analysis but has a poor safety profile.  It should not be used in programs that cannot guarantee regular monitoring for full blood counts, optic neuritis, and peripheral neuropathy. </w:t>
      </w:r>
    </w:p>
    <w:p w14:paraId="755C75D0" w14:textId="68AE0B37" w:rsidR="001F1E9B" w:rsidRPr="00DE5FDC" w:rsidRDefault="00D603EF" w:rsidP="0028721F">
      <w:pPr>
        <w:pStyle w:val="ListBullet"/>
        <w:rPr>
          <w:rFonts w:asciiTheme="minorHAnsi" w:hAnsiTheme="minorHAnsi" w:cstheme="minorHAnsi"/>
          <w:bCs/>
          <w:color w:val="000000" w:themeColor="text1"/>
        </w:rPr>
      </w:pPr>
      <w:r w:rsidRPr="00DE5FDC">
        <w:rPr>
          <w:rFonts w:asciiTheme="minorHAnsi" w:hAnsiTheme="minorHAnsi" w:cstheme="minorHAnsi"/>
          <w:bCs/>
          <w:color w:val="000000" w:themeColor="text1"/>
        </w:rPr>
        <w:lastRenderedPageBreak/>
        <w:t>Delamanid</w:t>
      </w:r>
      <w:r w:rsidR="003A15C8" w:rsidRPr="00DE5FDC">
        <w:rPr>
          <w:rFonts w:asciiTheme="minorHAnsi" w:hAnsiTheme="minorHAnsi" w:cstheme="minorHAnsi"/>
          <w:bCs/>
          <w:color w:val="000000" w:themeColor="text1"/>
        </w:rPr>
        <w:t xml:space="preserve"> has an</w:t>
      </w:r>
      <w:r w:rsidR="00686393" w:rsidRPr="00DE5FDC">
        <w:rPr>
          <w:rFonts w:asciiTheme="minorHAnsi" w:hAnsiTheme="minorHAnsi" w:cstheme="minorHAnsi"/>
          <w:bCs/>
          <w:color w:val="000000" w:themeColor="text1"/>
        </w:rPr>
        <w:t xml:space="preserve"> excellent </w:t>
      </w:r>
      <w:r w:rsidRPr="00DE5FDC">
        <w:rPr>
          <w:rFonts w:asciiTheme="minorHAnsi" w:hAnsiTheme="minorHAnsi" w:cstheme="minorHAnsi"/>
          <w:bCs/>
          <w:color w:val="000000" w:themeColor="text1"/>
        </w:rPr>
        <w:t>safety profile</w:t>
      </w:r>
      <w:r w:rsidR="0028721F" w:rsidRPr="00DE5FDC">
        <w:rPr>
          <w:rFonts w:asciiTheme="minorHAnsi" w:hAnsiTheme="minorHAnsi" w:cstheme="minorHAnsi"/>
          <w:bCs/>
          <w:color w:val="000000" w:themeColor="text1"/>
        </w:rPr>
        <w:t>,</w:t>
      </w:r>
      <w:r w:rsidR="00686393" w:rsidRPr="00DE5FDC">
        <w:rPr>
          <w:rFonts w:asciiTheme="minorHAnsi" w:hAnsiTheme="minorHAnsi" w:cstheme="minorHAnsi"/>
          <w:bCs/>
          <w:color w:val="000000" w:themeColor="text1"/>
        </w:rPr>
        <w:t xml:space="preserve"> </w:t>
      </w:r>
      <w:r w:rsidR="003A15C8" w:rsidRPr="00DE5FDC">
        <w:rPr>
          <w:rFonts w:asciiTheme="minorHAnsi" w:hAnsiTheme="minorHAnsi" w:cstheme="minorHAnsi"/>
          <w:bCs/>
          <w:color w:val="000000" w:themeColor="text1"/>
        </w:rPr>
        <w:t>which was</w:t>
      </w:r>
      <w:r w:rsidR="00617842" w:rsidRPr="00DE5FDC">
        <w:rPr>
          <w:rFonts w:asciiTheme="minorHAnsi" w:hAnsiTheme="minorHAnsi" w:cstheme="minorHAnsi"/>
          <w:bCs/>
          <w:color w:val="000000" w:themeColor="text1"/>
        </w:rPr>
        <w:t xml:space="preserve"> confirmed in </w:t>
      </w:r>
      <w:r w:rsidR="00E83F86" w:rsidRPr="00DE5FDC">
        <w:rPr>
          <w:rFonts w:asciiTheme="minorHAnsi" w:hAnsiTheme="minorHAnsi" w:cstheme="minorHAnsi"/>
          <w:bCs/>
          <w:color w:val="000000" w:themeColor="text1"/>
        </w:rPr>
        <w:t>a</w:t>
      </w:r>
      <w:r w:rsidR="00617842" w:rsidRPr="00DE5FDC">
        <w:rPr>
          <w:rFonts w:asciiTheme="minorHAnsi" w:hAnsiTheme="minorHAnsi" w:cstheme="minorHAnsi"/>
          <w:bCs/>
          <w:color w:val="000000" w:themeColor="text1"/>
        </w:rPr>
        <w:t xml:space="preserve"> </w:t>
      </w:r>
      <w:r w:rsidR="00E83F86" w:rsidRPr="00DE5FDC">
        <w:rPr>
          <w:rFonts w:asciiTheme="minorHAnsi" w:hAnsiTheme="minorHAnsi" w:cstheme="minorHAnsi"/>
          <w:bCs/>
          <w:color w:val="000000" w:themeColor="text1"/>
        </w:rPr>
        <w:t>P</w:t>
      </w:r>
      <w:r w:rsidR="00617842" w:rsidRPr="00DE5FDC">
        <w:rPr>
          <w:rFonts w:asciiTheme="minorHAnsi" w:hAnsiTheme="minorHAnsi" w:cstheme="minorHAnsi"/>
          <w:bCs/>
          <w:color w:val="000000" w:themeColor="text1"/>
        </w:rPr>
        <w:t xml:space="preserve">hase III </w:t>
      </w:r>
      <w:r w:rsidR="00686393" w:rsidRPr="00DE5FDC">
        <w:rPr>
          <w:rFonts w:asciiTheme="minorHAnsi" w:hAnsiTheme="minorHAnsi" w:cstheme="minorHAnsi"/>
          <w:bCs/>
          <w:color w:val="000000" w:themeColor="text1"/>
        </w:rPr>
        <w:t xml:space="preserve">clinical </w:t>
      </w:r>
      <w:r w:rsidR="00617842" w:rsidRPr="00DE5FDC">
        <w:rPr>
          <w:rFonts w:asciiTheme="minorHAnsi" w:hAnsiTheme="minorHAnsi" w:cstheme="minorHAnsi"/>
          <w:bCs/>
          <w:color w:val="000000" w:themeColor="text1"/>
        </w:rPr>
        <w:t>trial</w:t>
      </w:r>
      <w:r w:rsidR="00C73257" w:rsidRPr="00DE5FDC">
        <w:rPr>
          <w:rFonts w:asciiTheme="minorHAnsi" w:hAnsiTheme="minorHAnsi" w:cstheme="minorHAnsi"/>
          <w:bCs/>
          <w:color w:val="000000" w:themeColor="text1"/>
        </w:rPr>
        <w:t>.</w:t>
      </w:r>
      <w:r w:rsidR="00686393" w:rsidRPr="00DE5FDC">
        <w:rPr>
          <w:rFonts w:asciiTheme="minorHAnsi" w:hAnsiTheme="minorHAnsi" w:cstheme="minorHAnsi"/>
          <w:bCs/>
          <w:color w:val="000000" w:themeColor="text1"/>
          <w:vertAlign w:val="superscript"/>
        </w:rPr>
        <w:t xml:space="preserve"> </w:t>
      </w:r>
      <w:r w:rsidR="00686393" w:rsidRPr="00DE5FDC">
        <w:rPr>
          <w:rFonts w:asciiTheme="minorHAnsi" w:hAnsiTheme="minorHAnsi" w:cstheme="minorHAnsi"/>
          <w:bCs/>
          <w:color w:val="000000" w:themeColor="text1"/>
        </w:rPr>
        <w:t xml:space="preserve">There was also </w:t>
      </w:r>
      <w:r w:rsidR="00ED787C" w:rsidRPr="00DE5FDC">
        <w:rPr>
          <w:rFonts w:asciiTheme="minorHAnsi" w:hAnsiTheme="minorHAnsi" w:cstheme="minorHAnsi"/>
          <w:bCs/>
          <w:color w:val="000000" w:themeColor="text1"/>
        </w:rPr>
        <w:t>better</w:t>
      </w:r>
      <w:r w:rsidR="00686393" w:rsidRPr="00DE5FDC">
        <w:rPr>
          <w:rFonts w:asciiTheme="minorHAnsi" w:hAnsiTheme="minorHAnsi" w:cstheme="minorHAnsi"/>
          <w:bCs/>
          <w:color w:val="000000" w:themeColor="text1"/>
        </w:rPr>
        <w:t xml:space="preserve"> culture conv</w:t>
      </w:r>
      <w:r w:rsidR="002A2482" w:rsidRPr="00DE5FDC">
        <w:rPr>
          <w:rFonts w:asciiTheme="minorHAnsi" w:hAnsiTheme="minorHAnsi" w:cstheme="minorHAnsi"/>
          <w:bCs/>
          <w:color w:val="000000" w:themeColor="text1"/>
        </w:rPr>
        <w:t xml:space="preserve">ersion in </w:t>
      </w:r>
      <w:r w:rsidR="009D686B" w:rsidRPr="00DE5FDC">
        <w:rPr>
          <w:rFonts w:asciiTheme="minorHAnsi" w:hAnsiTheme="minorHAnsi" w:cstheme="minorHAnsi"/>
          <w:bCs/>
          <w:color w:val="000000" w:themeColor="text1"/>
        </w:rPr>
        <w:t>the secondary</w:t>
      </w:r>
      <w:r w:rsidR="002A2482" w:rsidRPr="00DE5FDC">
        <w:rPr>
          <w:rFonts w:asciiTheme="minorHAnsi" w:hAnsiTheme="minorHAnsi" w:cstheme="minorHAnsi"/>
          <w:bCs/>
          <w:color w:val="000000" w:themeColor="text1"/>
        </w:rPr>
        <w:t xml:space="preserve"> analyses</w:t>
      </w:r>
      <w:r w:rsidR="009D686B" w:rsidRPr="00DE5FDC">
        <w:rPr>
          <w:rFonts w:asciiTheme="minorHAnsi" w:hAnsiTheme="minorHAnsi" w:cstheme="minorHAnsi"/>
          <w:bCs/>
          <w:color w:val="000000" w:themeColor="text1"/>
        </w:rPr>
        <w:t xml:space="preserve"> of the </w:t>
      </w:r>
      <w:r w:rsidR="00ED787C" w:rsidRPr="00DE5FDC">
        <w:rPr>
          <w:rFonts w:asciiTheme="minorHAnsi" w:hAnsiTheme="minorHAnsi" w:cstheme="minorHAnsi"/>
          <w:bCs/>
          <w:color w:val="000000" w:themeColor="text1"/>
        </w:rPr>
        <w:t>P</w:t>
      </w:r>
      <w:r w:rsidR="009D686B" w:rsidRPr="00DE5FDC">
        <w:rPr>
          <w:rFonts w:asciiTheme="minorHAnsi" w:hAnsiTheme="minorHAnsi" w:cstheme="minorHAnsi"/>
          <w:bCs/>
          <w:color w:val="000000" w:themeColor="text1"/>
        </w:rPr>
        <w:t>hase II</w:t>
      </w:r>
      <w:r w:rsidR="00ED787C" w:rsidRPr="00DE5FDC">
        <w:rPr>
          <w:rFonts w:asciiTheme="minorHAnsi" w:hAnsiTheme="minorHAnsi" w:cstheme="minorHAnsi"/>
          <w:bCs/>
          <w:color w:val="000000" w:themeColor="text1"/>
        </w:rPr>
        <w:t xml:space="preserve">I </w:t>
      </w:r>
      <w:r w:rsidR="009D686B" w:rsidRPr="00DE5FDC">
        <w:rPr>
          <w:rFonts w:asciiTheme="minorHAnsi" w:hAnsiTheme="minorHAnsi" w:cstheme="minorHAnsi"/>
          <w:bCs/>
          <w:color w:val="000000" w:themeColor="text1"/>
        </w:rPr>
        <w:t>trial</w:t>
      </w:r>
      <w:r w:rsidR="002A2482" w:rsidRPr="00DE5FDC">
        <w:rPr>
          <w:rFonts w:asciiTheme="minorHAnsi" w:hAnsiTheme="minorHAnsi" w:cstheme="minorHAnsi"/>
          <w:bCs/>
          <w:color w:val="000000" w:themeColor="text1"/>
        </w:rPr>
        <w:t>, but no significant</w:t>
      </w:r>
      <w:r w:rsidR="00686393" w:rsidRPr="00DE5FDC">
        <w:rPr>
          <w:rFonts w:asciiTheme="minorHAnsi" w:hAnsiTheme="minorHAnsi" w:cstheme="minorHAnsi"/>
          <w:bCs/>
          <w:color w:val="000000" w:themeColor="text1"/>
        </w:rPr>
        <w:t xml:space="preserve"> effect on</w:t>
      </w:r>
      <w:r w:rsidR="002A2482" w:rsidRPr="00DE5FDC">
        <w:rPr>
          <w:rFonts w:asciiTheme="minorHAnsi" w:hAnsiTheme="minorHAnsi" w:cstheme="minorHAnsi"/>
          <w:bCs/>
          <w:color w:val="000000" w:themeColor="text1"/>
        </w:rPr>
        <w:t xml:space="preserve"> final</w:t>
      </w:r>
      <w:r w:rsidR="00686393" w:rsidRPr="00DE5FDC">
        <w:rPr>
          <w:rFonts w:asciiTheme="minorHAnsi" w:hAnsiTheme="minorHAnsi" w:cstheme="minorHAnsi"/>
          <w:bCs/>
          <w:color w:val="000000" w:themeColor="text1"/>
        </w:rPr>
        <w:t xml:space="preserve"> treatment outcome</w:t>
      </w:r>
      <w:r w:rsidR="00C73257" w:rsidRPr="00DE5FDC">
        <w:rPr>
          <w:rFonts w:asciiTheme="minorHAnsi" w:hAnsiTheme="minorHAnsi" w:cstheme="minorHAnsi"/>
          <w:bCs/>
          <w:color w:val="000000" w:themeColor="text1"/>
        </w:rPr>
        <w:t>.</w:t>
      </w:r>
      <w:r w:rsidR="00C73257" w:rsidRPr="00DE5FDC">
        <w:rPr>
          <w:rFonts w:asciiTheme="minorHAnsi" w:hAnsiTheme="minorHAnsi" w:cstheme="minorHAnsi"/>
          <w:bCs/>
          <w:color w:val="000000" w:themeColor="text1"/>
          <w:vertAlign w:val="superscript"/>
        </w:rPr>
        <w:t xml:space="preserve"> </w:t>
      </w:r>
      <w:r w:rsidR="00C73257" w:rsidRPr="00DE5FDC">
        <w:rPr>
          <w:rFonts w:asciiTheme="minorHAnsi" w:hAnsiTheme="minorHAnsi" w:cstheme="minorHAnsi"/>
          <w:bCs/>
          <w:color w:val="000000" w:themeColor="text1"/>
          <w:vertAlign w:val="superscript"/>
        </w:rPr>
        <w:fldChar w:fldCharType="begin"/>
      </w:r>
      <w:r w:rsidR="00C73257" w:rsidRPr="00DE5FDC">
        <w:rPr>
          <w:rFonts w:asciiTheme="minorHAnsi" w:hAnsiTheme="minorHAnsi" w:cstheme="minorHAnsi"/>
          <w:bCs/>
          <w:color w:val="000000" w:themeColor="text1"/>
          <w:vertAlign w:val="superscript"/>
        </w:rPr>
        <w:instrText xml:space="preserve"> NOTEREF _Ref12800180 \h  \* MERGEFORMAT </w:instrText>
      </w:r>
      <w:r w:rsidR="00C73257" w:rsidRPr="00DE5FDC">
        <w:rPr>
          <w:rFonts w:asciiTheme="minorHAnsi" w:hAnsiTheme="minorHAnsi" w:cstheme="minorHAnsi"/>
          <w:bCs/>
          <w:color w:val="000000" w:themeColor="text1"/>
          <w:vertAlign w:val="superscript"/>
        </w:rPr>
      </w:r>
      <w:r w:rsidR="00C73257" w:rsidRPr="00DE5FDC">
        <w:rPr>
          <w:rFonts w:asciiTheme="minorHAnsi" w:hAnsiTheme="minorHAnsi" w:cstheme="minorHAnsi"/>
          <w:bCs/>
          <w:color w:val="000000" w:themeColor="text1"/>
          <w:vertAlign w:val="superscript"/>
        </w:rPr>
        <w:fldChar w:fldCharType="separate"/>
      </w:r>
      <w:r w:rsidR="00C21E58" w:rsidRPr="00DE5FDC">
        <w:rPr>
          <w:rFonts w:asciiTheme="minorHAnsi" w:hAnsiTheme="minorHAnsi" w:cstheme="minorHAnsi"/>
          <w:bCs/>
          <w:color w:val="000000" w:themeColor="text1"/>
          <w:vertAlign w:val="superscript"/>
        </w:rPr>
        <w:t>16</w:t>
      </w:r>
      <w:r w:rsidR="00C73257" w:rsidRPr="00DE5FDC">
        <w:rPr>
          <w:rFonts w:asciiTheme="minorHAnsi" w:hAnsiTheme="minorHAnsi" w:cstheme="minorHAnsi"/>
          <w:bCs/>
          <w:color w:val="000000" w:themeColor="text1"/>
          <w:vertAlign w:val="superscript"/>
        </w:rPr>
        <w:fldChar w:fldCharType="end"/>
      </w:r>
      <w:r w:rsidR="00C73257" w:rsidRPr="00DE5FDC">
        <w:rPr>
          <w:rFonts w:asciiTheme="minorHAnsi" w:hAnsiTheme="minorHAnsi" w:cstheme="minorHAnsi"/>
          <w:bCs/>
          <w:color w:val="000000" w:themeColor="text1"/>
          <w:vertAlign w:val="superscript"/>
        </w:rPr>
        <w:t xml:space="preserve"> </w:t>
      </w:r>
      <w:r w:rsidR="00C73257" w:rsidRPr="00DE5FDC">
        <w:rPr>
          <w:rFonts w:asciiTheme="minorHAnsi" w:hAnsiTheme="minorHAnsi" w:cstheme="minorHAnsi"/>
          <w:bCs/>
          <w:color w:val="000000" w:themeColor="text1"/>
        </w:rPr>
        <w:t xml:space="preserve"> </w:t>
      </w:r>
      <w:r w:rsidR="00ED787C" w:rsidRPr="00DE5FDC">
        <w:rPr>
          <w:rFonts w:asciiTheme="minorHAnsi" w:hAnsiTheme="minorHAnsi" w:cstheme="minorHAnsi"/>
          <w:bCs/>
          <w:color w:val="000000" w:themeColor="text1"/>
        </w:rPr>
        <w:t>The Phase II trial of Dlm demonstrated a higher percentage of culture conversion</w:t>
      </w:r>
      <w:r w:rsidR="00C73257" w:rsidRPr="00DE5FDC">
        <w:rPr>
          <w:rFonts w:asciiTheme="minorHAnsi" w:hAnsiTheme="minorHAnsi" w:cstheme="minorHAnsi"/>
          <w:bCs/>
          <w:color w:val="000000" w:themeColor="text1"/>
        </w:rPr>
        <w:t>.</w:t>
      </w:r>
      <w:r w:rsidR="00C73257" w:rsidRPr="00DE5FDC">
        <w:rPr>
          <w:rFonts w:asciiTheme="minorHAnsi" w:hAnsiTheme="minorHAnsi" w:cstheme="minorHAnsi"/>
          <w:bCs/>
          <w:color w:val="000000" w:themeColor="text1"/>
          <w:vertAlign w:val="superscript"/>
        </w:rPr>
        <w:fldChar w:fldCharType="begin"/>
      </w:r>
      <w:r w:rsidR="00C73257" w:rsidRPr="00DE5FDC">
        <w:rPr>
          <w:rFonts w:asciiTheme="minorHAnsi" w:hAnsiTheme="minorHAnsi" w:cstheme="minorHAnsi"/>
          <w:bCs/>
          <w:color w:val="000000" w:themeColor="text1"/>
          <w:vertAlign w:val="superscript"/>
        </w:rPr>
        <w:instrText xml:space="preserve"> NOTEREF _Ref12800319 \h  \* MERGEFORMAT </w:instrText>
      </w:r>
      <w:r w:rsidR="00C73257" w:rsidRPr="00DE5FDC">
        <w:rPr>
          <w:rFonts w:asciiTheme="minorHAnsi" w:hAnsiTheme="minorHAnsi" w:cstheme="minorHAnsi"/>
          <w:bCs/>
          <w:color w:val="000000" w:themeColor="text1"/>
          <w:vertAlign w:val="superscript"/>
        </w:rPr>
      </w:r>
      <w:r w:rsidR="00C73257" w:rsidRPr="00DE5FDC">
        <w:rPr>
          <w:rFonts w:asciiTheme="minorHAnsi" w:hAnsiTheme="minorHAnsi" w:cstheme="minorHAnsi"/>
          <w:bCs/>
          <w:color w:val="000000" w:themeColor="text1"/>
          <w:vertAlign w:val="superscript"/>
        </w:rPr>
        <w:fldChar w:fldCharType="separate"/>
      </w:r>
      <w:r w:rsidR="00C21E58" w:rsidRPr="00DE5FDC">
        <w:rPr>
          <w:rFonts w:asciiTheme="minorHAnsi" w:hAnsiTheme="minorHAnsi" w:cstheme="minorHAnsi"/>
          <w:bCs/>
          <w:color w:val="000000" w:themeColor="text1"/>
          <w:vertAlign w:val="superscript"/>
        </w:rPr>
        <w:t>15</w:t>
      </w:r>
      <w:r w:rsidR="00C73257" w:rsidRPr="00DE5FDC">
        <w:rPr>
          <w:rFonts w:asciiTheme="minorHAnsi" w:hAnsiTheme="minorHAnsi" w:cstheme="minorHAnsi"/>
          <w:bCs/>
          <w:color w:val="000000" w:themeColor="text1"/>
          <w:vertAlign w:val="superscript"/>
        </w:rPr>
        <w:fldChar w:fldCharType="end"/>
      </w:r>
      <w:r w:rsidR="00C73257" w:rsidRPr="00DE5FDC">
        <w:rPr>
          <w:rFonts w:asciiTheme="minorHAnsi" w:hAnsiTheme="minorHAnsi" w:cstheme="minorHAnsi"/>
          <w:bCs/>
          <w:color w:val="000000" w:themeColor="text1"/>
        </w:rPr>
        <w:t xml:space="preserve"> </w:t>
      </w:r>
      <w:r w:rsidR="0513D106" w:rsidRPr="00DE5FDC">
        <w:rPr>
          <w:rFonts w:asciiTheme="minorHAnsi" w:hAnsiTheme="minorHAnsi" w:cstheme="minorHAnsi"/>
          <w:bCs/>
          <w:color w:val="000000" w:themeColor="text1"/>
        </w:rPr>
        <w:t>Delamanid has less drug-drug interaction with drugs metabolized by the cytochrome P450 enzymes like CYP3A4.</w:t>
      </w:r>
      <w:r w:rsidR="0028721F" w:rsidRPr="00DE5FDC">
        <w:rPr>
          <w:rFonts w:asciiTheme="minorHAnsi" w:hAnsiTheme="minorHAnsi" w:cstheme="minorHAnsi"/>
          <w:bCs/>
          <w:color w:val="000000" w:themeColor="text1"/>
        </w:rPr>
        <w:t xml:space="preserve"> </w:t>
      </w:r>
      <w:r w:rsidR="00AF2B2C" w:rsidRPr="00DE5FDC">
        <w:rPr>
          <w:rFonts w:asciiTheme="minorHAnsi" w:hAnsiTheme="minorHAnsi" w:cstheme="minorHAnsi"/>
          <w:bCs/>
          <w:color w:val="000000" w:themeColor="text1"/>
        </w:rPr>
        <w:t xml:space="preserve">Delamanid has no significant drug-drug interactions with ART. </w:t>
      </w:r>
      <w:r w:rsidR="0028721F" w:rsidRPr="00DE5FDC">
        <w:rPr>
          <w:rFonts w:asciiTheme="minorHAnsi" w:hAnsiTheme="minorHAnsi" w:cstheme="minorHAnsi"/>
          <w:bCs/>
          <w:color w:val="000000" w:themeColor="text1"/>
        </w:rPr>
        <w:t>Delamanid appears helpful in treatment of highly resistant strains</w:t>
      </w:r>
      <w:r w:rsidR="00C73257" w:rsidRPr="00DE5FDC">
        <w:rPr>
          <w:rFonts w:asciiTheme="minorHAnsi" w:hAnsiTheme="minorHAnsi" w:cstheme="minorHAnsi"/>
          <w:bCs/>
          <w:color w:val="000000" w:themeColor="text1"/>
        </w:rPr>
        <w:t>.</w:t>
      </w:r>
      <w:r w:rsidR="0028721F" w:rsidRPr="00DE5FDC">
        <w:rPr>
          <w:rFonts w:asciiTheme="minorHAnsi" w:hAnsiTheme="minorHAnsi" w:cstheme="minorHAnsi"/>
          <w:bCs/>
          <w:color w:val="000000" w:themeColor="text1"/>
        </w:rPr>
        <w:t xml:space="preserve"> </w:t>
      </w:r>
      <w:r w:rsidR="0028721F" w:rsidRPr="00DE5FDC">
        <w:rPr>
          <w:rStyle w:val="FootnoteReference"/>
          <w:rFonts w:asciiTheme="minorHAnsi" w:hAnsiTheme="minorHAnsi" w:cstheme="minorHAnsi"/>
          <w:bCs/>
          <w:color w:val="000000" w:themeColor="text1"/>
          <w:sz w:val="22"/>
        </w:rPr>
        <w:footnoteReference w:id="24"/>
      </w:r>
      <w:r w:rsidR="00C73257" w:rsidRPr="00DE5FDC">
        <w:rPr>
          <w:rFonts w:asciiTheme="minorHAnsi" w:hAnsiTheme="minorHAnsi" w:cstheme="minorHAnsi"/>
          <w:bCs/>
          <w:color w:val="000000" w:themeColor="text1"/>
          <w:vertAlign w:val="superscript"/>
        </w:rPr>
        <w:t>,</w:t>
      </w:r>
      <w:r w:rsidR="00C73257" w:rsidRPr="00DE5FDC">
        <w:rPr>
          <w:rFonts w:asciiTheme="minorHAnsi" w:hAnsiTheme="minorHAnsi" w:cstheme="minorHAnsi"/>
          <w:bCs/>
          <w:color w:val="000000" w:themeColor="text1"/>
          <w:vertAlign w:val="superscript"/>
        </w:rPr>
        <w:fldChar w:fldCharType="begin"/>
      </w:r>
      <w:r w:rsidR="00C73257" w:rsidRPr="00DE5FDC">
        <w:rPr>
          <w:rFonts w:asciiTheme="minorHAnsi" w:hAnsiTheme="minorHAnsi" w:cstheme="minorHAnsi"/>
          <w:bCs/>
          <w:color w:val="000000" w:themeColor="text1"/>
          <w:vertAlign w:val="superscript"/>
        </w:rPr>
        <w:instrText xml:space="preserve"> NOTEREF _Ref12716078 \h  \* MERGEFORMAT </w:instrText>
      </w:r>
      <w:r w:rsidR="00C73257" w:rsidRPr="00DE5FDC">
        <w:rPr>
          <w:rFonts w:asciiTheme="minorHAnsi" w:hAnsiTheme="minorHAnsi" w:cstheme="minorHAnsi"/>
          <w:bCs/>
          <w:color w:val="000000" w:themeColor="text1"/>
          <w:vertAlign w:val="superscript"/>
        </w:rPr>
      </w:r>
      <w:r w:rsidR="00C73257" w:rsidRPr="00DE5FDC">
        <w:rPr>
          <w:rFonts w:asciiTheme="minorHAnsi" w:hAnsiTheme="minorHAnsi" w:cstheme="minorHAnsi"/>
          <w:bCs/>
          <w:color w:val="000000" w:themeColor="text1"/>
          <w:vertAlign w:val="superscript"/>
        </w:rPr>
        <w:fldChar w:fldCharType="separate"/>
      </w:r>
      <w:r w:rsidR="00C21E58" w:rsidRPr="00DE5FDC">
        <w:rPr>
          <w:rFonts w:asciiTheme="minorHAnsi" w:hAnsiTheme="minorHAnsi" w:cstheme="minorHAnsi"/>
          <w:bCs/>
          <w:color w:val="000000" w:themeColor="text1"/>
          <w:vertAlign w:val="superscript"/>
        </w:rPr>
        <w:t>12</w:t>
      </w:r>
      <w:r w:rsidR="00C73257" w:rsidRPr="00DE5FDC">
        <w:rPr>
          <w:rFonts w:asciiTheme="minorHAnsi" w:hAnsiTheme="minorHAnsi" w:cstheme="minorHAnsi"/>
          <w:bCs/>
          <w:color w:val="000000" w:themeColor="text1"/>
          <w:vertAlign w:val="superscript"/>
        </w:rPr>
        <w:fldChar w:fldCharType="end"/>
      </w:r>
    </w:p>
    <w:p w14:paraId="7720A0EC" w14:textId="6B24EAF0" w:rsidR="001F1E9B" w:rsidRPr="00DE5FDC" w:rsidRDefault="009D686B" w:rsidP="0001404E">
      <w:pPr>
        <w:pStyle w:val="ListBullet"/>
        <w:rPr>
          <w:rFonts w:asciiTheme="minorHAnsi" w:hAnsiTheme="minorHAnsi" w:cstheme="minorHAnsi"/>
          <w:bCs/>
          <w:color w:val="000000" w:themeColor="text1"/>
        </w:rPr>
      </w:pPr>
      <w:r w:rsidRPr="00DE5FDC">
        <w:rPr>
          <w:rFonts w:asciiTheme="minorHAnsi" w:hAnsiTheme="minorHAnsi" w:cstheme="minorHAnsi"/>
          <w:bCs/>
          <w:color w:val="000000" w:themeColor="text1"/>
        </w:rPr>
        <w:t>Clofazimine does</w:t>
      </w:r>
      <w:r w:rsidR="0028721F" w:rsidRPr="00DE5FDC">
        <w:rPr>
          <w:rFonts w:asciiTheme="minorHAnsi" w:hAnsiTheme="minorHAnsi" w:cstheme="minorHAnsi"/>
          <w:bCs/>
          <w:color w:val="000000" w:themeColor="text1"/>
        </w:rPr>
        <w:t xml:space="preserve"> not</w:t>
      </w:r>
      <w:r w:rsidRPr="00DE5FDC">
        <w:rPr>
          <w:rFonts w:asciiTheme="minorHAnsi" w:hAnsiTheme="minorHAnsi" w:cstheme="minorHAnsi"/>
          <w:bCs/>
          <w:color w:val="000000" w:themeColor="text1"/>
        </w:rPr>
        <w:t xml:space="preserve"> have</w:t>
      </w:r>
      <w:r w:rsidR="0028721F" w:rsidRPr="00DE5FDC">
        <w:rPr>
          <w:rFonts w:asciiTheme="minorHAnsi" w:hAnsiTheme="minorHAnsi" w:cstheme="minorHAnsi"/>
          <w:bCs/>
          <w:color w:val="000000" w:themeColor="text1"/>
        </w:rPr>
        <w:t xml:space="preserve"> </w:t>
      </w:r>
      <w:r w:rsidRPr="00DE5FDC">
        <w:rPr>
          <w:rFonts w:asciiTheme="minorHAnsi" w:hAnsiTheme="minorHAnsi" w:cstheme="minorHAnsi"/>
          <w:bCs/>
          <w:color w:val="000000" w:themeColor="text1"/>
        </w:rPr>
        <w:t>abundant</w:t>
      </w:r>
      <w:r w:rsidR="0028721F" w:rsidRPr="00DE5FDC">
        <w:rPr>
          <w:rFonts w:asciiTheme="minorHAnsi" w:hAnsiTheme="minorHAnsi" w:cstheme="minorHAnsi"/>
          <w:bCs/>
          <w:color w:val="000000" w:themeColor="text1"/>
        </w:rPr>
        <w:t xml:space="preserve"> high-quality data on </w:t>
      </w:r>
      <w:r w:rsidRPr="00DE5FDC">
        <w:rPr>
          <w:rFonts w:asciiTheme="minorHAnsi" w:hAnsiTheme="minorHAnsi" w:cstheme="minorHAnsi"/>
          <w:bCs/>
          <w:color w:val="000000" w:themeColor="text1"/>
        </w:rPr>
        <w:t>its</w:t>
      </w:r>
      <w:r w:rsidR="0028721F" w:rsidRPr="00DE5FDC">
        <w:rPr>
          <w:rFonts w:asciiTheme="minorHAnsi" w:hAnsiTheme="minorHAnsi" w:cstheme="minorHAnsi"/>
          <w:bCs/>
          <w:color w:val="000000" w:themeColor="text1"/>
        </w:rPr>
        <w:t xml:space="preserve"> efficacy and safety</w:t>
      </w:r>
      <w:r w:rsidRPr="00DE5FDC">
        <w:rPr>
          <w:rFonts w:asciiTheme="minorHAnsi" w:hAnsiTheme="minorHAnsi" w:cstheme="minorHAnsi"/>
          <w:bCs/>
          <w:color w:val="000000" w:themeColor="text1"/>
        </w:rPr>
        <w:t xml:space="preserve">. There </w:t>
      </w:r>
      <w:r w:rsidR="0513D106" w:rsidRPr="00DE5FDC">
        <w:rPr>
          <w:rFonts w:asciiTheme="minorHAnsi" w:hAnsiTheme="minorHAnsi" w:cstheme="minorHAnsi"/>
          <w:bCs/>
          <w:color w:val="000000" w:themeColor="text1"/>
        </w:rPr>
        <w:t xml:space="preserve">is </w:t>
      </w:r>
      <w:r w:rsidRPr="00DE5FDC">
        <w:rPr>
          <w:rFonts w:asciiTheme="minorHAnsi" w:hAnsiTheme="minorHAnsi" w:cstheme="minorHAnsi"/>
          <w:bCs/>
          <w:color w:val="000000" w:themeColor="text1"/>
        </w:rPr>
        <w:t xml:space="preserve">some </w:t>
      </w:r>
      <w:r w:rsidR="001304FC" w:rsidRPr="00DE5FDC">
        <w:rPr>
          <w:rFonts w:asciiTheme="minorHAnsi" w:hAnsiTheme="minorHAnsi" w:cstheme="minorHAnsi"/>
          <w:bCs/>
          <w:color w:val="000000" w:themeColor="text1"/>
        </w:rPr>
        <w:t xml:space="preserve">in vitro observed </w:t>
      </w:r>
      <w:r w:rsidR="0513D106" w:rsidRPr="00DE5FDC">
        <w:rPr>
          <w:rFonts w:asciiTheme="minorHAnsi" w:hAnsiTheme="minorHAnsi" w:cstheme="minorHAnsi"/>
          <w:bCs/>
          <w:color w:val="000000" w:themeColor="text1"/>
        </w:rPr>
        <w:t>cross-resistance between clofazimine and bedaquiline</w:t>
      </w:r>
      <w:r w:rsidRPr="00DE5FDC">
        <w:rPr>
          <w:rFonts w:asciiTheme="minorHAnsi" w:hAnsiTheme="minorHAnsi" w:cstheme="minorHAnsi"/>
          <w:bCs/>
          <w:color w:val="000000" w:themeColor="text1"/>
        </w:rPr>
        <w:t>; however, the clinical significance of this is not known</w:t>
      </w:r>
      <w:r w:rsidR="0513D106" w:rsidRPr="00DE5FDC">
        <w:rPr>
          <w:rFonts w:asciiTheme="minorHAnsi" w:hAnsiTheme="minorHAnsi" w:cstheme="minorHAnsi"/>
          <w:bCs/>
          <w:color w:val="000000" w:themeColor="text1"/>
        </w:rPr>
        <w:t>.</w:t>
      </w:r>
      <w:r w:rsidR="00C26F6C" w:rsidRPr="00DE5FDC">
        <w:rPr>
          <w:rFonts w:asciiTheme="minorHAnsi" w:hAnsiTheme="minorHAnsi" w:cstheme="minorHAnsi"/>
          <w:bCs/>
          <w:color w:val="000000" w:themeColor="text1"/>
        </w:rPr>
        <w:t xml:space="preserve"> </w:t>
      </w:r>
      <w:r w:rsidRPr="00DE5FDC">
        <w:rPr>
          <w:rFonts w:asciiTheme="minorHAnsi" w:hAnsiTheme="minorHAnsi" w:cstheme="minorHAnsi"/>
          <w:bCs/>
          <w:color w:val="000000" w:themeColor="text1"/>
        </w:rPr>
        <w:t>Clofazimine did perform well in the WHO-sponsored IPD meta</w:t>
      </w:r>
      <w:r w:rsidR="00560733" w:rsidRPr="00DE5FDC">
        <w:rPr>
          <w:rFonts w:asciiTheme="minorHAnsi" w:hAnsiTheme="minorHAnsi" w:cstheme="minorHAnsi"/>
          <w:bCs/>
          <w:color w:val="000000" w:themeColor="text1"/>
        </w:rPr>
        <w:t>-a</w:t>
      </w:r>
      <w:r w:rsidRPr="00DE5FDC">
        <w:rPr>
          <w:rFonts w:asciiTheme="minorHAnsi" w:hAnsiTheme="minorHAnsi" w:cstheme="minorHAnsi"/>
          <w:bCs/>
          <w:color w:val="000000" w:themeColor="text1"/>
        </w:rPr>
        <w:t xml:space="preserve">nalysis </w:t>
      </w:r>
      <w:r w:rsidR="00536FDF" w:rsidRPr="00DE5FDC">
        <w:rPr>
          <w:rFonts w:asciiTheme="minorHAnsi" w:hAnsiTheme="minorHAnsi" w:cstheme="minorHAnsi"/>
          <w:bCs/>
          <w:color w:val="000000" w:themeColor="text1"/>
        </w:rPr>
        <w:t>(</w:t>
      </w:r>
      <w:r w:rsidR="007D2A41" w:rsidRPr="00DE5FDC">
        <w:rPr>
          <w:rFonts w:asciiTheme="minorHAnsi" w:hAnsiTheme="minorHAnsi" w:cstheme="minorHAnsi"/>
          <w:bCs/>
          <w:color w:val="000000" w:themeColor="text1"/>
        </w:rPr>
        <w:t>Table 2a</w:t>
      </w:r>
      <w:r w:rsidRPr="00DE5FDC">
        <w:rPr>
          <w:rFonts w:asciiTheme="minorHAnsi" w:hAnsiTheme="minorHAnsi" w:cstheme="minorHAnsi"/>
          <w:bCs/>
          <w:color w:val="000000" w:themeColor="text1"/>
        </w:rPr>
        <w:t xml:space="preserve">) and there is one RCT from China that showed </w:t>
      </w:r>
      <w:r w:rsidR="00CC15C2" w:rsidRPr="00DE5FDC">
        <w:rPr>
          <w:rFonts w:asciiTheme="minorHAnsi" w:hAnsiTheme="minorHAnsi" w:cstheme="minorHAnsi"/>
          <w:bCs/>
          <w:color w:val="000000" w:themeColor="text1"/>
        </w:rPr>
        <w:t>it use in the LTR improved outcomes</w:t>
      </w:r>
      <w:r w:rsidRPr="00DE5FDC">
        <w:rPr>
          <w:rFonts w:asciiTheme="minorHAnsi" w:hAnsiTheme="minorHAnsi" w:cstheme="minorHAnsi"/>
          <w:bCs/>
          <w:color w:val="000000" w:themeColor="text1"/>
        </w:rPr>
        <w:t xml:space="preserve"> (</w:t>
      </w:r>
      <w:r w:rsidR="007D2A41" w:rsidRPr="00DE5FDC">
        <w:rPr>
          <w:rFonts w:asciiTheme="minorHAnsi" w:hAnsiTheme="minorHAnsi" w:cstheme="minorHAnsi"/>
          <w:bCs/>
          <w:color w:val="000000" w:themeColor="text1"/>
        </w:rPr>
        <w:t>Table 2a</w:t>
      </w:r>
      <w:r w:rsidR="00536FDF" w:rsidRPr="00DE5FDC">
        <w:rPr>
          <w:rFonts w:asciiTheme="minorHAnsi" w:hAnsiTheme="minorHAnsi" w:cstheme="minorHAnsi"/>
          <w:bCs/>
          <w:color w:val="000000" w:themeColor="text1"/>
        </w:rPr>
        <w:t>).</w:t>
      </w:r>
    </w:p>
    <w:p w14:paraId="2602F711" w14:textId="7F880021" w:rsidR="009D686B" w:rsidRPr="00DE5FDC" w:rsidRDefault="009D686B" w:rsidP="0001404E">
      <w:pPr>
        <w:pStyle w:val="ListBullet"/>
        <w:rPr>
          <w:rFonts w:asciiTheme="minorHAnsi" w:hAnsiTheme="minorHAnsi" w:cstheme="minorHAnsi"/>
          <w:bCs/>
          <w:color w:val="000000" w:themeColor="text1"/>
        </w:rPr>
      </w:pPr>
      <w:r w:rsidRPr="00DE5FDC">
        <w:rPr>
          <w:rFonts w:asciiTheme="minorHAnsi" w:hAnsiTheme="minorHAnsi" w:cstheme="minorHAnsi"/>
          <w:bCs/>
          <w:color w:val="000000" w:themeColor="text1"/>
        </w:rPr>
        <w:t>Many strains of MDR-TB may also have pyrazinamide resistance</w:t>
      </w:r>
      <w:r w:rsidR="008754C8" w:rsidRPr="00DE5FDC">
        <w:rPr>
          <w:rFonts w:asciiTheme="minorHAnsi" w:hAnsiTheme="minorHAnsi" w:cstheme="minorHAnsi"/>
          <w:bCs/>
          <w:color w:val="000000" w:themeColor="text1"/>
        </w:rPr>
        <w:t xml:space="preserve">, especially in areas where the is a high amount of second-line resistance (like areas </w:t>
      </w:r>
      <w:r w:rsidR="005653DA" w:rsidRPr="00DE5FDC">
        <w:rPr>
          <w:rFonts w:asciiTheme="minorHAnsi" w:hAnsiTheme="minorHAnsi" w:cstheme="minorHAnsi"/>
          <w:bCs/>
          <w:color w:val="000000" w:themeColor="text1"/>
        </w:rPr>
        <w:t>eastern Europe or Central Asian</w:t>
      </w:r>
      <w:r w:rsidR="007A5294" w:rsidRPr="00DE5FDC">
        <w:rPr>
          <w:rFonts w:asciiTheme="minorHAnsi" w:hAnsiTheme="minorHAnsi" w:cstheme="minorHAnsi"/>
          <w:bCs/>
          <w:color w:val="000000" w:themeColor="text1"/>
        </w:rPr>
        <w:t xml:space="preserve">). </w:t>
      </w:r>
    </w:p>
    <w:p w14:paraId="2FC8CC55" w14:textId="4E88DFB8" w:rsidR="00E7640C" w:rsidRPr="00DE5FDC" w:rsidRDefault="009D686B" w:rsidP="00672C41">
      <w:pPr>
        <w:pStyle w:val="ListBullet"/>
        <w:rPr>
          <w:rFonts w:asciiTheme="minorHAnsi" w:hAnsiTheme="minorHAnsi" w:cstheme="minorHAnsi"/>
          <w:bCs/>
          <w:color w:val="000000" w:themeColor="text1"/>
        </w:rPr>
      </w:pPr>
      <w:r w:rsidRPr="00DE5FDC">
        <w:rPr>
          <w:rFonts w:asciiTheme="minorHAnsi" w:hAnsiTheme="minorHAnsi" w:cstheme="minorHAnsi"/>
          <w:bCs/>
          <w:color w:val="000000" w:themeColor="text1"/>
        </w:rPr>
        <w:t xml:space="preserve">Besides the theoretical cross-resistance with clofazimine </w:t>
      </w:r>
      <w:r w:rsidR="001304FC" w:rsidRPr="00DE5FDC">
        <w:rPr>
          <w:rFonts w:asciiTheme="minorHAnsi" w:hAnsiTheme="minorHAnsi" w:cstheme="minorHAnsi"/>
          <w:bCs/>
          <w:color w:val="000000" w:themeColor="text1"/>
        </w:rPr>
        <w:t xml:space="preserve">and bedaquiline there is no known cross-resistance between any of the drugs used in all oral STRs. </w:t>
      </w:r>
    </w:p>
    <w:p w14:paraId="1147A1C7" w14:textId="77777777" w:rsidR="00503E39" w:rsidRPr="00DE5FDC" w:rsidRDefault="00503E39">
      <w:pPr>
        <w:spacing w:before="0" w:after="0"/>
        <w:jc w:val="left"/>
        <w:rPr>
          <w:rFonts w:asciiTheme="minorHAnsi" w:hAnsiTheme="minorHAnsi" w:cstheme="minorHAnsi"/>
          <w:bCs/>
          <w:color w:val="000000" w:themeColor="text1"/>
        </w:rPr>
      </w:pPr>
    </w:p>
    <w:p w14:paraId="4807E36D" w14:textId="18B1C564" w:rsidR="00847900" w:rsidRPr="004B45C5" w:rsidRDefault="00322389" w:rsidP="00C579A0">
      <w:pPr>
        <w:spacing w:before="0" w:after="0"/>
        <w:jc w:val="left"/>
        <w:rPr>
          <w:rFonts w:asciiTheme="minorHAnsi" w:hAnsiTheme="minorHAnsi" w:cstheme="minorBidi"/>
          <w:color w:val="000000" w:themeColor="text1"/>
        </w:rPr>
      </w:pPr>
      <w:r w:rsidRPr="00C579A0">
        <w:rPr>
          <w:rFonts w:asciiTheme="minorHAnsi" w:hAnsiTheme="minorHAnsi" w:cstheme="minorBidi"/>
          <w:color w:val="000000" w:themeColor="text1"/>
        </w:rPr>
        <w:t xml:space="preserve">The following </w:t>
      </w:r>
      <w:r w:rsidR="00C93DC8" w:rsidRPr="00C579A0">
        <w:rPr>
          <w:rFonts w:asciiTheme="minorHAnsi" w:hAnsiTheme="minorHAnsi" w:cstheme="minorBidi"/>
          <w:color w:val="000000" w:themeColor="text1"/>
        </w:rPr>
        <w:t xml:space="preserve">are examples of </w:t>
      </w:r>
      <w:r w:rsidR="002B0D09" w:rsidRPr="00C579A0">
        <w:rPr>
          <w:rFonts w:asciiTheme="minorHAnsi" w:hAnsiTheme="minorHAnsi" w:cstheme="minorBidi"/>
          <w:color w:val="000000" w:themeColor="text1"/>
        </w:rPr>
        <w:t>all-oral STR</w:t>
      </w:r>
      <w:r w:rsidR="009F4C23" w:rsidRPr="00596482">
        <w:rPr>
          <w:rFonts w:asciiTheme="minorHAnsi" w:hAnsiTheme="minorHAnsi" w:cstheme="minorBidi"/>
          <w:color w:val="000000" w:themeColor="text1"/>
        </w:rPr>
        <w:t>s</w:t>
      </w:r>
      <w:r w:rsidR="002B0D09" w:rsidRPr="00596482">
        <w:rPr>
          <w:rFonts w:asciiTheme="minorHAnsi" w:hAnsiTheme="minorHAnsi" w:cstheme="minorBidi"/>
          <w:color w:val="000000" w:themeColor="text1"/>
        </w:rPr>
        <w:t xml:space="preserve"> </w:t>
      </w:r>
      <w:r w:rsidR="00C62537" w:rsidRPr="00C579A0">
        <w:rPr>
          <w:rFonts w:asciiTheme="minorHAnsi" w:hAnsiTheme="minorHAnsi" w:cstheme="minorBidi"/>
          <w:color w:val="000000" w:themeColor="text1"/>
        </w:rPr>
        <w:t>being used or planne</w:t>
      </w:r>
      <w:r w:rsidR="00B0277A" w:rsidRPr="00596482">
        <w:rPr>
          <w:rFonts w:asciiTheme="minorHAnsi" w:hAnsiTheme="minorHAnsi" w:cstheme="minorBidi"/>
          <w:color w:val="000000" w:themeColor="text1"/>
        </w:rPr>
        <w:t>d</w:t>
      </w:r>
      <w:r w:rsidR="00C62537" w:rsidRPr="00596482">
        <w:rPr>
          <w:rFonts w:asciiTheme="minorHAnsi" w:hAnsiTheme="minorHAnsi" w:cstheme="minorBidi"/>
          <w:color w:val="000000" w:themeColor="text1"/>
        </w:rPr>
        <w:t xml:space="preserve"> in different</w:t>
      </w:r>
      <w:r w:rsidR="00C93DC8" w:rsidRPr="003B0D9F">
        <w:rPr>
          <w:rFonts w:asciiTheme="minorHAnsi" w:hAnsiTheme="minorHAnsi" w:cstheme="minorBidi"/>
          <w:color w:val="000000" w:themeColor="text1"/>
        </w:rPr>
        <w:t xml:space="preserve"> </w:t>
      </w:r>
      <w:r w:rsidR="00394145" w:rsidRPr="008F4C36">
        <w:rPr>
          <w:rFonts w:asciiTheme="minorHAnsi" w:hAnsiTheme="minorHAnsi" w:cstheme="minorBidi"/>
          <w:color w:val="000000" w:themeColor="text1"/>
        </w:rPr>
        <w:t>areas</w:t>
      </w:r>
      <w:r w:rsidR="00B0277A" w:rsidRPr="008F4C36">
        <w:rPr>
          <w:rFonts w:asciiTheme="minorHAnsi" w:hAnsiTheme="minorHAnsi" w:cstheme="minorBidi"/>
          <w:color w:val="000000" w:themeColor="text1"/>
        </w:rPr>
        <w:t xml:space="preserve"> of the world</w:t>
      </w:r>
      <w:r w:rsidR="009F4C23" w:rsidRPr="00A535ED">
        <w:rPr>
          <w:rFonts w:asciiTheme="minorHAnsi" w:hAnsiTheme="minorHAnsi" w:cstheme="minorBidi"/>
          <w:color w:val="000000" w:themeColor="text1"/>
        </w:rPr>
        <w:t>.</w:t>
      </w:r>
      <w:r w:rsidR="00153199" w:rsidRPr="00A535ED">
        <w:rPr>
          <w:rFonts w:asciiTheme="minorHAnsi" w:hAnsiTheme="minorHAnsi" w:cstheme="minorBidi"/>
          <w:color w:val="000000" w:themeColor="text1"/>
        </w:rPr>
        <w:t xml:space="preserve"> </w:t>
      </w:r>
      <w:r w:rsidR="009F4C23" w:rsidRPr="00FF6BA0">
        <w:rPr>
          <w:rFonts w:asciiTheme="minorHAnsi" w:hAnsiTheme="minorHAnsi" w:cstheme="minorBidi"/>
          <w:color w:val="000000" w:themeColor="text1"/>
        </w:rPr>
        <w:t>A</w:t>
      </w:r>
      <w:r w:rsidR="0099481E" w:rsidRPr="00C579A0">
        <w:rPr>
          <w:rFonts w:asciiTheme="minorHAnsi" w:hAnsiTheme="minorHAnsi" w:cstheme="minorBidi"/>
          <w:color w:val="000000" w:themeColor="text1"/>
        </w:rPr>
        <w:t xml:space="preserve">ll examples are based on real country </w:t>
      </w:r>
      <w:r w:rsidR="00172528" w:rsidRPr="00C579A0">
        <w:rPr>
          <w:rFonts w:asciiTheme="minorHAnsi" w:hAnsiTheme="minorHAnsi" w:cstheme="minorBidi"/>
          <w:color w:val="000000" w:themeColor="text1"/>
        </w:rPr>
        <w:t xml:space="preserve">decisions on </w:t>
      </w:r>
      <w:r w:rsidR="0097473C" w:rsidRPr="00596482">
        <w:rPr>
          <w:rFonts w:asciiTheme="minorHAnsi" w:hAnsiTheme="minorHAnsi" w:cstheme="minorBidi"/>
          <w:color w:val="000000" w:themeColor="text1"/>
        </w:rPr>
        <w:t xml:space="preserve">all-oral STRs; however, the examples have been simplified and </w:t>
      </w:r>
      <w:r w:rsidR="00025022" w:rsidRPr="003B0D9F">
        <w:rPr>
          <w:rFonts w:asciiTheme="minorHAnsi" w:hAnsiTheme="minorHAnsi" w:cstheme="minorBidi"/>
          <w:color w:val="000000" w:themeColor="text1"/>
        </w:rPr>
        <w:t xml:space="preserve">may vary from the actual plan in </w:t>
      </w:r>
      <w:r w:rsidR="00ED711D" w:rsidRPr="008F4C36">
        <w:rPr>
          <w:rFonts w:asciiTheme="minorHAnsi" w:hAnsiTheme="minorHAnsi" w:cstheme="minorBidi"/>
          <w:color w:val="000000" w:themeColor="text1"/>
        </w:rPr>
        <w:t>the</w:t>
      </w:r>
      <w:r w:rsidR="00025022" w:rsidRPr="008F4C36">
        <w:rPr>
          <w:rFonts w:asciiTheme="minorHAnsi" w:hAnsiTheme="minorHAnsi" w:cstheme="minorBidi"/>
          <w:color w:val="000000" w:themeColor="text1"/>
        </w:rPr>
        <w:t xml:space="preserve"> country</w:t>
      </w:r>
      <w:r w:rsidR="00ED711D" w:rsidRPr="00A535ED">
        <w:rPr>
          <w:rFonts w:asciiTheme="minorHAnsi" w:hAnsiTheme="minorHAnsi" w:cstheme="minorBidi"/>
          <w:color w:val="000000" w:themeColor="text1"/>
        </w:rPr>
        <w:t xml:space="preserve"> or may represent just a small pilot project in the country</w:t>
      </w:r>
      <w:r w:rsidR="00803877" w:rsidRPr="00A535ED">
        <w:rPr>
          <w:rFonts w:asciiTheme="minorHAnsi" w:hAnsiTheme="minorHAnsi" w:cstheme="minorBidi"/>
          <w:color w:val="000000" w:themeColor="text1"/>
        </w:rPr>
        <w:t xml:space="preserve"> and </w:t>
      </w:r>
      <w:r w:rsidR="007A4B03" w:rsidRPr="00FF6BA0">
        <w:rPr>
          <w:rFonts w:asciiTheme="minorHAnsi" w:hAnsiTheme="minorHAnsi" w:cstheme="minorBidi"/>
          <w:color w:val="000000" w:themeColor="text1"/>
        </w:rPr>
        <w:t>not the NTP</w:t>
      </w:r>
      <w:r w:rsidR="007A4B03" w:rsidRPr="00DC3316">
        <w:rPr>
          <w:rFonts w:asciiTheme="minorHAnsi" w:hAnsiTheme="minorHAnsi" w:cstheme="minorBidi"/>
          <w:color w:val="000000" w:themeColor="text1"/>
        </w:rPr>
        <w:t xml:space="preserve">’s </w:t>
      </w:r>
      <w:r w:rsidR="007A4B03" w:rsidRPr="00AC64AD">
        <w:rPr>
          <w:rFonts w:asciiTheme="minorHAnsi" w:hAnsiTheme="minorHAnsi" w:cstheme="minorBidi"/>
          <w:color w:val="000000" w:themeColor="text1"/>
        </w:rPr>
        <w:t>national plan</w:t>
      </w:r>
      <w:r w:rsidR="00E4276C" w:rsidRPr="00AC64AD">
        <w:rPr>
          <w:rFonts w:asciiTheme="minorHAnsi" w:hAnsiTheme="minorHAnsi" w:cstheme="minorBidi"/>
          <w:color w:val="000000" w:themeColor="text1"/>
        </w:rPr>
        <w:t>.  For this reason</w:t>
      </w:r>
      <w:r w:rsidR="009F4C23" w:rsidRPr="00AC64AD">
        <w:rPr>
          <w:rFonts w:asciiTheme="minorHAnsi" w:hAnsiTheme="minorHAnsi" w:cstheme="minorBidi"/>
          <w:color w:val="000000" w:themeColor="text1"/>
        </w:rPr>
        <w:t>,</w:t>
      </w:r>
      <w:r w:rsidR="00E4276C" w:rsidRPr="00C77718">
        <w:rPr>
          <w:rFonts w:asciiTheme="minorHAnsi" w:hAnsiTheme="minorHAnsi" w:cstheme="minorBidi"/>
          <w:color w:val="000000" w:themeColor="text1"/>
        </w:rPr>
        <w:t xml:space="preserve"> the</w:t>
      </w:r>
      <w:r w:rsidR="00E4276C" w:rsidRPr="0034038C">
        <w:rPr>
          <w:rFonts w:asciiTheme="minorHAnsi" w:hAnsiTheme="minorHAnsi" w:cstheme="minorBidi"/>
          <w:color w:val="000000" w:themeColor="text1"/>
        </w:rPr>
        <w:t xml:space="preserve"> specific </w:t>
      </w:r>
      <w:r w:rsidR="00E4276C" w:rsidRPr="004B45C5">
        <w:rPr>
          <w:rFonts w:asciiTheme="minorHAnsi" w:hAnsiTheme="minorHAnsi" w:cstheme="minorBidi"/>
          <w:color w:val="000000" w:themeColor="text1"/>
        </w:rPr>
        <w:t>country</w:t>
      </w:r>
      <w:r w:rsidR="009F4C23" w:rsidRPr="004B45C5">
        <w:rPr>
          <w:rFonts w:asciiTheme="minorHAnsi" w:hAnsiTheme="minorHAnsi" w:cstheme="minorBidi"/>
          <w:color w:val="000000" w:themeColor="text1"/>
        </w:rPr>
        <w:t>’s name is not mentioned.  The</w:t>
      </w:r>
      <w:r w:rsidR="0094693A">
        <w:rPr>
          <w:rFonts w:asciiTheme="minorHAnsi" w:hAnsiTheme="minorHAnsi" w:cstheme="minorBidi"/>
          <w:color w:val="000000" w:themeColor="text1"/>
        </w:rPr>
        <w:t>y</w:t>
      </w:r>
      <w:r w:rsidR="009F4C23" w:rsidRPr="004B45C5">
        <w:rPr>
          <w:rFonts w:asciiTheme="minorHAnsi" w:hAnsiTheme="minorHAnsi" w:cstheme="minorBidi"/>
          <w:color w:val="000000" w:themeColor="text1"/>
        </w:rPr>
        <w:t xml:space="preserve"> are </w:t>
      </w:r>
      <w:r w:rsidR="001D3ADF" w:rsidRPr="004B45C5">
        <w:rPr>
          <w:rFonts w:asciiTheme="minorHAnsi" w:hAnsiTheme="minorHAnsi" w:cstheme="minorBidi"/>
          <w:color w:val="000000" w:themeColor="text1"/>
        </w:rPr>
        <w:t>meant to serve as general illustrative examples</w:t>
      </w:r>
      <w:r w:rsidR="00695478" w:rsidRPr="004B45C5">
        <w:rPr>
          <w:rFonts w:asciiTheme="minorHAnsi" w:hAnsiTheme="minorHAnsi" w:cstheme="minorBidi"/>
          <w:color w:val="000000" w:themeColor="text1"/>
        </w:rPr>
        <w:t>.</w:t>
      </w:r>
      <w:r w:rsidR="007A4B03" w:rsidRPr="004B45C5">
        <w:rPr>
          <w:rFonts w:asciiTheme="minorHAnsi" w:hAnsiTheme="minorHAnsi" w:cstheme="minorBidi"/>
          <w:color w:val="000000" w:themeColor="text1"/>
        </w:rPr>
        <w:t xml:space="preserve"> Multiple options are often possible for a specific situation</w:t>
      </w:r>
      <w:r w:rsidR="008D32BC" w:rsidRPr="004B45C5">
        <w:rPr>
          <w:rFonts w:asciiTheme="minorHAnsi" w:hAnsiTheme="minorHAnsi" w:cstheme="minorBidi"/>
          <w:color w:val="000000" w:themeColor="text1"/>
        </w:rPr>
        <w:t xml:space="preserve">; often the regimen chosen is partially based on </w:t>
      </w:r>
      <w:r w:rsidR="004B45C5" w:rsidRPr="004B45C5">
        <w:rPr>
          <w:rFonts w:asciiTheme="minorHAnsi" w:hAnsiTheme="minorHAnsi" w:cstheme="minorBidi"/>
          <w:color w:val="000000" w:themeColor="text1"/>
        </w:rPr>
        <w:t xml:space="preserve">local </w:t>
      </w:r>
      <w:r w:rsidR="008D32BC" w:rsidRPr="004B45C5">
        <w:rPr>
          <w:rFonts w:asciiTheme="minorHAnsi" w:hAnsiTheme="minorHAnsi" w:cstheme="minorBidi"/>
          <w:color w:val="000000" w:themeColor="text1"/>
        </w:rPr>
        <w:t>expert preferences.</w:t>
      </w:r>
    </w:p>
    <w:p w14:paraId="1DEDCC10" w14:textId="46BA4686" w:rsidR="004B45C5" w:rsidRDefault="004B45C5" w:rsidP="00C579A0">
      <w:pPr>
        <w:spacing w:before="0" w:after="0"/>
        <w:jc w:val="left"/>
        <w:rPr>
          <w:rFonts w:asciiTheme="minorHAnsi" w:hAnsiTheme="minorHAnsi" w:cstheme="minorBidi"/>
          <w:color w:val="000000" w:themeColor="text1"/>
        </w:rPr>
      </w:pPr>
    </w:p>
    <w:p w14:paraId="73304BCF" w14:textId="0685D889" w:rsidR="004B45C5" w:rsidRPr="00C579A0" w:rsidRDefault="004B45C5" w:rsidP="00C579A0">
      <w:pPr>
        <w:spacing w:before="0" w:after="0"/>
        <w:jc w:val="left"/>
        <w:rPr>
          <w:rFonts w:asciiTheme="minorHAnsi" w:hAnsiTheme="minorHAnsi" w:cstheme="minorBidi"/>
          <w:color w:val="000000" w:themeColor="text1"/>
        </w:rPr>
      </w:pPr>
      <w:r w:rsidRPr="004B45C5">
        <w:rPr>
          <w:rFonts w:asciiTheme="minorHAnsi" w:hAnsiTheme="minorHAnsi" w:cstheme="minorBidi"/>
          <w:color w:val="000000" w:themeColor="text1"/>
          <w:u w:val="single"/>
        </w:rPr>
        <w:t>ATTENTION:</w:t>
      </w:r>
      <w:r>
        <w:rPr>
          <w:rFonts w:asciiTheme="minorHAnsi" w:hAnsiTheme="minorHAnsi" w:cstheme="minorBidi"/>
          <w:color w:val="000000" w:themeColor="text1"/>
        </w:rPr>
        <w:t xml:space="preserve"> THE FOLLOWING EXAMPLES ARE NOT MEANT TO SUGGEST THAT ALL COUNTRIES IN A SPECIFIC AREA USE THE SAME ALL-ORAL STR.  THE EXAMPLES GIVE ONE POSSIBLE </w:t>
      </w:r>
      <w:r w:rsidR="00F633F9">
        <w:rPr>
          <w:rFonts w:asciiTheme="minorHAnsi" w:hAnsiTheme="minorHAnsi" w:cstheme="minorBidi"/>
          <w:color w:val="000000" w:themeColor="text1"/>
        </w:rPr>
        <w:t xml:space="preserve">PRIMARY </w:t>
      </w:r>
      <w:r>
        <w:rPr>
          <w:rFonts w:asciiTheme="minorHAnsi" w:hAnsiTheme="minorHAnsi" w:cstheme="minorBidi"/>
          <w:color w:val="000000" w:themeColor="text1"/>
        </w:rPr>
        <w:t xml:space="preserve">REGIMEN DESIGN </w:t>
      </w:r>
      <w:r w:rsidR="00F633F9">
        <w:rPr>
          <w:rFonts w:asciiTheme="minorHAnsi" w:hAnsiTheme="minorHAnsi" w:cstheme="minorBidi"/>
          <w:color w:val="000000" w:themeColor="text1"/>
        </w:rPr>
        <w:t>ALONG WITH</w:t>
      </w:r>
      <w:r>
        <w:rPr>
          <w:rFonts w:asciiTheme="minorHAnsi" w:hAnsiTheme="minorHAnsi" w:cstheme="minorBidi"/>
          <w:color w:val="000000" w:themeColor="text1"/>
        </w:rPr>
        <w:t xml:space="preserve"> THE ADVANTAGES AND DISADVANTAGES OF CHOOSING THAT REGIMEN.  FOR A</w:t>
      </w:r>
      <w:r w:rsidR="0013582A">
        <w:rPr>
          <w:rFonts w:asciiTheme="minorHAnsi" w:hAnsiTheme="minorHAnsi" w:cstheme="minorBidi"/>
          <w:color w:val="000000" w:themeColor="text1"/>
        </w:rPr>
        <w:t xml:space="preserve">NY </w:t>
      </w:r>
      <w:r>
        <w:rPr>
          <w:rFonts w:asciiTheme="minorHAnsi" w:hAnsiTheme="minorHAnsi" w:cstheme="minorBidi"/>
          <w:color w:val="000000" w:themeColor="text1"/>
        </w:rPr>
        <w:t xml:space="preserve">GEOGRAPHICAL AREAS THERE ARE MANY ACCEPTABLE ALL-ORAL SHORTER REGIMENS THAT ARE LIKELY TO </w:t>
      </w:r>
      <w:r w:rsidR="00F633F9">
        <w:rPr>
          <w:rFonts w:asciiTheme="minorHAnsi" w:hAnsiTheme="minorHAnsi" w:cstheme="minorBidi"/>
          <w:color w:val="000000" w:themeColor="text1"/>
        </w:rPr>
        <w:t>PRODUCE GOOD RESULTS</w:t>
      </w:r>
      <w:r>
        <w:rPr>
          <w:rFonts w:asciiTheme="minorHAnsi" w:hAnsiTheme="minorHAnsi" w:cstheme="minorBidi"/>
          <w:color w:val="000000" w:themeColor="text1"/>
        </w:rPr>
        <w:t xml:space="preserve">. </w:t>
      </w:r>
    </w:p>
    <w:p w14:paraId="2613F1B2" w14:textId="77777777" w:rsidR="00F22261" w:rsidRPr="00B85017" w:rsidRDefault="00F22261" w:rsidP="00086F12">
      <w:pPr>
        <w:spacing w:before="0" w:after="0"/>
        <w:jc w:val="left"/>
        <w:rPr>
          <w:bCs/>
          <w:color w:val="000000" w:themeColor="text1"/>
          <w:sz w:val="23"/>
          <w:szCs w:val="23"/>
        </w:rPr>
      </w:pPr>
    </w:p>
    <w:tbl>
      <w:tblPr>
        <w:tblStyle w:val="TableGrid"/>
        <w:tblW w:w="8630" w:type="dxa"/>
        <w:tblInd w:w="720" w:type="dxa"/>
        <w:tblLook w:val="04A0" w:firstRow="1" w:lastRow="0" w:firstColumn="1" w:lastColumn="0" w:noHBand="0" w:noVBand="1"/>
      </w:tblPr>
      <w:tblGrid>
        <w:gridCol w:w="1975"/>
        <w:gridCol w:w="6655"/>
      </w:tblGrid>
      <w:tr w:rsidR="009A32E0" w:rsidRPr="0001094D" w14:paraId="1CBFC3F2" w14:textId="77777777" w:rsidTr="00093E2C">
        <w:trPr>
          <w:trHeight w:val="552"/>
        </w:trPr>
        <w:tc>
          <w:tcPr>
            <w:tcW w:w="8630" w:type="dxa"/>
            <w:gridSpan w:val="2"/>
            <w:shd w:val="clear" w:color="auto" w:fill="235868"/>
            <w:vAlign w:val="center"/>
          </w:tcPr>
          <w:p w14:paraId="551188F3" w14:textId="2B84C962" w:rsidR="00162833" w:rsidRPr="0001094D" w:rsidRDefault="00984334" w:rsidP="00086F12">
            <w:pPr>
              <w:pStyle w:val="ListParagraph"/>
              <w:spacing w:before="0" w:after="0"/>
              <w:ind w:left="0"/>
              <w:jc w:val="center"/>
              <w:rPr>
                <w:rFonts w:asciiTheme="minorHAnsi" w:hAnsiTheme="minorHAnsi" w:cstheme="minorHAnsi"/>
                <w:b/>
                <w:color w:val="FFFFFF" w:themeColor="background1"/>
                <w:sz w:val="23"/>
                <w:szCs w:val="23"/>
              </w:rPr>
            </w:pPr>
            <w:r w:rsidRPr="0001094D">
              <w:rPr>
                <w:rFonts w:asciiTheme="minorHAnsi" w:hAnsiTheme="minorHAnsi" w:cstheme="minorHAnsi"/>
                <w:b/>
                <w:color w:val="FFFFFF" w:themeColor="background1"/>
                <w:sz w:val="23"/>
                <w:szCs w:val="23"/>
              </w:rPr>
              <w:t xml:space="preserve">EXAMPLE 1: COUNTRY IN WEST AFRICA </w:t>
            </w:r>
          </w:p>
        </w:tc>
      </w:tr>
      <w:tr w:rsidR="00162833" w:rsidRPr="0001094D" w14:paraId="617D17DB" w14:textId="77777777" w:rsidTr="00086F12">
        <w:trPr>
          <w:trHeight w:val="551"/>
        </w:trPr>
        <w:tc>
          <w:tcPr>
            <w:tcW w:w="1975" w:type="dxa"/>
          </w:tcPr>
          <w:p w14:paraId="4ED51092" w14:textId="3DF1FEA6" w:rsidR="00162833" w:rsidRPr="0001094D" w:rsidRDefault="00162833" w:rsidP="00086F12">
            <w:pPr>
              <w:spacing w:before="0" w:after="0"/>
              <w:jc w:val="left"/>
              <w:rPr>
                <w:rFonts w:asciiTheme="minorHAnsi" w:hAnsiTheme="minorHAnsi" w:cstheme="minorHAnsi"/>
                <w:color w:val="000000" w:themeColor="text1"/>
                <w:sz w:val="18"/>
                <w:szCs w:val="18"/>
              </w:rPr>
            </w:pPr>
            <w:r w:rsidRPr="0001094D">
              <w:rPr>
                <w:rFonts w:asciiTheme="minorHAnsi" w:hAnsiTheme="minorHAnsi" w:cstheme="minorHAnsi"/>
                <w:b/>
                <w:color w:val="000000" w:themeColor="text1"/>
                <w:sz w:val="18"/>
                <w:szCs w:val="18"/>
              </w:rPr>
              <w:t>Epidemiological situation</w:t>
            </w:r>
          </w:p>
        </w:tc>
        <w:tc>
          <w:tcPr>
            <w:tcW w:w="6655" w:type="dxa"/>
          </w:tcPr>
          <w:p w14:paraId="2072719B" w14:textId="440104F4" w:rsidR="00162833" w:rsidRPr="0001094D" w:rsidRDefault="00162833" w:rsidP="00086F12">
            <w:pPr>
              <w:pStyle w:val="ListParagraph"/>
              <w:spacing w:before="0" w:after="0"/>
              <w:ind w:left="0"/>
              <w:jc w:val="left"/>
              <w:rPr>
                <w:rFonts w:asciiTheme="minorHAnsi" w:hAnsiTheme="minorHAnsi" w:cstheme="minorHAnsi"/>
                <w:b/>
                <w:color w:val="000000" w:themeColor="text1"/>
                <w:sz w:val="24"/>
                <w:szCs w:val="24"/>
              </w:rPr>
            </w:pPr>
            <w:r w:rsidRPr="0001094D">
              <w:rPr>
                <w:rFonts w:asciiTheme="minorHAnsi" w:hAnsiTheme="minorHAnsi" w:cstheme="minorHAnsi"/>
                <w:color w:val="000000" w:themeColor="text1"/>
                <w:sz w:val="23"/>
                <w:szCs w:val="23"/>
              </w:rPr>
              <w:t xml:space="preserve">In strains of MDR-TB there is approximately &lt; 2% resistance to FQs, and approximately 30% resistance to </w:t>
            </w:r>
            <w:r w:rsidR="002F1874">
              <w:rPr>
                <w:rFonts w:asciiTheme="minorHAnsi" w:hAnsiTheme="minorHAnsi" w:cstheme="minorHAnsi"/>
                <w:bCs/>
                <w:color w:val="000000" w:themeColor="text1"/>
                <w:sz w:val="23"/>
                <w:szCs w:val="23"/>
              </w:rPr>
              <w:t>Z</w:t>
            </w:r>
            <w:r w:rsidRPr="0001094D">
              <w:rPr>
                <w:rFonts w:asciiTheme="minorHAnsi" w:hAnsiTheme="minorHAnsi" w:cstheme="minorHAnsi"/>
                <w:color w:val="000000" w:themeColor="text1"/>
                <w:sz w:val="23"/>
                <w:szCs w:val="23"/>
              </w:rPr>
              <w:t>.</w:t>
            </w:r>
          </w:p>
        </w:tc>
      </w:tr>
      <w:tr w:rsidR="00162833" w:rsidRPr="0001094D" w14:paraId="51CB5744" w14:textId="77777777" w:rsidTr="00086F12">
        <w:trPr>
          <w:trHeight w:val="551"/>
        </w:trPr>
        <w:tc>
          <w:tcPr>
            <w:tcW w:w="1975" w:type="dxa"/>
          </w:tcPr>
          <w:p w14:paraId="65A089D1" w14:textId="72C5D6B4" w:rsidR="00162833" w:rsidRPr="0001094D" w:rsidRDefault="00162833" w:rsidP="00086F12">
            <w:pPr>
              <w:pStyle w:val="ListParagraph"/>
              <w:spacing w:before="0" w:after="0"/>
              <w:ind w:left="0"/>
              <w:jc w:val="left"/>
              <w:rPr>
                <w:rFonts w:asciiTheme="minorHAnsi" w:hAnsiTheme="minorHAnsi" w:cstheme="minorHAnsi"/>
                <w:b/>
                <w:color w:val="000000" w:themeColor="text1"/>
                <w:sz w:val="18"/>
                <w:szCs w:val="18"/>
              </w:rPr>
            </w:pPr>
            <w:r w:rsidRPr="0001094D">
              <w:rPr>
                <w:rFonts w:asciiTheme="minorHAnsi" w:hAnsiTheme="minorHAnsi" w:cstheme="minorHAnsi"/>
                <w:b/>
                <w:color w:val="000000" w:themeColor="text1"/>
                <w:sz w:val="18"/>
                <w:szCs w:val="18"/>
              </w:rPr>
              <w:t>Access to DST</w:t>
            </w:r>
          </w:p>
        </w:tc>
        <w:tc>
          <w:tcPr>
            <w:tcW w:w="6655" w:type="dxa"/>
          </w:tcPr>
          <w:p w14:paraId="17091084" w14:textId="01D587F5" w:rsidR="00162833" w:rsidRPr="0001094D" w:rsidRDefault="00162833" w:rsidP="00086F12">
            <w:pPr>
              <w:pStyle w:val="ListParagraph"/>
              <w:spacing w:before="0" w:after="0"/>
              <w:ind w:left="0"/>
              <w:jc w:val="left"/>
              <w:rPr>
                <w:rFonts w:asciiTheme="minorHAnsi" w:hAnsiTheme="minorHAnsi" w:cstheme="minorHAnsi"/>
                <w:b/>
                <w:color w:val="000000" w:themeColor="text1"/>
                <w:sz w:val="24"/>
                <w:szCs w:val="24"/>
              </w:rPr>
            </w:pPr>
            <w:r w:rsidRPr="0001094D">
              <w:rPr>
                <w:rFonts w:asciiTheme="minorHAnsi" w:hAnsiTheme="minorHAnsi" w:cstheme="minorHAnsi"/>
                <w:color w:val="000000" w:themeColor="text1"/>
                <w:sz w:val="23"/>
                <w:szCs w:val="23"/>
              </w:rPr>
              <w:t>In</w:t>
            </w:r>
            <w:r w:rsidR="002F1874">
              <w:rPr>
                <w:rFonts w:asciiTheme="minorHAnsi" w:hAnsiTheme="minorHAnsi" w:cstheme="minorHAnsi"/>
                <w:bCs/>
                <w:color w:val="000000" w:themeColor="text1"/>
                <w:sz w:val="23"/>
                <w:szCs w:val="23"/>
              </w:rPr>
              <w:t>-</w:t>
            </w:r>
            <w:r w:rsidRPr="0001094D">
              <w:rPr>
                <w:rFonts w:asciiTheme="minorHAnsi" w:hAnsiTheme="minorHAnsi" w:cstheme="minorHAnsi"/>
                <w:color w:val="000000" w:themeColor="text1"/>
                <w:sz w:val="23"/>
                <w:szCs w:val="23"/>
              </w:rPr>
              <w:t xml:space="preserve">country rapid second-line DST is under development for FQs and no DST is planned for </w:t>
            </w:r>
            <w:r w:rsidR="002F1874">
              <w:rPr>
                <w:rFonts w:asciiTheme="minorHAnsi" w:hAnsiTheme="minorHAnsi" w:cstheme="minorHAnsi"/>
                <w:bCs/>
                <w:color w:val="000000" w:themeColor="text1"/>
                <w:sz w:val="23"/>
                <w:szCs w:val="23"/>
              </w:rPr>
              <w:t>Z</w:t>
            </w:r>
            <w:r w:rsidRPr="0001094D">
              <w:rPr>
                <w:rFonts w:asciiTheme="minorHAnsi" w:hAnsiTheme="minorHAnsi" w:cstheme="minorHAnsi"/>
                <w:bCs/>
                <w:color w:val="000000" w:themeColor="text1"/>
                <w:sz w:val="23"/>
                <w:szCs w:val="23"/>
              </w:rPr>
              <w:t>.</w:t>
            </w:r>
            <w:r w:rsidRPr="0001094D">
              <w:rPr>
                <w:rFonts w:asciiTheme="minorHAnsi" w:hAnsiTheme="minorHAnsi" w:cstheme="minorHAnsi"/>
                <w:color w:val="000000" w:themeColor="text1"/>
                <w:sz w:val="23"/>
                <w:szCs w:val="23"/>
              </w:rPr>
              <w:t xml:space="preserve">  Phenotypic DST is sent to a supra-national reference laboratory with a two</w:t>
            </w:r>
            <w:r w:rsidR="002F1874">
              <w:rPr>
                <w:rFonts w:asciiTheme="minorHAnsi" w:hAnsiTheme="minorHAnsi" w:cstheme="minorHAnsi"/>
                <w:bCs/>
                <w:color w:val="000000" w:themeColor="text1"/>
                <w:sz w:val="23"/>
                <w:szCs w:val="23"/>
              </w:rPr>
              <w:t>-</w:t>
            </w:r>
            <w:r w:rsidRPr="0001094D">
              <w:rPr>
                <w:rFonts w:asciiTheme="minorHAnsi" w:hAnsiTheme="minorHAnsi" w:cstheme="minorHAnsi"/>
                <w:color w:val="000000" w:themeColor="text1"/>
                <w:sz w:val="23"/>
                <w:szCs w:val="23"/>
              </w:rPr>
              <w:t>month turn</w:t>
            </w:r>
            <w:r w:rsidR="002F1874">
              <w:rPr>
                <w:rFonts w:asciiTheme="minorHAnsi" w:hAnsiTheme="minorHAnsi" w:cstheme="minorHAnsi"/>
                <w:bCs/>
                <w:color w:val="000000" w:themeColor="text1"/>
                <w:sz w:val="23"/>
                <w:szCs w:val="23"/>
              </w:rPr>
              <w:t>-</w:t>
            </w:r>
            <w:r w:rsidRPr="0001094D">
              <w:rPr>
                <w:rFonts w:asciiTheme="minorHAnsi" w:hAnsiTheme="minorHAnsi" w:cstheme="minorHAnsi"/>
                <w:color w:val="000000" w:themeColor="text1"/>
                <w:sz w:val="23"/>
                <w:szCs w:val="23"/>
              </w:rPr>
              <w:t xml:space="preserve">around </w:t>
            </w:r>
            <w:r w:rsidR="002F1874">
              <w:rPr>
                <w:rFonts w:asciiTheme="minorHAnsi" w:hAnsiTheme="minorHAnsi" w:cstheme="minorHAnsi"/>
                <w:bCs/>
                <w:color w:val="000000" w:themeColor="text1"/>
                <w:sz w:val="23"/>
                <w:szCs w:val="23"/>
              </w:rPr>
              <w:t xml:space="preserve">time </w:t>
            </w:r>
            <w:r w:rsidRPr="0001094D">
              <w:rPr>
                <w:rFonts w:asciiTheme="minorHAnsi" w:hAnsiTheme="minorHAnsi" w:cstheme="minorHAnsi"/>
                <w:color w:val="000000" w:themeColor="text1"/>
                <w:sz w:val="23"/>
                <w:szCs w:val="23"/>
              </w:rPr>
              <w:t xml:space="preserve">for FQs, injectables, </w:t>
            </w:r>
            <w:r w:rsidR="00965610">
              <w:rPr>
                <w:rFonts w:asciiTheme="minorHAnsi" w:hAnsiTheme="minorHAnsi" w:cstheme="minorHAnsi"/>
                <w:bCs/>
                <w:color w:val="000000" w:themeColor="text1"/>
                <w:sz w:val="23"/>
                <w:szCs w:val="23"/>
              </w:rPr>
              <w:t>E</w:t>
            </w:r>
            <w:r w:rsidRPr="0001094D">
              <w:rPr>
                <w:rFonts w:asciiTheme="minorHAnsi" w:hAnsiTheme="minorHAnsi" w:cstheme="minorHAnsi"/>
                <w:bCs/>
                <w:color w:val="000000" w:themeColor="text1"/>
                <w:sz w:val="23"/>
                <w:szCs w:val="23"/>
              </w:rPr>
              <w:t xml:space="preserve">, </w:t>
            </w:r>
            <w:r w:rsidR="00965610">
              <w:rPr>
                <w:rFonts w:asciiTheme="minorHAnsi" w:hAnsiTheme="minorHAnsi" w:cstheme="minorHAnsi"/>
                <w:bCs/>
                <w:color w:val="000000" w:themeColor="text1"/>
                <w:sz w:val="23"/>
                <w:szCs w:val="23"/>
              </w:rPr>
              <w:t>Eto</w:t>
            </w:r>
            <w:r w:rsidRPr="0001094D">
              <w:rPr>
                <w:rFonts w:asciiTheme="minorHAnsi" w:hAnsiTheme="minorHAnsi" w:cstheme="minorHAnsi"/>
                <w:color w:val="000000" w:themeColor="text1"/>
                <w:sz w:val="23"/>
                <w:szCs w:val="23"/>
              </w:rPr>
              <w:t xml:space="preserve">, and </w:t>
            </w:r>
            <w:r w:rsidR="00965610">
              <w:rPr>
                <w:rFonts w:asciiTheme="minorHAnsi" w:hAnsiTheme="minorHAnsi" w:cstheme="minorHAnsi"/>
                <w:bCs/>
                <w:color w:val="000000" w:themeColor="text1"/>
                <w:sz w:val="23"/>
                <w:szCs w:val="23"/>
              </w:rPr>
              <w:t>Z</w:t>
            </w:r>
            <w:r w:rsidRPr="0001094D">
              <w:rPr>
                <w:rFonts w:asciiTheme="minorHAnsi" w:hAnsiTheme="minorHAnsi" w:cstheme="minorHAnsi"/>
                <w:color w:val="000000" w:themeColor="text1"/>
                <w:sz w:val="23"/>
                <w:szCs w:val="23"/>
              </w:rPr>
              <w:t>.</w:t>
            </w:r>
          </w:p>
        </w:tc>
      </w:tr>
      <w:tr w:rsidR="00984334" w:rsidRPr="0001094D" w14:paraId="469F7107" w14:textId="77777777" w:rsidTr="00086F12">
        <w:tc>
          <w:tcPr>
            <w:tcW w:w="1975" w:type="dxa"/>
          </w:tcPr>
          <w:p w14:paraId="03CCE373" w14:textId="500FD5EA" w:rsidR="00984334" w:rsidRPr="0001094D" w:rsidRDefault="001C42E1" w:rsidP="0059246F">
            <w:pPr>
              <w:pStyle w:val="ListParagraph"/>
              <w:spacing w:before="0" w:after="0"/>
              <w:ind w:left="0"/>
              <w:jc w:val="left"/>
              <w:rPr>
                <w:rFonts w:asciiTheme="minorHAnsi" w:hAnsiTheme="minorHAnsi" w:cstheme="minorHAnsi"/>
                <w:b/>
                <w:color w:val="000000" w:themeColor="text1"/>
                <w:sz w:val="18"/>
                <w:szCs w:val="18"/>
              </w:rPr>
            </w:pPr>
            <w:r w:rsidRPr="0001094D">
              <w:rPr>
                <w:rFonts w:asciiTheme="minorHAnsi" w:hAnsiTheme="minorHAnsi" w:cstheme="minorHAnsi"/>
                <w:b/>
                <w:color w:val="000000" w:themeColor="text1"/>
                <w:sz w:val="18"/>
                <w:szCs w:val="18"/>
              </w:rPr>
              <w:t>Primary a</w:t>
            </w:r>
            <w:r w:rsidR="00984334" w:rsidRPr="0001094D">
              <w:rPr>
                <w:rFonts w:asciiTheme="minorHAnsi" w:hAnsiTheme="minorHAnsi" w:cstheme="minorHAnsi"/>
                <w:b/>
                <w:color w:val="000000" w:themeColor="text1"/>
                <w:sz w:val="18"/>
                <w:szCs w:val="18"/>
              </w:rPr>
              <w:t>ll-oral STR regimen</w:t>
            </w:r>
          </w:p>
        </w:tc>
        <w:tc>
          <w:tcPr>
            <w:tcW w:w="6655" w:type="dxa"/>
          </w:tcPr>
          <w:p w14:paraId="559B6C88" w14:textId="2DA395AB" w:rsidR="00984334" w:rsidRPr="0001094D" w:rsidRDefault="00984334">
            <w:pPr>
              <w:pStyle w:val="ListParagraph"/>
              <w:spacing w:before="0" w:after="0"/>
              <w:ind w:left="0"/>
              <w:jc w:val="left"/>
              <w:rPr>
                <w:rFonts w:asciiTheme="minorHAnsi" w:hAnsiTheme="minorHAnsi" w:cstheme="minorHAnsi"/>
                <w:b/>
                <w:color w:val="000000" w:themeColor="text1"/>
                <w:sz w:val="23"/>
                <w:szCs w:val="23"/>
              </w:rPr>
            </w:pPr>
            <w:r w:rsidRPr="0001094D">
              <w:rPr>
                <w:rFonts w:asciiTheme="minorHAnsi" w:hAnsiTheme="minorHAnsi" w:cstheme="minorHAnsi"/>
                <w:b/>
                <w:color w:val="000000" w:themeColor="text1"/>
                <w:sz w:val="23"/>
                <w:szCs w:val="23"/>
              </w:rPr>
              <w:t>Lfx-Bdq-Lzd-Cfz-Z</w:t>
            </w:r>
          </w:p>
        </w:tc>
      </w:tr>
      <w:tr w:rsidR="00984334" w:rsidRPr="0001094D" w14:paraId="4E657D23" w14:textId="77777777" w:rsidTr="00086F12">
        <w:tc>
          <w:tcPr>
            <w:tcW w:w="1975" w:type="dxa"/>
          </w:tcPr>
          <w:p w14:paraId="6DBFFF4B" w14:textId="027DC56A" w:rsidR="00984334" w:rsidRPr="0001094D" w:rsidRDefault="001E4378" w:rsidP="0059246F">
            <w:pPr>
              <w:pStyle w:val="ListParagraph"/>
              <w:spacing w:before="0" w:after="0"/>
              <w:ind w:left="0"/>
              <w:jc w:val="left"/>
              <w:rPr>
                <w:rFonts w:asciiTheme="minorHAnsi" w:hAnsiTheme="minorHAnsi" w:cstheme="minorHAnsi"/>
                <w:b/>
                <w:color w:val="000000" w:themeColor="text1"/>
                <w:sz w:val="18"/>
                <w:szCs w:val="18"/>
              </w:rPr>
            </w:pPr>
            <w:r w:rsidRPr="0001094D">
              <w:rPr>
                <w:rFonts w:asciiTheme="minorHAnsi" w:hAnsiTheme="minorHAnsi" w:cstheme="minorHAnsi"/>
                <w:b/>
                <w:color w:val="000000" w:themeColor="text1"/>
                <w:sz w:val="18"/>
                <w:szCs w:val="18"/>
              </w:rPr>
              <w:t>Advantages</w:t>
            </w:r>
          </w:p>
        </w:tc>
        <w:tc>
          <w:tcPr>
            <w:tcW w:w="6655" w:type="dxa"/>
          </w:tcPr>
          <w:p w14:paraId="775964AD" w14:textId="0E4D5C1D" w:rsidR="00EC335F" w:rsidRPr="0001094D" w:rsidRDefault="00EC335F" w:rsidP="00CB2F8E">
            <w:pPr>
              <w:pStyle w:val="ListParagraph"/>
              <w:numPr>
                <w:ilvl w:val="0"/>
                <w:numId w:val="26"/>
              </w:numPr>
              <w:rPr>
                <w:rFonts w:asciiTheme="minorHAnsi" w:hAnsiTheme="minorHAnsi" w:cstheme="minorHAnsi"/>
                <w:color w:val="000000" w:themeColor="text1"/>
                <w:sz w:val="23"/>
                <w:szCs w:val="23"/>
              </w:rPr>
            </w:pPr>
            <w:r w:rsidRPr="0001094D">
              <w:rPr>
                <w:rFonts w:asciiTheme="minorHAnsi" w:hAnsiTheme="minorHAnsi" w:cstheme="minorHAnsi"/>
                <w:color w:val="000000" w:themeColor="text1"/>
                <w:sz w:val="23"/>
                <w:szCs w:val="23"/>
              </w:rPr>
              <w:t xml:space="preserve">Uses all three Group A drugs and at least </w:t>
            </w:r>
            <w:r w:rsidR="00965610">
              <w:rPr>
                <w:rFonts w:asciiTheme="minorHAnsi" w:hAnsiTheme="minorHAnsi" w:cstheme="minorHAnsi"/>
                <w:bCs/>
                <w:color w:val="000000" w:themeColor="text1"/>
                <w:sz w:val="23"/>
                <w:szCs w:val="23"/>
              </w:rPr>
              <w:t>one</w:t>
            </w:r>
            <w:r w:rsidRPr="0001094D">
              <w:rPr>
                <w:rFonts w:asciiTheme="minorHAnsi" w:hAnsiTheme="minorHAnsi" w:cstheme="minorHAnsi"/>
                <w:color w:val="000000" w:themeColor="text1"/>
                <w:sz w:val="23"/>
                <w:szCs w:val="23"/>
              </w:rPr>
              <w:t xml:space="preserve"> Group B drug</w:t>
            </w:r>
            <w:r w:rsidR="00CD7247" w:rsidRPr="0001094D">
              <w:rPr>
                <w:rFonts w:asciiTheme="minorHAnsi" w:hAnsiTheme="minorHAnsi" w:cstheme="minorHAnsi"/>
                <w:color w:val="000000" w:themeColor="text1"/>
                <w:sz w:val="23"/>
                <w:szCs w:val="23"/>
              </w:rPr>
              <w:t>.</w:t>
            </w:r>
          </w:p>
          <w:p w14:paraId="3B782C98" w14:textId="75B25135" w:rsidR="00EC335F" w:rsidRPr="0001094D" w:rsidRDefault="00874B9B" w:rsidP="00CB2F8E">
            <w:pPr>
              <w:pStyle w:val="ListParagraph"/>
              <w:numPr>
                <w:ilvl w:val="0"/>
                <w:numId w:val="26"/>
              </w:numPr>
              <w:rPr>
                <w:rFonts w:asciiTheme="minorHAnsi" w:hAnsiTheme="minorHAnsi" w:cstheme="minorHAnsi"/>
                <w:color w:val="000000" w:themeColor="text1"/>
                <w:sz w:val="23"/>
                <w:szCs w:val="23"/>
              </w:rPr>
            </w:pPr>
            <w:r>
              <w:rPr>
                <w:rFonts w:asciiTheme="minorHAnsi" w:hAnsiTheme="minorHAnsi" w:cstheme="minorHAnsi"/>
                <w:color w:val="000000" w:themeColor="text1"/>
                <w:sz w:val="23"/>
                <w:szCs w:val="23"/>
              </w:rPr>
              <w:lastRenderedPageBreak/>
              <w:t>Moderate</w:t>
            </w:r>
            <w:r w:rsidR="00EC335F" w:rsidRPr="0001094D">
              <w:rPr>
                <w:rFonts w:asciiTheme="minorHAnsi" w:hAnsiTheme="minorHAnsi" w:cstheme="minorHAnsi"/>
                <w:color w:val="000000" w:themeColor="text1"/>
                <w:sz w:val="23"/>
                <w:szCs w:val="23"/>
              </w:rPr>
              <w:t xml:space="preserve"> cost</w:t>
            </w:r>
            <w:r w:rsidR="00EC2D99">
              <w:rPr>
                <w:rFonts w:asciiTheme="minorHAnsi" w:hAnsiTheme="minorHAnsi" w:cstheme="minorHAnsi"/>
                <w:color w:val="000000" w:themeColor="text1"/>
                <w:sz w:val="23"/>
                <w:szCs w:val="23"/>
              </w:rPr>
              <w:t>s</w:t>
            </w:r>
            <w:r w:rsidR="00EC335F" w:rsidRPr="0001094D">
              <w:rPr>
                <w:rFonts w:asciiTheme="minorHAnsi" w:hAnsiTheme="minorHAnsi" w:cstheme="minorHAnsi"/>
                <w:color w:val="000000" w:themeColor="text1"/>
                <w:sz w:val="23"/>
                <w:szCs w:val="23"/>
              </w:rPr>
              <w:t xml:space="preserve"> for </w:t>
            </w:r>
            <w:r w:rsidR="00842129">
              <w:rPr>
                <w:rFonts w:asciiTheme="minorHAnsi" w:hAnsiTheme="minorHAnsi" w:cstheme="minorHAnsi"/>
                <w:color w:val="000000" w:themeColor="text1"/>
                <w:sz w:val="23"/>
                <w:szCs w:val="23"/>
              </w:rPr>
              <w:t xml:space="preserve">the </w:t>
            </w:r>
            <w:r w:rsidR="00EC335F" w:rsidRPr="0001094D">
              <w:rPr>
                <w:rFonts w:asciiTheme="minorHAnsi" w:hAnsiTheme="minorHAnsi" w:cstheme="minorHAnsi"/>
                <w:color w:val="000000" w:themeColor="text1"/>
                <w:sz w:val="23"/>
                <w:szCs w:val="23"/>
              </w:rPr>
              <w:t>drugs</w:t>
            </w:r>
            <w:r w:rsidR="00842129">
              <w:rPr>
                <w:rFonts w:asciiTheme="minorHAnsi" w:hAnsiTheme="minorHAnsi" w:cstheme="minorHAnsi"/>
                <w:color w:val="000000" w:themeColor="text1"/>
                <w:sz w:val="23"/>
                <w:szCs w:val="23"/>
              </w:rPr>
              <w:t xml:space="preserve"> in the regimen</w:t>
            </w:r>
            <w:r w:rsidR="00CD7247" w:rsidRPr="0001094D">
              <w:rPr>
                <w:rFonts w:asciiTheme="minorHAnsi" w:hAnsiTheme="minorHAnsi" w:cstheme="minorHAnsi"/>
                <w:color w:val="000000" w:themeColor="text1"/>
                <w:sz w:val="23"/>
                <w:szCs w:val="23"/>
              </w:rPr>
              <w:t>.</w:t>
            </w:r>
          </w:p>
          <w:p w14:paraId="0C53A4DB" w14:textId="74E08F0D" w:rsidR="00EC335F" w:rsidRPr="0001094D" w:rsidRDefault="00965610" w:rsidP="00CB2F8E">
            <w:pPr>
              <w:pStyle w:val="ListParagraph"/>
              <w:numPr>
                <w:ilvl w:val="0"/>
                <w:numId w:val="26"/>
              </w:numPr>
              <w:rPr>
                <w:rFonts w:asciiTheme="minorHAnsi" w:hAnsiTheme="minorHAnsi" w:cstheme="minorHAnsi"/>
                <w:color w:val="000000" w:themeColor="text1"/>
                <w:sz w:val="23"/>
                <w:szCs w:val="23"/>
              </w:rPr>
            </w:pPr>
            <w:r>
              <w:rPr>
                <w:rFonts w:asciiTheme="minorHAnsi" w:hAnsiTheme="minorHAnsi" w:cstheme="minorHAnsi"/>
                <w:color w:val="000000" w:themeColor="text1"/>
                <w:sz w:val="23"/>
                <w:szCs w:val="23"/>
              </w:rPr>
              <w:t>Z</w:t>
            </w:r>
            <w:r w:rsidR="00EC335F" w:rsidRPr="0001094D">
              <w:rPr>
                <w:rFonts w:asciiTheme="minorHAnsi" w:hAnsiTheme="minorHAnsi" w:cstheme="minorHAnsi"/>
                <w:color w:val="000000" w:themeColor="text1"/>
                <w:sz w:val="23"/>
                <w:szCs w:val="23"/>
              </w:rPr>
              <w:t xml:space="preserve"> is effective in 70% of patients and can be dropped at the 2-month mark if resistance is documented. </w:t>
            </w:r>
          </w:p>
          <w:p w14:paraId="2F403CB3" w14:textId="57AF2BCE" w:rsidR="00984334" w:rsidRPr="0001094D" w:rsidRDefault="00EC335F" w:rsidP="00CB2F8E">
            <w:pPr>
              <w:pStyle w:val="ListParagraph"/>
              <w:numPr>
                <w:ilvl w:val="0"/>
                <w:numId w:val="26"/>
              </w:numPr>
              <w:rPr>
                <w:rFonts w:asciiTheme="minorHAnsi" w:hAnsiTheme="minorHAnsi" w:cstheme="minorHAnsi"/>
                <w:color w:val="000000" w:themeColor="text1"/>
                <w:sz w:val="23"/>
                <w:szCs w:val="23"/>
              </w:rPr>
            </w:pPr>
            <w:r w:rsidRPr="0001094D">
              <w:rPr>
                <w:rFonts w:asciiTheme="minorHAnsi" w:hAnsiTheme="minorHAnsi" w:cstheme="minorHAnsi"/>
                <w:color w:val="000000" w:themeColor="text1"/>
                <w:sz w:val="23"/>
                <w:szCs w:val="23"/>
              </w:rPr>
              <w:t>It is a regimen being used in an RCT (endTB Clinical Trial)</w:t>
            </w:r>
            <w:r w:rsidR="00CB5964">
              <w:rPr>
                <w:rFonts w:asciiTheme="minorHAnsi" w:hAnsiTheme="minorHAnsi" w:cstheme="minorHAnsi"/>
                <w:color w:val="000000" w:themeColor="text1"/>
                <w:sz w:val="23"/>
                <w:szCs w:val="23"/>
              </w:rPr>
              <w:t>.</w:t>
            </w:r>
          </w:p>
        </w:tc>
      </w:tr>
      <w:tr w:rsidR="001E4378" w:rsidRPr="0001094D" w14:paraId="19B8C833" w14:textId="77777777" w:rsidTr="00D92D68">
        <w:tc>
          <w:tcPr>
            <w:tcW w:w="1975" w:type="dxa"/>
          </w:tcPr>
          <w:p w14:paraId="267E86F3" w14:textId="10B74C9A" w:rsidR="001E4378" w:rsidRPr="0001094D" w:rsidRDefault="001E4378" w:rsidP="0059246F">
            <w:pPr>
              <w:pStyle w:val="ListParagraph"/>
              <w:spacing w:before="0" w:after="0"/>
              <w:ind w:left="0"/>
              <w:jc w:val="left"/>
              <w:rPr>
                <w:rFonts w:asciiTheme="minorHAnsi" w:hAnsiTheme="minorHAnsi" w:cstheme="minorHAnsi"/>
                <w:b/>
                <w:color w:val="000000" w:themeColor="text1"/>
                <w:sz w:val="18"/>
                <w:szCs w:val="18"/>
              </w:rPr>
            </w:pPr>
            <w:r w:rsidRPr="0001094D">
              <w:rPr>
                <w:rFonts w:asciiTheme="minorHAnsi" w:hAnsiTheme="minorHAnsi" w:cstheme="minorHAnsi"/>
                <w:b/>
                <w:color w:val="000000" w:themeColor="text1"/>
                <w:sz w:val="18"/>
                <w:szCs w:val="18"/>
              </w:rPr>
              <w:lastRenderedPageBreak/>
              <w:t xml:space="preserve">Disadvantages </w:t>
            </w:r>
          </w:p>
        </w:tc>
        <w:tc>
          <w:tcPr>
            <w:tcW w:w="6655" w:type="dxa"/>
          </w:tcPr>
          <w:p w14:paraId="4677BE99" w14:textId="54E24C3F" w:rsidR="00EC335F" w:rsidRPr="0001094D" w:rsidRDefault="00EC335F"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01094D">
              <w:rPr>
                <w:rFonts w:asciiTheme="minorHAnsi" w:hAnsiTheme="minorHAnsi" w:cstheme="minorHAnsi"/>
                <w:color w:val="000000" w:themeColor="text1"/>
                <w:sz w:val="23"/>
                <w:szCs w:val="23"/>
              </w:rPr>
              <w:t xml:space="preserve">Has two </w:t>
            </w:r>
            <w:r w:rsidR="007A10D5">
              <w:rPr>
                <w:rFonts w:asciiTheme="minorHAnsi" w:hAnsiTheme="minorHAnsi" w:cstheme="minorHAnsi"/>
                <w:color w:val="000000" w:themeColor="text1"/>
                <w:sz w:val="23"/>
                <w:szCs w:val="23"/>
              </w:rPr>
              <w:t>moderate</w:t>
            </w:r>
            <w:r w:rsidR="007A10D5" w:rsidRPr="0001094D">
              <w:rPr>
                <w:rFonts w:asciiTheme="minorHAnsi" w:hAnsiTheme="minorHAnsi" w:cstheme="minorHAnsi"/>
                <w:color w:val="000000" w:themeColor="text1"/>
                <w:sz w:val="23"/>
                <w:szCs w:val="23"/>
              </w:rPr>
              <w:t xml:space="preserve"> </w:t>
            </w:r>
            <w:r w:rsidRPr="0001094D">
              <w:rPr>
                <w:rFonts w:asciiTheme="minorHAnsi" w:hAnsiTheme="minorHAnsi" w:cstheme="minorHAnsi"/>
                <w:color w:val="000000" w:themeColor="text1"/>
                <w:sz w:val="23"/>
                <w:szCs w:val="23"/>
              </w:rPr>
              <w:t>QT prolonging drugs (</w:t>
            </w:r>
            <w:r w:rsidR="00965610">
              <w:rPr>
                <w:rFonts w:asciiTheme="minorHAnsi" w:hAnsiTheme="minorHAnsi" w:cstheme="minorHAnsi"/>
                <w:bCs/>
                <w:color w:val="000000" w:themeColor="text1"/>
                <w:sz w:val="23"/>
                <w:szCs w:val="23"/>
              </w:rPr>
              <w:t>Bdq</w:t>
            </w:r>
            <w:r w:rsidRPr="0001094D">
              <w:rPr>
                <w:rFonts w:asciiTheme="minorHAnsi" w:hAnsiTheme="minorHAnsi" w:cstheme="minorHAnsi"/>
                <w:color w:val="000000" w:themeColor="text1"/>
                <w:sz w:val="23"/>
                <w:szCs w:val="23"/>
              </w:rPr>
              <w:t xml:space="preserve"> and </w:t>
            </w:r>
            <w:r w:rsidR="00965610">
              <w:rPr>
                <w:rFonts w:asciiTheme="minorHAnsi" w:hAnsiTheme="minorHAnsi" w:cstheme="minorHAnsi"/>
                <w:bCs/>
                <w:color w:val="000000" w:themeColor="text1"/>
                <w:sz w:val="23"/>
                <w:szCs w:val="23"/>
              </w:rPr>
              <w:t>Cfz</w:t>
            </w:r>
            <w:r w:rsidRPr="0001094D">
              <w:rPr>
                <w:rFonts w:asciiTheme="minorHAnsi" w:hAnsiTheme="minorHAnsi" w:cstheme="minorHAnsi"/>
                <w:color w:val="000000" w:themeColor="text1"/>
                <w:sz w:val="23"/>
                <w:szCs w:val="23"/>
              </w:rPr>
              <w:t>)</w:t>
            </w:r>
            <w:r w:rsidR="00D249D1" w:rsidRPr="0001094D">
              <w:rPr>
                <w:rFonts w:asciiTheme="minorHAnsi" w:hAnsiTheme="minorHAnsi" w:cstheme="minorHAnsi"/>
                <w:color w:val="000000" w:themeColor="text1"/>
                <w:sz w:val="23"/>
                <w:szCs w:val="23"/>
              </w:rPr>
              <w:t xml:space="preserve">; however, both drugs are endorsed to be used together as an option for LTR by the WHO. </w:t>
            </w:r>
          </w:p>
          <w:p w14:paraId="495D41F9" w14:textId="626746A7" w:rsidR="001E4378" w:rsidRPr="0001094D" w:rsidRDefault="00EC335F"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01094D">
              <w:rPr>
                <w:rFonts w:asciiTheme="minorHAnsi" w:hAnsiTheme="minorHAnsi" w:cstheme="minorHAnsi"/>
                <w:color w:val="000000" w:themeColor="text1"/>
                <w:sz w:val="23"/>
                <w:szCs w:val="23"/>
              </w:rPr>
              <w:t>May have drug-drug interactions with some ARTs</w:t>
            </w:r>
            <w:r w:rsidR="00CB5964">
              <w:rPr>
                <w:rFonts w:asciiTheme="minorHAnsi" w:hAnsiTheme="minorHAnsi" w:cstheme="minorHAnsi"/>
                <w:color w:val="000000" w:themeColor="text1"/>
                <w:sz w:val="23"/>
                <w:szCs w:val="23"/>
              </w:rPr>
              <w:t>.</w:t>
            </w:r>
          </w:p>
        </w:tc>
      </w:tr>
    </w:tbl>
    <w:p w14:paraId="414EAC0E" w14:textId="342FA154" w:rsidR="00F22261" w:rsidRPr="00D64890" w:rsidRDefault="00F22261" w:rsidP="0072332B">
      <w:pPr>
        <w:spacing w:before="0" w:after="0"/>
        <w:jc w:val="left"/>
        <w:rPr>
          <w:bCs/>
          <w:color w:val="000000" w:themeColor="text1"/>
          <w:sz w:val="20"/>
          <w:szCs w:val="20"/>
        </w:rPr>
      </w:pPr>
    </w:p>
    <w:p w14:paraId="0EDE91CA" w14:textId="77777777" w:rsidR="00B6441C" w:rsidRPr="00DE5FDC" w:rsidRDefault="00B6441C" w:rsidP="0059246F">
      <w:pPr>
        <w:pStyle w:val="ListParagraph"/>
        <w:spacing w:before="0" w:after="0"/>
        <w:jc w:val="left"/>
        <w:rPr>
          <w:bCs/>
          <w:color w:val="000000" w:themeColor="text1"/>
          <w:sz w:val="11"/>
          <w:szCs w:val="11"/>
        </w:rPr>
      </w:pPr>
    </w:p>
    <w:p w14:paraId="08D989EA" w14:textId="77777777" w:rsidR="00B6441C" w:rsidRPr="00B85017" w:rsidRDefault="00B6441C" w:rsidP="0059246F">
      <w:pPr>
        <w:pStyle w:val="ListParagraph"/>
        <w:spacing w:before="0" w:after="0"/>
        <w:jc w:val="left"/>
        <w:rPr>
          <w:bCs/>
          <w:color w:val="000000" w:themeColor="text1"/>
          <w:sz w:val="23"/>
          <w:szCs w:val="23"/>
        </w:rPr>
      </w:pPr>
    </w:p>
    <w:tbl>
      <w:tblPr>
        <w:tblStyle w:val="TableGrid"/>
        <w:tblW w:w="8630" w:type="dxa"/>
        <w:tblInd w:w="720" w:type="dxa"/>
        <w:tblLook w:val="04A0" w:firstRow="1" w:lastRow="0" w:firstColumn="1" w:lastColumn="0" w:noHBand="0" w:noVBand="1"/>
      </w:tblPr>
      <w:tblGrid>
        <w:gridCol w:w="1975"/>
        <w:gridCol w:w="6655"/>
      </w:tblGrid>
      <w:tr w:rsidR="00B6441C" w:rsidRPr="00965610" w14:paraId="2E81C89C" w14:textId="77777777" w:rsidTr="00093E2C">
        <w:trPr>
          <w:trHeight w:val="552"/>
        </w:trPr>
        <w:tc>
          <w:tcPr>
            <w:tcW w:w="8630" w:type="dxa"/>
            <w:gridSpan w:val="2"/>
            <w:shd w:val="clear" w:color="auto" w:fill="235868"/>
            <w:vAlign w:val="center"/>
          </w:tcPr>
          <w:p w14:paraId="5D9EC1E8" w14:textId="0A0E29DE" w:rsidR="00B6441C" w:rsidRPr="00965610" w:rsidRDefault="00B6441C" w:rsidP="007F406E">
            <w:pPr>
              <w:pStyle w:val="ListParagraph"/>
              <w:spacing w:before="0" w:after="0"/>
              <w:ind w:left="0"/>
              <w:jc w:val="center"/>
              <w:rPr>
                <w:rFonts w:asciiTheme="minorHAnsi" w:hAnsiTheme="minorHAnsi" w:cstheme="minorHAnsi"/>
                <w:b/>
                <w:color w:val="FFFFFF" w:themeColor="background1"/>
                <w:sz w:val="23"/>
                <w:szCs w:val="23"/>
              </w:rPr>
            </w:pPr>
            <w:r w:rsidRPr="00965610">
              <w:rPr>
                <w:rFonts w:asciiTheme="minorHAnsi" w:hAnsiTheme="minorHAnsi" w:cstheme="minorHAnsi"/>
                <w:b/>
                <w:color w:val="FFFFFF" w:themeColor="background1"/>
                <w:sz w:val="23"/>
                <w:szCs w:val="23"/>
              </w:rPr>
              <w:t xml:space="preserve">EXAMPLE </w:t>
            </w:r>
            <w:r w:rsidR="00265678" w:rsidRPr="00965610">
              <w:rPr>
                <w:rFonts w:asciiTheme="minorHAnsi" w:hAnsiTheme="minorHAnsi" w:cstheme="minorHAnsi"/>
                <w:b/>
                <w:color w:val="FFFFFF" w:themeColor="background1"/>
                <w:sz w:val="23"/>
                <w:szCs w:val="23"/>
              </w:rPr>
              <w:t>2</w:t>
            </w:r>
            <w:r w:rsidRPr="00965610">
              <w:rPr>
                <w:rFonts w:asciiTheme="minorHAnsi" w:hAnsiTheme="minorHAnsi" w:cstheme="minorHAnsi"/>
                <w:b/>
                <w:color w:val="FFFFFF" w:themeColor="background1"/>
                <w:sz w:val="23"/>
                <w:szCs w:val="23"/>
              </w:rPr>
              <w:t xml:space="preserve">: COUNTRY IN SOUTHERN AFRICA </w:t>
            </w:r>
          </w:p>
        </w:tc>
      </w:tr>
      <w:tr w:rsidR="00B6441C" w:rsidRPr="00965610" w14:paraId="191B7FB5" w14:textId="77777777" w:rsidTr="00D92D68">
        <w:trPr>
          <w:trHeight w:val="551"/>
        </w:trPr>
        <w:tc>
          <w:tcPr>
            <w:tcW w:w="1975" w:type="dxa"/>
          </w:tcPr>
          <w:p w14:paraId="43F9CEA8" w14:textId="77777777" w:rsidR="00B6441C" w:rsidRPr="00965610" w:rsidRDefault="00B6441C" w:rsidP="007F406E">
            <w:pPr>
              <w:spacing w:before="0" w:after="0"/>
              <w:jc w:val="left"/>
              <w:rPr>
                <w:rFonts w:asciiTheme="minorHAnsi" w:hAnsiTheme="minorHAnsi" w:cstheme="minorHAnsi"/>
                <w:color w:val="000000" w:themeColor="text1"/>
                <w:sz w:val="18"/>
                <w:szCs w:val="18"/>
              </w:rPr>
            </w:pPr>
            <w:r w:rsidRPr="00965610">
              <w:rPr>
                <w:rFonts w:asciiTheme="minorHAnsi" w:hAnsiTheme="minorHAnsi" w:cstheme="minorHAnsi"/>
                <w:b/>
                <w:color w:val="000000" w:themeColor="text1"/>
                <w:sz w:val="18"/>
                <w:szCs w:val="18"/>
              </w:rPr>
              <w:t>Epidemiological situation</w:t>
            </w:r>
          </w:p>
        </w:tc>
        <w:tc>
          <w:tcPr>
            <w:tcW w:w="6655" w:type="dxa"/>
          </w:tcPr>
          <w:p w14:paraId="6179CF88" w14:textId="0893FF9B" w:rsidR="00B6441C" w:rsidRPr="00965610" w:rsidRDefault="00B6441C" w:rsidP="007F406E">
            <w:pPr>
              <w:pStyle w:val="ListParagraph"/>
              <w:spacing w:before="0" w:after="0"/>
              <w:ind w:left="0"/>
              <w:jc w:val="left"/>
              <w:rPr>
                <w:rFonts w:asciiTheme="minorHAnsi" w:hAnsiTheme="minorHAnsi" w:cstheme="minorHAnsi"/>
                <w:b/>
                <w:color w:val="000000" w:themeColor="text1"/>
                <w:sz w:val="24"/>
                <w:szCs w:val="24"/>
              </w:rPr>
            </w:pPr>
            <w:r w:rsidRPr="00965610">
              <w:rPr>
                <w:rFonts w:asciiTheme="minorHAnsi" w:hAnsiTheme="minorHAnsi" w:cstheme="minorHAnsi"/>
                <w:color w:val="000000" w:themeColor="text1"/>
                <w:sz w:val="23"/>
                <w:szCs w:val="23"/>
              </w:rPr>
              <w:t xml:space="preserve">In strains of MDR-TB there is approximately &lt; 5% resistance to FQs, and approximately </w:t>
            </w:r>
            <w:r w:rsidR="00AC64AD">
              <w:rPr>
                <w:rFonts w:asciiTheme="minorHAnsi" w:hAnsiTheme="minorHAnsi" w:cstheme="minorHAnsi"/>
                <w:color w:val="000000" w:themeColor="text1"/>
                <w:sz w:val="23"/>
                <w:szCs w:val="23"/>
              </w:rPr>
              <w:t>6</w:t>
            </w:r>
            <w:r w:rsidRPr="00965610">
              <w:rPr>
                <w:rFonts w:asciiTheme="minorHAnsi" w:hAnsiTheme="minorHAnsi" w:cstheme="minorHAnsi"/>
                <w:color w:val="000000" w:themeColor="text1"/>
                <w:sz w:val="23"/>
                <w:szCs w:val="23"/>
              </w:rPr>
              <w:t xml:space="preserve">0% resistance to </w:t>
            </w:r>
            <w:r w:rsidR="00965610">
              <w:rPr>
                <w:rFonts w:asciiTheme="minorHAnsi" w:hAnsiTheme="minorHAnsi" w:cstheme="minorHAnsi"/>
                <w:bCs/>
                <w:color w:val="000000" w:themeColor="text1"/>
                <w:sz w:val="23"/>
                <w:szCs w:val="23"/>
              </w:rPr>
              <w:t>Z</w:t>
            </w:r>
            <w:r w:rsidRPr="00965610">
              <w:rPr>
                <w:rFonts w:asciiTheme="minorHAnsi" w:hAnsiTheme="minorHAnsi" w:cstheme="minorHAnsi"/>
                <w:bCs/>
                <w:color w:val="000000" w:themeColor="text1"/>
                <w:sz w:val="23"/>
                <w:szCs w:val="23"/>
              </w:rPr>
              <w:t>.</w:t>
            </w:r>
            <w:r w:rsidRPr="00965610">
              <w:rPr>
                <w:rFonts w:asciiTheme="minorHAnsi" w:hAnsiTheme="minorHAnsi" w:cstheme="minorHAnsi"/>
                <w:color w:val="000000" w:themeColor="text1"/>
                <w:sz w:val="23"/>
                <w:szCs w:val="23"/>
              </w:rPr>
              <w:t xml:space="preserve">  80% HIV prevalence in TB patients.</w:t>
            </w:r>
          </w:p>
        </w:tc>
      </w:tr>
      <w:tr w:rsidR="00B6441C" w:rsidRPr="00965610" w14:paraId="14399A14" w14:textId="77777777" w:rsidTr="00D92D68">
        <w:trPr>
          <w:trHeight w:val="551"/>
        </w:trPr>
        <w:tc>
          <w:tcPr>
            <w:tcW w:w="1975" w:type="dxa"/>
          </w:tcPr>
          <w:p w14:paraId="4EFEFA6D" w14:textId="77777777" w:rsidR="00B6441C" w:rsidRPr="00965610" w:rsidRDefault="00B6441C" w:rsidP="007F406E">
            <w:pPr>
              <w:pStyle w:val="ListParagraph"/>
              <w:spacing w:before="0" w:after="0"/>
              <w:ind w:left="0"/>
              <w:jc w:val="left"/>
              <w:rPr>
                <w:rFonts w:asciiTheme="minorHAnsi" w:hAnsiTheme="minorHAnsi" w:cstheme="minorHAnsi"/>
                <w:b/>
                <w:color w:val="000000" w:themeColor="text1"/>
                <w:sz w:val="18"/>
                <w:szCs w:val="18"/>
              </w:rPr>
            </w:pPr>
            <w:r w:rsidRPr="00965610">
              <w:rPr>
                <w:rFonts w:asciiTheme="minorHAnsi" w:hAnsiTheme="minorHAnsi" w:cstheme="minorHAnsi"/>
                <w:b/>
                <w:color w:val="000000" w:themeColor="text1"/>
                <w:sz w:val="18"/>
                <w:szCs w:val="18"/>
              </w:rPr>
              <w:t>Access to DST</w:t>
            </w:r>
          </w:p>
        </w:tc>
        <w:tc>
          <w:tcPr>
            <w:tcW w:w="6655" w:type="dxa"/>
          </w:tcPr>
          <w:p w14:paraId="26D9FFDD" w14:textId="45FDDB12" w:rsidR="00B6441C" w:rsidRPr="00965610" w:rsidRDefault="00DC6724" w:rsidP="007F406E">
            <w:pPr>
              <w:pStyle w:val="ListParagraph"/>
              <w:spacing w:before="0" w:after="0"/>
              <w:ind w:left="0"/>
              <w:jc w:val="left"/>
              <w:rPr>
                <w:rFonts w:asciiTheme="minorHAnsi" w:hAnsiTheme="minorHAnsi" w:cstheme="minorHAnsi"/>
                <w:b/>
                <w:color w:val="000000" w:themeColor="text1"/>
                <w:sz w:val="24"/>
                <w:szCs w:val="24"/>
              </w:rPr>
            </w:pPr>
            <w:r w:rsidRPr="00965610">
              <w:rPr>
                <w:rFonts w:asciiTheme="minorHAnsi" w:hAnsiTheme="minorHAnsi" w:cstheme="minorHAnsi"/>
                <w:color w:val="000000" w:themeColor="text1"/>
                <w:sz w:val="23"/>
                <w:szCs w:val="23"/>
              </w:rPr>
              <w:t>In</w:t>
            </w:r>
            <w:r w:rsidR="00965610">
              <w:rPr>
                <w:rFonts w:asciiTheme="minorHAnsi" w:hAnsiTheme="minorHAnsi" w:cstheme="minorHAnsi"/>
                <w:bCs/>
                <w:color w:val="000000" w:themeColor="text1"/>
                <w:sz w:val="23"/>
                <w:szCs w:val="23"/>
              </w:rPr>
              <w:t>-</w:t>
            </w:r>
            <w:r w:rsidRPr="00965610">
              <w:rPr>
                <w:rFonts w:asciiTheme="minorHAnsi" w:hAnsiTheme="minorHAnsi" w:cstheme="minorHAnsi"/>
                <w:color w:val="000000" w:themeColor="text1"/>
                <w:sz w:val="23"/>
                <w:szCs w:val="23"/>
              </w:rPr>
              <w:t xml:space="preserve">country rapid second-line DST for FQs in available and no DST is planned for </w:t>
            </w:r>
            <w:r w:rsidR="007A7B2F">
              <w:rPr>
                <w:rFonts w:asciiTheme="minorHAnsi" w:hAnsiTheme="minorHAnsi" w:cstheme="minorHAnsi"/>
                <w:bCs/>
                <w:color w:val="000000" w:themeColor="text1"/>
                <w:sz w:val="23"/>
                <w:szCs w:val="23"/>
              </w:rPr>
              <w:t>Z</w:t>
            </w:r>
            <w:r w:rsidRPr="00965610">
              <w:rPr>
                <w:rFonts w:asciiTheme="minorHAnsi" w:hAnsiTheme="minorHAnsi" w:cstheme="minorHAnsi"/>
                <w:bCs/>
                <w:color w:val="000000" w:themeColor="text1"/>
                <w:sz w:val="23"/>
                <w:szCs w:val="23"/>
              </w:rPr>
              <w:t>.</w:t>
            </w:r>
            <w:r w:rsidRPr="00965610">
              <w:rPr>
                <w:rFonts w:asciiTheme="minorHAnsi" w:hAnsiTheme="minorHAnsi" w:cstheme="minorHAnsi"/>
                <w:color w:val="000000" w:themeColor="text1"/>
                <w:sz w:val="23"/>
                <w:szCs w:val="23"/>
              </w:rPr>
              <w:t xml:space="preserve">  Second-line phenotypic DST is available for FQs.</w:t>
            </w:r>
          </w:p>
        </w:tc>
      </w:tr>
      <w:tr w:rsidR="00B6441C" w:rsidRPr="00965610" w14:paraId="69B1E063" w14:textId="77777777" w:rsidTr="00D92D68">
        <w:tc>
          <w:tcPr>
            <w:tcW w:w="1975" w:type="dxa"/>
          </w:tcPr>
          <w:p w14:paraId="00D8AE1D" w14:textId="27674AFD" w:rsidR="00B6441C" w:rsidRPr="00965610" w:rsidRDefault="001C42E1" w:rsidP="007F406E">
            <w:pPr>
              <w:pStyle w:val="ListParagraph"/>
              <w:spacing w:before="0" w:after="0"/>
              <w:ind w:left="0"/>
              <w:jc w:val="left"/>
              <w:rPr>
                <w:rFonts w:asciiTheme="minorHAnsi" w:hAnsiTheme="minorHAnsi" w:cstheme="minorHAnsi"/>
                <w:b/>
                <w:color w:val="000000" w:themeColor="text1"/>
                <w:sz w:val="18"/>
                <w:szCs w:val="18"/>
              </w:rPr>
            </w:pPr>
            <w:r w:rsidRPr="00965610">
              <w:rPr>
                <w:rFonts w:asciiTheme="minorHAnsi" w:hAnsiTheme="minorHAnsi" w:cstheme="minorHAnsi"/>
                <w:b/>
                <w:color w:val="000000" w:themeColor="text1"/>
                <w:sz w:val="18"/>
                <w:szCs w:val="18"/>
              </w:rPr>
              <w:t>Primary all-oral STR regimen</w:t>
            </w:r>
          </w:p>
        </w:tc>
        <w:tc>
          <w:tcPr>
            <w:tcW w:w="6655" w:type="dxa"/>
          </w:tcPr>
          <w:p w14:paraId="139C2E88" w14:textId="4CD6F264" w:rsidR="00B6441C" w:rsidRPr="00965610" w:rsidRDefault="00DC6724" w:rsidP="007F406E">
            <w:pPr>
              <w:pStyle w:val="ListParagraph"/>
              <w:spacing w:before="0" w:after="0"/>
              <w:ind w:left="0"/>
              <w:jc w:val="left"/>
              <w:rPr>
                <w:rFonts w:asciiTheme="minorHAnsi" w:hAnsiTheme="minorHAnsi" w:cstheme="minorHAnsi"/>
                <w:b/>
                <w:color w:val="000000" w:themeColor="text1"/>
                <w:sz w:val="23"/>
                <w:szCs w:val="23"/>
              </w:rPr>
            </w:pPr>
            <w:r w:rsidRPr="00965610">
              <w:rPr>
                <w:rFonts w:asciiTheme="minorHAnsi" w:hAnsiTheme="minorHAnsi" w:cstheme="minorHAnsi"/>
                <w:b/>
                <w:color w:val="000000" w:themeColor="text1"/>
                <w:sz w:val="23"/>
                <w:szCs w:val="23"/>
              </w:rPr>
              <w:t>Lfx-Bdq-Lzd-Cfz-Dlm</w:t>
            </w:r>
          </w:p>
        </w:tc>
      </w:tr>
      <w:tr w:rsidR="00B6441C" w:rsidRPr="00965610" w14:paraId="5D111A8D" w14:textId="77777777" w:rsidTr="00D92D68">
        <w:tc>
          <w:tcPr>
            <w:tcW w:w="1975" w:type="dxa"/>
          </w:tcPr>
          <w:p w14:paraId="67FA1828" w14:textId="77777777" w:rsidR="00B6441C" w:rsidRPr="00965610" w:rsidRDefault="00B6441C" w:rsidP="007F406E">
            <w:pPr>
              <w:pStyle w:val="ListParagraph"/>
              <w:spacing w:before="0" w:after="0"/>
              <w:ind w:left="0"/>
              <w:jc w:val="left"/>
              <w:rPr>
                <w:rFonts w:asciiTheme="minorHAnsi" w:hAnsiTheme="minorHAnsi" w:cstheme="minorHAnsi"/>
                <w:b/>
                <w:color w:val="000000" w:themeColor="text1"/>
                <w:sz w:val="18"/>
                <w:szCs w:val="18"/>
              </w:rPr>
            </w:pPr>
            <w:r w:rsidRPr="00965610">
              <w:rPr>
                <w:rFonts w:asciiTheme="minorHAnsi" w:hAnsiTheme="minorHAnsi" w:cstheme="minorHAnsi"/>
                <w:b/>
                <w:color w:val="000000" w:themeColor="text1"/>
                <w:sz w:val="18"/>
                <w:szCs w:val="18"/>
              </w:rPr>
              <w:t>Advantages</w:t>
            </w:r>
          </w:p>
        </w:tc>
        <w:tc>
          <w:tcPr>
            <w:tcW w:w="6655" w:type="dxa"/>
          </w:tcPr>
          <w:p w14:paraId="2631F700" w14:textId="3BA9F1C0" w:rsidR="008702DB" w:rsidRPr="00965610" w:rsidRDefault="008702DB"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965610">
              <w:rPr>
                <w:rFonts w:asciiTheme="minorHAnsi" w:hAnsiTheme="minorHAnsi" w:cstheme="minorHAnsi"/>
                <w:color w:val="000000" w:themeColor="text1"/>
                <w:sz w:val="23"/>
                <w:szCs w:val="23"/>
              </w:rPr>
              <w:t xml:space="preserve">Uses all three Group A drugs and at least </w:t>
            </w:r>
            <w:r w:rsidR="007A7B2F">
              <w:rPr>
                <w:rFonts w:asciiTheme="minorHAnsi" w:hAnsiTheme="minorHAnsi" w:cstheme="minorHAnsi"/>
                <w:bCs/>
                <w:color w:val="000000" w:themeColor="text1"/>
                <w:sz w:val="23"/>
                <w:szCs w:val="23"/>
              </w:rPr>
              <w:t>one</w:t>
            </w:r>
            <w:r w:rsidRPr="00965610">
              <w:rPr>
                <w:rFonts w:asciiTheme="minorHAnsi" w:hAnsiTheme="minorHAnsi" w:cstheme="minorHAnsi"/>
                <w:color w:val="000000" w:themeColor="text1"/>
                <w:sz w:val="23"/>
                <w:szCs w:val="23"/>
              </w:rPr>
              <w:t xml:space="preserve"> Group B drug</w:t>
            </w:r>
          </w:p>
          <w:p w14:paraId="65DD8D0B" w14:textId="0C422660" w:rsidR="008702DB" w:rsidRPr="00965610" w:rsidRDefault="007A7B2F" w:rsidP="00CB2F8E">
            <w:pPr>
              <w:pStyle w:val="ListParagraph"/>
              <w:numPr>
                <w:ilvl w:val="0"/>
                <w:numId w:val="26"/>
              </w:numPr>
              <w:spacing w:before="0" w:after="0"/>
              <w:jc w:val="left"/>
              <w:rPr>
                <w:rFonts w:asciiTheme="minorHAnsi" w:hAnsiTheme="minorHAnsi" w:cstheme="minorHAnsi"/>
                <w:color w:val="000000" w:themeColor="text1"/>
                <w:sz w:val="23"/>
                <w:szCs w:val="23"/>
              </w:rPr>
            </w:pPr>
            <w:r>
              <w:rPr>
                <w:rFonts w:asciiTheme="minorHAnsi" w:hAnsiTheme="minorHAnsi" w:cstheme="minorHAnsi"/>
                <w:bCs/>
                <w:color w:val="000000" w:themeColor="text1"/>
                <w:sz w:val="23"/>
                <w:szCs w:val="23"/>
              </w:rPr>
              <w:t>Z</w:t>
            </w:r>
            <w:r w:rsidR="008702DB" w:rsidRPr="00965610">
              <w:rPr>
                <w:rFonts w:asciiTheme="minorHAnsi" w:hAnsiTheme="minorHAnsi" w:cstheme="minorHAnsi"/>
                <w:color w:val="000000" w:themeColor="text1"/>
                <w:sz w:val="23"/>
                <w:szCs w:val="23"/>
              </w:rPr>
              <w:t xml:space="preserve"> is avoided</w:t>
            </w:r>
            <w:r w:rsidR="004C12B1">
              <w:rPr>
                <w:rFonts w:asciiTheme="minorHAnsi" w:hAnsiTheme="minorHAnsi" w:cstheme="minorHAnsi"/>
                <w:color w:val="000000" w:themeColor="text1"/>
                <w:sz w:val="23"/>
                <w:szCs w:val="23"/>
              </w:rPr>
              <w:t xml:space="preserve"> as it is more than 50% resistant</w:t>
            </w:r>
            <w:r w:rsidR="00CD7247" w:rsidRPr="00965610">
              <w:rPr>
                <w:rFonts w:asciiTheme="minorHAnsi" w:hAnsiTheme="minorHAnsi" w:cstheme="minorHAnsi"/>
                <w:color w:val="000000" w:themeColor="text1"/>
                <w:sz w:val="23"/>
                <w:szCs w:val="23"/>
              </w:rPr>
              <w:t>.</w:t>
            </w:r>
          </w:p>
          <w:p w14:paraId="754B1928" w14:textId="1B3354E6" w:rsidR="00B6441C" w:rsidRPr="00965610" w:rsidRDefault="008702DB"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965610">
              <w:rPr>
                <w:rFonts w:asciiTheme="minorHAnsi" w:hAnsiTheme="minorHAnsi" w:cstheme="minorHAnsi"/>
                <w:color w:val="000000" w:themeColor="text1"/>
                <w:sz w:val="23"/>
                <w:szCs w:val="23"/>
              </w:rPr>
              <w:t>Since the regimen has five likely effective drugs, if intolerability develops in one drug, the drug can usually be stopped with no need for substitution</w:t>
            </w:r>
            <w:r w:rsidR="00C73257" w:rsidRPr="00965610">
              <w:rPr>
                <w:rFonts w:asciiTheme="minorHAnsi" w:hAnsiTheme="minorHAnsi" w:cstheme="minorHAnsi"/>
                <w:color w:val="000000" w:themeColor="text1"/>
                <w:sz w:val="23"/>
                <w:szCs w:val="23"/>
              </w:rPr>
              <w:t xml:space="preserve"> in most circumstances.</w:t>
            </w:r>
          </w:p>
        </w:tc>
      </w:tr>
      <w:tr w:rsidR="00B6441C" w:rsidRPr="00965610" w14:paraId="5180FDE8" w14:textId="77777777" w:rsidTr="007F406E">
        <w:tc>
          <w:tcPr>
            <w:tcW w:w="1975" w:type="dxa"/>
          </w:tcPr>
          <w:p w14:paraId="74347959" w14:textId="77777777" w:rsidR="00B6441C" w:rsidRPr="00965610" w:rsidRDefault="00B6441C" w:rsidP="007F406E">
            <w:pPr>
              <w:pStyle w:val="ListParagraph"/>
              <w:spacing w:before="0" w:after="0"/>
              <w:ind w:left="0"/>
              <w:jc w:val="left"/>
              <w:rPr>
                <w:rFonts w:asciiTheme="minorHAnsi" w:hAnsiTheme="minorHAnsi" w:cstheme="minorHAnsi"/>
                <w:b/>
                <w:color w:val="000000" w:themeColor="text1"/>
                <w:sz w:val="18"/>
                <w:szCs w:val="18"/>
              </w:rPr>
            </w:pPr>
            <w:r w:rsidRPr="00965610">
              <w:rPr>
                <w:rFonts w:asciiTheme="minorHAnsi" w:hAnsiTheme="minorHAnsi" w:cstheme="minorHAnsi"/>
                <w:b/>
                <w:color w:val="000000" w:themeColor="text1"/>
                <w:sz w:val="18"/>
                <w:szCs w:val="18"/>
              </w:rPr>
              <w:t xml:space="preserve">Disadvantages </w:t>
            </w:r>
          </w:p>
        </w:tc>
        <w:tc>
          <w:tcPr>
            <w:tcW w:w="6655" w:type="dxa"/>
          </w:tcPr>
          <w:p w14:paraId="61C0334E" w14:textId="7139B2D6" w:rsidR="0024176D" w:rsidRPr="00965610" w:rsidRDefault="0024176D"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965610">
              <w:rPr>
                <w:rFonts w:asciiTheme="minorHAnsi" w:hAnsiTheme="minorHAnsi" w:cstheme="minorHAnsi"/>
                <w:color w:val="000000" w:themeColor="text1"/>
                <w:sz w:val="23"/>
                <w:szCs w:val="23"/>
              </w:rPr>
              <w:t>The regimen is not being used in a registered RCT</w:t>
            </w:r>
            <w:r w:rsidR="00CD7247" w:rsidRPr="00965610">
              <w:rPr>
                <w:rFonts w:asciiTheme="minorHAnsi" w:hAnsiTheme="minorHAnsi" w:cstheme="minorHAnsi"/>
                <w:color w:val="000000" w:themeColor="text1"/>
                <w:sz w:val="23"/>
                <w:szCs w:val="23"/>
              </w:rPr>
              <w:t>.</w:t>
            </w:r>
          </w:p>
          <w:p w14:paraId="257D0F3B" w14:textId="245071BB" w:rsidR="0024176D" w:rsidRPr="00965610" w:rsidRDefault="0024176D"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965610">
              <w:rPr>
                <w:rFonts w:asciiTheme="minorHAnsi" w:hAnsiTheme="minorHAnsi" w:cstheme="minorHAnsi"/>
                <w:color w:val="000000" w:themeColor="text1"/>
                <w:sz w:val="23"/>
                <w:szCs w:val="23"/>
              </w:rPr>
              <w:t xml:space="preserve">Has two </w:t>
            </w:r>
            <w:r w:rsidR="007A10D5">
              <w:rPr>
                <w:rFonts w:asciiTheme="minorHAnsi" w:hAnsiTheme="minorHAnsi" w:cstheme="minorHAnsi"/>
                <w:color w:val="000000" w:themeColor="text1"/>
                <w:sz w:val="23"/>
                <w:szCs w:val="23"/>
              </w:rPr>
              <w:t>moderate</w:t>
            </w:r>
            <w:r w:rsidR="007A10D5" w:rsidRPr="00965610">
              <w:rPr>
                <w:rFonts w:asciiTheme="minorHAnsi" w:hAnsiTheme="minorHAnsi" w:cstheme="minorHAnsi"/>
                <w:color w:val="000000" w:themeColor="text1"/>
                <w:sz w:val="23"/>
                <w:szCs w:val="23"/>
              </w:rPr>
              <w:t xml:space="preserve"> </w:t>
            </w:r>
            <w:r w:rsidRPr="00965610">
              <w:rPr>
                <w:rFonts w:asciiTheme="minorHAnsi" w:hAnsiTheme="minorHAnsi" w:cstheme="minorHAnsi"/>
                <w:color w:val="000000" w:themeColor="text1"/>
                <w:sz w:val="23"/>
                <w:szCs w:val="23"/>
              </w:rPr>
              <w:t>QT prolonging drugs (</w:t>
            </w:r>
            <w:r w:rsidR="007A7B2F">
              <w:rPr>
                <w:rFonts w:asciiTheme="minorHAnsi" w:hAnsiTheme="minorHAnsi" w:cstheme="minorHAnsi"/>
                <w:bCs/>
                <w:color w:val="000000" w:themeColor="text1"/>
                <w:sz w:val="23"/>
                <w:szCs w:val="23"/>
              </w:rPr>
              <w:t>Bdq</w:t>
            </w:r>
            <w:r w:rsidRPr="00965610">
              <w:rPr>
                <w:rFonts w:asciiTheme="minorHAnsi" w:hAnsiTheme="minorHAnsi" w:cstheme="minorHAnsi"/>
                <w:color w:val="000000" w:themeColor="text1"/>
                <w:sz w:val="23"/>
                <w:szCs w:val="23"/>
              </w:rPr>
              <w:t xml:space="preserve"> and </w:t>
            </w:r>
            <w:r w:rsidR="007A7B2F">
              <w:rPr>
                <w:rFonts w:asciiTheme="minorHAnsi" w:hAnsiTheme="minorHAnsi" w:cstheme="minorHAnsi"/>
                <w:bCs/>
                <w:color w:val="000000" w:themeColor="text1"/>
                <w:sz w:val="23"/>
                <w:szCs w:val="23"/>
              </w:rPr>
              <w:t>Cfz</w:t>
            </w:r>
            <w:r w:rsidRPr="00965610">
              <w:rPr>
                <w:rFonts w:asciiTheme="minorHAnsi" w:hAnsiTheme="minorHAnsi" w:cstheme="minorHAnsi"/>
                <w:color w:val="000000" w:themeColor="text1"/>
                <w:sz w:val="23"/>
                <w:szCs w:val="23"/>
              </w:rPr>
              <w:t xml:space="preserve">) and one </w:t>
            </w:r>
            <w:r w:rsidR="00BC714E">
              <w:rPr>
                <w:rFonts w:asciiTheme="minorHAnsi" w:hAnsiTheme="minorHAnsi" w:cstheme="minorHAnsi"/>
                <w:color w:val="000000" w:themeColor="text1"/>
                <w:sz w:val="23"/>
                <w:szCs w:val="23"/>
              </w:rPr>
              <w:t>mild</w:t>
            </w:r>
            <w:r w:rsidR="00BC714E" w:rsidRPr="00965610">
              <w:rPr>
                <w:rFonts w:asciiTheme="minorHAnsi" w:hAnsiTheme="minorHAnsi" w:cstheme="minorHAnsi"/>
                <w:color w:val="000000" w:themeColor="text1"/>
                <w:sz w:val="23"/>
                <w:szCs w:val="23"/>
              </w:rPr>
              <w:t xml:space="preserve"> </w:t>
            </w:r>
            <w:r w:rsidRPr="00965610">
              <w:rPr>
                <w:rFonts w:asciiTheme="minorHAnsi" w:hAnsiTheme="minorHAnsi" w:cstheme="minorHAnsi"/>
                <w:color w:val="000000" w:themeColor="text1"/>
                <w:sz w:val="23"/>
                <w:szCs w:val="23"/>
              </w:rPr>
              <w:t>QT prolonging drug (Dlm)</w:t>
            </w:r>
            <w:r w:rsidR="00CD7247" w:rsidRPr="00965610">
              <w:rPr>
                <w:rFonts w:asciiTheme="minorHAnsi" w:hAnsiTheme="minorHAnsi" w:cstheme="minorHAnsi"/>
                <w:color w:val="000000" w:themeColor="text1"/>
                <w:sz w:val="23"/>
                <w:szCs w:val="23"/>
              </w:rPr>
              <w:t>.</w:t>
            </w:r>
          </w:p>
          <w:p w14:paraId="1B8ED4A8" w14:textId="4D8EBDF8" w:rsidR="00B6441C" w:rsidRPr="00965610" w:rsidRDefault="0024176D"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965610">
              <w:rPr>
                <w:rFonts w:asciiTheme="minorHAnsi" w:hAnsiTheme="minorHAnsi" w:cstheme="minorHAnsi"/>
                <w:color w:val="000000" w:themeColor="text1"/>
                <w:sz w:val="23"/>
                <w:szCs w:val="23"/>
              </w:rPr>
              <w:t>May have drug-drug interactions with some ARTs</w:t>
            </w:r>
            <w:r w:rsidR="00CD7247" w:rsidRPr="00965610">
              <w:rPr>
                <w:rFonts w:asciiTheme="minorHAnsi" w:hAnsiTheme="minorHAnsi" w:cstheme="minorHAnsi"/>
                <w:color w:val="000000" w:themeColor="text1"/>
                <w:sz w:val="23"/>
                <w:szCs w:val="23"/>
              </w:rPr>
              <w:t>.</w:t>
            </w:r>
          </w:p>
        </w:tc>
      </w:tr>
    </w:tbl>
    <w:p w14:paraId="3B1C9B4B" w14:textId="77777777" w:rsidR="008F4C36" w:rsidRPr="00DE5FDC" w:rsidRDefault="008F4C36" w:rsidP="00395962">
      <w:pPr>
        <w:spacing w:before="0" w:after="0"/>
        <w:ind w:left="720"/>
        <w:jc w:val="left"/>
        <w:rPr>
          <w:bCs/>
          <w:color w:val="000000" w:themeColor="text1"/>
          <w:sz w:val="23"/>
          <w:szCs w:val="23"/>
        </w:rPr>
      </w:pPr>
    </w:p>
    <w:p w14:paraId="52F8223C" w14:textId="4891B722" w:rsidR="003254BB" w:rsidRDefault="003254BB">
      <w:pPr>
        <w:spacing w:before="0" w:after="0"/>
        <w:jc w:val="left"/>
        <w:rPr>
          <w:color w:val="000000" w:themeColor="text1"/>
          <w:sz w:val="23"/>
          <w:szCs w:val="23"/>
        </w:rPr>
      </w:pPr>
      <w:r>
        <w:rPr>
          <w:color w:val="000000" w:themeColor="text1"/>
          <w:sz w:val="23"/>
          <w:szCs w:val="23"/>
        </w:rPr>
        <w:br w:type="page"/>
      </w:r>
    </w:p>
    <w:p w14:paraId="192B633A" w14:textId="77777777" w:rsidR="00DD2603" w:rsidRDefault="00DD2603" w:rsidP="005653DA">
      <w:pPr>
        <w:pStyle w:val="ListParagraph"/>
        <w:spacing w:before="0" w:after="0"/>
        <w:ind w:left="2160"/>
        <w:jc w:val="left"/>
        <w:rPr>
          <w:color w:val="000000" w:themeColor="text1"/>
          <w:sz w:val="23"/>
          <w:szCs w:val="23"/>
        </w:rPr>
      </w:pPr>
    </w:p>
    <w:p w14:paraId="472DF15F" w14:textId="77777777" w:rsidR="003254BB" w:rsidRPr="00B85017" w:rsidRDefault="003254BB" w:rsidP="005653DA">
      <w:pPr>
        <w:pStyle w:val="ListParagraph"/>
        <w:spacing w:before="0" w:after="0"/>
        <w:ind w:left="2160"/>
        <w:jc w:val="left"/>
        <w:rPr>
          <w:color w:val="000000" w:themeColor="text1"/>
          <w:sz w:val="23"/>
          <w:szCs w:val="23"/>
        </w:rPr>
      </w:pPr>
    </w:p>
    <w:tbl>
      <w:tblPr>
        <w:tblStyle w:val="TableGrid"/>
        <w:tblW w:w="8630" w:type="dxa"/>
        <w:tblInd w:w="720" w:type="dxa"/>
        <w:tblLook w:val="04A0" w:firstRow="1" w:lastRow="0" w:firstColumn="1" w:lastColumn="0" w:noHBand="0" w:noVBand="1"/>
      </w:tblPr>
      <w:tblGrid>
        <w:gridCol w:w="1975"/>
        <w:gridCol w:w="6655"/>
      </w:tblGrid>
      <w:tr w:rsidR="0024176D" w:rsidRPr="007A7B2F" w14:paraId="511241E6" w14:textId="77777777" w:rsidTr="00093E2C">
        <w:trPr>
          <w:trHeight w:val="552"/>
        </w:trPr>
        <w:tc>
          <w:tcPr>
            <w:tcW w:w="8630" w:type="dxa"/>
            <w:gridSpan w:val="2"/>
            <w:shd w:val="clear" w:color="auto" w:fill="235868"/>
            <w:vAlign w:val="center"/>
          </w:tcPr>
          <w:p w14:paraId="10D1861A" w14:textId="0B5484E2" w:rsidR="0024176D" w:rsidRPr="007A7B2F" w:rsidRDefault="0024176D" w:rsidP="007F406E">
            <w:pPr>
              <w:pStyle w:val="ListParagraph"/>
              <w:spacing w:before="0" w:after="0"/>
              <w:ind w:left="0"/>
              <w:jc w:val="center"/>
              <w:rPr>
                <w:rFonts w:asciiTheme="minorHAnsi" w:hAnsiTheme="minorHAnsi" w:cstheme="minorHAnsi"/>
                <w:b/>
                <w:color w:val="FFFFFF" w:themeColor="background1"/>
                <w:sz w:val="23"/>
                <w:szCs w:val="23"/>
              </w:rPr>
            </w:pPr>
            <w:r w:rsidRPr="007A7B2F">
              <w:rPr>
                <w:rFonts w:asciiTheme="minorHAnsi" w:hAnsiTheme="minorHAnsi" w:cstheme="minorHAnsi"/>
                <w:b/>
                <w:color w:val="FFFFFF" w:themeColor="background1"/>
                <w:sz w:val="23"/>
                <w:szCs w:val="23"/>
              </w:rPr>
              <w:t>EXAMPLE 3: COUNTRY IN EASTERN EUROPE OR CENTRAL ASIA</w:t>
            </w:r>
          </w:p>
        </w:tc>
      </w:tr>
      <w:tr w:rsidR="0024176D" w:rsidRPr="007A7B2F" w14:paraId="5A7C009F" w14:textId="77777777" w:rsidTr="007F406E">
        <w:trPr>
          <w:trHeight w:val="551"/>
        </w:trPr>
        <w:tc>
          <w:tcPr>
            <w:tcW w:w="1975" w:type="dxa"/>
          </w:tcPr>
          <w:p w14:paraId="44770612" w14:textId="77777777" w:rsidR="0024176D" w:rsidRPr="007A7B2F" w:rsidRDefault="0024176D" w:rsidP="007F406E">
            <w:pPr>
              <w:spacing w:before="0" w:after="0"/>
              <w:jc w:val="left"/>
              <w:rPr>
                <w:rFonts w:asciiTheme="minorHAnsi" w:hAnsiTheme="minorHAnsi" w:cstheme="minorHAnsi"/>
                <w:color w:val="000000" w:themeColor="text1"/>
                <w:sz w:val="18"/>
                <w:szCs w:val="18"/>
              </w:rPr>
            </w:pPr>
            <w:r w:rsidRPr="007A7B2F">
              <w:rPr>
                <w:rFonts w:asciiTheme="minorHAnsi" w:hAnsiTheme="minorHAnsi" w:cstheme="minorHAnsi"/>
                <w:b/>
                <w:color w:val="000000" w:themeColor="text1"/>
                <w:sz w:val="18"/>
                <w:szCs w:val="18"/>
              </w:rPr>
              <w:t>Epidemiological situation</w:t>
            </w:r>
          </w:p>
        </w:tc>
        <w:tc>
          <w:tcPr>
            <w:tcW w:w="6655" w:type="dxa"/>
          </w:tcPr>
          <w:p w14:paraId="2530C180" w14:textId="3A84154B" w:rsidR="0024176D" w:rsidRPr="007A7B2F" w:rsidRDefault="0024176D" w:rsidP="007F406E">
            <w:pPr>
              <w:pStyle w:val="ListParagraph"/>
              <w:spacing w:before="0" w:after="0"/>
              <w:ind w:left="0"/>
              <w:jc w:val="left"/>
              <w:rPr>
                <w:rFonts w:asciiTheme="minorHAnsi" w:hAnsiTheme="minorHAnsi" w:cstheme="minorHAnsi"/>
                <w:b/>
                <w:color w:val="000000" w:themeColor="text1"/>
                <w:sz w:val="24"/>
                <w:szCs w:val="24"/>
              </w:rPr>
            </w:pPr>
            <w:r w:rsidRPr="007A7B2F">
              <w:rPr>
                <w:rFonts w:asciiTheme="minorHAnsi" w:hAnsiTheme="minorHAnsi" w:cstheme="minorHAnsi"/>
                <w:color w:val="000000" w:themeColor="text1"/>
                <w:sz w:val="23"/>
                <w:szCs w:val="23"/>
              </w:rPr>
              <w:t xml:space="preserve">In strains of MDR-TB in the country there is approximately </w:t>
            </w:r>
            <w:r w:rsidRPr="007A7B2F">
              <w:rPr>
                <w:rFonts w:asciiTheme="minorHAnsi" w:hAnsiTheme="minorHAnsi" w:cstheme="minorHAnsi"/>
                <w:color w:val="000000" w:themeColor="text1"/>
                <w:sz w:val="23"/>
                <w:szCs w:val="23"/>
                <w:u w:val="single"/>
              </w:rPr>
              <w:t>10%</w:t>
            </w:r>
            <w:r w:rsidRPr="007A7B2F">
              <w:rPr>
                <w:rFonts w:asciiTheme="minorHAnsi" w:hAnsiTheme="minorHAnsi" w:cstheme="minorHAnsi"/>
                <w:color w:val="000000" w:themeColor="text1"/>
                <w:sz w:val="23"/>
                <w:szCs w:val="23"/>
              </w:rPr>
              <w:t xml:space="preserve"> resistance to FQs, and approximately </w:t>
            </w:r>
            <w:r w:rsidRPr="007A7B2F">
              <w:rPr>
                <w:rFonts w:asciiTheme="minorHAnsi" w:hAnsiTheme="minorHAnsi" w:cstheme="minorHAnsi"/>
                <w:color w:val="000000" w:themeColor="text1"/>
                <w:sz w:val="23"/>
                <w:szCs w:val="23"/>
                <w:u w:val="single"/>
              </w:rPr>
              <w:t>60%</w:t>
            </w:r>
            <w:r w:rsidRPr="007A7B2F">
              <w:rPr>
                <w:rFonts w:asciiTheme="minorHAnsi" w:hAnsiTheme="minorHAnsi" w:cstheme="minorHAnsi"/>
                <w:color w:val="000000" w:themeColor="text1"/>
                <w:sz w:val="23"/>
                <w:szCs w:val="23"/>
              </w:rPr>
              <w:t xml:space="preserve"> resistance to </w:t>
            </w:r>
            <w:r w:rsidR="007A7B2F">
              <w:rPr>
                <w:rFonts w:asciiTheme="minorHAnsi" w:hAnsiTheme="minorHAnsi" w:cstheme="minorHAnsi"/>
                <w:bCs/>
                <w:color w:val="000000" w:themeColor="text1"/>
                <w:sz w:val="23"/>
                <w:szCs w:val="23"/>
              </w:rPr>
              <w:t>Z</w:t>
            </w:r>
            <w:r w:rsidRPr="007A7B2F">
              <w:rPr>
                <w:rFonts w:asciiTheme="minorHAnsi" w:hAnsiTheme="minorHAnsi" w:cstheme="minorHAnsi"/>
                <w:color w:val="000000" w:themeColor="text1"/>
                <w:sz w:val="23"/>
                <w:szCs w:val="23"/>
              </w:rPr>
              <w:t xml:space="preserve">.  </w:t>
            </w:r>
          </w:p>
        </w:tc>
      </w:tr>
      <w:tr w:rsidR="0024176D" w:rsidRPr="007A7B2F" w14:paraId="22696AF2" w14:textId="77777777" w:rsidTr="007F406E">
        <w:trPr>
          <w:trHeight w:val="551"/>
        </w:trPr>
        <w:tc>
          <w:tcPr>
            <w:tcW w:w="1975" w:type="dxa"/>
          </w:tcPr>
          <w:p w14:paraId="6230CBA5" w14:textId="77777777" w:rsidR="0024176D" w:rsidRPr="007A7B2F" w:rsidRDefault="0024176D" w:rsidP="007F406E">
            <w:pPr>
              <w:pStyle w:val="ListParagraph"/>
              <w:spacing w:before="0" w:after="0"/>
              <w:ind w:left="0"/>
              <w:jc w:val="left"/>
              <w:rPr>
                <w:rFonts w:asciiTheme="minorHAnsi" w:hAnsiTheme="minorHAnsi" w:cstheme="minorHAnsi"/>
                <w:b/>
                <w:color w:val="000000" w:themeColor="text1"/>
                <w:sz w:val="18"/>
                <w:szCs w:val="18"/>
              </w:rPr>
            </w:pPr>
            <w:r w:rsidRPr="007A7B2F">
              <w:rPr>
                <w:rFonts w:asciiTheme="minorHAnsi" w:hAnsiTheme="minorHAnsi" w:cstheme="minorHAnsi"/>
                <w:b/>
                <w:color w:val="000000" w:themeColor="text1"/>
                <w:sz w:val="18"/>
                <w:szCs w:val="18"/>
              </w:rPr>
              <w:t>Access to DST</w:t>
            </w:r>
          </w:p>
        </w:tc>
        <w:tc>
          <w:tcPr>
            <w:tcW w:w="6655" w:type="dxa"/>
          </w:tcPr>
          <w:p w14:paraId="05016AC3" w14:textId="2DEDF1B5" w:rsidR="0024176D" w:rsidRPr="007A7B2F" w:rsidRDefault="0024176D" w:rsidP="007F406E">
            <w:pPr>
              <w:pStyle w:val="ListParagraph"/>
              <w:spacing w:before="0" w:after="0"/>
              <w:ind w:left="0"/>
              <w:jc w:val="left"/>
              <w:rPr>
                <w:rFonts w:asciiTheme="minorHAnsi" w:hAnsiTheme="minorHAnsi" w:cstheme="minorHAnsi"/>
                <w:b/>
                <w:color w:val="000000" w:themeColor="text1"/>
                <w:sz w:val="24"/>
                <w:szCs w:val="24"/>
              </w:rPr>
            </w:pPr>
            <w:r w:rsidRPr="007A7B2F">
              <w:rPr>
                <w:rFonts w:asciiTheme="minorHAnsi" w:hAnsiTheme="minorHAnsi" w:cstheme="minorHAnsi"/>
                <w:color w:val="000000" w:themeColor="text1"/>
                <w:sz w:val="23"/>
                <w:szCs w:val="23"/>
              </w:rPr>
              <w:t>In</w:t>
            </w:r>
            <w:r w:rsidR="007A7B2F">
              <w:rPr>
                <w:rFonts w:asciiTheme="minorHAnsi" w:hAnsiTheme="minorHAnsi" w:cstheme="minorHAnsi"/>
                <w:bCs/>
                <w:color w:val="000000" w:themeColor="text1"/>
                <w:sz w:val="23"/>
                <w:szCs w:val="23"/>
              </w:rPr>
              <w:t>-</w:t>
            </w:r>
            <w:r w:rsidRPr="007A7B2F">
              <w:rPr>
                <w:rFonts w:asciiTheme="minorHAnsi" w:hAnsiTheme="minorHAnsi" w:cstheme="minorHAnsi"/>
                <w:color w:val="000000" w:themeColor="text1"/>
                <w:sz w:val="23"/>
                <w:szCs w:val="23"/>
              </w:rPr>
              <w:t xml:space="preserve">country rapid DST is available for FQs and in liquid culture for FQs and </w:t>
            </w:r>
            <w:r w:rsidR="007A7B2F">
              <w:rPr>
                <w:rFonts w:asciiTheme="minorHAnsi" w:hAnsiTheme="minorHAnsi" w:cstheme="minorHAnsi"/>
                <w:bCs/>
                <w:color w:val="000000" w:themeColor="text1"/>
                <w:sz w:val="23"/>
                <w:szCs w:val="23"/>
              </w:rPr>
              <w:t>Z</w:t>
            </w:r>
            <w:r w:rsidRPr="007A7B2F">
              <w:rPr>
                <w:rFonts w:asciiTheme="minorHAnsi" w:hAnsiTheme="minorHAnsi" w:cstheme="minorHAnsi"/>
                <w:color w:val="000000" w:themeColor="text1"/>
                <w:sz w:val="23"/>
                <w:szCs w:val="23"/>
              </w:rPr>
              <w:t xml:space="preserve">.  </w:t>
            </w:r>
          </w:p>
        </w:tc>
      </w:tr>
      <w:tr w:rsidR="0024176D" w:rsidRPr="007A7B2F" w14:paraId="04C49210" w14:textId="77777777" w:rsidTr="007F406E">
        <w:tc>
          <w:tcPr>
            <w:tcW w:w="1975" w:type="dxa"/>
          </w:tcPr>
          <w:p w14:paraId="413890EB" w14:textId="028B7D82" w:rsidR="0024176D" w:rsidRPr="007A7B2F" w:rsidRDefault="001C42E1" w:rsidP="007F406E">
            <w:pPr>
              <w:pStyle w:val="ListParagraph"/>
              <w:spacing w:before="0" w:after="0"/>
              <w:ind w:left="0"/>
              <w:jc w:val="left"/>
              <w:rPr>
                <w:rFonts w:asciiTheme="minorHAnsi" w:hAnsiTheme="minorHAnsi" w:cstheme="minorHAnsi"/>
                <w:b/>
                <w:color w:val="000000" w:themeColor="text1"/>
                <w:sz w:val="18"/>
                <w:szCs w:val="18"/>
              </w:rPr>
            </w:pPr>
            <w:r w:rsidRPr="007A7B2F">
              <w:rPr>
                <w:rFonts w:asciiTheme="minorHAnsi" w:hAnsiTheme="minorHAnsi" w:cstheme="minorHAnsi"/>
                <w:b/>
                <w:color w:val="000000" w:themeColor="text1"/>
                <w:sz w:val="18"/>
                <w:szCs w:val="18"/>
              </w:rPr>
              <w:t>Primary all-oral STR regimen</w:t>
            </w:r>
          </w:p>
        </w:tc>
        <w:tc>
          <w:tcPr>
            <w:tcW w:w="6655" w:type="dxa"/>
          </w:tcPr>
          <w:p w14:paraId="3292D03D" w14:textId="77777777" w:rsidR="0024176D" w:rsidRPr="007A7B2F" w:rsidRDefault="0024176D" w:rsidP="0024176D">
            <w:pPr>
              <w:spacing w:before="0" w:after="0"/>
              <w:jc w:val="left"/>
              <w:rPr>
                <w:rFonts w:asciiTheme="minorHAnsi" w:hAnsiTheme="minorHAnsi" w:cstheme="minorHAnsi"/>
                <w:b/>
                <w:color w:val="000000" w:themeColor="text1"/>
                <w:sz w:val="23"/>
                <w:szCs w:val="23"/>
              </w:rPr>
            </w:pPr>
            <w:r w:rsidRPr="007A7B2F">
              <w:rPr>
                <w:rFonts w:asciiTheme="minorHAnsi" w:hAnsiTheme="minorHAnsi" w:cstheme="minorHAnsi"/>
                <w:b/>
                <w:color w:val="000000" w:themeColor="text1"/>
                <w:sz w:val="23"/>
                <w:szCs w:val="23"/>
              </w:rPr>
              <w:t xml:space="preserve">Lfx-Bdq-Lzd-Dlm-Z </w:t>
            </w:r>
          </w:p>
          <w:p w14:paraId="321C5A65" w14:textId="487C2813" w:rsidR="0024176D" w:rsidRPr="007A7B2F" w:rsidRDefault="0024176D" w:rsidP="00086F12">
            <w:pPr>
              <w:spacing w:before="0" w:after="0"/>
              <w:jc w:val="left"/>
              <w:rPr>
                <w:rFonts w:asciiTheme="minorHAnsi" w:hAnsiTheme="minorHAnsi" w:cstheme="minorHAnsi"/>
                <w:color w:val="000000" w:themeColor="text1"/>
                <w:sz w:val="23"/>
                <w:szCs w:val="23"/>
              </w:rPr>
            </w:pPr>
            <w:r w:rsidRPr="007A7B2F">
              <w:rPr>
                <w:rFonts w:asciiTheme="minorHAnsi" w:hAnsiTheme="minorHAnsi" w:cstheme="minorHAnsi"/>
                <w:color w:val="000000" w:themeColor="text1"/>
                <w:sz w:val="23"/>
                <w:szCs w:val="23"/>
              </w:rPr>
              <w:t>(Z will be continued whether susceptible or resistant)</w:t>
            </w:r>
            <w:r w:rsidR="00D26575">
              <w:rPr>
                <w:rFonts w:asciiTheme="minorHAnsi" w:hAnsiTheme="minorHAnsi" w:cstheme="minorHAnsi"/>
                <w:color w:val="000000" w:themeColor="text1"/>
                <w:sz w:val="23"/>
                <w:szCs w:val="23"/>
              </w:rPr>
              <w:t>.</w:t>
            </w:r>
          </w:p>
        </w:tc>
      </w:tr>
      <w:tr w:rsidR="0024176D" w:rsidRPr="007A7B2F" w14:paraId="68421889" w14:textId="77777777" w:rsidTr="007F406E">
        <w:tc>
          <w:tcPr>
            <w:tcW w:w="1975" w:type="dxa"/>
          </w:tcPr>
          <w:p w14:paraId="04241A3A" w14:textId="77777777" w:rsidR="0024176D" w:rsidRPr="007A7B2F" w:rsidRDefault="0024176D" w:rsidP="007F406E">
            <w:pPr>
              <w:pStyle w:val="ListParagraph"/>
              <w:spacing w:before="0" w:after="0"/>
              <w:ind w:left="0"/>
              <w:jc w:val="left"/>
              <w:rPr>
                <w:rFonts w:asciiTheme="minorHAnsi" w:hAnsiTheme="minorHAnsi" w:cstheme="minorHAnsi"/>
                <w:b/>
                <w:color w:val="000000" w:themeColor="text1"/>
                <w:sz w:val="18"/>
                <w:szCs w:val="18"/>
              </w:rPr>
            </w:pPr>
            <w:r w:rsidRPr="007A7B2F">
              <w:rPr>
                <w:rFonts w:asciiTheme="minorHAnsi" w:hAnsiTheme="minorHAnsi" w:cstheme="minorHAnsi"/>
                <w:b/>
                <w:color w:val="000000" w:themeColor="text1"/>
                <w:sz w:val="18"/>
                <w:szCs w:val="18"/>
              </w:rPr>
              <w:t>Advantages</w:t>
            </w:r>
          </w:p>
        </w:tc>
        <w:tc>
          <w:tcPr>
            <w:tcW w:w="6655" w:type="dxa"/>
          </w:tcPr>
          <w:p w14:paraId="3141E297" w14:textId="4EBFEA52" w:rsidR="0024176D" w:rsidRPr="007A7B2F" w:rsidRDefault="0024176D"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7A7B2F">
              <w:rPr>
                <w:rFonts w:asciiTheme="minorHAnsi" w:hAnsiTheme="minorHAnsi" w:cstheme="minorHAnsi"/>
                <w:color w:val="000000" w:themeColor="text1"/>
                <w:sz w:val="23"/>
                <w:szCs w:val="23"/>
              </w:rPr>
              <w:t>Uses all three Group A drugs</w:t>
            </w:r>
            <w:r w:rsidR="00D26575">
              <w:rPr>
                <w:rFonts w:asciiTheme="minorHAnsi" w:hAnsiTheme="minorHAnsi" w:cstheme="minorHAnsi"/>
                <w:color w:val="000000" w:themeColor="text1"/>
                <w:sz w:val="23"/>
                <w:szCs w:val="23"/>
              </w:rPr>
              <w:t>.</w:t>
            </w:r>
          </w:p>
          <w:p w14:paraId="479E931F" w14:textId="7E501D10" w:rsidR="0024176D" w:rsidRPr="007A7B2F" w:rsidRDefault="0024176D"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7A7B2F">
              <w:rPr>
                <w:rFonts w:asciiTheme="minorHAnsi" w:hAnsiTheme="minorHAnsi" w:cstheme="minorHAnsi"/>
                <w:color w:val="000000" w:themeColor="text1"/>
                <w:sz w:val="23"/>
                <w:szCs w:val="23"/>
              </w:rPr>
              <w:t xml:space="preserve">Has only one </w:t>
            </w:r>
            <w:r w:rsidR="007A10D5">
              <w:rPr>
                <w:rFonts w:asciiTheme="minorHAnsi" w:hAnsiTheme="minorHAnsi" w:cstheme="minorHAnsi"/>
                <w:color w:val="000000" w:themeColor="text1"/>
                <w:sz w:val="23"/>
                <w:szCs w:val="23"/>
              </w:rPr>
              <w:t>moderate</w:t>
            </w:r>
            <w:r w:rsidR="007A10D5" w:rsidRPr="007A7B2F">
              <w:rPr>
                <w:rFonts w:asciiTheme="minorHAnsi" w:hAnsiTheme="minorHAnsi" w:cstheme="minorHAnsi"/>
                <w:color w:val="000000" w:themeColor="text1"/>
                <w:sz w:val="23"/>
                <w:szCs w:val="23"/>
              </w:rPr>
              <w:t xml:space="preserve"> </w:t>
            </w:r>
            <w:r w:rsidRPr="007A7B2F">
              <w:rPr>
                <w:rFonts w:asciiTheme="minorHAnsi" w:hAnsiTheme="minorHAnsi" w:cstheme="minorHAnsi"/>
                <w:color w:val="000000" w:themeColor="text1"/>
                <w:sz w:val="23"/>
                <w:szCs w:val="23"/>
              </w:rPr>
              <w:t>QT prolonging drug</w:t>
            </w:r>
            <w:r w:rsidR="00D26575">
              <w:rPr>
                <w:rFonts w:asciiTheme="minorHAnsi" w:hAnsiTheme="minorHAnsi" w:cstheme="minorHAnsi"/>
                <w:color w:val="000000" w:themeColor="text1"/>
                <w:sz w:val="23"/>
                <w:szCs w:val="23"/>
              </w:rPr>
              <w:t>.</w:t>
            </w:r>
          </w:p>
          <w:p w14:paraId="255FD383" w14:textId="6277E9EB" w:rsidR="0024176D" w:rsidRPr="007A7B2F" w:rsidRDefault="0024176D"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7A7B2F">
              <w:rPr>
                <w:rFonts w:asciiTheme="minorHAnsi" w:hAnsiTheme="minorHAnsi" w:cstheme="minorHAnsi"/>
                <w:color w:val="000000" w:themeColor="text1"/>
                <w:sz w:val="23"/>
                <w:szCs w:val="23"/>
              </w:rPr>
              <w:t>It is a regimen being used in an RCT (endTB Clinical Trial)</w:t>
            </w:r>
            <w:r w:rsidR="00D26575">
              <w:rPr>
                <w:rFonts w:asciiTheme="minorHAnsi" w:hAnsiTheme="minorHAnsi" w:cstheme="minorHAnsi"/>
                <w:color w:val="000000" w:themeColor="text1"/>
                <w:sz w:val="23"/>
                <w:szCs w:val="23"/>
              </w:rPr>
              <w:t>.</w:t>
            </w:r>
          </w:p>
        </w:tc>
      </w:tr>
      <w:tr w:rsidR="0024176D" w:rsidRPr="007A7B2F" w14:paraId="73E81D30" w14:textId="77777777" w:rsidTr="007F406E">
        <w:tc>
          <w:tcPr>
            <w:tcW w:w="1975" w:type="dxa"/>
          </w:tcPr>
          <w:p w14:paraId="4AB438B4" w14:textId="77777777" w:rsidR="0024176D" w:rsidRPr="007A7B2F" w:rsidRDefault="0024176D" w:rsidP="007F406E">
            <w:pPr>
              <w:pStyle w:val="ListParagraph"/>
              <w:spacing w:before="0" w:after="0"/>
              <w:ind w:left="0"/>
              <w:jc w:val="left"/>
              <w:rPr>
                <w:rFonts w:asciiTheme="minorHAnsi" w:hAnsiTheme="minorHAnsi" w:cstheme="minorHAnsi"/>
                <w:b/>
                <w:color w:val="000000" w:themeColor="text1"/>
                <w:sz w:val="18"/>
                <w:szCs w:val="18"/>
              </w:rPr>
            </w:pPr>
            <w:r w:rsidRPr="007A7B2F">
              <w:rPr>
                <w:rFonts w:asciiTheme="minorHAnsi" w:hAnsiTheme="minorHAnsi" w:cstheme="minorHAnsi"/>
                <w:b/>
                <w:color w:val="000000" w:themeColor="text1"/>
                <w:sz w:val="18"/>
                <w:szCs w:val="18"/>
              </w:rPr>
              <w:t xml:space="preserve">Disadvantages </w:t>
            </w:r>
          </w:p>
        </w:tc>
        <w:tc>
          <w:tcPr>
            <w:tcW w:w="6655" w:type="dxa"/>
          </w:tcPr>
          <w:p w14:paraId="04D24476" w14:textId="3935A53F" w:rsidR="005139D1" w:rsidRDefault="00D141C4" w:rsidP="00CB2F8E">
            <w:pPr>
              <w:pStyle w:val="ListParagraph"/>
              <w:numPr>
                <w:ilvl w:val="0"/>
                <w:numId w:val="26"/>
              </w:numPr>
              <w:spacing w:before="0" w:after="0"/>
              <w:jc w:val="left"/>
              <w:rPr>
                <w:rFonts w:asciiTheme="minorHAnsi" w:hAnsiTheme="minorHAnsi" w:cstheme="minorHAnsi"/>
                <w:color w:val="000000" w:themeColor="text1"/>
                <w:sz w:val="23"/>
                <w:szCs w:val="23"/>
              </w:rPr>
            </w:pPr>
            <w:r>
              <w:rPr>
                <w:rFonts w:asciiTheme="minorHAnsi" w:hAnsiTheme="minorHAnsi" w:cstheme="minorHAnsi"/>
                <w:color w:val="000000" w:themeColor="text1"/>
                <w:sz w:val="23"/>
                <w:szCs w:val="23"/>
              </w:rPr>
              <w:t>Does not use any of the Group B drugs (this</w:t>
            </w:r>
            <w:r w:rsidR="005139D1">
              <w:rPr>
                <w:rFonts w:asciiTheme="minorHAnsi" w:hAnsiTheme="minorHAnsi" w:cstheme="minorHAnsi"/>
                <w:color w:val="000000" w:themeColor="text1"/>
                <w:sz w:val="23"/>
                <w:szCs w:val="23"/>
              </w:rPr>
              <w:t xml:space="preserve"> is due to</w:t>
            </w:r>
            <w:r w:rsidR="00596482">
              <w:rPr>
                <w:rFonts w:asciiTheme="minorHAnsi" w:hAnsiTheme="minorHAnsi" w:cstheme="minorHAnsi"/>
                <w:color w:val="000000" w:themeColor="text1"/>
                <w:sz w:val="23"/>
                <w:szCs w:val="23"/>
              </w:rPr>
              <w:t xml:space="preserve"> the personal</w:t>
            </w:r>
            <w:r w:rsidR="005139D1">
              <w:rPr>
                <w:rFonts w:asciiTheme="minorHAnsi" w:hAnsiTheme="minorHAnsi" w:cstheme="minorHAnsi"/>
                <w:color w:val="000000" w:themeColor="text1"/>
                <w:sz w:val="23"/>
                <w:szCs w:val="23"/>
              </w:rPr>
              <w:t xml:space="preserve"> preference</w:t>
            </w:r>
            <w:r w:rsidR="00596482">
              <w:rPr>
                <w:rFonts w:asciiTheme="minorHAnsi" w:hAnsiTheme="minorHAnsi" w:cstheme="minorHAnsi"/>
                <w:color w:val="000000" w:themeColor="text1"/>
                <w:sz w:val="23"/>
                <w:szCs w:val="23"/>
              </w:rPr>
              <w:t xml:space="preserve"> of some TB experts</w:t>
            </w:r>
            <w:r w:rsidR="005139D1">
              <w:rPr>
                <w:rFonts w:asciiTheme="minorHAnsi" w:hAnsiTheme="minorHAnsi" w:cstheme="minorHAnsi"/>
                <w:color w:val="000000" w:themeColor="text1"/>
                <w:sz w:val="23"/>
                <w:szCs w:val="23"/>
              </w:rPr>
              <w:t xml:space="preserve"> to use Dlm over Cfz or Cs</w:t>
            </w:r>
            <w:r w:rsidR="003B0D9F">
              <w:rPr>
                <w:rFonts w:asciiTheme="minorHAnsi" w:hAnsiTheme="minorHAnsi" w:cstheme="minorHAnsi"/>
                <w:color w:val="000000" w:themeColor="text1"/>
                <w:sz w:val="23"/>
                <w:szCs w:val="23"/>
              </w:rPr>
              <w:t>)</w:t>
            </w:r>
            <w:r w:rsidR="005139D1">
              <w:rPr>
                <w:rFonts w:asciiTheme="minorHAnsi" w:hAnsiTheme="minorHAnsi" w:cstheme="minorHAnsi"/>
                <w:color w:val="000000" w:themeColor="text1"/>
                <w:sz w:val="23"/>
                <w:szCs w:val="23"/>
              </w:rPr>
              <w:t>.</w:t>
            </w:r>
          </w:p>
          <w:p w14:paraId="0977DA67" w14:textId="72F00DD8" w:rsidR="00942D1F" w:rsidRPr="007A7B2F" w:rsidRDefault="00942D1F"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7A7B2F">
              <w:rPr>
                <w:rFonts w:asciiTheme="minorHAnsi" w:hAnsiTheme="minorHAnsi" w:cstheme="minorHAnsi"/>
                <w:color w:val="000000" w:themeColor="text1"/>
                <w:sz w:val="23"/>
                <w:szCs w:val="23"/>
              </w:rPr>
              <w:t xml:space="preserve">Uses </w:t>
            </w:r>
            <w:r w:rsidR="00484BEC">
              <w:rPr>
                <w:rFonts w:asciiTheme="minorHAnsi" w:hAnsiTheme="minorHAnsi" w:cstheme="minorHAnsi"/>
                <w:bCs/>
                <w:color w:val="000000" w:themeColor="text1"/>
                <w:sz w:val="23"/>
                <w:szCs w:val="23"/>
              </w:rPr>
              <w:t>Z</w:t>
            </w:r>
            <w:r w:rsidRPr="007A7B2F">
              <w:rPr>
                <w:rFonts w:asciiTheme="minorHAnsi" w:hAnsiTheme="minorHAnsi" w:cstheme="minorHAnsi"/>
                <w:color w:val="000000" w:themeColor="text1"/>
                <w:sz w:val="23"/>
                <w:szCs w:val="23"/>
              </w:rPr>
              <w:t xml:space="preserve"> that is likely ineffective in most MDR-TB strains circulating in the area</w:t>
            </w:r>
            <w:r w:rsidR="00D26575">
              <w:rPr>
                <w:rFonts w:asciiTheme="minorHAnsi" w:hAnsiTheme="minorHAnsi" w:cstheme="minorHAnsi"/>
                <w:color w:val="000000" w:themeColor="text1"/>
                <w:sz w:val="23"/>
                <w:szCs w:val="23"/>
              </w:rPr>
              <w:t>.</w:t>
            </w:r>
          </w:p>
          <w:p w14:paraId="43FD9FCC" w14:textId="78BFD8E0" w:rsidR="0024176D" w:rsidRPr="007A7B2F" w:rsidRDefault="00942D1F"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7A7B2F">
              <w:rPr>
                <w:rFonts w:asciiTheme="minorHAnsi" w:hAnsiTheme="minorHAnsi" w:cstheme="minorHAnsi"/>
                <w:color w:val="000000" w:themeColor="text1"/>
                <w:sz w:val="23"/>
                <w:szCs w:val="23"/>
              </w:rPr>
              <w:t>May have drug-drug interactions with some ARTs</w:t>
            </w:r>
            <w:r w:rsidR="00D26575">
              <w:rPr>
                <w:rFonts w:asciiTheme="minorHAnsi" w:hAnsiTheme="minorHAnsi" w:cstheme="minorHAnsi"/>
                <w:color w:val="000000" w:themeColor="text1"/>
                <w:sz w:val="23"/>
                <w:szCs w:val="23"/>
              </w:rPr>
              <w:t>.</w:t>
            </w:r>
          </w:p>
        </w:tc>
      </w:tr>
    </w:tbl>
    <w:p w14:paraId="26D32284" w14:textId="77777777" w:rsidR="00471983" w:rsidRDefault="00471983">
      <w:pPr>
        <w:ind w:left="720"/>
        <w:rPr>
          <w:bCs/>
          <w:color w:val="000000" w:themeColor="text1"/>
          <w:sz w:val="20"/>
          <w:szCs w:val="20"/>
        </w:rPr>
      </w:pPr>
    </w:p>
    <w:p w14:paraId="3041523D" w14:textId="77777777" w:rsidR="0072332B" w:rsidRPr="00B85017" w:rsidRDefault="0072332B" w:rsidP="00395962">
      <w:pPr>
        <w:ind w:left="720"/>
        <w:rPr>
          <w:color w:val="000000" w:themeColor="text1"/>
        </w:rPr>
      </w:pPr>
    </w:p>
    <w:tbl>
      <w:tblPr>
        <w:tblStyle w:val="TableGrid"/>
        <w:tblW w:w="8630" w:type="dxa"/>
        <w:tblInd w:w="720" w:type="dxa"/>
        <w:tblLook w:val="04A0" w:firstRow="1" w:lastRow="0" w:firstColumn="1" w:lastColumn="0" w:noHBand="0" w:noVBand="1"/>
      </w:tblPr>
      <w:tblGrid>
        <w:gridCol w:w="1975"/>
        <w:gridCol w:w="6655"/>
      </w:tblGrid>
      <w:tr w:rsidR="00121F96" w:rsidRPr="00484BEC" w14:paraId="46AC1BFB" w14:textId="77777777" w:rsidTr="00093E2C">
        <w:trPr>
          <w:trHeight w:val="552"/>
        </w:trPr>
        <w:tc>
          <w:tcPr>
            <w:tcW w:w="8630" w:type="dxa"/>
            <w:gridSpan w:val="2"/>
            <w:shd w:val="clear" w:color="auto" w:fill="235868"/>
            <w:vAlign w:val="center"/>
          </w:tcPr>
          <w:p w14:paraId="69DFB83E" w14:textId="55307BFD" w:rsidR="00121F96" w:rsidRPr="00484BEC" w:rsidRDefault="00121F96" w:rsidP="007F406E">
            <w:pPr>
              <w:pStyle w:val="ListParagraph"/>
              <w:spacing w:before="0" w:after="0"/>
              <w:ind w:left="0"/>
              <w:jc w:val="center"/>
              <w:rPr>
                <w:rFonts w:asciiTheme="minorHAnsi" w:hAnsiTheme="minorHAnsi" w:cstheme="minorHAnsi"/>
                <w:b/>
                <w:color w:val="FFFFFF" w:themeColor="background1"/>
                <w:sz w:val="23"/>
                <w:szCs w:val="23"/>
              </w:rPr>
            </w:pPr>
            <w:r w:rsidRPr="00484BEC">
              <w:rPr>
                <w:rFonts w:asciiTheme="minorHAnsi" w:hAnsiTheme="minorHAnsi" w:cstheme="minorHAnsi"/>
                <w:b/>
                <w:color w:val="FFFFFF" w:themeColor="background1"/>
                <w:sz w:val="23"/>
                <w:szCs w:val="23"/>
              </w:rPr>
              <w:t>EXAMPLE 4: COUNTRY IN EASTERN EUROPE OR CENTRAL ASIA</w:t>
            </w:r>
          </w:p>
        </w:tc>
      </w:tr>
      <w:tr w:rsidR="00121F96" w:rsidRPr="00484BEC" w14:paraId="612506FB" w14:textId="77777777" w:rsidTr="007F406E">
        <w:trPr>
          <w:trHeight w:val="551"/>
        </w:trPr>
        <w:tc>
          <w:tcPr>
            <w:tcW w:w="1975" w:type="dxa"/>
          </w:tcPr>
          <w:p w14:paraId="53BA56E1" w14:textId="77777777" w:rsidR="00121F96" w:rsidRPr="00484BEC" w:rsidRDefault="00121F96" w:rsidP="007F406E">
            <w:pPr>
              <w:spacing w:before="0" w:after="0"/>
              <w:jc w:val="left"/>
              <w:rPr>
                <w:rFonts w:asciiTheme="minorHAnsi" w:hAnsiTheme="minorHAnsi" w:cstheme="minorHAnsi"/>
                <w:color w:val="000000" w:themeColor="text1"/>
                <w:sz w:val="18"/>
                <w:szCs w:val="18"/>
              </w:rPr>
            </w:pPr>
            <w:r w:rsidRPr="00484BEC">
              <w:rPr>
                <w:rFonts w:asciiTheme="minorHAnsi" w:hAnsiTheme="minorHAnsi" w:cstheme="minorHAnsi"/>
                <w:b/>
                <w:color w:val="000000" w:themeColor="text1"/>
                <w:sz w:val="18"/>
                <w:szCs w:val="18"/>
              </w:rPr>
              <w:t>Epidemiological situation</w:t>
            </w:r>
          </w:p>
        </w:tc>
        <w:tc>
          <w:tcPr>
            <w:tcW w:w="6655" w:type="dxa"/>
          </w:tcPr>
          <w:p w14:paraId="2EA3E8C1" w14:textId="5915B962" w:rsidR="00121F96" w:rsidRPr="00484BEC" w:rsidRDefault="00BE20B7" w:rsidP="00086F12">
            <w:p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 xml:space="preserve">In strains of MDR-TB in the country there is approximately </w:t>
            </w:r>
            <w:r w:rsidRPr="00484BEC">
              <w:rPr>
                <w:rFonts w:asciiTheme="minorHAnsi" w:hAnsiTheme="minorHAnsi" w:cstheme="minorHAnsi"/>
                <w:color w:val="000000" w:themeColor="text1"/>
                <w:sz w:val="23"/>
                <w:szCs w:val="23"/>
                <w:u w:val="single"/>
              </w:rPr>
              <w:t>20%</w:t>
            </w:r>
            <w:r w:rsidRPr="00484BEC">
              <w:rPr>
                <w:rFonts w:asciiTheme="minorHAnsi" w:hAnsiTheme="minorHAnsi" w:cstheme="minorHAnsi"/>
                <w:color w:val="000000" w:themeColor="text1"/>
                <w:sz w:val="23"/>
                <w:szCs w:val="23"/>
              </w:rPr>
              <w:t xml:space="preserve"> resistance to FQs, and approximately </w:t>
            </w:r>
            <w:r w:rsidRPr="00484BEC">
              <w:rPr>
                <w:rFonts w:asciiTheme="minorHAnsi" w:hAnsiTheme="minorHAnsi" w:cstheme="minorHAnsi"/>
                <w:color w:val="000000" w:themeColor="text1"/>
                <w:sz w:val="23"/>
                <w:szCs w:val="23"/>
                <w:u w:val="single"/>
              </w:rPr>
              <w:t>80%</w:t>
            </w:r>
            <w:r w:rsidRPr="00484BEC">
              <w:rPr>
                <w:rFonts w:asciiTheme="minorHAnsi" w:hAnsiTheme="minorHAnsi" w:cstheme="minorHAnsi"/>
                <w:color w:val="000000" w:themeColor="text1"/>
                <w:sz w:val="23"/>
                <w:szCs w:val="23"/>
              </w:rPr>
              <w:t xml:space="preserve"> resistance to </w:t>
            </w:r>
            <w:r w:rsidR="00484BEC">
              <w:rPr>
                <w:rFonts w:asciiTheme="minorHAnsi" w:hAnsiTheme="minorHAnsi" w:cstheme="minorHAnsi"/>
                <w:bCs/>
                <w:color w:val="000000" w:themeColor="text1"/>
                <w:sz w:val="23"/>
                <w:szCs w:val="23"/>
              </w:rPr>
              <w:t>Z</w:t>
            </w:r>
            <w:r w:rsidRPr="00484BEC">
              <w:rPr>
                <w:rFonts w:asciiTheme="minorHAnsi" w:hAnsiTheme="minorHAnsi" w:cstheme="minorHAnsi"/>
                <w:color w:val="000000" w:themeColor="text1"/>
                <w:sz w:val="23"/>
                <w:szCs w:val="23"/>
              </w:rPr>
              <w:t xml:space="preserve">.  </w:t>
            </w:r>
          </w:p>
        </w:tc>
      </w:tr>
      <w:tr w:rsidR="00121F96" w:rsidRPr="00484BEC" w14:paraId="6C2FFE82" w14:textId="77777777" w:rsidTr="007F406E">
        <w:trPr>
          <w:trHeight w:val="551"/>
        </w:trPr>
        <w:tc>
          <w:tcPr>
            <w:tcW w:w="1975" w:type="dxa"/>
          </w:tcPr>
          <w:p w14:paraId="6489C756" w14:textId="77777777" w:rsidR="00121F96" w:rsidRPr="00484BEC" w:rsidRDefault="00121F96" w:rsidP="007F406E">
            <w:pPr>
              <w:pStyle w:val="ListParagraph"/>
              <w:spacing w:before="0" w:after="0"/>
              <w:ind w:left="0"/>
              <w:jc w:val="left"/>
              <w:rPr>
                <w:rFonts w:asciiTheme="minorHAnsi" w:hAnsiTheme="minorHAnsi" w:cstheme="minorHAnsi"/>
                <w:b/>
                <w:color w:val="000000" w:themeColor="text1"/>
                <w:sz w:val="18"/>
                <w:szCs w:val="18"/>
              </w:rPr>
            </w:pPr>
            <w:r w:rsidRPr="00484BEC">
              <w:rPr>
                <w:rFonts w:asciiTheme="minorHAnsi" w:hAnsiTheme="minorHAnsi" w:cstheme="minorHAnsi"/>
                <w:b/>
                <w:color w:val="000000" w:themeColor="text1"/>
                <w:sz w:val="18"/>
                <w:szCs w:val="18"/>
              </w:rPr>
              <w:t>Access to DST</w:t>
            </w:r>
          </w:p>
        </w:tc>
        <w:tc>
          <w:tcPr>
            <w:tcW w:w="6655" w:type="dxa"/>
          </w:tcPr>
          <w:p w14:paraId="14B12DA0" w14:textId="1E8304BB" w:rsidR="00121F96" w:rsidRPr="00484BEC" w:rsidRDefault="00121F96" w:rsidP="007F406E">
            <w:pPr>
              <w:pStyle w:val="ListParagraph"/>
              <w:spacing w:before="0" w:after="0"/>
              <w:ind w:left="0"/>
              <w:jc w:val="left"/>
              <w:rPr>
                <w:rFonts w:asciiTheme="minorHAnsi" w:hAnsiTheme="minorHAnsi" w:cstheme="minorHAnsi"/>
                <w:b/>
                <w:color w:val="000000" w:themeColor="text1"/>
                <w:sz w:val="24"/>
                <w:szCs w:val="24"/>
              </w:rPr>
            </w:pPr>
            <w:r w:rsidRPr="00484BEC">
              <w:rPr>
                <w:rFonts w:asciiTheme="minorHAnsi" w:hAnsiTheme="minorHAnsi" w:cstheme="minorHAnsi"/>
                <w:color w:val="000000" w:themeColor="text1"/>
                <w:sz w:val="23"/>
                <w:szCs w:val="23"/>
              </w:rPr>
              <w:t>In</w:t>
            </w:r>
            <w:r w:rsidR="00484BEC">
              <w:rPr>
                <w:rFonts w:asciiTheme="minorHAnsi" w:hAnsiTheme="minorHAnsi" w:cstheme="minorHAnsi"/>
                <w:bCs/>
                <w:color w:val="000000" w:themeColor="text1"/>
                <w:sz w:val="23"/>
                <w:szCs w:val="23"/>
              </w:rPr>
              <w:t>-</w:t>
            </w:r>
            <w:r w:rsidRPr="00484BEC">
              <w:rPr>
                <w:rFonts w:asciiTheme="minorHAnsi" w:hAnsiTheme="minorHAnsi" w:cstheme="minorHAnsi"/>
                <w:color w:val="000000" w:themeColor="text1"/>
                <w:sz w:val="23"/>
                <w:szCs w:val="23"/>
              </w:rPr>
              <w:t xml:space="preserve">country rapid DST is available for FQs and in liquid culture for FQs and </w:t>
            </w:r>
            <w:r w:rsidR="00484BEC">
              <w:rPr>
                <w:rFonts w:asciiTheme="minorHAnsi" w:hAnsiTheme="minorHAnsi" w:cstheme="minorHAnsi"/>
                <w:bCs/>
                <w:color w:val="000000" w:themeColor="text1"/>
                <w:sz w:val="23"/>
                <w:szCs w:val="23"/>
              </w:rPr>
              <w:t>Z</w:t>
            </w:r>
            <w:r w:rsidRPr="00484BEC">
              <w:rPr>
                <w:rFonts w:asciiTheme="minorHAnsi" w:hAnsiTheme="minorHAnsi" w:cstheme="minorHAnsi"/>
                <w:color w:val="000000" w:themeColor="text1"/>
                <w:sz w:val="23"/>
                <w:szCs w:val="23"/>
              </w:rPr>
              <w:t xml:space="preserve">.  </w:t>
            </w:r>
          </w:p>
        </w:tc>
      </w:tr>
      <w:tr w:rsidR="00121F96" w:rsidRPr="00484BEC" w14:paraId="6723A05A" w14:textId="77777777" w:rsidTr="007F406E">
        <w:tc>
          <w:tcPr>
            <w:tcW w:w="1975" w:type="dxa"/>
          </w:tcPr>
          <w:p w14:paraId="0843A197" w14:textId="18052689" w:rsidR="00121F96" w:rsidRPr="00484BEC" w:rsidRDefault="000A1B67" w:rsidP="007F406E">
            <w:pPr>
              <w:pStyle w:val="ListParagraph"/>
              <w:spacing w:before="0" w:after="0"/>
              <w:ind w:left="0"/>
              <w:jc w:val="left"/>
              <w:rPr>
                <w:rFonts w:asciiTheme="minorHAnsi" w:hAnsiTheme="minorHAnsi" w:cstheme="minorHAnsi"/>
                <w:b/>
                <w:color w:val="000000" w:themeColor="text1"/>
                <w:sz w:val="18"/>
                <w:szCs w:val="18"/>
              </w:rPr>
            </w:pPr>
            <w:r w:rsidRPr="00484BEC">
              <w:rPr>
                <w:rFonts w:asciiTheme="minorHAnsi" w:hAnsiTheme="minorHAnsi" w:cstheme="minorHAnsi"/>
                <w:b/>
                <w:color w:val="000000" w:themeColor="text1"/>
                <w:sz w:val="18"/>
                <w:szCs w:val="18"/>
              </w:rPr>
              <w:t>Primary all-oral STR regimen</w:t>
            </w:r>
          </w:p>
        </w:tc>
        <w:tc>
          <w:tcPr>
            <w:tcW w:w="6655" w:type="dxa"/>
          </w:tcPr>
          <w:p w14:paraId="3D079673" w14:textId="06F813BA" w:rsidR="00121F96" w:rsidRPr="00484BEC" w:rsidRDefault="003C24F1" w:rsidP="007F406E">
            <w:p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b/>
                <w:color w:val="000000" w:themeColor="text1"/>
                <w:sz w:val="23"/>
                <w:szCs w:val="23"/>
              </w:rPr>
              <w:t>Lfx-Bdq-Lzd-Cfz-Cs</w:t>
            </w:r>
            <w:r w:rsidRPr="00484BEC">
              <w:rPr>
                <w:rFonts w:asciiTheme="minorHAnsi" w:hAnsiTheme="minorHAnsi" w:cstheme="minorHAnsi"/>
                <w:color w:val="000000" w:themeColor="text1"/>
                <w:sz w:val="23"/>
                <w:szCs w:val="23"/>
              </w:rPr>
              <w:t xml:space="preserve"> </w:t>
            </w:r>
          </w:p>
        </w:tc>
      </w:tr>
      <w:tr w:rsidR="00121F96" w:rsidRPr="00484BEC" w14:paraId="7B1A6CEE" w14:textId="77777777" w:rsidTr="007F406E">
        <w:tc>
          <w:tcPr>
            <w:tcW w:w="1975" w:type="dxa"/>
          </w:tcPr>
          <w:p w14:paraId="5CCB9015" w14:textId="77777777" w:rsidR="00121F96" w:rsidRPr="00484BEC" w:rsidRDefault="00121F96" w:rsidP="007F406E">
            <w:pPr>
              <w:pStyle w:val="ListParagraph"/>
              <w:spacing w:before="0" w:after="0"/>
              <w:ind w:left="0"/>
              <w:jc w:val="left"/>
              <w:rPr>
                <w:rFonts w:asciiTheme="minorHAnsi" w:hAnsiTheme="minorHAnsi" w:cstheme="minorHAnsi"/>
                <w:b/>
                <w:color w:val="000000" w:themeColor="text1"/>
                <w:sz w:val="18"/>
                <w:szCs w:val="18"/>
              </w:rPr>
            </w:pPr>
            <w:r w:rsidRPr="00484BEC">
              <w:rPr>
                <w:rFonts w:asciiTheme="minorHAnsi" w:hAnsiTheme="minorHAnsi" w:cstheme="minorHAnsi"/>
                <w:b/>
                <w:color w:val="000000" w:themeColor="text1"/>
                <w:sz w:val="18"/>
                <w:szCs w:val="18"/>
              </w:rPr>
              <w:t>Advantages</w:t>
            </w:r>
          </w:p>
        </w:tc>
        <w:tc>
          <w:tcPr>
            <w:tcW w:w="6655" w:type="dxa"/>
          </w:tcPr>
          <w:p w14:paraId="34EB3536" w14:textId="77777777" w:rsidR="00D07632" w:rsidRPr="00484BEC" w:rsidRDefault="00D07632"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Uses all three Group A drugs and both Group B drugs</w:t>
            </w:r>
          </w:p>
          <w:p w14:paraId="01001461" w14:textId="3299BF81" w:rsidR="00121F96" w:rsidRPr="00484BEC" w:rsidRDefault="00D07632"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 xml:space="preserve">Does not use </w:t>
            </w:r>
            <w:r w:rsidR="00484BEC">
              <w:rPr>
                <w:rFonts w:asciiTheme="minorHAnsi" w:hAnsiTheme="minorHAnsi" w:cstheme="minorHAnsi"/>
                <w:bCs/>
                <w:color w:val="000000" w:themeColor="text1"/>
                <w:sz w:val="23"/>
                <w:szCs w:val="23"/>
              </w:rPr>
              <w:t>Z</w:t>
            </w:r>
            <w:r w:rsidRPr="00484BEC">
              <w:rPr>
                <w:rFonts w:asciiTheme="minorHAnsi" w:hAnsiTheme="minorHAnsi" w:cstheme="minorHAnsi"/>
                <w:color w:val="000000" w:themeColor="text1"/>
                <w:sz w:val="23"/>
                <w:szCs w:val="23"/>
              </w:rPr>
              <w:t>, which is resistant in most MDR-TB strains circulating in the area</w:t>
            </w:r>
          </w:p>
        </w:tc>
      </w:tr>
      <w:tr w:rsidR="00121F96" w:rsidRPr="00484BEC" w14:paraId="659E9EFF" w14:textId="77777777" w:rsidTr="00086F12">
        <w:trPr>
          <w:trHeight w:val="107"/>
        </w:trPr>
        <w:tc>
          <w:tcPr>
            <w:tcW w:w="1975" w:type="dxa"/>
          </w:tcPr>
          <w:p w14:paraId="3FD1E04C" w14:textId="77777777" w:rsidR="00121F96" w:rsidRPr="00484BEC" w:rsidRDefault="00121F96" w:rsidP="007F406E">
            <w:pPr>
              <w:pStyle w:val="ListParagraph"/>
              <w:spacing w:before="0" w:after="0"/>
              <w:ind w:left="0"/>
              <w:jc w:val="left"/>
              <w:rPr>
                <w:rFonts w:asciiTheme="minorHAnsi" w:hAnsiTheme="minorHAnsi" w:cstheme="minorHAnsi"/>
                <w:b/>
                <w:color w:val="000000" w:themeColor="text1"/>
                <w:sz w:val="18"/>
                <w:szCs w:val="18"/>
              </w:rPr>
            </w:pPr>
            <w:r w:rsidRPr="00484BEC">
              <w:rPr>
                <w:rFonts w:asciiTheme="minorHAnsi" w:hAnsiTheme="minorHAnsi" w:cstheme="minorHAnsi"/>
                <w:b/>
                <w:color w:val="000000" w:themeColor="text1"/>
                <w:sz w:val="18"/>
                <w:szCs w:val="18"/>
              </w:rPr>
              <w:t xml:space="preserve">Disadvantages </w:t>
            </w:r>
          </w:p>
        </w:tc>
        <w:tc>
          <w:tcPr>
            <w:tcW w:w="6655" w:type="dxa"/>
          </w:tcPr>
          <w:p w14:paraId="5A9A6A58" w14:textId="4D641223" w:rsidR="00D07632" w:rsidRPr="00484BEC" w:rsidRDefault="00D07632"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Not used in any registered RCT</w:t>
            </w:r>
          </w:p>
          <w:p w14:paraId="70EE8F40" w14:textId="5236C892" w:rsidR="00D07632" w:rsidRPr="00484BEC" w:rsidRDefault="00D07632"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 xml:space="preserve">Uses </w:t>
            </w:r>
            <w:r w:rsidR="00484BEC">
              <w:rPr>
                <w:rFonts w:asciiTheme="minorHAnsi" w:hAnsiTheme="minorHAnsi" w:cstheme="minorHAnsi"/>
                <w:bCs/>
                <w:color w:val="000000" w:themeColor="text1"/>
                <w:sz w:val="23"/>
                <w:szCs w:val="23"/>
              </w:rPr>
              <w:t>Cs</w:t>
            </w:r>
            <w:r w:rsidRPr="00484BEC">
              <w:rPr>
                <w:rFonts w:asciiTheme="minorHAnsi" w:hAnsiTheme="minorHAnsi" w:cstheme="minorHAnsi"/>
                <w:color w:val="000000" w:themeColor="text1"/>
                <w:sz w:val="23"/>
                <w:szCs w:val="23"/>
              </w:rPr>
              <w:t xml:space="preserve"> which has a poor side-effect profile and may have overlapping toxicities with </w:t>
            </w:r>
            <w:r w:rsidR="00484BEC">
              <w:rPr>
                <w:rFonts w:asciiTheme="minorHAnsi" w:hAnsiTheme="minorHAnsi" w:cstheme="minorHAnsi"/>
                <w:bCs/>
                <w:color w:val="000000" w:themeColor="text1"/>
                <w:sz w:val="23"/>
                <w:szCs w:val="23"/>
              </w:rPr>
              <w:t>Lzd</w:t>
            </w:r>
          </w:p>
          <w:p w14:paraId="381DADBB" w14:textId="77777777" w:rsidR="00121F96" w:rsidRPr="00484BEC" w:rsidRDefault="00D07632" w:rsidP="00CB2F8E">
            <w:pPr>
              <w:pStyle w:val="ListParagraph"/>
              <w:numPr>
                <w:ilvl w:val="0"/>
                <w:numId w:val="26"/>
              </w:num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May have drug-drug interactions with some ARTs</w:t>
            </w:r>
          </w:p>
        </w:tc>
      </w:tr>
    </w:tbl>
    <w:p w14:paraId="1D1AF00D" w14:textId="77777777" w:rsidR="00471983" w:rsidRDefault="00471983" w:rsidP="009A2569">
      <w:pPr>
        <w:spacing w:before="0" w:after="0"/>
        <w:jc w:val="left"/>
        <w:rPr>
          <w:bCs/>
          <w:color w:val="000000" w:themeColor="text1"/>
          <w:sz w:val="20"/>
          <w:szCs w:val="20"/>
        </w:rPr>
      </w:pPr>
    </w:p>
    <w:p w14:paraId="43D17A5C" w14:textId="04B5680B" w:rsidR="00145528" w:rsidRDefault="00145528" w:rsidP="009A2569">
      <w:pPr>
        <w:spacing w:before="0" w:after="0"/>
        <w:jc w:val="left"/>
        <w:rPr>
          <w:bCs/>
          <w:color w:val="000000" w:themeColor="text1"/>
          <w:sz w:val="23"/>
          <w:szCs w:val="23"/>
        </w:rPr>
      </w:pPr>
    </w:p>
    <w:p w14:paraId="3E652A2A" w14:textId="4A0F61A0" w:rsidR="00D26575" w:rsidRDefault="00D26575" w:rsidP="009A2569">
      <w:pPr>
        <w:spacing w:before="0" w:after="0"/>
        <w:jc w:val="left"/>
        <w:rPr>
          <w:bCs/>
          <w:color w:val="000000" w:themeColor="text1"/>
          <w:sz w:val="23"/>
          <w:szCs w:val="23"/>
        </w:rPr>
      </w:pPr>
    </w:p>
    <w:p w14:paraId="4B212532" w14:textId="77777777" w:rsidR="00D26575" w:rsidRPr="00B85017" w:rsidRDefault="00D26575" w:rsidP="009A2569">
      <w:pPr>
        <w:spacing w:before="0" w:after="0"/>
        <w:jc w:val="left"/>
        <w:rPr>
          <w:bCs/>
          <w:color w:val="000000" w:themeColor="text1"/>
          <w:sz w:val="23"/>
          <w:szCs w:val="23"/>
        </w:rPr>
      </w:pPr>
    </w:p>
    <w:tbl>
      <w:tblPr>
        <w:tblStyle w:val="TableGrid"/>
        <w:tblW w:w="8630" w:type="dxa"/>
        <w:tblInd w:w="720" w:type="dxa"/>
        <w:tblLook w:val="04A0" w:firstRow="1" w:lastRow="0" w:firstColumn="1" w:lastColumn="0" w:noHBand="0" w:noVBand="1"/>
      </w:tblPr>
      <w:tblGrid>
        <w:gridCol w:w="1975"/>
        <w:gridCol w:w="6655"/>
      </w:tblGrid>
      <w:tr w:rsidR="004226CD" w:rsidRPr="00484BEC" w14:paraId="34793979" w14:textId="77777777" w:rsidTr="00DE5FDC">
        <w:trPr>
          <w:trHeight w:val="552"/>
        </w:trPr>
        <w:tc>
          <w:tcPr>
            <w:tcW w:w="8630" w:type="dxa"/>
            <w:gridSpan w:val="2"/>
            <w:shd w:val="clear" w:color="auto" w:fill="235868"/>
            <w:vAlign w:val="center"/>
          </w:tcPr>
          <w:p w14:paraId="6CFCACAC" w14:textId="3180CF81" w:rsidR="004226CD" w:rsidRPr="00484BEC" w:rsidRDefault="004226CD" w:rsidP="009D4C5C">
            <w:pPr>
              <w:pStyle w:val="ListParagraph"/>
              <w:spacing w:before="0" w:after="0"/>
              <w:ind w:left="0"/>
              <w:jc w:val="center"/>
              <w:rPr>
                <w:rFonts w:asciiTheme="minorHAnsi" w:hAnsiTheme="minorHAnsi" w:cstheme="minorHAnsi"/>
                <w:b/>
                <w:color w:val="FFFFFF" w:themeColor="background1"/>
                <w:sz w:val="23"/>
                <w:szCs w:val="23"/>
              </w:rPr>
            </w:pPr>
            <w:r w:rsidRPr="00484BEC">
              <w:rPr>
                <w:rFonts w:asciiTheme="minorHAnsi" w:hAnsiTheme="minorHAnsi" w:cstheme="minorHAnsi"/>
                <w:b/>
                <w:color w:val="FFFFFF" w:themeColor="background1"/>
                <w:sz w:val="23"/>
                <w:szCs w:val="23"/>
              </w:rPr>
              <w:lastRenderedPageBreak/>
              <w:t xml:space="preserve">EXAMPLE </w:t>
            </w:r>
            <w:r w:rsidR="005A4A01" w:rsidRPr="00484BEC">
              <w:rPr>
                <w:rFonts w:asciiTheme="minorHAnsi" w:hAnsiTheme="minorHAnsi" w:cstheme="minorHAnsi"/>
                <w:b/>
                <w:color w:val="FFFFFF" w:themeColor="background1"/>
                <w:sz w:val="23"/>
                <w:szCs w:val="23"/>
              </w:rPr>
              <w:t>5</w:t>
            </w:r>
            <w:r w:rsidRPr="00484BEC">
              <w:rPr>
                <w:rFonts w:asciiTheme="minorHAnsi" w:hAnsiTheme="minorHAnsi" w:cstheme="minorHAnsi"/>
                <w:b/>
                <w:color w:val="FFFFFF" w:themeColor="background1"/>
                <w:sz w:val="23"/>
                <w:szCs w:val="23"/>
              </w:rPr>
              <w:t xml:space="preserve">: COUNTRY IN SOUTH ASIA </w:t>
            </w:r>
          </w:p>
        </w:tc>
      </w:tr>
      <w:tr w:rsidR="004226CD" w:rsidRPr="00484BEC" w14:paraId="3A0A8019" w14:textId="77777777" w:rsidTr="009D4C5C">
        <w:trPr>
          <w:trHeight w:val="551"/>
        </w:trPr>
        <w:tc>
          <w:tcPr>
            <w:tcW w:w="1975" w:type="dxa"/>
          </w:tcPr>
          <w:p w14:paraId="299E9B85" w14:textId="77777777" w:rsidR="004226CD" w:rsidRPr="00484BEC" w:rsidRDefault="004226CD" w:rsidP="009D4C5C">
            <w:pPr>
              <w:spacing w:before="0" w:after="0"/>
              <w:jc w:val="left"/>
              <w:rPr>
                <w:rFonts w:asciiTheme="minorHAnsi" w:hAnsiTheme="minorHAnsi" w:cstheme="minorHAnsi"/>
                <w:color w:val="000000" w:themeColor="text1"/>
                <w:sz w:val="18"/>
                <w:szCs w:val="18"/>
              </w:rPr>
            </w:pPr>
            <w:r w:rsidRPr="00484BEC">
              <w:rPr>
                <w:rFonts w:asciiTheme="minorHAnsi" w:hAnsiTheme="minorHAnsi" w:cstheme="minorHAnsi"/>
                <w:b/>
                <w:color w:val="000000" w:themeColor="text1"/>
                <w:sz w:val="18"/>
                <w:szCs w:val="18"/>
              </w:rPr>
              <w:t>Epidemiological situation</w:t>
            </w:r>
          </w:p>
        </w:tc>
        <w:tc>
          <w:tcPr>
            <w:tcW w:w="6655" w:type="dxa"/>
          </w:tcPr>
          <w:p w14:paraId="44C0F883" w14:textId="2ADD8623" w:rsidR="004226CD" w:rsidRPr="00484BEC" w:rsidRDefault="004226CD" w:rsidP="009D4C5C">
            <w:pPr>
              <w:pStyle w:val="ListParagraph"/>
              <w:spacing w:before="0" w:after="0"/>
              <w:ind w:left="0"/>
              <w:jc w:val="left"/>
              <w:rPr>
                <w:rFonts w:asciiTheme="minorHAnsi" w:hAnsiTheme="minorHAnsi" w:cstheme="minorHAnsi"/>
                <w:b/>
                <w:color w:val="000000" w:themeColor="text1"/>
                <w:sz w:val="24"/>
                <w:szCs w:val="24"/>
              </w:rPr>
            </w:pPr>
            <w:r w:rsidRPr="00484BEC">
              <w:rPr>
                <w:rFonts w:asciiTheme="minorHAnsi" w:hAnsiTheme="minorHAnsi" w:cstheme="minorHAnsi"/>
                <w:color w:val="000000" w:themeColor="text1"/>
                <w:sz w:val="23"/>
                <w:szCs w:val="23"/>
              </w:rPr>
              <w:t xml:space="preserve">In strains of RR/MDR-TB, there is approximately 30-49% resistance to </w:t>
            </w:r>
            <w:r w:rsidR="00484BEC">
              <w:rPr>
                <w:rFonts w:asciiTheme="minorHAnsi" w:hAnsiTheme="minorHAnsi" w:cstheme="minorHAnsi"/>
                <w:bCs/>
                <w:color w:val="000000" w:themeColor="text1"/>
                <w:sz w:val="23"/>
                <w:szCs w:val="23"/>
              </w:rPr>
              <w:t>Z</w:t>
            </w:r>
            <w:r w:rsidRPr="00484BEC">
              <w:rPr>
                <w:rFonts w:asciiTheme="minorHAnsi" w:hAnsiTheme="minorHAnsi" w:cstheme="minorHAnsi"/>
                <w:bCs/>
                <w:color w:val="000000" w:themeColor="text1"/>
                <w:sz w:val="23"/>
                <w:szCs w:val="23"/>
              </w:rPr>
              <w:t>.</w:t>
            </w:r>
            <w:r w:rsidRPr="00484BEC">
              <w:rPr>
                <w:rFonts w:asciiTheme="minorHAnsi" w:hAnsiTheme="minorHAnsi" w:cstheme="minorHAnsi"/>
                <w:color w:val="000000" w:themeColor="text1"/>
                <w:sz w:val="23"/>
                <w:szCs w:val="23"/>
              </w:rPr>
              <w:t xml:space="preserve"> </w:t>
            </w:r>
            <w:r w:rsidR="00875502" w:rsidRPr="00484BEC">
              <w:rPr>
                <w:rFonts w:asciiTheme="minorHAnsi" w:hAnsiTheme="minorHAnsi" w:cstheme="minorHAnsi"/>
                <w:color w:val="000000" w:themeColor="text1"/>
                <w:sz w:val="23"/>
                <w:szCs w:val="23"/>
              </w:rPr>
              <w:t>Resistance to FQs in MDR-TB strains is 30 to 50%</w:t>
            </w:r>
            <w:r w:rsidR="00D26575">
              <w:rPr>
                <w:rFonts w:asciiTheme="minorHAnsi" w:hAnsiTheme="minorHAnsi" w:cstheme="minorHAnsi"/>
                <w:color w:val="000000" w:themeColor="text1"/>
                <w:sz w:val="23"/>
                <w:szCs w:val="23"/>
              </w:rPr>
              <w:t xml:space="preserve"> (most of the FQ resistance in the area is low-level FQ resistance)</w:t>
            </w:r>
            <w:r w:rsidR="00875502" w:rsidRPr="00484BEC">
              <w:rPr>
                <w:rFonts w:asciiTheme="minorHAnsi" w:hAnsiTheme="minorHAnsi" w:cstheme="minorHAnsi"/>
                <w:color w:val="000000" w:themeColor="text1"/>
                <w:sz w:val="23"/>
                <w:szCs w:val="23"/>
              </w:rPr>
              <w:t>.</w:t>
            </w:r>
          </w:p>
        </w:tc>
      </w:tr>
      <w:tr w:rsidR="004226CD" w:rsidRPr="00484BEC" w14:paraId="14513870" w14:textId="77777777" w:rsidTr="009D4C5C">
        <w:trPr>
          <w:trHeight w:val="551"/>
        </w:trPr>
        <w:tc>
          <w:tcPr>
            <w:tcW w:w="1975" w:type="dxa"/>
          </w:tcPr>
          <w:p w14:paraId="3FE11600" w14:textId="77777777" w:rsidR="004226CD" w:rsidRPr="00484BEC" w:rsidRDefault="004226CD" w:rsidP="009D4C5C">
            <w:pPr>
              <w:pStyle w:val="ListParagraph"/>
              <w:spacing w:before="0" w:after="0"/>
              <w:ind w:left="0"/>
              <w:jc w:val="left"/>
              <w:rPr>
                <w:rFonts w:asciiTheme="minorHAnsi" w:hAnsiTheme="minorHAnsi" w:cstheme="minorHAnsi"/>
                <w:b/>
                <w:color w:val="000000" w:themeColor="text1"/>
                <w:sz w:val="18"/>
                <w:szCs w:val="18"/>
              </w:rPr>
            </w:pPr>
            <w:r w:rsidRPr="00484BEC">
              <w:rPr>
                <w:rFonts w:asciiTheme="minorHAnsi" w:hAnsiTheme="minorHAnsi" w:cstheme="minorHAnsi"/>
                <w:b/>
                <w:color w:val="000000" w:themeColor="text1"/>
                <w:sz w:val="18"/>
                <w:szCs w:val="18"/>
              </w:rPr>
              <w:t>Access to DST</w:t>
            </w:r>
          </w:p>
        </w:tc>
        <w:tc>
          <w:tcPr>
            <w:tcW w:w="6655" w:type="dxa"/>
          </w:tcPr>
          <w:p w14:paraId="3915CC73" w14:textId="0F05B753" w:rsidR="004226CD" w:rsidRPr="00484BEC" w:rsidRDefault="004226CD" w:rsidP="009D4C5C">
            <w:pPr>
              <w:pStyle w:val="ListParagraph"/>
              <w:spacing w:before="0" w:after="0"/>
              <w:ind w:left="0"/>
              <w:jc w:val="left"/>
              <w:rPr>
                <w:rFonts w:asciiTheme="minorHAnsi" w:hAnsiTheme="minorHAnsi" w:cstheme="minorHAnsi"/>
                <w:b/>
                <w:color w:val="000000" w:themeColor="text1"/>
                <w:sz w:val="24"/>
                <w:szCs w:val="24"/>
              </w:rPr>
            </w:pPr>
            <w:r w:rsidRPr="00484BEC">
              <w:rPr>
                <w:rFonts w:asciiTheme="minorHAnsi" w:hAnsiTheme="minorHAnsi" w:cstheme="minorHAnsi"/>
                <w:color w:val="000000" w:themeColor="text1"/>
                <w:sz w:val="23"/>
                <w:szCs w:val="23"/>
              </w:rPr>
              <w:t>In</w:t>
            </w:r>
            <w:r w:rsidR="00484BEC">
              <w:rPr>
                <w:rFonts w:asciiTheme="minorHAnsi" w:hAnsiTheme="minorHAnsi" w:cstheme="minorHAnsi"/>
                <w:bCs/>
                <w:color w:val="000000" w:themeColor="text1"/>
                <w:sz w:val="23"/>
                <w:szCs w:val="23"/>
              </w:rPr>
              <w:t>-</w:t>
            </w:r>
            <w:r w:rsidRPr="00484BEC">
              <w:rPr>
                <w:rFonts w:asciiTheme="minorHAnsi" w:hAnsiTheme="minorHAnsi" w:cstheme="minorHAnsi"/>
                <w:color w:val="000000" w:themeColor="text1"/>
                <w:sz w:val="23"/>
                <w:szCs w:val="23"/>
              </w:rPr>
              <w:t>country rapid DST is available for FQs and in liquid culture for FQs</w:t>
            </w:r>
            <w:r w:rsidR="00875502" w:rsidRPr="00484BEC">
              <w:rPr>
                <w:rFonts w:asciiTheme="minorHAnsi" w:hAnsiTheme="minorHAnsi" w:cstheme="minorHAnsi"/>
                <w:color w:val="000000" w:themeColor="text1"/>
                <w:sz w:val="23"/>
                <w:szCs w:val="23"/>
              </w:rPr>
              <w:t>,</w:t>
            </w:r>
            <w:r w:rsidRPr="00484BEC">
              <w:rPr>
                <w:rFonts w:asciiTheme="minorHAnsi" w:hAnsiTheme="minorHAnsi" w:cstheme="minorHAnsi"/>
                <w:color w:val="000000" w:themeColor="text1"/>
                <w:sz w:val="23"/>
                <w:szCs w:val="23"/>
              </w:rPr>
              <w:t xml:space="preserve"> injectables, </w:t>
            </w:r>
            <w:r w:rsidR="00484BEC">
              <w:rPr>
                <w:rFonts w:asciiTheme="minorHAnsi" w:hAnsiTheme="minorHAnsi" w:cstheme="minorHAnsi"/>
                <w:bCs/>
                <w:color w:val="000000" w:themeColor="text1"/>
                <w:sz w:val="23"/>
                <w:szCs w:val="23"/>
              </w:rPr>
              <w:t>Eto</w:t>
            </w:r>
            <w:r w:rsidRPr="00484BEC">
              <w:rPr>
                <w:rFonts w:asciiTheme="minorHAnsi" w:hAnsiTheme="minorHAnsi" w:cstheme="minorHAnsi"/>
                <w:bCs/>
                <w:color w:val="000000" w:themeColor="text1"/>
                <w:sz w:val="23"/>
                <w:szCs w:val="23"/>
              </w:rPr>
              <w:t xml:space="preserve">, </w:t>
            </w:r>
            <w:r w:rsidR="00484BEC">
              <w:rPr>
                <w:rFonts w:asciiTheme="minorHAnsi" w:hAnsiTheme="minorHAnsi" w:cstheme="minorHAnsi"/>
                <w:bCs/>
                <w:color w:val="000000" w:themeColor="text1"/>
                <w:sz w:val="23"/>
                <w:szCs w:val="23"/>
              </w:rPr>
              <w:t>E</w:t>
            </w:r>
            <w:r w:rsidRPr="00484BEC">
              <w:rPr>
                <w:rFonts w:asciiTheme="minorHAnsi" w:hAnsiTheme="minorHAnsi" w:cstheme="minorHAnsi"/>
                <w:color w:val="000000" w:themeColor="text1"/>
                <w:sz w:val="23"/>
                <w:szCs w:val="23"/>
              </w:rPr>
              <w:t xml:space="preserve">, and </w:t>
            </w:r>
            <w:r w:rsidR="00484BEC">
              <w:rPr>
                <w:rFonts w:asciiTheme="minorHAnsi" w:hAnsiTheme="minorHAnsi" w:cstheme="minorHAnsi"/>
                <w:bCs/>
                <w:color w:val="000000" w:themeColor="text1"/>
                <w:sz w:val="23"/>
                <w:szCs w:val="23"/>
              </w:rPr>
              <w:t>Z</w:t>
            </w:r>
            <w:r w:rsidRPr="00484BEC">
              <w:rPr>
                <w:rFonts w:asciiTheme="minorHAnsi" w:hAnsiTheme="minorHAnsi" w:cstheme="minorHAnsi"/>
                <w:color w:val="000000" w:themeColor="text1"/>
                <w:sz w:val="23"/>
                <w:szCs w:val="23"/>
              </w:rPr>
              <w:t>.</w:t>
            </w:r>
          </w:p>
        </w:tc>
      </w:tr>
      <w:tr w:rsidR="004226CD" w:rsidRPr="00484BEC" w14:paraId="0F80F146" w14:textId="77777777" w:rsidTr="009D4C5C">
        <w:tc>
          <w:tcPr>
            <w:tcW w:w="1975" w:type="dxa"/>
          </w:tcPr>
          <w:p w14:paraId="0AEEE04E" w14:textId="77777777" w:rsidR="004226CD" w:rsidRPr="00484BEC" w:rsidRDefault="004226CD" w:rsidP="009D4C5C">
            <w:pPr>
              <w:pStyle w:val="ListParagraph"/>
              <w:spacing w:before="0" w:after="0"/>
              <w:ind w:left="0"/>
              <w:jc w:val="left"/>
              <w:rPr>
                <w:rFonts w:asciiTheme="minorHAnsi" w:hAnsiTheme="minorHAnsi" w:cstheme="minorHAnsi"/>
                <w:b/>
                <w:color w:val="000000" w:themeColor="text1"/>
                <w:sz w:val="18"/>
                <w:szCs w:val="18"/>
              </w:rPr>
            </w:pPr>
            <w:r w:rsidRPr="00484BEC">
              <w:rPr>
                <w:rFonts w:asciiTheme="minorHAnsi" w:hAnsiTheme="minorHAnsi" w:cstheme="minorHAnsi"/>
                <w:b/>
                <w:color w:val="000000" w:themeColor="text1"/>
                <w:sz w:val="18"/>
                <w:szCs w:val="18"/>
              </w:rPr>
              <w:t>Primary all-oral STR regimen</w:t>
            </w:r>
          </w:p>
        </w:tc>
        <w:tc>
          <w:tcPr>
            <w:tcW w:w="6655" w:type="dxa"/>
          </w:tcPr>
          <w:p w14:paraId="091FCBFC" w14:textId="72D26161" w:rsidR="004226CD" w:rsidRPr="00484BEC" w:rsidRDefault="004226CD" w:rsidP="009D4C5C">
            <w:pPr>
              <w:pStyle w:val="ListParagraph"/>
              <w:spacing w:before="0" w:after="0"/>
              <w:ind w:left="0"/>
              <w:jc w:val="left"/>
              <w:rPr>
                <w:rFonts w:asciiTheme="minorHAnsi" w:hAnsiTheme="minorHAnsi" w:cstheme="minorHAnsi"/>
                <w:color w:val="000000" w:themeColor="text1"/>
                <w:sz w:val="23"/>
                <w:szCs w:val="23"/>
              </w:rPr>
            </w:pPr>
            <w:r w:rsidRPr="00484BEC">
              <w:rPr>
                <w:rFonts w:asciiTheme="minorHAnsi" w:hAnsiTheme="minorHAnsi" w:cstheme="minorHAnsi"/>
                <w:b/>
                <w:color w:val="000000" w:themeColor="text1"/>
                <w:sz w:val="23"/>
                <w:szCs w:val="23"/>
              </w:rPr>
              <w:t>Option 1: Lfx-Bdq-Lzd-Cfz</w:t>
            </w:r>
            <w:r w:rsidRPr="00484BEC">
              <w:rPr>
                <w:rFonts w:asciiTheme="minorHAnsi" w:hAnsiTheme="minorHAnsi" w:cstheme="minorHAnsi"/>
                <w:color w:val="000000" w:themeColor="text1"/>
                <w:sz w:val="23"/>
                <w:szCs w:val="23"/>
              </w:rPr>
              <w:t xml:space="preserve"> </w:t>
            </w:r>
          </w:p>
          <w:p w14:paraId="23E12624" w14:textId="3DBAA6F4" w:rsidR="004226CD" w:rsidRPr="00484BEC" w:rsidRDefault="004226CD" w:rsidP="009D4C5C">
            <w:pPr>
              <w:pStyle w:val="ListParagraph"/>
              <w:spacing w:before="0" w:after="0"/>
              <w:ind w:left="0"/>
              <w:jc w:val="left"/>
              <w:rPr>
                <w:rFonts w:asciiTheme="minorHAnsi" w:hAnsiTheme="minorHAnsi" w:cstheme="minorHAnsi"/>
                <w:b/>
                <w:color w:val="000000" w:themeColor="text1"/>
                <w:sz w:val="23"/>
                <w:szCs w:val="23"/>
              </w:rPr>
            </w:pPr>
            <w:r w:rsidRPr="00484BEC">
              <w:rPr>
                <w:rFonts w:asciiTheme="minorHAnsi" w:hAnsiTheme="minorHAnsi" w:cstheme="minorHAnsi"/>
                <w:b/>
                <w:color w:val="000000" w:themeColor="text1"/>
                <w:sz w:val="23"/>
                <w:szCs w:val="23"/>
              </w:rPr>
              <w:t xml:space="preserve">Option 2: Lfx (or </w:t>
            </w:r>
            <w:r w:rsidR="00900189">
              <w:rPr>
                <w:rFonts w:asciiTheme="minorHAnsi" w:hAnsiTheme="minorHAnsi" w:cstheme="minorHAnsi"/>
                <w:b/>
                <w:color w:val="000000" w:themeColor="text1"/>
                <w:sz w:val="23"/>
                <w:szCs w:val="23"/>
              </w:rPr>
              <w:t xml:space="preserve">high-dose </w:t>
            </w:r>
            <w:r w:rsidRPr="00484BEC">
              <w:rPr>
                <w:rFonts w:asciiTheme="minorHAnsi" w:hAnsiTheme="minorHAnsi" w:cstheme="minorHAnsi"/>
                <w:b/>
                <w:color w:val="000000" w:themeColor="text1"/>
                <w:sz w:val="23"/>
                <w:szCs w:val="23"/>
              </w:rPr>
              <w:t>Mfx)-Bdq-Lzd-Dlm-Z</w:t>
            </w:r>
            <w:r w:rsidRPr="00484BEC">
              <w:rPr>
                <w:rFonts w:asciiTheme="minorHAnsi" w:hAnsiTheme="minorHAnsi" w:cstheme="minorHAnsi"/>
                <w:color w:val="000000" w:themeColor="text1"/>
                <w:sz w:val="23"/>
                <w:szCs w:val="23"/>
              </w:rPr>
              <w:t xml:space="preserve"> </w:t>
            </w:r>
          </w:p>
        </w:tc>
      </w:tr>
      <w:tr w:rsidR="004226CD" w:rsidRPr="00484BEC" w14:paraId="14A50E17" w14:textId="77777777" w:rsidTr="009D4C5C">
        <w:tc>
          <w:tcPr>
            <w:tcW w:w="1975" w:type="dxa"/>
          </w:tcPr>
          <w:p w14:paraId="60B4B4C3" w14:textId="77777777" w:rsidR="004226CD" w:rsidRPr="00484BEC" w:rsidRDefault="004226CD" w:rsidP="009D4C5C">
            <w:pPr>
              <w:pStyle w:val="ListParagraph"/>
              <w:spacing w:before="0" w:after="0"/>
              <w:ind w:left="0"/>
              <w:jc w:val="left"/>
              <w:rPr>
                <w:rFonts w:asciiTheme="minorHAnsi" w:hAnsiTheme="minorHAnsi" w:cstheme="minorHAnsi"/>
                <w:b/>
                <w:color w:val="000000" w:themeColor="text1"/>
                <w:sz w:val="18"/>
                <w:szCs w:val="18"/>
              </w:rPr>
            </w:pPr>
            <w:r w:rsidRPr="00484BEC">
              <w:rPr>
                <w:rFonts w:asciiTheme="minorHAnsi" w:hAnsiTheme="minorHAnsi" w:cstheme="minorHAnsi"/>
                <w:b/>
                <w:color w:val="000000" w:themeColor="text1"/>
                <w:sz w:val="18"/>
                <w:szCs w:val="18"/>
              </w:rPr>
              <w:t>Advantages</w:t>
            </w:r>
          </w:p>
        </w:tc>
        <w:tc>
          <w:tcPr>
            <w:tcW w:w="6655" w:type="dxa"/>
          </w:tcPr>
          <w:p w14:paraId="0F878EBC" w14:textId="07C13FDD" w:rsidR="004226CD" w:rsidRDefault="007D0054" w:rsidP="004226CD">
            <w:pPr>
              <w:pStyle w:val="ListParagraph"/>
              <w:numPr>
                <w:ilvl w:val="0"/>
                <w:numId w:val="26"/>
              </w:numPr>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Both Options include</w:t>
            </w:r>
            <w:r w:rsidR="004226CD" w:rsidRPr="00484BEC">
              <w:rPr>
                <w:rFonts w:asciiTheme="minorHAnsi" w:hAnsiTheme="minorHAnsi" w:cstheme="minorHAnsi"/>
                <w:color w:val="000000" w:themeColor="text1"/>
                <w:sz w:val="23"/>
                <w:szCs w:val="23"/>
              </w:rPr>
              <w:t xml:space="preserve"> all three Group A drugs</w:t>
            </w:r>
            <w:r w:rsidR="00355861">
              <w:rPr>
                <w:rFonts w:asciiTheme="minorHAnsi" w:hAnsiTheme="minorHAnsi" w:cstheme="minorHAnsi"/>
                <w:color w:val="000000" w:themeColor="text1"/>
                <w:sz w:val="23"/>
                <w:szCs w:val="23"/>
              </w:rPr>
              <w:t>.</w:t>
            </w:r>
          </w:p>
          <w:p w14:paraId="14D58A3F" w14:textId="47184E00" w:rsidR="00EB23C0" w:rsidRPr="00484BEC" w:rsidRDefault="00964B79" w:rsidP="004226CD">
            <w:pPr>
              <w:pStyle w:val="ListParagraph"/>
              <w:numPr>
                <w:ilvl w:val="0"/>
                <w:numId w:val="26"/>
              </w:numPr>
              <w:rPr>
                <w:rFonts w:asciiTheme="minorHAnsi" w:hAnsiTheme="minorHAnsi" w:cstheme="minorHAnsi"/>
                <w:color w:val="000000" w:themeColor="text1"/>
                <w:sz w:val="23"/>
                <w:szCs w:val="23"/>
              </w:rPr>
            </w:pPr>
            <w:r>
              <w:rPr>
                <w:rFonts w:asciiTheme="minorHAnsi" w:hAnsiTheme="minorHAnsi" w:cstheme="minorHAnsi"/>
                <w:color w:val="000000" w:themeColor="text1"/>
                <w:sz w:val="23"/>
                <w:szCs w:val="23"/>
              </w:rPr>
              <w:t xml:space="preserve">Option 1 allows </w:t>
            </w:r>
            <w:r w:rsidR="00F540D3">
              <w:rPr>
                <w:rFonts w:asciiTheme="minorHAnsi" w:hAnsiTheme="minorHAnsi" w:cstheme="minorHAnsi"/>
                <w:color w:val="000000" w:themeColor="text1"/>
                <w:sz w:val="23"/>
                <w:szCs w:val="23"/>
              </w:rPr>
              <w:t>a four</w:t>
            </w:r>
            <w:r w:rsidR="00D46A90">
              <w:rPr>
                <w:rFonts w:asciiTheme="minorHAnsi" w:hAnsiTheme="minorHAnsi" w:cstheme="minorHAnsi"/>
                <w:color w:val="000000" w:themeColor="text1"/>
                <w:sz w:val="23"/>
                <w:szCs w:val="23"/>
              </w:rPr>
              <w:t>-</w:t>
            </w:r>
            <w:r w:rsidR="00F540D3">
              <w:rPr>
                <w:rFonts w:asciiTheme="minorHAnsi" w:hAnsiTheme="minorHAnsi" w:cstheme="minorHAnsi"/>
                <w:color w:val="000000" w:themeColor="text1"/>
                <w:sz w:val="23"/>
                <w:szCs w:val="23"/>
              </w:rPr>
              <w:t xml:space="preserve">drug regimen </w:t>
            </w:r>
            <w:r w:rsidR="00D46A90">
              <w:rPr>
                <w:rFonts w:asciiTheme="minorHAnsi" w:hAnsiTheme="minorHAnsi" w:cstheme="minorHAnsi"/>
                <w:color w:val="000000" w:themeColor="text1"/>
                <w:sz w:val="23"/>
                <w:szCs w:val="23"/>
              </w:rPr>
              <w:t xml:space="preserve">in FQ-susceptible MDR-TB </w:t>
            </w:r>
            <w:r w:rsidR="00FB3C6B">
              <w:rPr>
                <w:rFonts w:asciiTheme="minorHAnsi" w:hAnsiTheme="minorHAnsi" w:cstheme="minorHAnsi"/>
                <w:color w:val="000000" w:themeColor="text1"/>
                <w:sz w:val="23"/>
                <w:szCs w:val="23"/>
              </w:rPr>
              <w:t xml:space="preserve">and avoids the use of Z as many areas have </w:t>
            </w:r>
            <w:r w:rsidR="005E0036">
              <w:rPr>
                <w:rFonts w:asciiTheme="minorHAnsi" w:hAnsiTheme="minorHAnsi" w:cstheme="minorHAnsi"/>
                <w:color w:val="000000" w:themeColor="text1"/>
                <w:sz w:val="23"/>
                <w:szCs w:val="23"/>
              </w:rPr>
              <w:t xml:space="preserve">a </w:t>
            </w:r>
            <w:r w:rsidR="00FB3C6B">
              <w:rPr>
                <w:rFonts w:asciiTheme="minorHAnsi" w:hAnsiTheme="minorHAnsi" w:cstheme="minorHAnsi"/>
                <w:color w:val="000000" w:themeColor="text1"/>
                <w:sz w:val="23"/>
                <w:szCs w:val="23"/>
              </w:rPr>
              <w:t>hig</w:t>
            </w:r>
            <w:r w:rsidR="005E0036">
              <w:rPr>
                <w:rFonts w:asciiTheme="minorHAnsi" w:hAnsiTheme="minorHAnsi" w:cstheme="minorHAnsi"/>
                <w:color w:val="000000" w:themeColor="text1"/>
                <w:sz w:val="23"/>
                <w:szCs w:val="23"/>
              </w:rPr>
              <w:t>h-</w:t>
            </w:r>
            <w:r w:rsidR="00616B11">
              <w:rPr>
                <w:rFonts w:asciiTheme="minorHAnsi" w:hAnsiTheme="minorHAnsi" w:cstheme="minorHAnsi"/>
                <w:color w:val="000000" w:themeColor="text1"/>
                <w:sz w:val="23"/>
                <w:szCs w:val="23"/>
              </w:rPr>
              <w:t>prevalence of Z</w:t>
            </w:r>
            <w:r w:rsidR="005E0036">
              <w:rPr>
                <w:rFonts w:asciiTheme="minorHAnsi" w:hAnsiTheme="minorHAnsi" w:cstheme="minorHAnsi"/>
                <w:color w:val="000000" w:themeColor="text1"/>
                <w:sz w:val="23"/>
                <w:szCs w:val="23"/>
              </w:rPr>
              <w:t xml:space="preserve"> resistance</w:t>
            </w:r>
            <w:r w:rsidR="00616B11">
              <w:rPr>
                <w:rFonts w:asciiTheme="minorHAnsi" w:hAnsiTheme="minorHAnsi" w:cstheme="minorHAnsi"/>
                <w:color w:val="000000" w:themeColor="text1"/>
                <w:sz w:val="23"/>
                <w:szCs w:val="23"/>
              </w:rPr>
              <w:t xml:space="preserve">. </w:t>
            </w:r>
          </w:p>
          <w:p w14:paraId="41EBF865" w14:textId="275F6C40" w:rsidR="004226CD" w:rsidRPr="00395962" w:rsidRDefault="007D0054" w:rsidP="00067421">
            <w:pPr>
              <w:pStyle w:val="ListParagraph"/>
              <w:numPr>
                <w:ilvl w:val="0"/>
                <w:numId w:val="26"/>
              </w:numPr>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Option 2</w:t>
            </w:r>
            <w:r w:rsidR="004226CD" w:rsidRPr="00484BEC">
              <w:rPr>
                <w:rFonts w:asciiTheme="minorHAnsi" w:hAnsiTheme="minorHAnsi" w:cstheme="minorHAnsi"/>
                <w:color w:val="000000" w:themeColor="text1"/>
                <w:sz w:val="23"/>
                <w:szCs w:val="23"/>
              </w:rPr>
              <w:t xml:space="preserve"> </w:t>
            </w:r>
            <w:r w:rsidRPr="00484BEC">
              <w:rPr>
                <w:rFonts w:asciiTheme="minorHAnsi" w:hAnsiTheme="minorHAnsi" w:cstheme="minorHAnsi"/>
                <w:color w:val="000000" w:themeColor="text1"/>
                <w:sz w:val="23"/>
                <w:szCs w:val="23"/>
              </w:rPr>
              <w:t xml:space="preserve">allows </w:t>
            </w:r>
            <w:r w:rsidR="00D26575">
              <w:rPr>
                <w:rFonts w:asciiTheme="minorHAnsi" w:hAnsiTheme="minorHAnsi" w:cstheme="minorHAnsi"/>
                <w:color w:val="000000" w:themeColor="text1"/>
                <w:sz w:val="23"/>
                <w:szCs w:val="23"/>
              </w:rPr>
              <w:t>to employ</w:t>
            </w:r>
            <w:r w:rsidRPr="00484BEC">
              <w:rPr>
                <w:rFonts w:asciiTheme="minorHAnsi" w:hAnsiTheme="minorHAnsi" w:cstheme="minorHAnsi"/>
                <w:color w:val="000000" w:themeColor="text1"/>
                <w:sz w:val="23"/>
                <w:szCs w:val="23"/>
              </w:rPr>
              <w:t xml:space="preserve"> high-dose Mfx in patients with</w:t>
            </w:r>
            <w:r w:rsidR="00B27B70">
              <w:rPr>
                <w:rFonts w:asciiTheme="minorHAnsi" w:hAnsiTheme="minorHAnsi" w:cstheme="minorHAnsi"/>
                <w:color w:val="000000" w:themeColor="text1"/>
                <w:sz w:val="23"/>
                <w:szCs w:val="23"/>
              </w:rPr>
              <w:t xml:space="preserve"> strains th</w:t>
            </w:r>
            <w:r w:rsidR="00D1425F">
              <w:rPr>
                <w:rFonts w:asciiTheme="minorHAnsi" w:hAnsiTheme="minorHAnsi" w:cstheme="minorHAnsi"/>
                <w:color w:val="000000" w:themeColor="text1"/>
                <w:sz w:val="23"/>
                <w:szCs w:val="23"/>
              </w:rPr>
              <w:t>at</w:t>
            </w:r>
            <w:r w:rsidR="00B27B70">
              <w:rPr>
                <w:rFonts w:asciiTheme="minorHAnsi" w:hAnsiTheme="minorHAnsi" w:cstheme="minorHAnsi"/>
                <w:color w:val="000000" w:themeColor="text1"/>
                <w:sz w:val="23"/>
                <w:szCs w:val="23"/>
              </w:rPr>
              <w:t xml:space="preserve"> have</w:t>
            </w:r>
            <w:r w:rsidRPr="00484BEC">
              <w:rPr>
                <w:rFonts w:asciiTheme="minorHAnsi" w:hAnsiTheme="minorHAnsi" w:cstheme="minorHAnsi"/>
                <w:color w:val="000000" w:themeColor="text1"/>
                <w:sz w:val="23"/>
                <w:szCs w:val="23"/>
              </w:rPr>
              <w:t xml:space="preserve"> low-level </w:t>
            </w:r>
            <w:r w:rsidR="00D26575">
              <w:rPr>
                <w:rFonts w:asciiTheme="minorHAnsi" w:hAnsiTheme="minorHAnsi" w:cstheme="minorHAnsi"/>
                <w:color w:val="000000" w:themeColor="text1"/>
                <w:sz w:val="23"/>
                <w:szCs w:val="23"/>
              </w:rPr>
              <w:t>FQ</w:t>
            </w:r>
            <w:r w:rsidRPr="00484BEC">
              <w:rPr>
                <w:rFonts w:asciiTheme="minorHAnsi" w:hAnsiTheme="minorHAnsi" w:cstheme="minorHAnsi"/>
                <w:color w:val="000000" w:themeColor="text1"/>
                <w:sz w:val="23"/>
                <w:szCs w:val="23"/>
              </w:rPr>
              <w:t xml:space="preserve"> resistance</w:t>
            </w:r>
            <w:r w:rsidR="00BC2647">
              <w:rPr>
                <w:rFonts w:asciiTheme="minorHAnsi" w:hAnsiTheme="minorHAnsi" w:cstheme="minorHAnsi"/>
                <w:color w:val="000000" w:themeColor="text1"/>
                <w:sz w:val="23"/>
                <w:szCs w:val="23"/>
              </w:rPr>
              <w:t xml:space="preserve">. </w:t>
            </w:r>
            <w:r w:rsidR="00D26575">
              <w:rPr>
                <w:rFonts w:asciiTheme="minorHAnsi" w:hAnsiTheme="minorHAnsi" w:cstheme="minorHAnsi"/>
                <w:color w:val="000000" w:themeColor="text1"/>
                <w:sz w:val="23"/>
                <w:szCs w:val="23"/>
              </w:rPr>
              <w:t>This</w:t>
            </w:r>
            <w:r w:rsidR="00C00543">
              <w:rPr>
                <w:rFonts w:asciiTheme="minorHAnsi" w:hAnsiTheme="minorHAnsi" w:cstheme="minorHAnsi"/>
                <w:color w:val="000000" w:themeColor="text1"/>
                <w:sz w:val="23"/>
                <w:szCs w:val="23"/>
              </w:rPr>
              <w:t xml:space="preserve"> </w:t>
            </w:r>
            <w:r w:rsidR="00D26575">
              <w:rPr>
                <w:rFonts w:asciiTheme="minorHAnsi" w:hAnsiTheme="minorHAnsi" w:cstheme="minorHAnsi"/>
                <w:color w:val="000000" w:themeColor="text1"/>
                <w:sz w:val="23"/>
                <w:szCs w:val="23"/>
              </w:rPr>
              <w:t>regimen uses</w:t>
            </w:r>
            <w:r w:rsidR="00C00543">
              <w:rPr>
                <w:rFonts w:asciiTheme="minorHAnsi" w:hAnsiTheme="minorHAnsi" w:cstheme="minorHAnsi"/>
                <w:color w:val="000000" w:themeColor="text1"/>
                <w:sz w:val="23"/>
                <w:szCs w:val="23"/>
              </w:rPr>
              <w:t xml:space="preserve"> Dlm</w:t>
            </w:r>
            <w:r w:rsidR="00C33CEB">
              <w:rPr>
                <w:rFonts w:asciiTheme="minorHAnsi" w:hAnsiTheme="minorHAnsi" w:cstheme="minorHAnsi"/>
                <w:color w:val="000000" w:themeColor="text1"/>
                <w:sz w:val="23"/>
                <w:szCs w:val="23"/>
              </w:rPr>
              <w:t xml:space="preserve"> (less QT prolongation)</w:t>
            </w:r>
            <w:r w:rsidR="00C00543">
              <w:rPr>
                <w:rFonts w:asciiTheme="minorHAnsi" w:hAnsiTheme="minorHAnsi" w:cstheme="minorHAnsi"/>
                <w:color w:val="000000" w:themeColor="text1"/>
                <w:sz w:val="23"/>
                <w:szCs w:val="23"/>
              </w:rPr>
              <w:t xml:space="preserve"> instead of Cfz</w:t>
            </w:r>
            <w:r w:rsidRPr="00484BEC">
              <w:rPr>
                <w:rFonts w:asciiTheme="minorHAnsi" w:hAnsiTheme="minorHAnsi" w:cstheme="minorHAnsi"/>
                <w:color w:val="000000" w:themeColor="text1"/>
                <w:sz w:val="23"/>
                <w:szCs w:val="23"/>
              </w:rPr>
              <w:t>.</w:t>
            </w:r>
            <w:r w:rsidR="008168A0">
              <w:rPr>
                <w:rFonts w:asciiTheme="minorHAnsi" w:hAnsiTheme="minorHAnsi" w:cstheme="minorHAnsi"/>
                <w:color w:val="000000" w:themeColor="text1"/>
                <w:sz w:val="23"/>
                <w:szCs w:val="23"/>
              </w:rPr>
              <w:t xml:space="preserve"> Note, </w:t>
            </w:r>
            <w:r w:rsidR="00484BEC" w:rsidRPr="00395962">
              <w:rPr>
                <w:rFonts w:asciiTheme="minorHAnsi" w:hAnsiTheme="minorHAnsi" w:cstheme="minorHAnsi"/>
                <w:color w:val="000000" w:themeColor="text1"/>
                <w:sz w:val="23"/>
                <w:szCs w:val="23"/>
              </w:rPr>
              <w:t>Z</w:t>
            </w:r>
            <w:r w:rsidR="004226CD" w:rsidRPr="00395962">
              <w:rPr>
                <w:rFonts w:asciiTheme="minorHAnsi" w:hAnsiTheme="minorHAnsi" w:cstheme="minorHAnsi"/>
                <w:color w:val="000000" w:themeColor="text1"/>
                <w:sz w:val="23"/>
                <w:szCs w:val="23"/>
              </w:rPr>
              <w:t xml:space="preserve"> is effective in</w:t>
            </w:r>
            <w:r w:rsidR="008168A0">
              <w:rPr>
                <w:rFonts w:asciiTheme="minorHAnsi" w:hAnsiTheme="minorHAnsi" w:cstheme="minorHAnsi"/>
                <w:color w:val="000000" w:themeColor="text1"/>
                <w:sz w:val="23"/>
                <w:szCs w:val="23"/>
              </w:rPr>
              <w:t xml:space="preserve"> only</w:t>
            </w:r>
            <w:r w:rsidR="004226CD" w:rsidRPr="00395962">
              <w:rPr>
                <w:rFonts w:asciiTheme="minorHAnsi" w:hAnsiTheme="minorHAnsi" w:cstheme="minorHAnsi"/>
                <w:color w:val="000000" w:themeColor="text1"/>
                <w:sz w:val="23"/>
                <w:szCs w:val="23"/>
              </w:rPr>
              <w:t xml:space="preserve"> 50-70% of patients and can be dropped at the 2-month mark if resistance is documented. </w:t>
            </w:r>
            <w:r w:rsidR="0076589A">
              <w:rPr>
                <w:rFonts w:asciiTheme="minorHAnsi" w:hAnsiTheme="minorHAnsi" w:cstheme="minorHAnsi"/>
                <w:color w:val="000000" w:themeColor="text1"/>
                <w:sz w:val="23"/>
                <w:szCs w:val="23"/>
              </w:rPr>
              <w:t xml:space="preserve">(Option 2 employs Lfx, instead of high-dose Mfx, in cases susceptible to the FQ, as </w:t>
            </w:r>
            <w:r w:rsidR="00900189">
              <w:rPr>
                <w:rFonts w:asciiTheme="minorHAnsi" w:hAnsiTheme="minorHAnsi" w:cstheme="minorHAnsi"/>
                <w:color w:val="000000" w:themeColor="text1"/>
                <w:sz w:val="23"/>
                <w:szCs w:val="23"/>
              </w:rPr>
              <w:t xml:space="preserve">serves as </w:t>
            </w:r>
            <w:r w:rsidR="0076589A">
              <w:rPr>
                <w:rFonts w:asciiTheme="minorHAnsi" w:hAnsiTheme="minorHAnsi" w:cstheme="minorHAnsi"/>
                <w:color w:val="000000" w:themeColor="text1"/>
                <w:sz w:val="23"/>
                <w:szCs w:val="23"/>
              </w:rPr>
              <w:t>a second option).</w:t>
            </w:r>
          </w:p>
        </w:tc>
      </w:tr>
      <w:tr w:rsidR="004226CD" w:rsidRPr="00484BEC" w14:paraId="5F595CF5" w14:textId="77777777" w:rsidTr="009D4C5C">
        <w:tc>
          <w:tcPr>
            <w:tcW w:w="1975" w:type="dxa"/>
          </w:tcPr>
          <w:p w14:paraId="1B1A4234" w14:textId="77777777" w:rsidR="004226CD" w:rsidRPr="00484BEC" w:rsidRDefault="004226CD" w:rsidP="009D4C5C">
            <w:pPr>
              <w:pStyle w:val="ListParagraph"/>
              <w:spacing w:before="0" w:after="0"/>
              <w:ind w:left="0"/>
              <w:jc w:val="left"/>
              <w:rPr>
                <w:rFonts w:asciiTheme="minorHAnsi" w:hAnsiTheme="minorHAnsi" w:cstheme="minorHAnsi"/>
                <w:b/>
                <w:color w:val="000000" w:themeColor="text1"/>
                <w:sz w:val="18"/>
                <w:szCs w:val="18"/>
              </w:rPr>
            </w:pPr>
            <w:r w:rsidRPr="00484BEC">
              <w:rPr>
                <w:rFonts w:asciiTheme="minorHAnsi" w:hAnsiTheme="minorHAnsi" w:cstheme="minorHAnsi"/>
                <w:b/>
                <w:color w:val="000000" w:themeColor="text1"/>
                <w:sz w:val="18"/>
                <w:szCs w:val="18"/>
              </w:rPr>
              <w:t xml:space="preserve">Disadvantages </w:t>
            </w:r>
          </w:p>
        </w:tc>
        <w:tc>
          <w:tcPr>
            <w:tcW w:w="6655" w:type="dxa"/>
          </w:tcPr>
          <w:p w14:paraId="0D68B0A0" w14:textId="4DC177F5" w:rsidR="00D44099" w:rsidRDefault="007D0054" w:rsidP="00D44099">
            <w:pPr>
              <w:pStyle w:val="ListParagraph"/>
              <w:numPr>
                <w:ilvl w:val="0"/>
                <w:numId w:val="26"/>
              </w:num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 xml:space="preserve">Option 1 </w:t>
            </w:r>
            <w:r w:rsidR="00D44099" w:rsidRPr="00484BEC">
              <w:rPr>
                <w:rFonts w:asciiTheme="minorHAnsi" w:hAnsiTheme="minorHAnsi" w:cstheme="minorHAnsi"/>
                <w:color w:val="000000" w:themeColor="text1"/>
                <w:sz w:val="23"/>
                <w:szCs w:val="23"/>
              </w:rPr>
              <w:t xml:space="preserve">has </w:t>
            </w:r>
            <w:r w:rsidR="004226CD" w:rsidRPr="00484BEC">
              <w:rPr>
                <w:rFonts w:asciiTheme="minorHAnsi" w:hAnsiTheme="minorHAnsi" w:cstheme="minorHAnsi"/>
                <w:color w:val="000000" w:themeColor="text1"/>
                <w:sz w:val="23"/>
                <w:szCs w:val="23"/>
              </w:rPr>
              <w:t xml:space="preserve">two </w:t>
            </w:r>
            <w:r w:rsidR="007A10D5">
              <w:rPr>
                <w:rFonts w:asciiTheme="minorHAnsi" w:hAnsiTheme="minorHAnsi" w:cstheme="minorHAnsi"/>
                <w:color w:val="000000" w:themeColor="text1"/>
                <w:sz w:val="23"/>
                <w:szCs w:val="23"/>
              </w:rPr>
              <w:t>moderate</w:t>
            </w:r>
            <w:r w:rsidR="007A10D5" w:rsidRPr="00484BEC">
              <w:rPr>
                <w:rFonts w:asciiTheme="minorHAnsi" w:hAnsiTheme="minorHAnsi" w:cstheme="minorHAnsi"/>
                <w:color w:val="000000" w:themeColor="text1"/>
                <w:sz w:val="23"/>
                <w:szCs w:val="23"/>
              </w:rPr>
              <w:t xml:space="preserve"> </w:t>
            </w:r>
            <w:r w:rsidR="004226CD" w:rsidRPr="00484BEC">
              <w:rPr>
                <w:rFonts w:asciiTheme="minorHAnsi" w:hAnsiTheme="minorHAnsi" w:cstheme="minorHAnsi"/>
                <w:color w:val="000000" w:themeColor="text1"/>
                <w:sz w:val="23"/>
                <w:szCs w:val="23"/>
              </w:rPr>
              <w:t>QT prolonging drugs (</w:t>
            </w:r>
            <w:r w:rsidR="00484BEC">
              <w:rPr>
                <w:rFonts w:asciiTheme="minorHAnsi" w:hAnsiTheme="minorHAnsi" w:cstheme="minorHAnsi"/>
                <w:bCs/>
                <w:color w:val="000000" w:themeColor="text1"/>
                <w:sz w:val="23"/>
                <w:szCs w:val="23"/>
              </w:rPr>
              <w:t>Bdq</w:t>
            </w:r>
            <w:r w:rsidR="004226CD" w:rsidRPr="00484BEC">
              <w:rPr>
                <w:rFonts w:asciiTheme="minorHAnsi" w:hAnsiTheme="minorHAnsi" w:cstheme="minorHAnsi"/>
                <w:color w:val="000000" w:themeColor="text1"/>
                <w:sz w:val="23"/>
                <w:szCs w:val="23"/>
              </w:rPr>
              <w:t xml:space="preserve"> and </w:t>
            </w:r>
            <w:r w:rsidR="00484BEC">
              <w:rPr>
                <w:rFonts w:asciiTheme="minorHAnsi" w:hAnsiTheme="minorHAnsi" w:cstheme="minorHAnsi"/>
                <w:bCs/>
                <w:color w:val="000000" w:themeColor="text1"/>
                <w:sz w:val="23"/>
                <w:szCs w:val="23"/>
              </w:rPr>
              <w:t>Cfz</w:t>
            </w:r>
            <w:r w:rsidR="004226CD" w:rsidRPr="00484BEC">
              <w:rPr>
                <w:rFonts w:asciiTheme="minorHAnsi" w:hAnsiTheme="minorHAnsi" w:cstheme="minorHAnsi"/>
                <w:color w:val="000000" w:themeColor="text1"/>
                <w:sz w:val="23"/>
                <w:szCs w:val="23"/>
              </w:rPr>
              <w:t xml:space="preserve">), however </w:t>
            </w:r>
            <w:r w:rsidR="00D44099" w:rsidRPr="00484BEC">
              <w:rPr>
                <w:rFonts w:asciiTheme="minorHAnsi" w:hAnsiTheme="minorHAnsi" w:cstheme="minorHAnsi"/>
                <w:color w:val="000000" w:themeColor="text1"/>
                <w:sz w:val="23"/>
                <w:szCs w:val="23"/>
              </w:rPr>
              <w:t>this combination is acceptable by the WHO.</w:t>
            </w:r>
            <w:r w:rsidR="004226CD" w:rsidRPr="00484BEC">
              <w:rPr>
                <w:rFonts w:asciiTheme="minorHAnsi" w:hAnsiTheme="minorHAnsi" w:cstheme="minorHAnsi"/>
                <w:color w:val="000000" w:themeColor="text1"/>
                <w:sz w:val="23"/>
                <w:szCs w:val="23"/>
              </w:rPr>
              <w:t xml:space="preserve"> </w:t>
            </w:r>
          </w:p>
          <w:p w14:paraId="1223C9C0" w14:textId="4BDD1BDF" w:rsidR="0076589A" w:rsidRPr="00484BEC" w:rsidRDefault="0076589A" w:rsidP="00D44099">
            <w:pPr>
              <w:pStyle w:val="ListParagraph"/>
              <w:numPr>
                <w:ilvl w:val="0"/>
                <w:numId w:val="26"/>
              </w:numPr>
              <w:spacing w:before="0" w:after="0"/>
              <w:jc w:val="left"/>
              <w:rPr>
                <w:rFonts w:asciiTheme="minorHAnsi" w:hAnsiTheme="minorHAnsi" w:cstheme="minorHAnsi"/>
                <w:color w:val="000000" w:themeColor="text1"/>
                <w:sz w:val="23"/>
                <w:szCs w:val="23"/>
              </w:rPr>
            </w:pPr>
            <w:r>
              <w:rPr>
                <w:rFonts w:asciiTheme="minorHAnsi" w:hAnsiTheme="minorHAnsi" w:cstheme="minorHAnsi"/>
                <w:color w:val="000000" w:themeColor="text1"/>
                <w:sz w:val="23"/>
                <w:szCs w:val="23"/>
              </w:rPr>
              <w:t>Option 2 has two moderate QT prolonging drugs (Bdq and high-dose Mfx), there is limited experience using this combination.</w:t>
            </w:r>
          </w:p>
          <w:p w14:paraId="41546FFF" w14:textId="50629B39" w:rsidR="004226CD" w:rsidRPr="00484BEC" w:rsidRDefault="00D44099" w:rsidP="00D44099">
            <w:pPr>
              <w:pStyle w:val="ListParagraph"/>
              <w:numPr>
                <w:ilvl w:val="0"/>
                <w:numId w:val="26"/>
              </w:numPr>
              <w:spacing w:before="0" w:after="0"/>
              <w:jc w:val="left"/>
              <w:rPr>
                <w:rFonts w:asciiTheme="minorHAnsi" w:hAnsiTheme="minorHAnsi" w:cstheme="minorHAnsi"/>
                <w:color w:val="000000" w:themeColor="text1"/>
                <w:sz w:val="23"/>
                <w:szCs w:val="23"/>
              </w:rPr>
            </w:pPr>
            <w:r w:rsidRPr="00484BEC">
              <w:rPr>
                <w:rFonts w:asciiTheme="minorHAnsi" w:hAnsiTheme="minorHAnsi" w:cstheme="minorHAnsi"/>
                <w:color w:val="000000" w:themeColor="text1"/>
                <w:sz w:val="23"/>
                <w:szCs w:val="23"/>
              </w:rPr>
              <w:t xml:space="preserve">Both </w:t>
            </w:r>
            <w:r w:rsidR="00484BEC">
              <w:rPr>
                <w:rFonts w:asciiTheme="minorHAnsi" w:hAnsiTheme="minorHAnsi" w:cstheme="minorHAnsi"/>
                <w:bCs/>
                <w:color w:val="000000" w:themeColor="text1"/>
                <w:sz w:val="23"/>
                <w:szCs w:val="23"/>
              </w:rPr>
              <w:t>o</w:t>
            </w:r>
            <w:r w:rsidRPr="00484BEC">
              <w:rPr>
                <w:rFonts w:asciiTheme="minorHAnsi" w:hAnsiTheme="minorHAnsi" w:cstheme="minorHAnsi"/>
                <w:bCs/>
                <w:color w:val="000000" w:themeColor="text1"/>
                <w:sz w:val="23"/>
                <w:szCs w:val="23"/>
              </w:rPr>
              <w:t>ptions</w:t>
            </w:r>
            <w:r w:rsidRPr="00484BEC">
              <w:rPr>
                <w:rFonts w:asciiTheme="minorHAnsi" w:hAnsiTheme="minorHAnsi" w:cstheme="minorHAnsi"/>
                <w:color w:val="000000" w:themeColor="text1"/>
                <w:sz w:val="23"/>
                <w:szCs w:val="23"/>
              </w:rPr>
              <w:t xml:space="preserve"> m</w:t>
            </w:r>
            <w:r w:rsidR="004226CD" w:rsidRPr="00484BEC">
              <w:rPr>
                <w:rFonts w:asciiTheme="minorHAnsi" w:hAnsiTheme="minorHAnsi" w:cstheme="minorHAnsi"/>
                <w:color w:val="000000" w:themeColor="text1"/>
                <w:sz w:val="23"/>
                <w:szCs w:val="23"/>
              </w:rPr>
              <w:t>ay have drug-drug interactions with some ARTs</w:t>
            </w:r>
          </w:p>
        </w:tc>
      </w:tr>
    </w:tbl>
    <w:p w14:paraId="35E4F284" w14:textId="06D73743" w:rsidR="0049785C" w:rsidRPr="00B85017" w:rsidRDefault="0049785C" w:rsidP="0072332B">
      <w:pPr>
        <w:spacing w:line="269" w:lineRule="auto"/>
        <w:rPr>
          <w:color w:val="000000" w:themeColor="text1"/>
          <w:sz w:val="23"/>
          <w:szCs w:val="23"/>
        </w:rPr>
      </w:pPr>
    </w:p>
    <w:p w14:paraId="0DDC8D6D" w14:textId="77777777" w:rsidR="001C7A69" w:rsidRPr="00003170" w:rsidRDefault="001C7A69" w:rsidP="00003170">
      <w:pPr>
        <w:pStyle w:val="Heading2"/>
      </w:pPr>
      <w:bookmarkStart w:id="100" w:name="_Toc12792956"/>
      <w:bookmarkStart w:id="101" w:name="_Toc12952367"/>
      <w:bookmarkStart w:id="102" w:name="_Toc13486716"/>
      <w:r w:rsidRPr="00003170">
        <w:t>Practical considerations and pearls for using all-oral STRs</w:t>
      </w:r>
      <w:bookmarkEnd w:id="100"/>
      <w:bookmarkEnd w:id="101"/>
      <w:bookmarkEnd w:id="102"/>
    </w:p>
    <w:p w14:paraId="2CF6676C" w14:textId="1B4CCA3B"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 xml:space="preserve">The all-oral regimen is not a one-size fits all regimen; often the regimen needs to be adjusted because the patient is infected with a strain that is resistant to one of the drugs or the patient cannot tolerate one of the drugs in the regimen.   The following are some practical tips and pearls for using all-oral STRs. </w:t>
      </w:r>
    </w:p>
    <w:p w14:paraId="03EA5B34" w14:textId="77777777" w:rsidR="001C7A69" w:rsidRPr="009D1960" w:rsidRDefault="001C7A69" w:rsidP="00CB2F8E">
      <w:pPr>
        <w:pStyle w:val="ListParagraph"/>
        <w:numPr>
          <w:ilvl w:val="0"/>
          <w:numId w:val="27"/>
        </w:numPr>
        <w:rPr>
          <w:rFonts w:asciiTheme="minorHAnsi" w:hAnsiTheme="minorHAnsi" w:cstheme="minorHAnsi"/>
          <w:b/>
          <w:bCs/>
          <w:color w:val="000000" w:themeColor="text1"/>
        </w:rPr>
      </w:pPr>
      <w:r w:rsidRPr="009D1960">
        <w:rPr>
          <w:rFonts w:asciiTheme="minorHAnsi" w:hAnsiTheme="minorHAnsi" w:cstheme="minorHAnsi"/>
          <w:b/>
          <w:bCs/>
          <w:color w:val="000000" w:themeColor="text1"/>
        </w:rPr>
        <w:t xml:space="preserve">What to do if the patient has significant toxicity to a drug in the regimen?  </w:t>
      </w:r>
    </w:p>
    <w:p w14:paraId="50B97982" w14:textId="77777777" w:rsidR="001C7A69" w:rsidRPr="009D1960" w:rsidRDefault="001C7A69" w:rsidP="00CB2F8E">
      <w:pPr>
        <w:pStyle w:val="ListParagraph"/>
        <w:numPr>
          <w:ilvl w:val="1"/>
          <w:numId w:val="26"/>
        </w:numPr>
        <w:rPr>
          <w:rFonts w:asciiTheme="minorHAnsi" w:hAnsiTheme="minorHAnsi" w:cstheme="minorHAnsi"/>
          <w:color w:val="000000" w:themeColor="text1"/>
        </w:rPr>
      </w:pPr>
      <w:r w:rsidRPr="009D1960">
        <w:rPr>
          <w:rFonts w:asciiTheme="minorHAnsi" w:hAnsiTheme="minorHAnsi" w:cstheme="minorHAnsi"/>
          <w:color w:val="000000" w:themeColor="text1"/>
        </w:rPr>
        <w:t>If significant toxicity develops early in the regimen, before one can determine if the patient has converted, it is generally recommended to replace the drug.</w:t>
      </w:r>
    </w:p>
    <w:p w14:paraId="76776317" w14:textId="565A5DC2" w:rsidR="001C7A69" w:rsidRPr="009D1960" w:rsidRDefault="001C7A69" w:rsidP="00CB2F8E">
      <w:pPr>
        <w:pStyle w:val="ListParagraph"/>
        <w:numPr>
          <w:ilvl w:val="1"/>
          <w:numId w:val="26"/>
        </w:numPr>
        <w:rPr>
          <w:rFonts w:asciiTheme="minorHAnsi" w:hAnsiTheme="minorHAnsi" w:cstheme="minorHAnsi"/>
          <w:color w:val="000000" w:themeColor="text1"/>
        </w:rPr>
      </w:pPr>
      <w:r w:rsidRPr="009D1960">
        <w:rPr>
          <w:rFonts w:asciiTheme="minorHAnsi" w:hAnsiTheme="minorHAnsi" w:cstheme="minorHAnsi"/>
          <w:color w:val="000000" w:themeColor="text1"/>
        </w:rPr>
        <w:t>For patients with minimal to moderate disease on chest X-ray and who are doing well clinically, if significant toxicity develops</w:t>
      </w:r>
      <w:r w:rsidR="006F42D0"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 xml:space="preserve">after the patient’s sputum has culture converted, the drug can be stopped and not replaced.  For patients with severe disease the authors of this guide recommend replacing the drug even if the patient has converted.  </w:t>
      </w:r>
    </w:p>
    <w:p w14:paraId="5D2154A7" w14:textId="5F864DC6" w:rsidR="001C7A69" w:rsidRPr="009D1960" w:rsidRDefault="001C7A69" w:rsidP="00CB2F8E">
      <w:pPr>
        <w:pStyle w:val="ListParagraph"/>
        <w:numPr>
          <w:ilvl w:val="1"/>
          <w:numId w:val="26"/>
        </w:numPr>
        <w:rPr>
          <w:rFonts w:asciiTheme="minorHAnsi" w:hAnsiTheme="minorHAnsi" w:cstheme="minorHAnsi"/>
          <w:color w:val="000000" w:themeColor="text1"/>
        </w:rPr>
      </w:pPr>
      <w:r w:rsidRPr="009D1960">
        <w:rPr>
          <w:rFonts w:asciiTheme="minorHAnsi" w:hAnsiTheme="minorHAnsi" w:cstheme="minorHAnsi"/>
          <w:color w:val="000000" w:themeColor="text1"/>
        </w:rPr>
        <w:t>If significant toxicity develops and the treatment regimen is failing or suspected of failing, then restart a new regimen (and never add a single drug to a failing regimen).</w:t>
      </w:r>
    </w:p>
    <w:p w14:paraId="62B968B4" w14:textId="77777777" w:rsidR="001C7A69" w:rsidRPr="009D1960" w:rsidRDefault="001C7A69" w:rsidP="001C7A69">
      <w:pPr>
        <w:pStyle w:val="ListParagraph"/>
        <w:ind w:left="1080"/>
        <w:rPr>
          <w:rFonts w:asciiTheme="minorHAnsi" w:hAnsiTheme="minorHAnsi" w:cstheme="minorHAnsi"/>
          <w:color w:val="000000" w:themeColor="text1"/>
        </w:rPr>
      </w:pPr>
    </w:p>
    <w:p w14:paraId="7DF299A7" w14:textId="77777777" w:rsidR="001C7A69" w:rsidRPr="009D1960" w:rsidRDefault="001C7A69" w:rsidP="00CB2F8E">
      <w:pPr>
        <w:pStyle w:val="ListParagraph"/>
        <w:numPr>
          <w:ilvl w:val="0"/>
          <w:numId w:val="27"/>
        </w:numPr>
        <w:rPr>
          <w:rFonts w:asciiTheme="minorHAnsi" w:hAnsiTheme="minorHAnsi" w:cstheme="minorHAnsi"/>
          <w:b/>
          <w:bCs/>
          <w:color w:val="000000" w:themeColor="text1"/>
        </w:rPr>
      </w:pPr>
      <w:r w:rsidRPr="009D1960">
        <w:rPr>
          <w:rFonts w:asciiTheme="minorHAnsi" w:hAnsiTheme="minorHAnsi" w:cstheme="minorHAnsi"/>
          <w:b/>
          <w:bCs/>
          <w:color w:val="000000" w:themeColor="text1"/>
        </w:rPr>
        <w:lastRenderedPageBreak/>
        <w:t>Can a patient with moderate to severe anemia prior to the start of treatment receive a regimen that contains linezolid?</w:t>
      </w:r>
    </w:p>
    <w:p w14:paraId="5EFD9AD2" w14:textId="5AC67602" w:rsidR="001C7A69" w:rsidRPr="009D1960" w:rsidRDefault="001C7A69" w:rsidP="001C7A69">
      <w:pPr>
        <w:pStyle w:val="ListParagraph"/>
        <w:rPr>
          <w:rFonts w:asciiTheme="minorHAnsi" w:hAnsiTheme="minorHAnsi" w:cstheme="minorHAnsi"/>
          <w:color w:val="000000" w:themeColor="text1"/>
        </w:rPr>
      </w:pPr>
      <w:r w:rsidRPr="009D1960">
        <w:rPr>
          <w:rFonts w:asciiTheme="minorHAnsi" w:hAnsiTheme="minorHAnsi" w:cstheme="minorHAnsi"/>
          <w:color w:val="000000" w:themeColor="text1"/>
        </w:rPr>
        <w:t>In most cases the patient can be given linezolid at the start of treatment if they are closely monitored with weekly full blood counts for any worsening of the anemia or other effects of linezolid on the blood ( decreased platelets or white blood cells). Despite its hematological effects, linezolid appears not to have an increased risk of hematological adverse effects in patients with preexisting hematological abnormalities.</w:t>
      </w:r>
      <w:r w:rsidRPr="009D1960">
        <w:rPr>
          <w:rStyle w:val="FootnoteReference"/>
          <w:rFonts w:asciiTheme="minorHAnsi" w:hAnsiTheme="minorHAnsi" w:cstheme="minorHAnsi"/>
          <w:color w:val="000000" w:themeColor="text1"/>
        </w:rPr>
        <w:footnoteReference w:id="25"/>
      </w:r>
      <w:r w:rsidRPr="009D1960">
        <w:rPr>
          <w:rFonts w:asciiTheme="minorHAnsi" w:hAnsiTheme="minorHAnsi" w:cstheme="minorHAnsi"/>
          <w:color w:val="000000" w:themeColor="text1"/>
        </w:rPr>
        <w:t xml:space="preserve">  The underlying cause of the anemia should be determined and treated.  Often patients with tuberculosis may have a low-grade anemia of chronic disease that will respond to TB treatment and good nutrition.  If the hemoglobin falls </w:t>
      </w:r>
      <w:r w:rsidR="00CE7E18">
        <w:rPr>
          <w:rFonts w:asciiTheme="minorHAnsi" w:hAnsiTheme="minorHAnsi" w:cstheme="minorHAnsi"/>
          <w:color w:val="000000" w:themeColor="text1"/>
        </w:rPr>
        <w:t>significant</w:t>
      </w:r>
      <w:r w:rsidR="00425EAD">
        <w:rPr>
          <w:rFonts w:asciiTheme="minorHAnsi" w:hAnsiTheme="minorHAnsi" w:cstheme="minorHAnsi"/>
          <w:color w:val="000000" w:themeColor="text1"/>
        </w:rPr>
        <w:t xml:space="preserve">ly </w:t>
      </w:r>
      <w:r w:rsidRPr="009D1960">
        <w:rPr>
          <w:rFonts w:asciiTheme="minorHAnsi" w:hAnsiTheme="minorHAnsi" w:cstheme="minorHAnsi"/>
          <w:color w:val="000000" w:themeColor="text1"/>
        </w:rPr>
        <w:t>while on linezolid in a patient with baseline anemia</w:t>
      </w:r>
      <w:r w:rsidR="00770BDC">
        <w:rPr>
          <w:rFonts w:asciiTheme="minorHAnsi" w:hAnsiTheme="minorHAnsi" w:cstheme="minorHAnsi"/>
          <w:color w:val="000000" w:themeColor="text1"/>
        </w:rPr>
        <w:t xml:space="preserve"> (or fall</w:t>
      </w:r>
      <w:r w:rsidR="00D5582B">
        <w:rPr>
          <w:rFonts w:asciiTheme="minorHAnsi" w:hAnsiTheme="minorHAnsi" w:cstheme="minorHAnsi"/>
          <w:color w:val="000000" w:themeColor="text1"/>
        </w:rPr>
        <w:t>s</w:t>
      </w:r>
      <w:r w:rsidR="00770BDC">
        <w:rPr>
          <w:rFonts w:asciiTheme="minorHAnsi" w:hAnsiTheme="minorHAnsi" w:cstheme="minorHAnsi"/>
          <w:color w:val="000000" w:themeColor="text1"/>
        </w:rPr>
        <w:t xml:space="preserve"> into</w:t>
      </w:r>
      <w:r w:rsidR="00D5582B">
        <w:rPr>
          <w:rFonts w:asciiTheme="minorHAnsi" w:hAnsiTheme="minorHAnsi" w:cstheme="minorHAnsi"/>
          <w:color w:val="000000" w:themeColor="text1"/>
        </w:rPr>
        <w:t xml:space="preserve"> a level of severe anemia)</w:t>
      </w:r>
      <w:r w:rsidRPr="009D1960">
        <w:rPr>
          <w:rFonts w:asciiTheme="minorHAnsi" w:hAnsiTheme="minorHAnsi" w:cstheme="minorHAnsi"/>
          <w:color w:val="000000" w:themeColor="text1"/>
        </w:rPr>
        <w:t xml:space="preserve">, the linezolid should be promptly stopped and managed </w:t>
      </w:r>
      <w:r w:rsidRPr="00117B2E">
        <w:rPr>
          <w:rFonts w:asciiTheme="minorHAnsi" w:hAnsiTheme="minorHAnsi" w:cstheme="minorHAnsi"/>
          <w:color w:val="000000" w:themeColor="text1"/>
        </w:rPr>
        <w:t xml:space="preserve">according to </w:t>
      </w:r>
      <w:r w:rsidR="00117B2E" w:rsidRPr="00117B2E">
        <w:rPr>
          <w:rFonts w:asciiTheme="minorHAnsi" w:hAnsiTheme="minorHAnsi" w:cstheme="minorHAnsi"/>
          <w:color w:val="000000" w:themeColor="text1"/>
          <w:highlight w:val="yellow"/>
        </w:rPr>
        <w:fldChar w:fldCharType="begin"/>
      </w:r>
      <w:r w:rsidR="00117B2E" w:rsidRPr="00117B2E">
        <w:rPr>
          <w:rFonts w:asciiTheme="minorHAnsi" w:hAnsiTheme="minorHAnsi" w:cstheme="minorHAnsi"/>
          <w:color w:val="000000" w:themeColor="text1"/>
        </w:rPr>
        <w:instrText xml:space="preserve"> REF _Ref12971741 \h </w:instrText>
      </w:r>
      <w:r w:rsidR="00117B2E">
        <w:rPr>
          <w:rFonts w:asciiTheme="minorHAnsi" w:hAnsiTheme="minorHAnsi" w:cstheme="minorHAnsi"/>
          <w:color w:val="000000" w:themeColor="text1"/>
          <w:highlight w:val="yellow"/>
        </w:rPr>
        <w:instrText xml:space="preserve"> \* MERGEFORMAT </w:instrText>
      </w:r>
      <w:r w:rsidR="00117B2E" w:rsidRPr="00117B2E">
        <w:rPr>
          <w:rFonts w:asciiTheme="minorHAnsi" w:hAnsiTheme="minorHAnsi" w:cstheme="minorHAnsi"/>
          <w:color w:val="000000" w:themeColor="text1"/>
          <w:highlight w:val="yellow"/>
        </w:rPr>
      </w:r>
      <w:r w:rsidR="00117B2E" w:rsidRPr="00117B2E">
        <w:rPr>
          <w:rFonts w:asciiTheme="minorHAnsi" w:hAnsiTheme="minorHAnsi" w:cstheme="minorHAnsi"/>
          <w:color w:val="000000" w:themeColor="text1"/>
          <w:highlight w:val="yellow"/>
        </w:rPr>
        <w:fldChar w:fldCharType="separate"/>
      </w:r>
      <w:r w:rsidR="00117B2E" w:rsidRPr="00117B2E">
        <w:rPr>
          <w:rFonts w:asciiTheme="minorHAnsi" w:hAnsiTheme="minorHAnsi" w:cstheme="minorHAnsi"/>
        </w:rPr>
        <w:t>Table 15</w:t>
      </w:r>
      <w:r w:rsidR="00117B2E" w:rsidRPr="00117B2E">
        <w:rPr>
          <w:rFonts w:asciiTheme="minorHAnsi" w:hAnsiTheme="minorHAnsi" w:cstheme="minorHAnsi"/>
          <w:color w:val="000000" w:themeColor="text1"/>
          <w:highlight w:val="yellow"/>
        </w:rPr>
        <w:fldChar w:fldCharType="end"/>
      </w:r>
      <w:r w:rsidRPr="00117B2E">
        <w:rPr>
          <w:rFonts w:asciiTheme="minorHAnsi" w:hAnsiTheme="minorHAnsi" w:cstheme="minorHAnsi"/>
          <w:color w:val="000000" w:themeColor="text1"/>
        </w:rPr>
        <w:t>.</w:t>
      </w:r>
      <w:r w:rsidR="00D5582B">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 xml:space="preserve">While pyridoxine (vitamin B6) does not appear to prevent the neuropathy associated with linezolid, it may be helpful in preventing anemia induced by linezolid, although the evidence is limited and effect small. </w:t>
      </w:r>
      <w:r w:rsidRPr="009D1960">
        <w:rPr>
          <w:rStyle w:val="FootnoteReference"/>
          <w:rFonts w:asciiTheme="minorHAnsi" w:hAnsiTheme="minorHAnsi" w:cstheme="minorHAnsi"/>
          <w:color w:val="000000" w:themeColor="text1"/>
        </w:rPr>
        <w:footnoteReference w:id="26"/>
      </w:r>
      <w:r w:rsidRPr="009D1960">
        <w:rPr>
          <w:rFonts w:asciiTheme="minorHAnsi" w:hAnsiTheme="minorHAnsi" w:cstheme="minorHAnsi"/>
          <w:color w:val="000000" w:themeColor="text1"/>
        </w:rPr>
        <w:t xml:space="preserve">  Vitamin B6 is a low-cost supplement with few adverse effects; a dose of 50 mg per day for </w:t>
      </w:r>
      <w:r w:rsidR="00F92198">
        <w:rPr>
          <w:rFonts w:asciiTheme="minorHAnsi" w:hAnsiTheme="minorHAnsi" w:cstheme="minorHAnsi"/>
          <w:color w:val="000000" w:themeColor="text1"/>
        </w:rPr>
        <w:t>a</w:t>
      </w:r>
      <w:r w:rsidRPr="009D1960">
        <w:rPr>
          <w:rFonts w:asciiTheme="minorHAnsi" w:hAnsiTheme="minorHAnsi" w:cstheme="minorHAnsi"/>
          <w:color w:val="000000" w:themeColor="text1"/>
        </w:rPr>
        <w:t xml:space="preserve">n adult can be given with linezolid.  </w:t>
      </w:r>
    </w:p>
    <w:p w14:paraId="509A8FC0" w14:textId="77777777" w:rsidR="00C36AAC" w:rsidRPr="009D1960" w:rsidRDefault="00C36AAC" w:rsidP="001C7A69">
      <w:pPr>
        <w:pStyle w:val="ListParagraph"/>
        <w:rPr>
          <w:rFonts w:asciiTheme="minorHAnsi" w:hAnsiTheme="minorHAnsi" w:cstheme="minorHAnsi"/>
          <w:color w:val="000000" w:themeColor="text1"/>
        </w:rPr>
      </w:pPr>
    </w:p>
    <w:p w14:paraId="417098C0" w14:textId="184E8ADE" w:rsidR="00C36AAC" w:rsidRPr="009D1960" w:rsidRDefault="00C36AAC" w:rsidP="00CB2F8E">
      <w:pPr>
        <w:pStyle w:val="ListParagraph"/>
        <w:numPr>
          <w:ilvl w:val="0"/>
          <w:numId w:val="27"/>
        </w:numPr>
        <w:rPr>
          <w:rFonts w:asciiTheme="minorHAnsi" w:hAnsiTheme="minorHAnsi" w:cstheme="minorHAnsi"/>
          <w:b/>
          <w:bCs/>
          <w:color w:val="000000" w:themeColor="text1"/>
        </w:rPr>
      </w:pPr>
      <w:r w:rsidRPr="009D1960">
        <w:rPr>
          <w:rFonts w:asciiTheme="minorHAnsi" w:hAnsiTheme="minorHAnsi" w:cstheme="minorHAnsi"/>
          <w:b/>
          <w:bCs/>
          <w:color w:val="000000" w:themeColor="text1"/>
        </w:rPr>
        <w:t xml:space="preserve">What can be done if the patient has a contraindication to a drug in the </w:t>
      </w:r>
      <w:r w:rsidR="007A304D">
        <w:rPr>
          <w:rFonts w:asciiTheme="minorHAnsi" w:hAnsiTheme="minorHAnsi" w:cstheme="minorHAnsi"/>
          <w:b/>
          <w:bCs/>
          <w:color w:val="000000" w:themeColor="text1"/>
        </w:rPr>
        <w:t>primary</w:t>
      </w:r>
      <w:r w:rsidRPr="009D1960">
        <w:rPr>
          <w:rFonts w:asciiTheme="minorHAnsi" w:hAnsiTheme="minorHAnsi" w:cstheme="minorHAnsi"/>
          <w:b/>
          <w:bCs/>
          <w:color w:val="000000" w:themeColor="text1"/>
        </w:rPr>
        <w:t xml:space="preserve"> all-oral STR that is being used in the country?  </w:t>
      </w:r>
    </w:p>
    <w:p w14:paraId="2659EBB8" w14:textId="7A342926" w:rsidR="00C36AAC" w:rsidRPr="009D1960" w:rsidRDefault="00C36AAC" w:rsidP="007D412F">
      <w:pPr>
        <w:pStyle w:val="ListParagraph"/>
        <w:rPr>
          <w:rFonts w:asciiTheme="minorHAnsi" w:hAnsiTheme="minorHAnsi" w:cstheme="minorHAnsi"/>
          <w:color w:val="000000" w:themeColor="text1"/>
        </w:rPr>
      </w:pPr>
      <w:r w:rsidRPr="009D1960">
        <w:rPr>
          <w:rFonts w:asciiTheme="minorHAnsi" w:hAnsiTheme="minorHAnsi" w:cstheme="minorHAnsi"/>
          <w:color w:val="000000" w:themeColor="text1"/>
        </w:rPr>
        <w:t xml:space="preserve">In most cases where a patient cannot take a drug due to contraindication the drug can be substituted </w:t>
      </w:r>
      <w:r w:rsidR="00101968" w:rsidRPr="009D1960">
        <w:rPr>
          <w:rFonts w:asciiTheme="minorHAnsi" w:hAnsiTheme="minorHAnsi" w:cstheme="minorHAnsi"/>
          <w:color w:val="000000" w:themeColor="text1"/>
        </w:rPr>
        <w:t xml:space="preserve">with another </w:t>
      </w:r>
      <w:r w:rsidRPr="009D1960">
        <w:rPr>
          <w:rFonts w:asciiTheme="minorHAnsi" w:hAnsiTheme="minorHAnsi" w:cstheme="minorHAnsi"/>
          <w:color w:val="000000" w:themeColor="text1"/>
        </w:rPr>
        <w:t xml:space="preserve">effective drug.  For example, in a patient with </w:t>
      </w:r>
      <w:r w:rsidR="007D412F" w:rsidRPr="009D1960">
        <w:rPr>
          <w:rFonts w:asciiTheme="minorHAnsi" w:hAnsiTheme="minorHAnsi" w:cstheme="minorHAnsi"/>
          <w:color w:val="000000" w:themeColor="text1"/>
        </w:rPr>
        <w:t>severe peripheral neuropathy</w:t>
      </w:r>
      <w:r w:rsidRPr="009D1960">
        <w:rPr>
          <w:rFonts w:asciiTheme="minorHAnsi" w:hAnsiTheme="minorHAnsi" w:cstheme="minorHAnsi"/>
          <w:color w:val="000000" w:themeColor="text1"/>
        </w:rPr>
        <w:t xml:space="preserve"> </w:t>
      </w:r>
      <w:r w:rsidR="007D412F" w:rsidRPr="009D1960">
        <w:rPr>
          <w:rFonts w:asciiTheme="minorHAnsi" w:hAnsiTheme="minorHAnsi" w:cstheme="minorHAnsi"/>
          <w:color w:val="000000" w:themeColor="text1"/>
        </w:rPr>
        <w:t xml:space="preserve">where </w:t>
      </w:r>
      <w:r w:rsidRPr="009D1960">
        <w:rPr>
          <w:rFonts w:asciiTheme="minorHAnsi" w:hAnsiTheme="minorHAnsi" w:cstheme="minorHAnsi"/>
          <w:color w:val="000000" w:themeColor="text1"/>
        </w:rPr>
        <w:t xml:space="preserve">9 months of Lfx-Bdq-Lzd-Cfz-Z is the </w:t>
      </w:r>
      <w:r w:rsidR="007A304D">
        <w:rPr>
          <w:rFonts w:asciiTheme="minorHAnsi" w:hAnsiTheme="minorHAnsi" w:cstheme="minorHAnsi"/>
          <w:color w:val="000000" w:themeColor="text1"/>
        </w:rPr>
        <w:t>primary</w:t>
      </w:r>
      <w:r w:rsidRPr="009D1960">
        <w:rPr>
          <w:rFonts w:asciiTheme="minorHAnsi" w:hAnsiTheme="minorHAnsi" w:cstheme="minorHAnsi"/>
          <w:color w:val="000000" w:themeColor="text1"/>
        </w:rPr>
        <w:t xml:space="preserve"> all-oral STR being used, programs can still offer the patient an all-oral STR by replacing the linezolid with delamanid (9 months of Lfx-Bdq-Dlm-Cfz-Z).  </w:t>
      </w:r>
      <w:r w:rsidR="007D412F" w:rsidRPr="009D1960">
        <w:rPr>
          <w:rFonts w:asciiTheme="minorHAnsi" w:hAnsiTheme="minorHAnsi" w:cstheme="minorHAnsi"/>
          <w:color w:val="000000" w:themeColor="text1"/>
        </w:rPr>
        <w:t xml:space="preserve">Because this regimen now uses three drugs that can potentially prolong the QT interval more frequent QT monitoring may be needed for the first 2 months (for example every 2 weeks) until it is documented that the regimen is well tolerated.  </w:t>
      </w:r>
    </w:p>
    <w:p w14:paraId="42294D92" w14:textId="77777777" w:rsidR="001C7A69" w:rsidRPr="009D1960" w:rsidRDefault="001C7A69" w:rsidP="001C7A69">
      <w:pPr>
        <w:pStyle w:val="ListParagraph"/>
        <w:rPr>
          <w:rFonts w:asciiTheme="minorHAnsi" w:hAnsiTheme="minorHAnsi" w:cstheme="minorHAnsi"/>
          <w:color w:val="000000" w:themeColor="text1"/>
        </w:rPr>
      </w:pPr>
    </w:p>
    <w:p w14:paraId="6D9561A1" w14:textId="10A8E5C0" w:rsidR="00C36AAC" w:rsidRPr="009D1960" w:rsidRDefault="001C7A69" w:rsidP="00CB2F8E">
      <w:pPr>
        <w:pStyle w:val="ListParagraph"/>
        <w:numPr>
          <w:ilvl w:val="0"/>
          <w:numId w:val="27"/>
        </w:numPr>
        <w:rPr>
          <w:rFonts w:asciiTheme="minorHAnsi" w:hAnsiTheme="minorHAnsi" w:cstheme="minorHAnsi"/>
          <w:color w:val="000000" w:themeColor="text1"/>
        </w:rPr>
      </w:pPr>
      <w:r w:rsidRPr="009D1960">
        <w:rPr>
          <w:rFonts w:asciiTheme="minorHAnsi" w:hAnsiTheme="minorHAnsi" w:cstheme="minorHAnsi"/>
          <w:b/>
          <w:bCs/>
          <w:color w:val="000000" w:themeColor="text1"/>
        </w:rPr>
        <w:t xml:space="preserve">When </w:t>
      </w:r>
      <w:r w:rsidR="00C36AAC" w:rsidRPr="009D1960">
        <w:rPr>
          <w:rFonts w:asciiTheme="minorHAnsi" w:hAnsiTheme="minorHAnsi" w:cstheme="minorHAnsi"/>
          <w:b/>
          <w:bCs/>
          <w:color w:val="000000" w:themeColor="text1"/>
        </w:rPr>
        <w:t>to</w:t>
      </w:r>
      <w:r w:rsidRPr="009D1960">
        <w:rPr>
          <w:rFonts w:asciiTheme="minorHAnsi" w:hAnsiTheme="minorHAnsi" w:cstheme="minorHAnsi"/>
          <w:b/>
          <w:bCs/>
          <w:color w:val="000000" w:themeColor="text1"/>
        </w:rPr>
        <w:t xml:space="preserve"> consider that the </w:t>
      </w:r>
      <w:r w:rsidR="00C36AAC" w:rsidRPr="009D1960">
        <w:rPr>
          <w:rFonts w:asciiTheme="minorHAnsi" w:hAnsiTheme="minorHAnsi" w:cstheme="minorHAnsi"/>
          <w:b/>
          <w:bCs/>
          <w:color w:val="000000" w:themeColor="text1"/>
        </w:rPr>
        <w:t>all-oral STR</w:t>
      </w:r>
      <w:r w:rsidRPr="009D1960">
        <w:rPr>
          <w:rFonts w:asciiTheme="minorHAnsi" w:hAnsiTheme="minorHAnsi" w:cstheme="minorHAnsi"/>
          <w:b/>
          <w:bCs/>
          <w:color w:val="000000" w:themeColor="text1"/>
        </w:rPr>
        <w:t xml:space="preserve"> is not </w:t>
      </w:r>
      <w:r w:rsidR="007D412F" w:rsidRPr="009D1960">
        <w:rPr>
          <w:rFonts w:asciiTheme="minorHAnsi" w:hAnsiTheme="minorHAnsi" w:cstheme="minorHAnsi"/>
          <w:b/>
          <w:bCs/>
          <w:color w:val="000000" w:themeColor="text1"/>
        </w:rPr>
        <w:t>effective</w:t>
      </w:r>
      <w:r w:rsidR="00C36AAC" w:rsidRPr="009D1960">
        <w:rPr>
          <w:rFonts w:asciiTheme="minorHAnsi" w:hAnsiTheme="minorHAnsi" w:cstheme="minorHAnsi"/>
          <w:b/>
          <w:bCs/>
          <w:color w:val="000000" w:themeColor="text1"/>
        </w:rPr>
        <w:t xml:space="preserve"> and should be</w:t>
      </w:r>
      <w:r w:rsidRPr="009D1960">
        <w:rPr>
          <w:rFonts w:asciiTheme="minorHAnsi" w:hAnsiTheme="minorHAnsi" w:cstheme="minorHAnsi"/>
          <w:b/>
          <w:bCs/>
          <w:color w:val="000000" w:themeColor="text1"/>
        </w:rPr>
        <w:t xml:space="preserve"> change</w:t>
      </w:r>
      <w:r w:rsidR="007D412F" w:rsidRPr="009D1960">
        <w:rPr>
          <w:rFonts w:asciiTheme="minorHAnsi" w:hAnsiTheme="minorHAnsi" w:cstheme="minorHAnsi"/>
          <w:b/>
          <w:bCs/>
          <w:color w:val="000000" w:themeColor="text1"/>
        </w:rPr>
        <w:t>d</w:t>
      </w:r>
      <w:r w:rsidR="00C36AAC" w:rsidRPr="009D1960">
        <w:rPr>
          <w:rFonts w:asciiTheme="minorHAnsi" w:hAnsiTheme="minorHAnsi" w:cstheme="minorHAnsi"/>
          <w:b/>
          <w:bCs/>
          <w:color w:val="000000" w:themeColor="text1"/>
        </w:rPr>
        <w:t>?</w:t>
      </w:r>
      <w:r w:rsidRPr="009D1960">
        <w:rPr>
          <w:rFonts w:asciiTheme="minorHAnsi" w:hAnsiTheme="minorHAnsi" w:cstheme="minorHAnsi"/>
          <w:color w:val="000000" w:themeColor="text1"/>
        </w:rPr>
        <w:t xml:space="preserve"> </w:t>
      </w:r>
    </w:p>
    <w:p w14:paraId="4591A75D" w14:textId="4A95284E" w:rsidR="001C7A69" w:rsidRPr="009D1960" w:rsidRDefault="001C7A69" w:rsidP="00C36AAC">
      <w:pPr>
        <w:pStyle w:val="ListParagraph"/>
        <w:rPr>
          <w:rFonts w:asciiTheme="minorHAnsi" w:hAnsiTheme="minorHAnsi" w:cstheme="minorHAnsi"/>
          <w:color w:val="000000" w:themeColor="text1"/>
        </w:rPr>
      </w:pPr>
      <w:r w:rsidRPr="009D1960">
        <w:rPr>
          <w:rFonts w:asciiTheme="minorHAnsi" w:hAnsiTheme="minorHAnsi" w:cstheme="minorHAnsi"/>
          <w:color w:val="000000" w:themeColor="text1"/>
        </w:rPr>
        <w:t>Possible indications that the regimen is not effective</w:t>
      </w:r>
      <w:r w:rsidR="007D412F" w:rsidRPr="009D1960">
        <w:rPr>
          <w:rFonts w:asciiTheme="minorHAnsi" w:hAnsiTheme="minorHAnsi" w:cstheme="minorHAnsi"/>
          <w:color w:val="000000" w:themeColor="text1"/>
        </w:rPr>
        <w:t xml:space="preserve"> include:</w:t>
      </w:r>
    </w:p>
    <w:p w14:paraId="7FCE8601" w14:textId="64FA67A9" w:rsidR="001C7A69" w:rsidRPr="009D1960" w:rsidRDefault="001C7A69" w:rsidP="00CB2F8E">
      <w:pPr>
        <w:pStyle w:val="ListParagraph"/>
        <w:numPr>
          <w:ilvl w:val="1"/>
          <w:numId w:val="27"/>
        </w:numPr>
        <w:rPr>
          <w:rFonts w:asciiTheme="minorHAnsi" w:hAnsiTheme="minorHAnsi" w:cstheme="minorHAnsi"/>
          <w:color w:val="000000" w:themeColor="text1"/>
        </w:rPr>
      </w:pPr>
      <w:r w:rsidRPr="009D1960">
        <w:rPr>
          <w:rFonts w:asciiTheme="minorHAnsi" w:hAnsiTheme="minorHAnsi" w:cstheme="minorHAnsi"/>
          <w:color w:val="000000" w:themeColor="text1"/>
          <w:u w:val="single"/>
        </w:rPr>
        <w:t>Lack of culture conversion:</w:t>
      </w:r>
      <w:r w:rsidRPr="009D1960">
        <w:rPr>
          <w:rFonts w:asciiTheme="minorHAnsi" w:hAnsiTheme="minorHAnsi" w:cstheme="minorHAnsi"/>
          <w:color w:val="000000" w:themeColor="text1"/>
        </w:rPr>
        <w:t xml:space="preserve"> patients should be monitored with monthly cultures to monitor response to treatment. If the culture results do not go from positive to negative by </w:t>
      </w:r>
      <w:r w:rsidR="007D412F" w:rsidRPr="009D1960">
        <w:rPr>
          <w:rFonts w:asciiTheme="minorHAnsi" w:hAnsiTheme="minorHAnsi" w:cstheme="minorHAnsi"/>
          <w:color w:val="000000" w:themeColor="text1"/>
        </w:rPr>
        <w:t>month 4 of treatment</w:t>
      </w:r>
      <w:r w:rsidRPr="009D1960">
        <w:rPr>
          <w:rFonts w:asciiTheme="minorHAnsi" w:hAnsiTheme="minorHAnsi" w:cstheme="minorHAnsi"/>
          <w:color w:val="000000" w:themeColor="text1"/>
        </w:rPr>
        <w:t xml:space="preserve"> this may indicate that the treatment is not effective and you should consider </w:t>
      </w:r>
      <w:r w:rsidR="00C36AAC" w:rsidRPr="009D1960">
        <w:rPr>
          <w:rFonts w:asciiTheme="minorHAnsi" w:hAnsiTheme="minorHAnsi" w:cstheme="minorHAnsi"/>
          <w:color w:val="000000" w:themeColor="text1"/>
        </w:rPr>
        <w:t>stopping the STR and starting a new LTR</w:t>
      </w:r>
      <w:r w:rsidR="007D412F" w:rsidRPr="009D1960">
        <w:rPr>
          <w:rFonts w:asciiTheme="minorHAnsi" w:hAnsiTheme="minorHAnsi" w:cstheme="minorHAnsi"/>
          <w:color w:val="000000" w:themeColor="text1"/>
        </w:rPr>
        <w:t xml:space="preserve">, especially if the patient is not clinically improving. </w:t>
      </w:r>
      <w:r w:rsidR="00C36AAC" w:rsidRPr="009D1960">
        <w:rPr>
          <w:rFonts w:asciiTheme="minorHAnsi" w:hAnsiTheme="minorHAnsi" w:cstheme="minorHAnsi"/>
          <w:color w:val="000000" w:themeColor="text1"/>
        </w:rPr>
        <w:t xml:space="preserve"> </w:t>
      </w:r>
      <w:r w:rsidR="007D412F" w:rsidRPr="009D1960">
        <w:rPr>
          <w:rFonts w:asciiTheme="minorHAnsi" w:hAnsiTheme="minorHAnsi" w:cstheme="minorHAnsi"/>
          <w:color w:val="000000" w:themeColor="text1"/>
        </w:rPr>
        <w:t xml:space="preserve">If the patient is doing clinically well, the all-oral STR can be continue and monitored closely, including seeing if culture conversion occurs month 5 or 6.  In general, patients still </w:t>
      </w:r>
      <w:r w:rsidR="00B21422" w:rsidRPr="009D1960">
        <w:rPr>
          <w:rFonts w:asciiTheme="minorHAnsi" w:hAnsiTheme="minorHAnsi" w:cstheme="minorHAnsi"/>
          <w:color w:val="000000" w:themeColor="text1"/>
        </w:rPr>
        <w:t>culture</w:t>
      </w:r>
      <w:r w:rsidR="007D412F" w:rsidRPr="009D1960">
        <w:rPr>
          <w:rFonts w:asciiTheme="minorHAnsi" w:hAnsiTheme="minorHAnsi" w:cstheme="minorHAnsi"/>
          <w:color w:val="000000" w:themeColor="text1"/>
        </w:rPr>
        <w:t xml:space="preserve"> positive </w:t>
      </w:r>
      <w:r w:rsidR="00B21422" w:rsidRPr="009D1960">
        <w:rPr>
          <w:rFonts w:asciiTheme="minorHAnsi" w:hAnsiTheme="minorHAnsi" w:cstheme="minorHAnsi"/>
          <w:color w:val="000000" w:themeColor="text1"/>
        </w:rPr>
        <w:t xml:space="preserve">are considered to have failed the STR. </w:t>
      </w:r>
    </w:p>
    <w:p w14:paraId="3D60F182" w14:textId="361BC11C" w:rsidR="001C7A69" w:rsidRPr="009D1960" w:rsidRDefault="001C7A69" w:rsidP="00CB2F8E">
      <w:pPr>
        <w:pStyle w:val="ListParagraph"/>
        <w:numPr>
          <w:ilvl w:val="1"/>
          <w:numId w:val="27"/>
        </w:numPr>
        <w:rPr>
          <w:rFonts w:asciiTheme="minorHAnsi" w:hAnsiTheme="minorHAnsi" w:cstheme="minorHAnsi"/>
          <w:color w:val="000000" w:themeColor="text1"/>
        </w:rPr>
      </w:pPr>
      <w:r w:rsidRPr="009D1960">
        <w:rPr>
          <w:rFonts w:asciiTheme="minorHAnsi" w:hAnsiTheme="minorHAnsi" w:cstheme="minorHAnsi"/>
          <w:color w:val="000000" w:themeColor="text1"/>
          <w:u w:val="single"/>
        </w:rPr>
        <w:t>Lack of clinical response to treatment:</w:t>
      </w:r>
      <w:r w:rsidRPr="009D1960">
        <w:rPr>
          <w:rFonts w:asciiTheme="minorHAnsi" w:hAnsiTheme="minorHAnsi" w:cstheme="minorHAnsi"/>
          <w:color w:val="000000" w:themeColor="text1"/>
        </w:rPr>
        <w:t xml:space="preserve"> given the delay in receiving culture results (especially </w:t>
      </w:r>
      <w:r w:rsidR="00B21422" w:rsidRPr="009D1960">
        <w:rPr>
          <w:rFonts w:asciiTheme="minorHAnsi" w:hAnsiTheme="minorHAnsi" w:cstheme="minorHAnsi"/>
          <w:color w:val="000000" w:themeColor="text1"/>
        </w:rPr>
        <w:t>in a</w:t>
      </w:r>
      <w:r w:rsidRPr="009D1960">
        <w:rPr>
          <w:rFonts w:asciiTheme="minorHAnsi" w:hAnsiTheme="minorHAnsi" w:cstheme="minorHAnsi"/>
          <w:color w:val="000000" w:themeColor="text1"/>
        </w:rPr>
        <w:t xml:space="preserve"> contexts where transporting samples for culture </w:t>
      </w:r>
      <w:r w:rsidR="00B21422" w:rsidRPr="009D1960">
        <w:rPr>
          <w:rFonts w:asciiTheme="minorHAnsi" w:hAnsiTheme="minorHAnsi" w:cstheme="minorHAnsi"/>
          <w:color w:val="000000" w:themeColor="text1"/>
        </w:rPr>
        <w:t>delays the turnaround time of the results</w:t>
      </w:r>
      <w:r w:rsidRPr="009D1960">
        <w:rPr>
          <w:rFonts w:asciiTheme="minorHAnsi" w:hAnsiTheme="minorHAnsi" w:cstheme="minorHAnsi"/>
          <w:color w:val="000000" w:themeColor="text1"/>
        </w:rPr>
        <w:t>), clinicians can make a judgement that a regimen is not effective base</w:t>
      </w:r>
      <w:r w:rsidR="00E34FF0">
        <w:rPr>
          <w:rFonts w:asciiTheme="minorHAnsi" w:hAnsiTheme="minorHAnsi" w:cstheme="minorHAnsi"/>
          <w:color w:val="000000" w:themeColor="text1"/>
        </w:rPr>
        <w:t>d</w:t>
      </w:r>
      <w:r w:rsidRPr="009D1960">
        <w:rPr>
          <w:rFonts w:asciiTheme="minorHAnsi" w:hAnsiTheme="minorHAnsi" w:cstheme="minorHAnsi"/>
          <w:color w:val="000000" w:themeColor="text1"/>
        </w:rPr>
        <w:t xml:space="preserve"> on clinical criteria</w:t>
      </w:r>
      <w:r w:rsidR="00E34FF0">
        <w:rPr>
          <w:rFonts w:asciiTheme="minorHAnsi" w:hAnsiTheme="minorHAnsi" w:cstheme="minorHAnsi"/>
          <w:color w:val="000000" w:themeColor="text1"/>
        </w:rPr>
        <w:t xml:space="preserve"> and smear microscopy</w:t>
      </w:r>
      <w:r w:rsidR="00B21422" w:rsidRPr="009D1960">
        <w:rPr>
          <w:rFonts w:asciiTheme="minorHAnsi" w:hAnsiTheme="minorHAnsi" w:cstheme="minorHAnsi"/>
          <w:color w:val="000000" w:themeColor="text1"/>
        </w:rPr>
        <w:t xml:space="preserve">. For example, the </w:t>
      </w:r>
      <w:r w:rsidRPr="009D1960">
        <w:rPr>
          <w:rFonts w:asciiTheme="minorHAnsi" w:hAnsiTheme="minorHAnsi" w:cstheme="minorHAnsi"/>
          <w:color w:val="000000" w:themeColor="text1"/>
        </w:rPr>
        <w:t xml:space="preserve">worsening of symptoms, </w:t>
      </w:r>
      <w:r w:rsidRPr="009D1960">
        <w:rPr>
          <w:rFonts w:asciiTheme="minorHAnsi" w:hAnsiTheme="minorHAnsi" w:cstheme="minorHAnsi"/>
          <w:color w:val="000000" w:themeColor="text1"/>
        </w:rPr>
        <w:lastRenderedPageBreak/>
        <w:t>continue</w:t>
      </w:r>
      <w:r w:rsidR="00466F77">
        <w:rPr>
          <w:rFonts w:asciiTheme="minorHAnsi" w:hAnsiTheme="minorHAnsi" w:cstheme="minorHAnsi"/>
          <w:color w:val="000000" w:themeColor="text1"/>
        </w:rPr>
        <w:t>d</w:t>
      </w:r>
      <w:r w:rsidRPr="009D1960">
        <w:rPr>
          <w:rFonts w:asciiTheme="minorHAnsi" w:hAnsiTheme="minorHAnsi" w:cstheme="minorHAnsi"/>
          <w:color w:val="000000" w:themeColor="text1"/>
        </w:rPr>
        <w:t xml:space="preserve"> weight loss</w:t>
      </w:r>
      <w:r w:rsidR="00466F77">
        <w:rPr>
          <w:rFonts w:asciiTheme="minorHAnsi" w:hAnsiTheme="minorHAnsi" w:cstheme="minorHAnsi"/>
          <w:color w:val="000000" w:themeColor="text1"/>
        </w:rPr>
        <w:t xml:space="preserve">, </w:t>
      </w:r>
      <w:r w:rsidR="00B21422" w:rsidRPr="009D1960">
        <w:rPr>
          <w:rFonts w:asciiTheme="minorHAnsi" w:hAnsiTheme="minorHAnsi" w:cstheme="minorHAnsi"/>
          <w:color w:val="000000" w:themeColor="text1"/>
        </w:rPr>
        <w:t>increase of cough</w:t>
      </w:r>
      <w:r w:rsidRPr="009D1960">
        <w:rPr>
          <w:rFonts w:asciiTheme="minorHAnsi" w:hAnsiTheme="minorHAnsi" w:cstheme="minorHAnsi"/>
          <w:color w:val="000000" w:themeColor="text1"/>
        </w:rPr>
        <w:t xml:space="preserve"> and fever</w:t>
      </w:r>
      <w:r w:rsidR="00466F77">
        <w:rPr>
          <w:rFonts w:asciiTheme="minorHAnsi" w:hAnsiTheme="minorHAnsi" w:cstheme="minorHAnsi"/>
          <w:color w:val="000000" w:themeColor="text1"/>
        </w:rPr>
        <w:t xml:space="preserve">, lack of sputum </w:t>
      </w:r>
      <w:r w:rsidR="00001F27">
        <w:rPr>
          <w:rFonts w:asciiTheme="minorHAnsi" w:hAnsiTheme="minorHAnsi" w:cstheme="minorHAnsi"/>
          <w:color w:val="000000" w:themeColor="text1"/>
        </w:rPr>
        <w:t>microscopy</w:t>
      </w:r>
      <w:r w:rsidR="00466F77">
        <w:rPr>
          <w:rFonts w:asciiTheme="minorHAnsi" w:hAnsiTheme="minorHAnsi" w:cstheme="minorHAnsi"/>
          <w:color w:val="000000" w:themeColor="text1"/>
        </w:rPr>
        <w:t xml:space="preserve"> conversion</w:t>
      </w:r>
      <w:r w:rsidR="00B21422" w:rsidRPr="009D1960">
        <w:rPr>
          <w:rFonts w:asciiTheme="minorHAnsi" w:hAnsiTheme="minorHAnsi" w:cstheme="minorHAnsi"/>
          <w:color w:val="000000" w:themeColor="text1"/>
        </w:rPr>
        <w:t xml:space="preserve"> or worsening chest X-ray all indicate possible treatment failure.  Not all need to be present and clinical failure is a judgement decision</w:t>
      </w:r>
      <w:r w:rsidRPr="009D1960">
        <w:rPr>
          <w:rFonts w:asciiTheme="minorHAnsi" w:hAnsiTheme="minorHAnsi" w:cstheme="minorHAnsi"/>
          <w:color w:val="000000" w:themeColor="text1"/>
        </w:rPr>
        <w:t xml:space="preserve">. </w:t>
      </w:r>
      <w:r w:rsidR="00B21422" w:rsidRPr="009D1960">
        <w:rPr>
          <w:rFonts w:asciiTheme="minorHAnsi" w:hAnsiTheme="minorHAnsi" w:cstheme="minorHAnsi"/>
          <w:color w:val="000000" w:themeColor="text1"/>
        </w:rPr>
        <w:t xml:space="preserve">Before a regimen is declared a failure, </w:t>
      </w:r>
      <w:r w:rsidRPr="009D1960">
        <w:rPr>
          <w:rFonts w:asciiTheme="minorHAnsi" w:hAnsiTheme="minorHAnsi" w:cstheme="minorHAnsi"/>
          <w:color w:val="000000" w:themeColor="text1"/>
        </w:rPr>
        <w:t xml:space="preserve">adherence and tolerance of treatment should be verified, as well verification that other comorbidities are well treated, and that </w:t>
      </w:r>
      <w:r w:rsidR="00B21422" w:rsidRPr="009D1960">
        <w:rPr>
          <w:rFonts w:asciiTheme="minorHAnsi" w:hAnsiTheme="minorHAnsi" w:cstheme="minorHAnsi"/>
          <w:color w:val="000000" w:themeColor="text1"/>
        </w:rPr>
        <w:t>there is not another unrecognized disease that is mimicking failure</w:t>
      </w:r>
      <w:r w:rsidRPr="009D1960">
        <w:rPr>
          <w:rFonts w:asciiTheme="minorHAnsi" w:hAnsiTheme="minorHAnsi" w:cstheme="minorHAnsi"/>
          <w:color w:val="000000" w:themeColor="text1"/>
        </w:rPr>
        <w:t>.</w:t>
      </w:r>
    </w:p>
    <w:p w14:paraId="14EE3E72" w14:textId="30D89966" w:rsidR="001C7A69" w:rsidRPr="009D1960" w:rsidRDefault="001C7A69" w:rsidP="00CB2F8E">
      <w:pPr>
        <w:pStyle w:val="ListParagraph"/>
        <w:numPr>
          <w:ilvl w:val="1"/>
          <w:numId w:val="27"/>
        </w:numPr>
        <w:rPr>
          <w:rFonts w:asciiTheme="minorHAnsi" w:hAnsiTheme="minorHAnsi" w:cstheme="minorHAnsi"/>
          <w:color w:val="000000" w:themeColor="text1"/>
        </w:rPr>
      </w:pPr>
      <w:r w:rsidRPr="009D1960">
        <w:rPr>
          <w:rFonts w:asciiTheme="minorHAnsi" w:hAnsiTheme="minorHAnsi" w:cstheme="minorHAnsi"/>
          <w:color w:val="000000" w:themeColor="text1"/>
          <w:u w:val="single"/>
        </w:rPr>
        <w:t xml:space="preserve">Delayed knowledge of </w:t>
      </w:r>
      <w:r w:rsidR="00101968" w:rsidRPr="009D1960">
        <w:rPr>
          <w:rFonts w:asciiTheme="minorHAnsi" w:hAnsiTheme="minorHAnsi" w:cstheme="minorHAnsi"/>
          <w:color w:val="000000" w:themeColor="text1"/>
          <w:u w:val="single"/>
        </w:rPr>
        <w:t xml:space="preserve">an </w:t>
      </w:r>
      <w:r w:rsidRPr="009D1960">
        <w:rPr>
          <w:rFonts w:asciiTheme="minorHAnsi" w:hAnsiTheme="minorHAnsi" w:cstheme="minorHAnsi"/>
          <w:color w:val="000000" w:themeColor="text1"/>
          <w:u w:val="single"/>
        </w:rPr>
        <w:t>exclusion criteria</w:t>
      </w:r>
      <w:r w:rsidR="00101968" w:rsidRPr="009D1960">
        <w:rPr>
          <w:rFonts w:asciiTheme="minorHAnsi" w:hAnsiTheme="minorHAnsi" w:cstheme="minorHAnsi"/>
          <w:color w:val="000000" w:themeColor="text1"/>
          <w:u w:val="single"/>
        </w:rPr>
        <w:t>:</w:t>
      </w:r>
      <w:r w:rsidRPr="009D1960">
        <w:rPr>
          <w:rFonts w:asciiTheme="minorHAnsi" w:hAnsiTheme="minorHAnsi" w:cstheme="minorHAnsi"/>
          <w:color w:val="000000" w:themeColor="text1"/>
        </w:rPr>
        <w:t xml:space="preserve"> If a patient is found to have one of the exclusion criteria after starting </w:t>
      </w:r>
      <w:r w:rsidR="0032141E" w:rsidRPr="009D1960">
        <w:rPr>
          <w:rFonts w:asciiTheme="minorHAnsi" w:hAnsiTheme="minorHAnsi" w:cstheme="minorHAnsi"/>
          <w:color w:val="000000" w:themeColor="text1"/>
        </w:rPr>
        <w:t xml:space="preserve">the all-oral STR, </w:t>
      </w:r>
      <w:r w:rsidRPr="009D1960">
        <w:rPr>
          <w:rFonts w:asciiTheme="minorHAnsi" w:hAnsiTheme="minorHAnsi" w:cstheme="minorHAnsi"/>
          <w:color w:val="000000" w:themeColor="text1"/>
        </w:rPr>
        <w:t xml:space="preserve">then the patient should stop the regimen and start an individualized </w:t>
      </w:r>
      <w:r w:rsidR="0032141E" w:rsidRPr="009D1960">
        <w:rPr>
          <w:rFonts w:asciiTheme="minorHAnsi" w:hAnsiTheme="minorHAnsi" w:cstheme="minorHAnsi"/>
          <w:color w:val="000000" w:themeColor="text1"/>
        </w:rPr>
        <w:t>LTR</w:t>
      </w:r>
      <w:r w:rsidRPr="009D1960">
        <w:rPr>
          <w:rFonts w:asciiTheme="minorHAnsi" w:hAnsiTheme="minorHAnsi" w:cstheme="minorHAnsi"/>
          <w:color w:val="000000" w:themeColor="text1"/>
        </w:rPr>
        <w:t>.</w:t>
      </w:r>
      <w:r w:rsidR="0032141E" w:rsidRPr="009D1960">
        <w:rPr>
          <w:rFonts w:asciiTheme="minorHAnsi" w:hAnsiTheme="minorHAnsi" w:cstheme="minorHAnsi"/>
          <w:color w:val="000000" w:themeColor="text1"/>
        </w:rPr>
        <w:t xml:space="preserve">  For example, LPA is not a perfect test and one can get a false negative FQ-susceptible and the phenotypic test demonstrating FQ</w:t>
      </w:r>
      <w:r w:rsidR="009575C8">
        <w:rPr>
          <w:rFonts w:asciiTheme="minorHAnsi" w:hAnsiTheme="minorHAnsi" w:cstheme="minorHAnsi"/>
          <w:color w:val="000000" w:themeColor="text1"/>
        </w:rPr>
        <w:t>-</w:t>
      </w:r>
      <w:r w:rsidR="0032141E" w:rsidRPr="009D1960">
        <w:rPr>
          <w:rFonts w:asciiTheme="minorHAnsi" w:hAnsiTheme="minorHAnsi" w:cstheme="minorHAnsi"/>
          <w:color w:val="000000" w:themeColor="text1"/>
        </w:rPr>
        <w:t xml:space="preserve">resistance.  </w:t>
      </w:r>
      <w:r w:rsidRPr="009D1960">
        <w:rPr>
          <w:rFonts w:asciiTheme="minorHAnsi" w:hAnsiTheme="minorHAnsi" w:cstheme="minorHAnsi"/>
          <w:color w:val="000000" w:themeColor="text1"/>
        </w:rPr>
        <w:t>Other initial exclusion criteria may occur during treatment and in some cases a decision may be made on a case</w:t>
      </w:r>
      <w:r w:rsidR="00C36AAC" w:rsidRPr="009D1960">
        <w:rPr>
          <w:rFonts w:asciiTheme="minorHAnsi" w:hAnsiTheme="minorHAnsi" w:cstheme="minorHAnsi"/>
          <w:color w:val="000000" w:themeColor="text1"/>
        </w:rPr>
        <w:t>-</w:t>
      </w:r>
      <w:r w:rsidRPr="009D1960">
        <w:rPr>
          <w:rFonts w:asciiTheme="minorHAnsi" w:hAnsiTheme="minorHAnsi" w:cstheme="minorHAnsi"/>
          <w:color w:val="000000" w:themeColor="text1"/>
        </w:rPr>
        <w:t>by</w:t>
      </w:r>
      <w:r w:rsidR="00C36AAC" w:rsidRPr="009D1960">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case basis to continue the oral short treatment despite the exclusion criteria, taking into consideration the length of treatment the patient has already had, the response to treatment and the risk of </w:t>
      </w:r>
      <w:r w:rsidR="0032141E" w:rsidRPr="009D1960">
        <w:rPr>
          <w:rFonts w:asciiTheme="minorHAnsi" w:hAnsiTheme="minorHAnsi" w:cstheme="minorHAnsi"/>
          <w:color w:val="000000" w:themeColor="text1"/>
        </w:rPr>
        <w:t>the STR</w:t>
      </w:r>
      <w:r w:rsidRPr="009D1960">
        <w:rPr>
          <w:rFonts w:asciiTheme="minorHAnsi" w:hAnsiTheme="minorHAnsi" w:cstheme="minorHAnsi"/>
          <w:color w:val="000000" w:themeColor="text1"/>
        </w:rPr>
        <w:t xml:space="preserve"> in this patient.</w:t>
      </w:r>
    </w:p>
    <w:p w14:paraId="3D94D981" w14:textId="237E705F" w:rsidR="004C530C" w:rsidRPr="009D1960" w:rsidRDefault="004C530C" w:rsidP="004C530C">
      <w:pPr>
        <w:rPr>
          <w:rFonts w:asciiTheme="minorHAnsi" w:hAnsiTheme="minorHAnsi" w:cstheme="minorHAnsi"/>
          <w:color w:val="000000" w:themeColor="text1"/>
        </w:rPr>
      </w:pPr>
    </w:p>
    <w:p w14:paraId="3B34B51E" w14:textId="62D9096A" w:rsidR="00D150A4" w:rsidRPr="009D1960" w:rsidRDefault="00D150A4" w:rsidP="00CB2F8E">
      <w:pPr>
        <w:pStyle w:val="ListParagraph"/>
        <w:numPr>
          <w:ilvl w:val="0"/>
          <w:numId w:val="27"/>
        </w:numPr>
        <w:rPr>
          <w:rFonts w:asciiTheme="minorHAnsi" w:hAnsiTheme="minorHAnsi" w:cstheme="minorHAnsi"/>
          <w:color w:val="000000" w:themeColor="text1"/>
        </w:rPr>
      </w:pPr>
      <w:r w:rsidRPr="009D1960">
        <w:rPr>
          <w:rFonts w:asciiTheme="minorHAnsi" w:hAnsiTheme="minorHAnsi" w:cstheme="minorHAnsi"/>
          <w:b/>
          <w:bCs/>
          <w:color w:val="000000" w:themeColor="text1"/>
        </w:rPr>
        <w:t xml:space="preserve">What regimen </w:t>
      </w:r>
      <w:r w:rsidR="00C73257" w:rsidRPr="009D1960">
        <w:rPr>
          <w:rFonts w:asciiTheme="minorHAnsi" w:hAnsiTheme="minorHAnsi" w:cstheme="minorHAnsi"/>
          <w:b/>
          <w:bCs/>
          <w:color w:val="000000" w:themeColor="text1"/>
        </w:rPr>
        <w:t>should be</w:t>
      </w:r>
      <w:r w:rsidRPr="009D1960">
        <w:rPr>
          <w:rFonts w:asciiTheme="minorHAnsi" w:hAnsiTheme="minorHAnsi" w:cstheme="minorHAnsi"/>
          <w:b/>
          <w:bCs/>
          <w:color w:val="000000" w:themeColor="text1"/>
        </w:rPr>
        <w:t xml:space="preserve"> use</w:t>
      </w:r>
      <w:r w:rsidR="00C73257" w:rsidRPr="009D1960">
        <w:rPr>
          <w:rFonts w:asciiTheme="minorHAnsi" w:hAnsiTheme="minorHAnsi" w:cstheme="minorHAnsi"/>
          <w:b/>
          <w:bCs/>
          <w:color w:val="000000" w:themeColor="text1"/>
        </w:rPr>
        <w:t>d</w:t>
      </w:r>
      <w:r w:rsidRPr="009D1960">
        <w:rPr>
          <w:rFonts w:asciiTheme="minorHAnsi" w:hAnsiTheme="minorHAnsi" w:cstheme="minorHAnsi"/>
          <w:b/>
          <w:bCs/>
          <w:color w:val="000000" w:themeColor="text1"/>
        </w:rPr>
        <w:t xml:space="preserve"> when an all-oral STR fails?</w:t>
      </w:r>
      <w:r w:rsidRPr="009D1960">
        <w:rPr>
          <w:rFonts w:asciiTheme="minorHAnsi" w:hAnsiTheme="minorHAnsi" w:cstheme="minorHAnsi"/>
          <w:color w:val="000000" w:themeColor="text1"/>
        </w:rPr>
        <w:t xml:space="preserve"> </w:t>
      </w:r>
    </w:p>
    <w:p w14:paraId="44A9B8B7" w14:textId="0DAC653E" w:rsidR="00D150A4" w:rsidRPr="009D1960" w:rsidRDefault="00D150A4" w:rsidP="00D150A4">
      <w:pPr>
        <w:pStyle w:val="ListParagraph"/>
        <w:rPr>
          <w:rFonts w:asciiTheme="minorHAnsi" w:hAnsiTheme="minorHAnsi" w:cstheme="minorHAnsi"/>
          <w:color w:val="000000" w:themeColor="text1"/>
        </w:rPr>
      </w:pPr>
      <w:r w:rsidRPr="009D1960">
        <w:rPr>
          <w:rFonts w:asciiTheme="minorHAnsi" w:hAnsiTheme="minorHAnsi" w:cstheme="minorHAnsi"/>
          <w:color w:val="000000" w:themeColor="text1"/>
        </w:rPr>
        <w:t>In patients in whom the all-oral STR fails or the patient has recurrent TB, an</w:t>
      </w:r>
      <w:r w:rsidR="001557A0">
        <w:rPr>
          <w:rFonts w:asciiTheme="minorHAnsi" w:hAnsiTheme="minorHAnsi" w:cstheme="minorHAnsi"/>
          <w:color w:val="000000" w:themeColor="text1"/>
        </w:rPr>
        <w:t xml:space="preserve"> individualized</w:t>
      </w:r>
      <w:r w:rsidRPr="009D1960">
        <w:rPr>
          <w:rFonts w:asciiTheme="minorHAnsi" w:hAnsiTheme="minorHAnsi" w:cstheme="minorHAnsi"/>
          <w:color w:val="000000" w:themeColor="text1"/>
        </w:rPr>
        <w:t xml:space="preserve"> LTR should be started based on the principles described in </w:t>
      </w:r>
      <w:r w:rsidR="000C0B82" w:rsidRPr="009D1960">
        <w:rPr>
          <w:rFonts w:asciiTheme="minorHAnsi" w:hAnsiTheme="minorHAnsi" w:cstheme="minorHAnsi"/>
          <w:color w:val="000000" w:themeColor="text1"/>
        </w:rPr>
        <w:fldChar w:fldCharType="begin"/>
      </w:r>
      <w:r w:rsidR="000C0B82" w:rsidRPr="009D1960">
        <w:rPr>
          <w:rFonts w:asciiTheme="minorHAnsi" w:hAnsiTheme="minorHAnsi" w:cstheme="minorHAnsi"/>
          <w:color w:val="000000" w:themeColor="text1"/>
        </w:rPr>
        <w:instrText xml:space="preserve"> REF _Ref12950900 \h  \* MERGEFORMAT </w:instrText>
      </w:r>
      <w:r w:rsidR="000C0B82" w:rsidRPr="009D1960">
        <w:rPr>
          <w:rFonts w:asciiTheme="minorHAnsi" w:hAnsiTheme="minorHAnsi" w:cstheme="minorHAnsi"/>
          <w:color w:val="000000" w:themeColor="text1"/>
        </w:rPr>
      </w:r>
      <w:r w:rsidR="000C0B82" w:rsidRPr="009D1960">
        <w:rPr>
          <w:rFonts w:asciiTheme="minorHAnsi" w:hAnsiTheme="minorHAnsi" w:cstheme="minorHAnsi"/>
          <w:color w:val="000000" w:themeColor="text1"/>
        </w:rPr>
        <w:fldChar w:fldCharType="separate"/>
      </w:r>
      <w:r w:rsidR="000C0B82" w:rsidRPr="009D1960">
        <w:rPr>
          <w:rFonts w:asciiTheme="minorHAnsi" w:hAnsiTheme="minorHAnsi" w:cstheme="minorHAnsi"/>
        </w:rPr>
        <w:t>Appendix 2</w:t>
      </w:r>
      <w:r w:rsidR="000C0B82" w:rsidRPr="009D1960">
        <w:rPr>
          <w:rFonts w:asciiTheme="minorHAnsi" w:hAnsiTheme="minorHAnsi" w:cstheme="minorHAnsi"/>
          <w:color w:val="000000" w:themeColor="text1"/>
        </w:rPr>
        <w:fldChar w:fldCharType="end"/>
      </w:r>
      <w:r w:rsidR="000C0B82" w:rsidRPr="009D1960">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w:t>
      </w:r>
    </w:p>
    <w:p w14:paraId="2B72D909" w14:textId="77777777" w:rsidR="001C7A69" w:rsidRPr="00B85017" w:rsidRDefault="001C7A69" w:rsidP="001C7A69">
      <w:pPr>
        <w:rPr>
          <w:color w:val="000000" w:themeColor="text1"/>
        </w:rPr>
      </w:pPr>
    </w:p>
    <w:p w14:paraId="6FFCF094" w14:textId="7B0BE215" w:rsidR="001C7A69" w:rsidRPr="00003170" w:rsidRDefault="006F42D0" w:rsidP="00003170">
      <w:pPr>
        <w:pStyle w:val="Heading2"/>
      </w:pPr>
      <w:bookmarkStart w:id="103" w:name="_Toc12792957"/>
      <w:bookmarkStart w:id="104" w:name="_Toc12952368"/>
      <w:bookmarkStart w:id="105" w:name="_Toc13486717"/>
      <w:r w:rsidRPr="00003170">
        <w:t>Adult d</w:t>
      </w:r>
      <w:r w:rsidR="001C7A69" w:rsidRPr="00003170">
        <w:t>osing of the TB drugs used in all oral STRs</w:t>
      </w:r>
      <w:bookmarkStart w:id="106" w:name="h.147n2zr" w:colFirst="0" w:colLast="0"/>
      <w:bookmarkEnd w:id="103"/>
      <w:bookmarkEnd w:id="104"/>
      <w:bookmarkEnd w:id="105"/>
      <w:bookmarkEnd w:id="106"/>
    </w:p>
    <w:p w14:paraId="3DF58E37" w14:textId="0775C9D0" w:rsidR="00A001F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 xml:space="preserve">This guide uses a limited set of drugs to compose all-oral STRs. The dosing is weight based, </w:t>
      </w:r>
      <w:r w:rsidR="00A86B26" w:rsidRPr="009D1960">
        <w:rPr>
          <w:rFonts w:asciiTheme="minorHAnsi" w:hAnsiTheme="minorHAnsi" w:cstheme="minorHAnsi"/>
          <w:color w:val="000000" w:themeColor="text1"/>
          <w:highlight w:val="cyan"/>
        </w:rPr>
        <w:fldChar w:fldCharType="begin"/>
      </w:r>
      <w:r w:rsidR="00A86B26" w:rsidRPr="009D1960">
        <w:rPr>
          <w:rFonts w:asciiTheme="minorHAnsi" w:hAnsiTheme="minorHAnsi" w:cstheme="minorHAnsi"/>
          <w:color w:val="000000" w:themeColor="text1"/>
          <w:highlight w:val="cyan"/>
        </w:rPr>
        <w:instrText xml:space="preserve"> REF _Ref12950981 \h </w:instrText>
      </w:r>
      <w:r w:rsidR="009D1960">
        <w:rPr>
          <w:rFonts w:asciiTheme="minorHAnsi" w:hAnsiTheme="minorHAnsi" w:cstheme="minorHAnsi"/>
          <w:color w:val="000000" w:themeColor="text1"/>
          <w:highlight w:val="cyan"/>
        </w:rPr>
        <w:instrText xml:space="preserve"> \* MERGEFORMAT </w:instrText>
      </w:r>
      <w:r w:rsidR="00A86B26" w:rsidRPr="009D1960">
        <w:rPr>
          <w:rFonts w:asciiTheme="minorHAnsi" w:hAnsiTheme="minorHAnsi" w:cstheme="minorHAnsi"/>
          <w:color w:val="000000" w:themeColor="text1"/>
          <w:highlight w:val="cyan"/>
        </w:rPr>
      </w:r>
      <w:r w:rsidR="00A86B26" w:rsidRPr="009D1960">
        <w:rPr>
          <w:rFonts w:asciiTheme="minorHAnsi" w:hAnsiTheme="minorHAnsi" w:cstheme="minorHAnsi"/>
          <w:color w:val="000000" w:themeColor="text1"/>
          <w:highlight w:val="cyan"/>
        </w:rPr>
        <w:fldChar w:fldCharType="separate"/>
      </w:r>
      <w:r w:rsidR="00A86B26" w:rsidRPr="009D1960">
        <w:rPr>
          <w:rFonts w:asciiTheme="minorHAnsi" w:hAnsiTheme="minorHAnsi" w:cstheme="minorHAnsi"/>
        </w:rPr>
        <w:t>Table 6</w:t>
      </w:r>
      <w:r w:rsidR="00A86B26" w:rsidRPr="009D1960">
        <w:rPr>
          <w:rFonts w:asciiTheme="minorHAnsi" w:hAnsiTheme="minorHAnsi" w:cstheme="minorHAnsi"/>
          <w:color w:val="000000" w:themeColor="text1"/>
          <w:highlight w:val="cyan"/>
        </w:rPr>
        <w:fldChar w:fldCharType="end"/>
      </w:r>
      <w:r w:rsidR="00A86B26"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describes adult dosing, age greater than 14 years.</w:t>
      </w:r>
    </w:p>
    <w:p w14:paraId="27EDE47B" w14:textId="2FE2BDF2" w:rsidR="001C7A69" w:rsidRPr="00DE5FDC" w:rsidRDefault="001C7A69" w:rsidP="002C4FED">
      <w:pPr>
        <w:pStyle w:val="Heading3"/>
        <w:rPr>
          <w:rFonts w:asciiTheme="minorHAnsi" w:hAnsiTheme="minorHAnsi"/>
        </w:rPr>
      </w:pPr>
      <w:bookmarkStart w:id="107" w:name="_Ref12887462"/>
      <w:bookmarkStart w:id="108" w:name="_Ref12887468"/>
      <w:bookmarkStart w:id="109" w:name="_Ref12887472"/>
      <w:bookmarkStart w:id="110" w:name="_Ref12887477"/>
      <w:bookmarkStart w:id="111" w:name="_Ref12887482"/>
      <w:bookmarkStart w:id="112" w:name="_Ref12887582"/>
      <w:bookmarkStart w:id="113" w:name="_Ref12949815"/>
      <w:bookmarkStart w:id="114" w:name="_Ref12950981"/>
      <w:bookmarkStart w:id="115" w:name="_Toc13486765"/>
      <w:r w:rsidRPr="00DE5FDC">
        <w:rPr>
          <w:rFonts w:asciiTheme="minorHAnsi" w:hAnsiTheme="minorHAnsi"/>
        </w:rPr>
        <w:t xml:space="preserve">Table </w:t>
      </w:r>
      <w:r w:rsidR="005E0DF4" w:rsidRPr="00DE5FDC">
        <w:rPr>
          <w:rFonts w:asciiTheme="minorHAnsi" w:hAnsiTheme="minorHAnsi"/>
        </w:rPr>
        <w:t>7</w:t>
      </w:r>
      <w:r w:rsidRPr="00DE5FDC">
        <w:rPr>
          <w:rFonts w:asciiTheme="minorHAnsi" w:hAnsiTheme="minorHAnsi"/>
        </w:rPr>
        <w:t xml:space="preserve"> Dosing of  the TB drugs used in all-oral STRs for patients older than 14 years</w:t>
      </w:r>
      <w:bookmarkEnd w:id="107"/>
      <w:bookmarkEnd w:id="108"/>
      <w:bookmarkEnd w:id="109"/>
      <w:bookmarkEnd w:id="110"/>
      <w:bookmarkEnd w:id="111"/>
      <w:bookmarkEnd w:id="112"/>
      <w:bookmarkEnd w:id="113"/>
      <w:bookmarkEnd w:id="114"/>
      <w:bookmarkEnd w:id="115"/>
    </w:p>
    <w:tbl>
      <w:tblPr>
        <w:tblStyle w:val="TableGrid"/>
        <w:tblW w:w="9085" w:type="dxa"/>
        <w:tblLayout w:type="fixed"/>
        <w:tblCellMar>
          <w:left w:w="115" w:type="dxa"/>
          <w:right w:w="115" w:type="dxa"/>
        </w:tblCellMar>
        <w:tblLook w:val="01E0" w:firstRow="1" w:lastRow="1" w:firstColumn="1" w:lastColumn="1" w:noHBand="0" w:noVBand="0"/>
      </w:tblPr>
      <w:tblGrid>
        <w:gridCol w:w="3895"/>
        <w:gridCol w:w="2490"/>
        <w:gridCol w:w="2700"/>
      </w:tblGrid>
      <w:tr w:rsidR="001C7A69" w:rsidRPr="00484BEC" w14:paraId="4137E27B" w14:textId="77777777" w:rsidTr="000A384C">
        <w:trPr>
          <w:trHeight w:val="170"/>
        </w:trPr>
        <w:tc>
          <w:tcPr>
            <w:tcW w:w="3895" w:type="dxa"/>
            <w:vMerge w:val="restart"/>
            <w:shd w:val="clear" w:color="auto" w:fill="215868" w:themeFill="accent5" w:themeFillShade="80"/>
          </w:tcPr>
          <w:p w14:paraId="516AB2DE" w14:textId="77777777" w:rsidR="001C7A69" w:rsidRPr="00484BEC" w:rsidRDefault="001C7A69" w:rsidP="00E20A53">
            <w:pPr>
              <w:jc w:val="center"/>
              <w:rPr>
                <w:rFonts w:asciiTheme="minorHAnsi" w:hAnsiTheme="minorHAnsi" w:cstheme="minorHAnsi"/>
                <w:b/>
                <w:color w:val="FFFFFF" w:themeColor="background1"/>
              </w:rPr>
            </w:pPr>
            <w:r w:rsidRPr="00484BEC">
              <w:rPr>
                <w:rFonts w:asciiTheme="minorHAnsi" w:hAnsiTheme="minorHAnsi" w:cstheme="minorHAnsi"/>
                <w:b/>
                <w:color w:val="FFFFFF" w:themeColor="background1"/>
              </w:rPr>
              <w:t>Drug</w:t>
            </w:r>
          </w:p>
          <w:p w14:paraId="6C6307B1" w14:textId="4DE1258F" w:rsidR="00093E2C" w:rsidRPr="00484BEC" w:rsidRDefault="00093E2C" w:rsidP="00093E2C">
            <w:pPr>
              <w:jc w:val="right"/>
              <w:rPr>
                <w:rFonts w:asciiTheme="minorHAnsi" w:hAnsiTheme="minorHAnsi" w:cstheme="minorHAnsi"/>
              </w:rPr>
            </w:pPr>
          </w:p>
        </w:tc>
        <w:tc>
          <w:tcPr>
            <w:tcW w:w="5190" w:type="dxa"/>
            <w:gridSpan w:val="2"/>
            <w:shd w:val="clear" w:color="auto" w:fill="215868" w:themeFill="accent5" w:themeFillShade="80"/>
          </w:tcPr>
          <w:p w14:paraId="2E2AF64E" w14:textId="77777777" w:rsidR="001C7A69" w:rsidRPr="00484BEC" w:rsidRDefault="001C7A69" w:rsidP="000A384C">
            <w:pPr>
              <w:jc w:val="center"/>
              <w:rPr>
                <w:rFonts w:asciiTheme="minorHAnsi" w:hAnsiTheme="minorHAnsi" w:cstheme="minorHAnsi"/>
                <w:b/>
                <w:color w:val="FFFFFF" w:themeColor="background1"/>
              </w:rPr>
            </w:pPr>
            <w:r w:rsidRPr="00484BEC">
              <w:rPr>
                <w:rFonts w:asciiTheme="minorHAnsi" w:hAnsiTheme="minorHAnsi" w:cstheme="minorHAnsi"/>
                <w:b/>
                <w:color w:val="FFFFFF" w:themeColor="background1"/>
              </w:rPr>
              <w:t>Weight group</w:t>
            </w:r>
          </w:p>
        </w:tc>
      </w:tr>
      <w:tr w:rsidR="001C7A69" w:rsidRPr="00484BEC" w14:paraId="39C30665" w14:textId="77777777" w:rsidTr="000A384C">
        <w:trPr>
          <w:trHeight w:val="71"/>
        </w:trPr>
        <w:tc>
          <w:tcPr>
            <w:tcW w:w="3895" w:type="dxa"/>
            <w:vMerge/>
          </w:tcPr>
          <w:p w14:paraId="17F861DA" w14:textId="77777777" w:rsidR="001C7A69" w:rsidRPr="00484BEC" w:rsidRDefault="001C7A69" w:rsidP="000A384C">
            <w:pPr>
              <w:rPr>
                <w:rFonts w:asciiTheme="minorHAnsi" w:hAnsiTheme="minorHAnsi" w:cstheme="minorHAnsi"/>
                <w:b/>
                <w:color w:val="000000" w:themeColor="text1"/>
              </w:rPr>
            </w:pPr>
          </w:p>
        </w:tc>
        <w:tc>
          <w:tcPr>
            <w:tcW w:w="2490" w:type="dxa"/>
            <w:shd w:val="clear" w:color="auto" w:fill="B6DDE8" w:themeFill="accent5" w:themeFillTint="66"/>
          </w:tcPr>
          <w:p w14:paraId="2ECEA184" w14:textId="77777777" w:rsidR="001C7A69" w:rsidRPr="00484BEC" w:rsidRDefault="001C7A69" w:rsidP="000A384C">
            <w:pPr>
              <w:jc w:val="center"/>
              <w:rPr>
                <w:rFonts w:asciiTheme="minorHAnsi" w:hAnsiTheme="minorHAnsi" w:cstheme="minorHAnsi"/>
                <w:b/>
                <w:color w:val="000000" w:themeColor="text1"/>
              </w:rPr>
            </w:pPr>
            <w:r w:rsidRPr="00484BEC">
              <w:rPr>
                <w:rFonts w:asciiTheme="minorHAnsi" w:hAnsiTheme="minorHAnsi" w:cstheme="minorHAnsi"/>
                <w:b/>
                <w:color w:val="000000" w:themeColor="text1"/>
              </w:rPr>
              <w:t>30-45 kg</w:t>
            </w:r>
          </w:p>
        </w:tc>
        <w:tc>
          <w:tcPr>
            <w:tcW w:w="2700" w:type="dxa"/>
            <w:shd w:val="clear" w:color="auto" w:fill="B6DDE8" w:themeFill="accent5" w:themeFillTint="66"/>
          </w:tcPr>
          <w:p w14:paraId="48171D12" w14:textId="77777777" w:rsidR="001C7A69" w:rsidRPr="00484BEC" w:rsidRDefault="001C7A69" w:rsidP="000A384C">
            <w:pPr>
              <w:jc w:val="center"/>
              <w:rPr>
                <w:rFonts w:asciiTheme="minorHAnsi" w:hAnsiTheme="minorHAnsi" w:cstheme="minorHAnsi"/>
                <w:b/>
                <w:color w:val="000000" w:themeColor="text1"/>
              </w:rPr>
            </w:pPr>
            <w:r w:rsidRPr="00484BEC">
              <w:rPr>
                <w:rFonts w:asciiTheme="minorHAnsi" w:hAnsiTheme="minorHAnsi" w:cstheme="minorHAnsi"/>
                <w:b/>
                <w:color w:val="000000" w:themeColor="text1"/>
              </w:rPr>
              <w:t>More than 45 kg</w:t>
            </w:r>
          </w:p>
        </w:tc>
      </w:tr>
      <w:tr w:rsidR="001C7A69" w:rsidRPr="00484BEC" w14:paraId="0D2A8818" w14:textId="77777777" w:rsidTr="000A384C">
        <w:trPr>
          <w:trHeight w:val="71"/>
        </w:trPr>
        <w:tc>
          <w:tcPr>
            <w:tcW w:w="3895" w:type="dxa"/>
          </w:tcPr>
          <w:p w14:paraId="09D915C7" w14:textId="77777777" w:rsidR="001C7A69" w:rsidRPr="00484BEC" w:rsidRDefault="001C7A69" w:rsidP="000A384C">
            <w:pPr>
              <w:rPr>
                <w:rFonts w:asciiTheme="minorHAnsi" w:hAnsiTheme="minorHAnsi" w:cstheme="minorHAnsi"/>
                <w:b/>
                <w:color w:val="000000" w:themeColor="text1"/>
              </w:rPr>
            </w:pPr>
            <w:r w:rsidRPr="00484BEC">
              <w:rPr>
                <w:rFonts w:asciiTheme="minorHAnsi" w:hAnsiTheme="minorHAnsi" w:cstheme="minorHAnsi"/>
                <w:color w:val="000000" w:themeColor="text1"/>
              </w:rPr>
              <w:t>Levofloxacin (250 mg or 500 mg tablets)</w:t>
            </w:r>
          </w:p>
        </w:tc>
        <w:tc>
          <w:tcPr>
            <w:tcW w:w="2490" w:type="dxa"/>
          </w:tcPr>
          <w:p w14:paraId="682538E6" w14:textId="77777777" w:rsidR="001C7A69" w:rsidRPr="00484BEC" w:rsidRDefault="001C7A69" w:rsidP="000A384C">
            <w:pPr>
              <w:jc w:val="center"/>
              <w:rPr>
                <w:rFonts w:asciiTheme="minorHAnsi" w:hAnsiTheme="minorHAnsi" w:cstheme="minorHAnsi"/>
                <w:b/>
                <w:color w:val="000000" w:themeColor="text1"/>
              </w:rPr>
            </w:pPr>
            <w:r w:rsidRPr="00484BEC">
              <w:rPr>
                <w:rFonts w:asciiTheme="minorHAnsi" w:hAnsiTheme="minorHAnsi" w:cstheme="minorHAnsi"/>
                <w:color w:val="000000" w:themeColor="text1"/>
              </w:rPr>
              <w:t>750 mg</w:t>
            </w:r>
          </w:p>
        </w:tc>
        <w:tc>
          <w:tcPr>
            <w:tcW w:w="2700" w:type="dxa"/>
          </w:tcPr>
          <w:p w14:paraId="7704C5F0" w14:textId="77777777" w:rsidR="001C7A69" w:rsidRPr="00484BEC" w:rsidRDefault="001C7A69" w:rsidP="000A384C">
            <w:pPr>
              <w:jc w:val="center"/>
              <w:rPr>
                <w:rFonts w:asciiTheme="minorHAnsi" w:hAnsiTheme="minorHAnsi" w:cstheme="minorHAnsi"/>
                <w:b/>
                <w:color w:val="000000" w:themeColor="text1"/>
              </w:rPr>
            </w:pPr>
            <w:r w:rsidRPr="00484BEC">
              <w:rPr>
                <w:rFonts w:asciiTheme="minorHAnsi" w:hAnsiTheme="minorHAnsi" w:cstheme="minorHAnsi"/>
                <w:color w:val="000000" w:themeColor="text1"/>
              </w:rPr>
              <w:t>1000 mg</w:t>
            </w:r>
          </w:p>
        </w:tc>
      </w:tr>
      <w:tr w:rsidR="001C7A69" w:rsidRPr="00484BEC" w14:paraId="0436D712" w14:textId="77777777" w:rsidTr="000A384C">
        <w:trPr>
          <w:trHeight w:val="71"/>
        </w:trPr>
        <w:tc>
          <w:tcPr>
            <w:tcW w:w="3895" w:type="dxa"/>
          </w:tcPr>
          <w:p w14:paraId="33B3B698" w14:textId="77777777"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Moxifloxacin (400 mg tablets)</w:t>
            </w:r>
          </w:p>
        </w:tc>
        <w:tc>
          <w:tcPr>
            <w:tcW w:w="2490" w:type="dxa"/>
          </w:tcPr>
          <w:p w14:paraId="1070AFB3" w14:textId="77777777" w:rsidR="001C7A69" w:rsidRPr="00484BEC" w:rsidRDefault="001C7A69" w:rsidP="000A384C">
            <w:pPr>
              <w:jc w:val="center"/>
              <w:rPr>
                <w:rFonts w:asciiTheme="minorHAnsi" w:hAnsiTheme="minorHAnsi" w:cstheme="minorHAnsi"/>
                <w:color w:val="000000" w:themeColor="text1"/>
              </w:rPr>
            </w:pPr>
            <w:r w:rsidRPr="00484BEC">
              <w:rPr>
                <w:rFonts w:asciiTheme="minorHAnsi" w:hAnsiTheme="minorHAnsi" w:cstheme="minorHAnsi"/>
                <w:color w:val="000000" w:themeColor="text1"/>
              </w:rPr>
              <w:t>600 mg</w:t>
            </w:r>
          </w:p>
        </w:tc>
        <w:tc>
          <w:tcPr>
            <w:tcW w:w="2700" w:type="dxa"/>
          </w:tcPr>
          <w:p w14:paraId="4E112EA2" w14:textId="77777777" w:rsidR="001C7A69" w:rsidRPr="00484BEC" w:rsidRDefault="001C7A69" w:rsidP="000A384C">
            <w:pPr>
              <w:jc w:val="center"/>
              <w:rPr>
                <w:rFonts w:asciiTheme="minorHAnsi" w:hAnsiTheme="minorHAnsi" w:cstheme="minorHAnsi"/>
                <w:color w:val="000000" w:themeColor="text1"/>
              </w:rPr>
            </w:pPr>
            <w:r w:rsidRPr="00484BEC">
              <w:rPr>
                <w:rFonts w:asciiTheme="minorHAnsi" w:hAnsiTheme="minorHAnsi" w:cstheme="minorHAnsi"/>
                <w:color w:val="000000" w:themeColor="text1"/>
              </w:rPr>
              <w:t>800 mg</w:t>
            </w:r>
          </w:p>
        </w:tc>
      </w:tr>
      <w:tr w:rsidR="001C7A69" w:rsidRPr="00484BEC" w14:paraId="135A4613" w14:textId="77777777" w:rsidTr="000A384C">
        <w:trPr>
          <w:trHeight w:val="305"/>
        </w:trPr>
        <w:tc>
          <w:tcPr>
            <w:tcW w:w="3895" w:type="dxa"/>
          </w:tcPr>
          <w:p w14:paraId="46E57553" w14:textId="77777777"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Bedaquiline (100 mg tablets)</w:t>
            </w:r>
          </w:p>
        </w:tc>
        <w:tc>
          <w:tcPr>
            <w:tcW w:w="5190" w:type="dxa"/>
            <w:gridSpan w:val="2"/>
          </w:tcPr>
          <w:p w14:paraId="6BD2DC4C" w14:textId="6596251E"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 xml:space="preserve">400 mg once daily for </w:t>
            </w:r>
            <w:r w:rsidR="00484BEC">
              <w:rPr>
                <w:rFonts w:asciiTheme="minorHAnsi" w:hAnsiTheme="minorHAnsi" w:cstheme="minorHAnsi"/>
                <w:color w:val="000000" w:themeColor="text1"/>
              </w:rPr>
              <w:t>two</w:t>
            </w:r>
            <w:r w:rsidRPr="00484BEC">
              <w:rPr>
                <w:rFonts w:asciiTheme="minorHAnsi" w:hAnsiTheme="minorHAnsi" w:cstheme="minorHAnsi"/>
                <w:color w:val="000000" w:themeColor="text1"/>
              </w:rPr>
              <w:t xml:space="preserve"> weeks, then 200 mg </w:t>
            </w:r>
            <w:r w:rsidR="00484BEC">
              <w:rPr>
                <w:rFonts w:asciiTheme="minorHAnsi" w:hAnsiTheme="minorHAnsi" w:cstheme="minorHAnsi"/>
                <w:color w:val="000000" w:themeColor="text1"/>
              </w:rPr>
              <w:t>three</w:t>
            </w:r>
            <w:r w:rsidRPr="00484BEC">
              <w:rPr>
                <w:rFonts w:asciiTheme="minorHAnsi" w:hAnsiTheme="minorHAnsi" w:cstheme="minorHAnsi"/>
                <w:color w:val="000000" w:themeColor="text1"/>
              </w:rPr>
              <w:t xml:space="preserve"> times per week afterwards</w:t>
            </w:r>
          </w:p>
        </w:tc>
      </w:tr>
      <w:tr w:rsidR="001C7A69" w:rsidRPr="00484BEC" w14:paraId="0F40FA32" w14:textId="77777777" w:rsidTr="000A384C">
        <w:trPr>
          <w:trHeight w:val="70"/>
        </w:trPr>
        <w:tc>
          <w:tcPr>
            <w:tcW w:w="3895" w:type="dxa"/>
          </w:tcPr>
          <w:p w14:paraId="093F0120" w14:textId="77777777"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Linezolid (600 mg tablets)</w:t>
            </w:r>
          </w:p>
        </w:tc>
        <w:tc>
          <w:tcPr>
            <w:tcW w:w="5190" w:type="dxa"/>
            <w:gridSpan w:val="2"/>
          </w:tcPr>
          <w:p w14:paraId="511AE145" w14:textId="50361FEF"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600 mg once daily until 4-month of therapy (then 300 mg once daily or intermittently 600 mg every other day during 5 months</w:t>
            </w:r>
            <w:r w:rsidR="00C74234" w:rsidRPr="00C74234">
              <w:rPr>
                <w:rFonts w:asciiTheme="minorHAnsi" w:hAnsiTheme="minorHAnsi" w:cstheme="minorHAnsi"/>
                <w:color w:val="000000" w:themeColor="text1"/>
              </w:rPr>
              <w:t>)</w:t>
            </w:r>
          </w:p>
        </w:tc>
      </w:tr>
      <w:tr w:rsidR="001C7A69" w:rsidRPr="00484BEC" w14:paraId="6F6A8262" w14:textId="77777777" w:rsidTr="000A384C">
        <w:trPr>
          <w:trHeight w:val="70"/>
        </w:trPr>
        <w:tc>
          <w:tcPr>
            <w:tcW w:w="3895" w:type="dxa"/>
          </w:tcPr>
          <w:p w14:paraId="4ACB19BE" w14:textId="77777777"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Clofazimine</w:t>
            </w:r>
          </w:p>
        </w:tc>
        <w:tc>
          <w:tcPr>
            <w:tcW w:w="5190" w:type="dxa"/>
            <w:gridSpan w:val="2"/>
          </w:tcPr>
          <w:p w14:paraId="6CA77619" w14:textId="77777777"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 xml:space="preserve">100 mg once daily </w:t>
            </w:r>
          </w:p>
        </w:tc>
      </w:tr>
      <w:tr w:rsidR="001C7A69" w:rsidRPr="00484BEC" w14:paraId="3D4CBD1B" w14:textId="77777777" w:rsidTr="000A384C">
        <w:trPr>
          <w:trHeight w:val="143"/>
        </w:trPr>
        <w:tc>
          <w:tcPr>
            <w:tcW w:w="3895" w:type="dxa"/>
          </w:tcPr>
          <w:p w14:paraId="6418D99E" w14:textId="77777777"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lastRenderedPageBreak/>
              <w:t>Delamanid (50 mg tablets)</w:t>
            </w:r>
          </w:p>
        </w:tc>
        <w:tc>
          <w:tcPr>
            <w:tcW w:w="5190" w:type="dxa"/>
            <w:gridSpan w:val="2"/>
          </w:tcPr>
          <w:p w14:paraId="28617185" w14:textId="77777777"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100 mg twice daily (200 mg total daily dose)</w:t>
            </w:r>
          </w:p>
        </w:tc>
      </w:tr>
      <w:tr w:rsidR="001C7A69" w:rsidRPr="00484BEC" w14:paraId="5E4D2750" w14:textId="77777777" w:rsidTr="000A384C">
        <w:trPr>
          <w:trHeight w:val="98"/>
        </w:trPr>
        <w:tc>
          <w:tcPr>
            <w:tcW w:w="3895" w:type="dxa"/>
          </w:tcPr>
          <w:p w14:paraId="43FF7AB7" w14:textId="77777777" w:rsidR="001C7A69" w:rsidRPr="00484BEC" w:rsidRDefault="001C7A69" w:rsidP="000A384C">
            <w:pPr>
              <w:rPr>
                <w:rFonts w:asciiTheme="minorHAnsi" w:hAnsiTheme="minorHAnsi" w:cstheme="minorHAnsi"/>
                <w:color w:val="000000" w:themeColor="text1"/>
              </w:rPr>
            </w:pPr>
            <w:r w:rsidRPr="00484BEC">
              <w:rPr>
                <w:rFonts w:asciiTheme="minorHAnsi" w:hAnsiTheme="minorHAnsi" w:cstheme="minorHAnsi"/>
                <w:color w:val="000000" w:themeColor="text1"/>
              </w:rPr>
              <w:t>Pyrazinamide (400 mg tablets)</w:t>
            </w:r>
          </w:p>
        </w:tc>
        <w:tc>
          <w:tcPr>
            <w:tcW w:w="2490" w:type="dxa"/>
          </w:tcPr>
          <w:p w14:paraId="3B13AA61" w14:textId="77777777" w:rsidR="001C7A69" w:rsidRPr="00484BEC" w:rsidRDefault="001C7A69" w:rsidP="000A384C">
            <w:pPr>
              <w:jc w:val="left"/>
              <w:rPr>
                <w:rFonts w:asciiTheme="minorHAnsi" w:hAnsiTheme="minorHAnsi" w:cstheme="minorHAnsi"/>
                <w:color w:val="000000" w:themeColor="text1"/>
              </w:rPr>
            </w:pPr>
            <w:r w:rsidRPr="00484BEC">
              <w:rPr>
                <w:rFonts w:asciiTheme="minorHAnsi" w:hAnsiTheme="minorHAnsi" w:cstheme="minorHAnsi"/>
                <w:color w:val="000000" w:themeColor="text1"/>
              </w:rPr>
              <w:t>30 to 35 kg: 1200 mg</w:t>
            </w:r>
          </w:p>
          <w:p w14:paraId="7C7C144A" w14:textId="77777777" w:rsidR="001C7A69" w:rsidRPr="00484BEC" w:rsidRDefault="001C7A69" w:rsidP="000A384C">
            <w:pPr>
              <w:jc w:val="left"/>
              <w:rPr>
                <w:rFonts w:asciiTheme="minorHAnsi" w:hAnsiTheme="minorHAnsi" w:cstheme="minorHAnsi"/>
                <w:color w:val="000000" w:themeColor="text1"/>
              </w:rPr>
            </w:pPr>
            <w:r w:rsidRPr="00484BEC">
              <w:rPr>
                <w:rFonts w:asciiTheme="minorHAnsi" w:hAnsiTheme="minorHAnsi" w:cstheme="minorHAnsi"/>
                <w:color w:val="000000" w:themeColor="text1"/>
              </w:rPr>
              <w:t>36 to 45 kg: 1600 mg</w:t>
            </w:r>
          </w:p>
        </w:tc>
        <w:tc>
          <w:tcPr>
            <w:tcW w:w="2700" w:type="dxa"/>
          </w:tcPr>
          <w:p w14:paraId="3F235EE8" w14:textId="77777777" w:rsidR="001C7A69" w:rsidRPr="00484BEC" w:rsidRDefault="001C7A69" w:rsidP="000A384C">
            <w:pPr>
              <w:jc w:val="left"/>
              <w:rPr>
                <w:rFonts w:asciiTheme="minorHAnsi" w:hAnsiTheme="minorHAnsi" w:cstheme="minorHAnsi"/>
                <w:color w:val="000000" w:themeColor="text1"/>
              </w:rPr>
            </w:pPr>
            <w:r w:rsidRPr="00484BEC">
              <w:rPr>
                <w:rFonts w:asciiTheme="minorHAnsi" w:hAnsiTheme="minorHAnsi" w:cstheme="minorHAnsi"/>
                <w:color w:val="000000" w:themeColor="text1"/>
              </w:rPr>
              <w:t>46 to 70 kg: 1600 mg</w:t>
            </w:r>
          </w:p>
          <w:p w14:paraId="4AFCC638" w14:textId="77777777" w:rsidR="001C7A69" w:rsidRPr="00484BEC" w:rsidRDefault="001C7A69" w:rsidP="000A384C">
            <w:pPr>
              <w:jc w:val="left"/>
              <w:rPr>
                <w:rFonts w:asciiTheme="minorHAnsi" w:hAnsiTheme="minorHAnsi" w:cstheme="minorHAnsi"/>
                <w:color w:val="000000" w:themeColor="text1"/>
              </w:rPr>
            </w:pPr>
            <w:r w:rsidRPr="00484BEC">
              <w:rPr>
                <w:rFonts w:asciiTheme="minorHAnsi" w:hAnsiTheme="minorHAnsi" w:cstheme="minorHAnsi"/>
                <w:color w:val="000000" w:themeColor="text1"/>
              </w:rPr>
              <w:t>&gt; 70 kg: 2000 mg</w:t>
            </w:r>
          </w:p>
        </w:tc>
      </w:tr>
    </w:tbl>
    <w:p w14:paraId="40907357" w14:textId="77777777" w:rsidR="001C7A69" w:rsidRPr="00B85017" w:rsidRDefault="001C7A69" w:rsidP="001C7A69">
      <w:pPr>
        <w:rPr>
          <w:color w:val="000000" w:themeColor="text1"/>
        </w:rPr>
      </w:pPr>
    </w:p>
    <w:p w14:paraId="00A59B17" w14:textId="77777777" w:rsidR="001C7A69" w:rsidRPr="00003170" w:rsidRDefault="001C7A69" w:rsidP="00003170">
      <w:pPr>
        <w:pStyle w:val="Heading2"/>
      </w:pPr>
      <w:bookmarkStart w:id="116" w:name="h.44sinio" w:colFirst="0" w:colLast="0"/>
      <w:bookmarkStart w:id="117" w:name="_Toc12792958"/>
      <w:bookmarkStart w:id="118" w:name="_Ref12883178"/>
      <w:bookmarkStart w:id="119" w:name="_Ref12949890"/>
      <w:bookmarkStart w:id="120" w:name="_Ref12949896"/>
      <w:bookmarkStart w:id="121" w:name="_Toc12952369"/>
      <w:bookmarkStart w:id="122" w:name="_Toc13486718"/>
      <w:bookmarkEnd w:id="116"/>
      <w:r w:rsidRPr="00003170">
        <w:t>Children</w:t>
      </w:r>
      <w:bookmarkEnd w:id="117"/>
      <w:bookmarkEnd w:id="118"/>
      <w:bookmarkEnd w:id="119"/>
      <w:bookmarkEnd w:id="120"/>
      <w:bookmarkEnd w:id="121"/>
      <w:bookmarkEnd w:id="122"/>
    </w:p>
    <w:p w14:paraId="6C3B6398" w14:textId="7CF5E38B" w:rsidR="001C7A69" w:rsidRPr="009D1960" w:rsidRDefault="001C7A69" w:rsidP="001C7A69">
      <w:pPr>
        <w:rPr>
          <w:rFonts w:asciiTheme="minorHAnsi" w:eastAsia="Times New Roman" w:hAnsiTheme="minorHAnsi" w:cstheme="minorHAnsi"/>
          <w:color w:val="000000" w:themeColor="text1"/>
        </w:rPr>
      </w:pPr>
      <w:r w:rsidRPr="009D1960">
        <w:rPr>
          <w:rFonts w:asciiTheme="minorHAnsi" w:hAnsiTheme="minorHAnsi" w:cstheme="minorHAnsi"/>
          <w:color w:val="000000" w:themeColor="text1"/>
        </w:rPr>
        <w:t>Children—defined as individuals ages 0-18 years of age—are an ideal group to prioritize when implementing all-oral short-course regimens for a number of reasons.  First, the WHO has recommended that children with non-severe forms of RR-TB be treated with all-oral regimens since 2016, and in the 2018 updated guidelines, they emphasize that “t</w:t>
      </w:r>
      <w:r w:rsidRPr="009D1960">
        <w:rPr>
          <w:rFonts w:asciiTheme="minorHAnsi" w:eastAsia="Times New Roman" w:hAnsiTheme="minorHAnsi" w:cstheme="minorHAnsi"/>
          <w:color w:val="000000" w:themeColor="text1"/>
        </w:rPr>
        <w:t>he avoidance of an injectable-containing regimen is particularly desirable in children.”</w:t>
      </w:r>
      <w:r w:rsidR="006D2E49" w:rsidRPr="009D1960">
        <w:rPr>
          <w:rFonts w:asciiTheme="minorHAnsi" w:eastAsia="Times New Roman" w:hAnsiTheme="minorHAnsi" w:cstheme="minorHAnsi"/>
          <w:color w:val="000000" w:themeColor="text1"/>
          <w:vertAlign w:val="superscript"/>
        </w:rPr>
        <w:fldChar w:fldCharType="begin"/>
      </w:r>
      <w:r w:rsidR="006D2E49" w:rsidRPr="009D1960">
        <w:rPr>
          <w:rFonts w:asciiTheme="minorHAnsi" w:eastAsia="Times New Roman" w:hAnsiTheme="minorHAnsi" w:cstheme="minorHAnsi"/>
          <w:color w:val="000000" w:themeColor="text1"/>
          <w:vertAlign w:val="superscript"/>
        </w:rPr>
        <w:instrText xml:space="preserve"> NOTEREF _Ref12801326 \h </w:instrText>
      </w:r>
      <w:r w:rsidR="00A10278" w:rsidRPr="009D1960">
        <w:rPr>
          <w:rFonts w:asciiTheme="minorHAnsi" w:eastAsia="Times New Roman" w:hAnsiTheme="minorHAnsi" w:cstheme="minorHAnsi"/>
          <w:color w:val="000000" w:themeColor="text1"/>
          <w:vertAlign w:val="superscript"/>
        </w:rPr>
        <w:instrText xml:space="preserve"> \* MERGEFORMAT </w:instrText>
      </w:r>
      <w:r w:rsidR="006D2E49" w:rsidRPr="009D1960">
        <w:rPr>
          <w:rFonts w:asciiTheme="minorHAnsi" w:eastAsia="Times New Roman" w:hAnsiTheme="minorHAnsi" w:cstheme="minorHAnsi"/>
          <w:color w:val="000000" w:themeColor="text1"/>
          <w:vertAlign w:val="superscript"/>
        </w:rPr>
      </w:r>
      <w:r w:rsidR="006D2E49" w:rsidRPr="009D1960">
        <w:rPr>
          <w:rFonts w:asciiTheme="minorHAnsi" w:eastAsia="Times New Roman" w:hAnsiTheme="minorHAnsi" w:cstheme="minorHAnsi"/>
          <w:color w:val="000000" w:themeColor="text1"/>
          <w:vertAlign w:val="superscript"/>
        </w:rPr>
        <w:fldChar w:fldCharType="separate"/>
      </w:r>
      <w:r w:rsidR="00C21E58" w:rsidRPr="009D1960">
        <w:rPr>
          <w:rFonts w:asciiTheme="minorHAnsi" w:eastAsia="Times New Roman" w:hAnsiTheme="minorHAnsi" w:cstheme="minorHAnsi"/>
          <w:color w:val="000000" w:themeColor="text1"/>
          <w:vertAlign w:val="superscript"/>
        </w:rPr>
        <w:t>2</w:t>
      </w:r>
      <w:r w:rsidR="006D2E49" w:rsidRPr="009D1960">
        <w:rPr>
          <w:rFonts w:asciiTheme="minorHAnsi" w:eastAsia="Times New Roman" w:hAnsiTheme="minorHAnsi" w:cstheme="minorHAnsi"/>
          <w:color w:val="000000" w:themeColor="text1"/>
          <w:vertAlign w:val="superscript"/>
        </w:rPr>
        <w:fldChar w:fldCharType="end"/>
      </w:r>
      <w:r w:rsidRPr="009D1960">
        <w:rPr>
          <w:rFonts w:asciiTheme="minorHAnsi" w:eastAsia="Times New Roman" w:hAnsiTheme="minorHAnsi" w:cstheme="minorHAnsi"/>
          <w:color w:val="000000" w:themeColor="text1"/>
          <w:vertAlign w:val="superscript"/>
        </w:rPr>
        <w:t xml:space="preserve"> </w:t>
      </w:r>
      <w:r w:rsidRPr="009D1960">
        <w:rPr>
          <w:rFonts w:asciiTheme="minorHAnsi" w:eastAsia="Times New Roman" w:hAnsiTheme="minorHAnsi" w:cstheme="minorHAnsi"/>
          <w:color w:val="000000" w:themeColor="text1"/>
        </w:rPr>
        <w:t xml:space="preserve"> Second, safety and dosing data on bedaquiline are available for children ages six years and above and on delamanid for children ages three years and above, and the WHO has recommended these new drugs for children  in these age ranges.  Data on dosing and safety of these novel agents in children of all ages will likely be available by early 2020 to guide optimal use in children.  Third, expert groups have released a consensus statement supporting the use of all oral regimens in children given that the risks associated with injectable use—most notably hearing loss—have a more profound impact on children than adults and outweigh the benefits in the pediatric population.</w:t>
      </w:r>
      <w:r w:rsidR="006D2E49" w:rsidRPr="009D1960">
        <w:rPr>
          <w:rStyle w:val="FootnoteReference"/>
          <w:rFonts w:asciiTheme="minorHAnsi" w:eastAsia="Times New Roman" w:hAnsiTheme="minorHAnsi" w:cstheme="minorHAnsi"/>
          <w:color w:val="000000" w:themeColor="text1"/>
        </w:rPr>
        <w:footnoteReference w:id="27"/>
      </w:r>
      <w:r w:rsidRPr="009D1960">
        <w:rPr>
          <w:rFonts w:asciiTheme="minorHAnsi" w:eastAsia="Times New Roman" w:hAnsiTheme="minorHAnsi" w:cstheme="minorHAnsi"/>
          <w:color w:val="000000" w:themeColor="text1"/>
        </w:rPr>
        <w:t xml:space="preserve">  Finally, unlike in randomized clinical trials where children might be excluded for safety reasons, operational research must espouse the principles of equity.  Children must be included in operational research protocols unless there is a compelling reason for their exclusion, and operational research is often the ideal way to collect systematic data on programmatic outcomes in pediatric populations.</w:t>
      </w:r>
      <w:r w:rsidR="006D2E49" w:rsidRPr="009D1960">
        <w:rPr>
          <w:rStyle w:val="FootnoteReference"/>
          <w:rFonts w:asciiTheme="minorHAnsi" w:eastAsia="Times New Roman" w:hAnsiTheme="minorHAnsi" w:cstheme="minorHAnsi"/>
          <w:color w:val="000000" w:themeColor="text1"/>
        </w:rPr>
        <w:footnoteReference w:id="28"/>
      </w:r>
    </w:p>
    <w:p w14:paraId="3D68BECC" w14:textId="77777777" w:rsidR="001C7A69" w:rsidRPr="009D1960" w:rsidRDefault="001C7A69" w:rsidP="001C7A69">
      <w:pPr>
        <w:rPr>
          <w:rFonts w:asciiTheme="minorHAnsi" w:eastAsia="Times New Roman" w:hAnsiTheme="minorHAnsi" w:cstheme="minorHAnsi"/>
          <w:color w:val="000000" w:themeColor="text1"/>
        </w:rPr>
      </w:pPr>
      <w:r w:rsidRPr="009D1960">
        <w:rPr>
          <w:rFonts w:asciiTheme="minorHAnsi" w:eastAsia="Times New Roman" w:hAnsiTheme="minorHAnsi" w:cstheme="minorHAnsi"/>
          <w:color w:val="000000" w:themeColor="text1"/>
        </w:rPr>
        <w:t>In general, the principles of regimen design/selection in children should follow the same principles as outlined for adults, with some key exceptions which are defined below:</w:t>
      </w:r>
    </w:p>
    <w:p w14:paraId="766C71CC" w14:textId="43A307F8" w:rsidR="001C7A69" w:rsidRPr="009D1960" w:rsidRDefault="001C7A69" w:rsidP="00CB2F8E">
      <w:pPr>
        <w:pStyle w:val="ListParagraph"/>
        <w:numPr>
          <w:ilvl w:val="0"/>
          <w:numId w:val="28"/>
        </w:numPr>
        <w:rPr>
          <w:rFonts w:asciiTheme="minorHAnsi" w:eastAsia="Times New Roman" w:hAnsiTheme="minorHAnsi" w:cstheme="minorHAnsi"/>
          <w:color w:val="000000" w:themeColor="text1"/>
        </w:rPr>
      </w:pPr>
      <w:r w:rsidRPr="009D1960">
        <w:rPr>
          <w:rFonts w:asciiTheme="minorHAnsi" w:eastAsia="Times New Roman" w:hAnsiTheme="minorHAnsi" w:cstheme="minorHAnsi"/>
          <w:color w:val="000000" w:themeColor="text1"/>
        </w:rPr>
        <w:t xml:space="preserve">Dosing and safety data on bedaquiline in children ages 6 years and above have been reviewed and the WHO recommends </w:t>
      </w:r>
      <w:r w:rsidR="007C09A0">
        <w:rPr>
          <w:rFonts w:asciiTheme="minorHAnsi" w:eastAsia="Times New Roman" w:hAnsiTheme="minorHAnsi" w:cstheme="minorHAnsi"/>
          <w:color w:val="000000" w:themeColor="text1"/>
        </w:rPr>
        <w:t>b</w:t>
      </w:r>
      <w:r w:rsidR="00A51BFF" w:rsidRPr="009D1960">
        <w:rPr>
          <w:rFonts w:asciiTheme="minorHAnsi" w:eastAsia="Times New Roman" w:hAnsiTheme="minorHAnsi" w:cstheme="minorHAnsi"/>
          <w:color w:val="000000" w:themeColor="text1"/>
        </w:rPr>
        <w:t>edaquiline</w:t>
      </w:r>
      <w:r w:rsidRPr="009D1960">
        <w:rPr>
          <w:rFonts w:asciiTheme="minorHAnsi" w:eastAsia="Times New Roman" w:hAnsiTheme="minorHAnsi" w:cstheme="minorHAnsi"/>
          <w:color w:val="000000" w:themeColor="text1"/>
        </w:rPr>
        <w:t xml:space="preserve"> can be used in children with RR-TB who are ages 6 years and older.  Thus, bedaquiline-containing regimens should be used in this population.</w:t>
      </w:r>
    </w:p>
    <w:p w14:paraId="39568935" w14:textId="77777777" w:rsidR="001C7A69" w:rsidRPr="009D1960" w:rsidRDefault="001C7A69" w:rsidP="00CB2F8E">
      <w:pPr>
        <w:pStyle w:val="ListParagraph"/>
        <w:numPr>
          <w:ilvl w:val="0"/>
          <w:numId w:val="28"/>
        </w:numPr>
        <w:rPr>
          <w:rFonts w:asciiTheme="minorHAnsi" w:eastAsia="Times New Roman" w:hAnsiTheme="minorHAnsi" w:cstheme="minorHAnsi"/>
          <w:color w:val="000000" w:themeColor="text1"/>
        </w:rPr>
      </w:pPr>
      <w:r w:rsidRPr="009D1960">
        <w:rPr>
          <w:rFonts w:asciiTheme="minorHAnsi" w:eastAsia="Times New Roman" w:hAnsiTheme="minorHAnsi" w:cstheme="minorHAnsi"/>
          <w:color w:val="000000" w:themeColor="text1"/>
        </w:rPr>
        <w:t>Dosing and safety data on delamanid in children ages 3 years and above have been reviewed and the WHO recommends delamanid can be used in children with RR-TB who are ages 3 years and older.  Thus delamanid containing regimens should be used in this population and delamanid is the preferred novel drug for children between the ages of 3 and 6 years.</w:t>
      </w:r>
    </w:p>
    <w:p w14:paraId="47DA97E3" w14:textId="77777777" w:rsidR="001C7A69" w:rsidRPr="009D1960" w:rsidRDefault="001C7A69" w:rsidP="00CB2F8E">
      <w:pPr>
        <w:pStyle w:val="ListParagraph"/>
        <w:numPr>
          <w:ilvl w:val="0"/>
          <w:numId w:val="28"/>
        </w:numPr>
        <w:rPr>
          <w:rFonts w:asciiTheme="minorHAnsi" w:eastAsia="Times New Roman" w:hAnsiTheme="minorHAnsi" w:cstheme="minorHAnsi"/>
          <w:color w:val="000000" w:themeColor="text1"/>
        </w:rPr>
      </w:pPr>
      <w:r w:rsidRPr="009D1960">
        <w:rPr>
          <w:rFonts w:asciiTheme="minorHAnsi" w:eastAsia="Times New Roman" w:hAnsiTheme="minorHAnsi" w:cstheme="minorHAnsi"/>
          <w:color w:val="000000" w:themeColor="text1"/>
        </w:rPr>
        <w:t xml:space="preserve">Linezolid dosing and safety has been established in children of all ages.  Young children on linezolid will need special monitoring for neuropathy and optic neuritis associated with this drug, including monofilament testing for peripheral neuropathy and object tracking for visual acuity. </w:t>
      </w:r>
    </w:p>
    <w:p w14:paraId="2801ACF1" w14:textId="77777777" w:rsidR="001C7A69" w:rsidRPr="009D1960" w:rsidRDefault="001C7A69" w:rsidP="00CB2F8E">
      <w:pPr>
        <w:pStyle w:val="ListParagraph"/>
        <w:numPr>
          <w:ilvl w:val="0"/>
          <w:numId w:val="28"/>
        </w:numPr>
        <w:rPr>
          <w:rFonts w:asciiTheme="minorHAnsi" w:eastAsia="Times New Roman" w:hAnsiTheme="minorHAnsi" w:cstheme="minorHAnsi"/>
          <w:color w:val="000000" w:themeColor="text1"/>
        </w:rPr>
      </w:pPr>
      <w:r w:rsidRPr="009D1960">
        <w:rPr>
          <w:rFonts w:asciiTheme="minorHAnsi" w:eastAsia="Times New Roman" w:hAnsiTheme="minorHAnsi" w:cstheme="minorHAnsi"/>
          <w:color w:val="000000" w:themeColor="text1"/>
        </w:rPr>
        <w:lastRenderedPageBreak/>
        <w:t>Clofazimine dosing and safety has been established in children of all ages.  The availability of clofazimine tablets should make pediatric dosing of this medication more straightforward compared with the use of the gelcaps.</w:t>
      </w:r>
    </w:p>
    <w:p w14:paraId="63546C58" w14:textId="77777777" w:rsidR="001C7A69" w:rsidRPr="009D1960" w:rsidRDefault="001C7A69" w:rsidP="00CB2F8E">
      <w:pPr>
        <w:pStyle w:val="ListParagraph"/>
        <w:numPr>
          <w:ilvl w:val="0"/>
          <w:numId w:val="28"/>
        </w:numPr>
        <w:rPr>
          <w:rFonts w:asciiTheme="minorHAnsi" w:eastAsia="Times New Roman" w:hAnsiTheme="minorHAnsi" w:cstheme="minorHAnsi"/>
          <w:color w:val="000000" w:themeColor="text1"/>
        </w:rPr>
      </w:pPr>
      <w:r w:rsidRPr="009D1960">
        <w:rPr>
          <w:rFonts w:asciiTheme="minorHAnsi" w:eastAsia="Times New Roman" w:hAnsiTheme="minorHAnsi" w:cstheme="minorHAnsi"/>
          <w:color w:val="000000" w:themeColor="text1"/>
        </w:rPr>
        <w:t>For children under the age of 3 years, data on the dosing of bedaquiline and delamanid are being assessed and are anticipated by 2020.  Depending on the disease severity, bedaquiline and/or delamanid could be used with doses extrapolated from the adult population.  Bedaquiline can be crushed and mixed with liquid and this does not affect the bioavailability of the drug.  Delamanid can also be crushed and mixed with liquid, although this likely reduces the bioavailability by 85%.  A pediatric formulation of delamanid is available via compassionate use from the company, and assistance accessing this agent can be requested from the Sentinel Project on Pediatric Drug-Resistant TB (</w:t>
      </w:r>
      <w:hyperlink r:id="rId22" w:history="1">
        <w:r w:rsidRPr="009D1960">
          <w:rPr>
            <w:rStyle w:val="Hyperlink"/>
            <w:rFonts w:asciiTheme="minorHAnsi" w:eastAsia="Times New Roman" w:hAnsiTheme="minorHAnsi" w:cstheme="minorHAnsi"/>
            <w:color w:val="000000" w:themeColor="text1"/>
          </w:rPr>
          <w:t>tbsentinelproject@gmail.com</w:t>
        </w:r>
      </w:hyperlink>
      <w:r w:rsidRPr="009D1960">
        <w:rPr>
          <w:rFonts w:asciiTheme="minorHAnsi" w:eastAsia="Times New Roman" w:hAnsiTheme="minorHAnsi" w:cstheme="minorHAnsi"/>
          <w:color w:val="000000" w:themeColor="text1"/>
        </w:rPr>
        <w:t>).  Alternative agents to use in all-oral regimens for children under the age of 3 years could include PAS or ethionamide.</w:t>
      </w:r>
    </w:p>
    <w:p w14:paraId="38CD6128" w14:textId="77777777" w:rsidR="001C7A69" w:rsidRPr="009D1960" w:rsidRDefault="001C7A69" w:rsidP="00CB2F8E">
      <w:pPr>
        <w:pStyle w:val="ListParagraph"/>
        <w:numPr>
          <w:ilvl w:val="0"/>
          <w:numId w:val="28"/>
        </w:numPr>
        <w:rPr>
          <w:rFonts w:asciiTheme="minorHAnsi" w:eastAsia="Times New Roman" w:hAnsiTheme="minorHAnsi" w:cstheme="minorHAnsi"/>
          <w:color w:val="000000" w:themeColor="text1"/>
        </w:rPr>
      </w:pPr>
      <w:r w:rsidRPr="009D1960">
        <w:rPr>
          <w:rFonts w:asciiTheme="minorHAnsi" w:eastAsia="Times New Roman" w:hAnsiTheme="minorHAnsi" w:cstheme="minorHAnsi"/>
          <w:color w:val="000000" w:themeColor="text1"/>
        </w:rPr>
        <w:t>Children with clinically diagnosed RR-TB who do not have bacteriologic confirmation should be treated based on the drug susceptibility test results of their known contacts.</w:t>
      </w:r>
    </w:p>
    <w:p w14:paraId="3A1518AB" w14:textId="77777777" w:rsidR="001C7A69" w:rsidRPr="009D1960" w:rsidRDefault="001C7A69" w:rsidP="00CB2F8E">
      <w:pPr>
        <w:pStyle w:val="ListParagraph"/>
        <w:numPr>
          <w:ilvl w:val="0"/>
          <w:numId w:val="28"/>
        </w:numPr>
        <w:rPr>
          <w:rFonts w:asciiTheme="minorHAnsi" w:eastAsia="Times New Roman" w:hAnsiTheme="minorHAnsi" w:cstheme="minorHAnsi"/>
          <w:color w:val="000000" w:themeColor="text1"/>
        </w:rPr>
      </w:pPr>
      <w:r w:rsidRPr="009D1960">
        <w:rPr>
          <w:rFonts w:asciiTheme="minorHAnsi" w:eastAsia="Times New Roman" w:hAnsiTheme="minorHAnsi" w:cstheme="minorHAnsi"/>
          <w:color w:val="000000" w:themeColor="text1"/>
        </w:rPr>
        <w:t>Children with CNS RR-TB  or osteoarticular RR-TB should be treated with a minimum of 12 months of therapy.</w:t>
      </w:r>
    </w:p>
    <w:p w14:paraId="5660297E" w14:textId="77777777" w:rsidR="001C7A69" w:rsidRPr="009D1960" w:rsidRDefault="001C7A69" w:rsidP="00CB2F8E">
      <w:pPr>
        <w:pStyle w:val="ListParagraph"/>
        <w:numPr>
          <w:ilvl w:val="0"/>
          <w:numId w:val="28"/>
        </w:numPr>
        <w:spacing w:before="240"/>
        <w:ind w:right="26"/>
        <w:rPr>
          <w:rFonts w:asciiTheme="minorHAnsi" w:eastAsia="Garamond" w:hAnsiTheme="minorHAnsi" w:cstheme="minorHAnsi"/>
          <w:b/>
          <w:bCs/>
          <w:color w:val="000000" w:themeColor="text1"/>
        </w:rPr>
      </w:pPr>
      <w:r w:rsidRPr="009D1960">
        <w:rPr>
          <w:rFonts w:asciiTheme="minorHAnsi" w:eastAsia="Times New Roman" w:hAnsiTheme="minorHAnsi" w:cstheme="minorHAnsi"/>
          <w:color w:val="000000" w:themeColor="text1"/>
        </w:rPr>
        <w:t xml:space="preserve">Severe disease has been defined by the WHO </w:t>
      </w:r>
      <w:r w:rsidRPr="009D1960">
        <w:rPr>
          <w:rFonts w:asciiTheme="minorHAnsi" w:eastAsia="Garamond" w:hAnsiTheme="minorHAnsi" w:cstheme="minorHAnsi"/>
          <w:color w:val="000000" w:themeColor="text1"/>
        </w:rPr>
        <w:t xml:space="preserve">by the presence of cavities </w:t>
      </w:r>
      <w:r w:rsidRPr="009D1960">
        <w:rPr>
          <w:rFonts w:asciiTheme="minorHAnsi" w:eastAsia="Garamond" w:hAnsiTheme="minorHAnsi" w:cstheme="minorHAnsi"/>
          <w:color w:val="000000" w:themeColor="text1"/>
          <w:u w:val="single"/>
        </w:rPr>
        <w:t>or</w:t>
      </w:r>
      <w:r w:rsidRPr="009D1960">
        <w:rPr>
          <w:rFonts w:asciiTheme="minorHAnsi" w:eastAsia="Garamond" w:hAnsiTheme="minorHAnsi" w:cstheme="minorHAnsi"/>
          <w:color w:val="000000" w:themeColor="text1"/>
        </w:rPr>
        <w:t xml:space="preserve"> bilateral disease on chest radiography </w:t>
      </w:r>
      <w:r w:rsidRPr="009D1960">
        <w:rPr>
          <w:rFonts w:asciiTheme="minorHAnsi" w:eastAsia="Garamond" w:hAnsiTheme="minorHAnsi" w:cstheme="minorHAnsi"/>
          <w:color w:val="000000" w:themeColor="text1"/>
          <w:u w:val="single"/>
        </w:rPr>
        <w:t>or</w:t>
      </w:r>
      <w:r w:rsidRPr="009D1960">
        <w:rPr>
          <w:rFonts w:asciiTheme="minorHAnsi" w:eastAsia="Garamond" w:hAnsiTheme="minorHAnsi" w:cstheme="minorHAnsi"/>
          <w:color w:val="000000" w:themeColor="text1"/>
        </w:rPr>
        <w:t xml:space="preserve"> extrapulmonary forms of disease other than lymphadenopathy (peripheral nodes or isolated mediastinal mass without compression. In children the occurrence of advanced malnutrition (defined by syndrome or by metrics) </w:t>
      </w:r>
      <w:r w:rsidRPr="009D1960">
        <w:rPr>
          <w:rFonts w:asciiTheme="minorHAnsi" w:eastAsia="Garamond" w:hAnsiTheme="minorHAnsi" w:cstheme="minorHAnsi"/>
          <w:color w:val="000000" w:themeColor="text1"/>
          <w:u w:val="single"/>
        </w:rPr>
        <w:t>or</w:t>
      </w:r>
      <w:r w:rsidRPr="009D1960">
        <w:rPr>
          <w:rFonts w:asciiTheme="minorHAnsi" w:eastAsia="Garamond" w:hAnsiTheme="minorHAnsi" w:cstheme="minorHAnsi"/>
          <w:color w:val="000000" w:themeColor="text1"/>
        </w:rPr>
        <w:t xml:space="preserve"> advanced immunosuppression </w:t>
      </w:r>
      <w:r w:rsidRPr="009D1960">
        <w:rPr>
          <w:rFonts w:asciiTheme="minorHAnsi" w:eastAsia="Garamond" w:hAnsiTheme="minorHAnsi" w:cstheme="minorHAnsi"/>
          <w:color w:val="000000" w:themeColor="text1"/>
          <w:u w:val="single"/>
        </w:rPr>
        <w:t>or</w:t>
      </w:r>
      <w:r w:rsidRPr="009D1960">
        <w:rPr>
          <w:rFonts w:asciiTheme="minorHAnsi" w:eastAsia="Garamond" w:hAnsiTheme="minorHAnsi" w:cstheme="minorHAnsi"/>
          <w:color w:val="000000" w:themeColor="text1"/>
        </w:rPr>
        <w:t xml:space="preserve"> positive TB bacteriology (smear, Xpert MTB/RIF, culture) may also be considered when determining disease severity.</w:t>
      </w:r>
    </w:p>
    <w:p w14:paraId="4224AAA7" w14:textId="77777777" w:rsidR="001C7A69" w:rsidRPr="00B85017" w:rsidRDefault="001C7A69" w:rsidP="001C7A69">
      <w:pPr>
        <w:rPr>
          <w:rFonts w:eastAsia="Times New Roman"/>
          <w:color w:val="000000" w:themeColor="text1"/>
        </w:rPr>
      </w:pPr>
    </w:p>
    <w:p w14:paraId="13B3A761" w14:textId="404F3461"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Detailed clinical guidance on the management of children with RR-TB can be found in the Fourth Edition of the Field Guide on the Management of Multdrug-Resistant Tuberculosis in Children from the Sentinel Project (</w:t>
      </w:r>
      <w:hyperlink r:id="rId23" w:history="1">
        <w:r w:rsidRPr="009D1960">
          <w:rPr>
            <w:rStyle w:val="Hyperlink"/>
            <w:rFonts w:asciiTheme="minorHAnsi" w:hAnsiTheme="minorHAnsi" w:cstheme="minorHAnsi"/>
            <w:color w:val="000000" w:themeColor="text1"/>
          </w:rPr>
          <w:t>http://sentinel-project.org/wp-content/uploads/2019/02/Updated_DRTB-Field-Guide-2019-V3.pdf</w:t>
        </w:r>
      </w:hyperlink>
      <w:r w:rsidRPr="009D1960">
        <w:rPr>
          <w:rFonts w:asciiTheme="minorHAnsi" w:hAnsiTheme="minorHAnsi" w:cstheme="minorHAnsi"/>
          <w:color w:val="000000" w:themeColor="text1"/>
        </w:rPr>
        <w:t xml:space="preserve">).  Detailed dosing tables for the second-line drugs in children based on the WHO 2018 recommendations are included in </w:t>
      </w:r>
      <w:r w:rsidR="00DB72FE" w:rsidRPr="009D1960">
        <w:rPr>
          <w:rFonts w:asciiTheme="minorHAnsi" w:hAnsiTheme="minorHAnsi" w:cstheme="minorHAnsi"/>
          <w:color w:val="000000" w:themeColor="text1"/>
          <w:highlight w:val="cyan"/>
        </w:rPr>
        <w:fldChar w:fldCharType="begin"/>
      </w:r>
      <w:r w:rsidR="00DB72FE" w:rsidRPr="009D1960">
        <w:rPr>
          <w:rFonts w:asciiTheme="minorHAnsi" w:hAnsiTheme="minorHAnsi" w:cstheme="minorHAnsi"/>
          <w:color w:val="000000" w:themeColor="text1"/>
        </w:rPr>
        <w:instrText xml:space="preserve"> REF _Ref12951032 \h </w:instrText>
      </w:r>
      <w:r w:rsidR="009D1960">
        <w:rPr>
          <w:rFonts w:asciiTheme="minorHAnsi" w:hAnsiTheme="minorHAnsi" w:cstheme="minorHAnsi"/>
          <w:color w:val="000000" w:themeColor="text1"/>
          <w:highlight w:val="cyan"/>
        </w:rPr>
        <w:instrText xml:space="preserve"> \* MERGEFORMAT </w:instrText>
      </w:r>
      <w:r w:rsidR="00DB72FE" w:rsidRPr="009D1960">
        <w:rPr>
          <w:rFonts w:asciiTheme="minorHAnsi" w:hAnsiTheme="minorHAnsi" w:cstheme="minorHAnsi"/>
          <w:color w:val="000000" w:themeColor="text1"/>
          <w:highlight w:val="cyan"/>
        </w:rPr>
      </w:r>
      <w:r w:rsidR="00DB72FE" w:rsidRPr="009D1960">
        <w:rPr>
          <w:rFonts w:asciiTheme="minorHAnsi" w:hAnsiTheme="minorHAnsi" w:cstheme="minorHAnsi"/>
          <w:color w:val="000000" w:themeColor="text1"/>
          <w:highlight w:val="cyan"/>
        </w:rPr>
        <w:fldChar w:fldCharType="separate"/>
      </w:r>
      <w:r w:rsidR="00DB72FE" w:rsidRPr="009D1960">
        <w:rPr>
          <w:rFonts w:asciiTheme="minorHAnsi" w:hAnsiTheme="minorHAnsi" w:cstheme="minorHAnsi"/>
        </w:rPr>
        <w:t>Appendix 1</w:t>
      </w:r>
      <w:r w:rsidR="00DB72FE" w:rsidRPr="009D1960">
        <w:rPr>
          <w:rFonts w:asciiTheme="minorHAnsi" w:hAnsiTheme="minorHAnsi" w:cstheme="minorHAnsi"/>
          <w:color w:val="000000" w:themeColor="text1"/>
          <w:highlight w:val="cyan"/>
        </w:rPr>
        <w:fldChar w:fldCharType="end"/>
      </w:r>
      <w:r w:rsidR="00DB72FE"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 xml:space="preserve">of this guide. Advice on the treatment of children with all-oral, short regimens can be obtained from the Sentinel Project on Pediatric Drug-Resistant Tuberculosis (contact </w:t>
      </w:r>
      <w:hyperlink r:id="rId24" w:history="1">
        <w:r w:rsidRPr="009D1960">
          <w:rPr>
            <w:rStyle w:val="Hyperlink"/>
            <w:rFonts w:asciiTheme="minorHAnsi" w:hAnsiTheme="minorHAnsi" w:cstheme="minorHAnsi"/>
            <w:color w:val="000000" w:themeColor="text1"/>
          </w:rPr>
          <w:t>tbsentinelproject@gmail.com</w:t>
        </w:r>
      </w:hyperlink>
      <w:r w:rsidRPr="009D1960">
        <w:rPr>
          <w:rFonts w:asciiTheme="minorHAnsi" w:hAnsiTheme="minorHAnsi" w:cstheme="minorHAnsi"/>
          <w:color w:val="000000" w:themeColor="text1"/>
        </w:rPr>
        <w:t>)</w:t>
      </w:r>
      <w:r w:rsidR="00CD7247">
        <w:rPr>
          <w:rFonts w:asciiTheme="minorHAnsi" w:hAnsiTheme="minorHAnsi" w:cstheme="minorHAnsi"/>
          <w:color w:val="000000" w:themeColor="text1"/>
        </w:rPr>
        <w:t>.</w:t>
      </w:r>
    </w:p>
    <w:p w14:paraId="6E28FE7D" w14:textId="77777777" w:rsidR="001C7A69" w:rsidRPr="00003170" w:rsidRDefault="001C7A69" w:rsidP="00003170">
      <w:pPr>
        <w:pStyle w:val="Heading2"/>
      </w:pPr>
      <w:bookmarkStart w:id="123" w:name="_Toc12792959"/>
      <w:bookmarkStart w:id="124" w:name="_Ref12885147"/>
      <w:bookmarkStart w:id="125" w:name="_Toc12952370"/>
      <w:bookmarkStart w:id="126" w:name="_Ref13065136"/>
      <w:bookmarkStart w:id="127" w:name="_Toc13486719"/>
      <w:r w:rsidRPr="00003170">
        <w:t>Pregnancy or lactation</w:t>
      </w:r>
      <w:bookmarkEnd w:id="123"/>
      <w:bookmarkEnd w:id="124"/>
      <w:bookmarkEnd w:id="125"/>
      <w:bookmarkEnd w:id="126"/>
      <w:bookmarkEnd w:id="127"/>
    </w:p>
    <w:p w14:paraId="35B801D7" w14:textId="77777777" w:rsidR="001C7A69" w:rsidRPr="00B85017" w:rsidRDefault="001C7A69" w:rsidP="001C7A69">
      <w:pPr>
        <w:rPr>
          <w:i/>
          <w:color w:val="000000" w:themeColor="text1"/>
        </w:rPr>
      </w:pPr>
      <w:r w:rsidRPr="00B85017">
        <w:rPr>
          <w:i/>
          <w:color w:val="000000" w:themeColor="text1"/>
        </w:rPr>
        <w:t>Pregnancy</w:t>
      </w:r>
    </w:p>
    <w:p w14:paraId="6F2B5577" w14:textId="0E13F388" w:rsidR="001C7A69" w:rsidRPr="009D1960" w:rsidRDefault="001C7A69" w:rsidP="00DE5FDC">
      <w:pPr>
        <w:pStyle w:val="Caption"/>
        <w:jc w:val="both"/>
        <w:rPr>
          <w:rFonts w:asciiTheme="minorHAnsi" w:eastAsia="Times New Roman" w:hAnsiTheme="minorHAnsi" w:cstheme="minorHAnsi"/>
          <w:b w:val="0"/>
          <w:i w:val="0"/>
          <w:color w:val="000000" w:themeColor="text1"/>
        </w:rPr>
      </w:pPr>
      <w:r w:rsidRPr="009D1960">
        <w:rPr>
          <w:rFonts w:asciiTheme="minorHAnsi" w:hAnsiTheme="minorHAnsi" w:cstheme="minorHAnsi"/>
          <w:b w:val="0"/>
          <w:bCs w:val="0"/>
          <w:i w:val="0"/>
          <w:color w:val="000000" w:themeColor="text1"/>
        </w:rPr>
        <w:t xml:space="preserve">Limited data exist on the optimal management of RR-TB in pregnancy, with fewer than 100 cases ever reported in the literature.  It is well-established, however, that injectable agents cause fetal ear toxicity and for this reason, injectable agents should not be used during pregnancy.  Because of this, all pregnant women should be treated with all-oral regimens, and thus they are an ideal population to include in observational research on all-oral shorter regimens.  While it may be common to exclude pregnant women from early stages of clinical trials, the same principles of equity described for children also apply to this population.  Thus, they </w:t>
      </w:r>
      <w:r w:rsidRPr="009D1960">
        <w:rPr>
          <w:rFonts w:asciiTheme="minorHAnsi" w:eastAsia="Times New Roman" w:hAnsiTheme="minorHAnsi" w:cstheme="minorHAnsi"/>
          <w:b w:val="0"/>
          <w:i w:val="0"/>
          <w:color w:val="000000" w:themeColor="text1"/>
        </w:rPr>
        <w:t xml:space="preserve">must be included in operational research protocols unless there is a compelling reason for their exclusion, and operational research is often the ideal way to collect systematic data on </w:t>
      </w:r>
      <w:r w:rsidRPr="009D1960">
        <w:rPr>
          <w:rFonts w:asciiTheme="minorHAnsi" w:eastAsia="Times New Roman" w:hAnsiTheme="minorHAnsi" w:cstheme="minorHAnsi"/>
          <w:b w:val="0"/>
          <w:i w:val="0"/>
          <w:color w:val="000000" w:themeColor="text1"/>
        </w:rPr>
        <w:lastRenderedPageBreak/>
        <w:t>programmatic outcomes in women who become pregnant while on RR-TB treatment or who are diagnosed with RR-TB during their pregnancies.</w:t>
      </w:r>
      <w:r w:rsidR="00A10278" w:rsidRPr="009D1960">
        <w:rPr>
          <w:rStyle w:val="FootnoteReference"/>
          <w:rFonts w:asciiTheme="minorHAnsi" w:eastAsia="Times New Roman" w:hAnsiTheme="minorHAnsi" w:cstheme="minorHAnsi"/>
          <w:b w:val="0"/>
          <w:i w:val="0"/>
          <w:color w:val="000000" w:themeColor="text1"/>
          <w:sz w:val="22"/>
        </w:rPr>
        <w:footnoteReference w:id="29"/>
      </w:r>
    </w:p>
    <w:p w14:paraId="6C7AB78E" w14:textId="0081A983" w:rsidR="001C7A69" w:rsidRPr="009D1960" w:rsidRDefault="001C7A69" w:rsidP="00DE5FDC">
      <w:pPr>
        <w:pStyle w:val="Caption"/>
        <w:jc w:val="both"/>
        <w:rPr>
          <w:rFonts w:asciiTheme="minorHAnsi" w:hAnsiTheme="minorHAnsi" w:cstheme="minorHAnsi"/>
          <w:b w:val="0"/>
          <w:bCs w:val="0"/>
          <w:i w:val="0"/>
          <w:color w:val="000000" w:themeColor="text1"/>
        </w:rPr>
      </w:pPr>
      <w:r w:rsidRPr="009D1960">
        <w:rPr>
          <w:rFonts w:asciiTheme="minorHAnsi" w:hAnsiTheme="minorHAnsi" w:cstheme="minorHAnsi"/>
          <w:b w:val="0"/>
          <w:bCs w:val="0"/>
          <w:i w:val="0"/>
          <w:color w:val="000000" w:themeColor="text1"/>
        </w:rPr>
        <w:t>In MDR-TB patients who are pregnant, the main objective is to design a regimen that is effective and likely to cure the mother. The highest risk to both mother and fetus is from inadequately treated MDR-TB. For this reason, medications that have been associated with decreased mortality (i.e. bedaquiline, linezolid, and the third</w:t>
      </w:r>
      <w:r w:rsidR="00213B9D">
        <w:rPr>
          <w:rFonts w:asciiTheme="minorHAnsi" w:hAnsiTheme="minorHAnsi" w:cstheme="minorHAnsi"/>
          <w:b w:val="0"/>
          <w:bCs w:val="0"/>
          <w:i w:val="0"/>
          <w:color w:val="000000" w:themeColor="text1"/>
        </w:rPr>
        <w:t>-</w:t>
      </w:r>
      <w:r w:rsidRPr="009D1960">
        <w:rPr>
          <w:rFonts w:asciiTheme="minorHAnsi" w:hAnsiTheme="minorHAnsi" w:cstheme="minorHAnsi"/>
          <w:b w:val="0"/>
          <w:bCs w:val="0"/>
          <w:i w:val="0"/>
          <w:color w:val="000000" w:themeColor="text1"/>
        </w:rPr>
        <w:t>generation fluoroquinolones) and improved outcomes (i.e. clofazimine, cycloserine) should be prioritized in the treatment of pregnant women.</w:t>
      </w:r>
    </w:p>
    <w:p w14:paraId="3AE0B035" w14:textId="628C8C32" w:rsidR="001C7A69" w:rsidRPr="009D1960" w:rsidRDefault="001C7A69" w:rsidP="00DE5FDC">
      <w:pPr>
        <w:pStyle w:val="Caption"/>
        <w:jc w:val="both"/>
        <w:rPr>
          <w:rFonts w:asciiTheme="minorHAnsi" w:hAnsiTheme="minorHAnsi" w:cstheme="minorHAnsi"/>
          <w:b w:val="0"/>
          <w:bCs w:val="0"/>
          <w:i w:val="0"/>
          <w:color w:val="000000" w:themeColor="text1"/>
        </w:rPr>
      </w:pPr>
      <w:r w:rsidRPr="009D1960">
        <w:rPr>
          <w:rFonts w:asciiTheme="minorHAnsi" w:hAnsiTheme="minorHAnsi" w:cstheme="minorHAnsi"/>
          <w:b w:val="0"/>
          <w:bCs w:val="0"/>
          <w:i w:val="0"/>
          <w:color w:val="000000" w:themeColor="text1"/>
        </w:rPr>
        <w:t xml:space="preserve">The use of a specific treatment regimen in a </w:t>
      </w:r>
      <w:r w:rsidR="00213B9D" w:rsidRPr="009D1960">
        <w:rPr>
          <w:rFonts w:asciiTheme="minorHAnsi" w:hAnsiTheme="minorHAnsi" w:cstheme="minorHAnsi"/>
          <w:b w:val="0"/>
          <w:bCs w:val="0"/>
          <w:i w:val="0"/>
          <w:color w:val="000000" w:themeColor="text1"/>
        </w:rPr>
        <w:t>pregnant woman</w:t>
      </w:r>
      <w:r w:rsidRPr="009D1960">
        <w:rPr>
          <w:rFonts w:asciiTheme="minorHAnsi" w:hAnsiTheme="minorHAnsi" w:cstheme="minorHAnsi"/>
          <w:b w:val="0"/>
          <w:bCs w:val="0"/>
          <w:i w:val="0"/>
          <w:color w:val="000000" w:themeColor="text1"/>
        </w:rPr>
        <w:t xml:space="preserve"> must include a careful discussion of the risks and benefits for the woman and her unborn child.  Given that most second-line medications have not been systematically used or assessed in pregnant women, animal studies are often used as a proxy for treatment regimen design. While drugs with identified teratogenic risks may be not primary choices, the potential teratogenic impact of these drugs should be considered in perspective of the risks to the mother/baby/family/community of not treating the mother with an appropriate regimen.</w:t>
      </w:r>
    </w:p>
    <w:p w14:paraId="58D4B134" w14:textId="77777777" w:rsidR="001C7A69" w:rsidRPr="009D1960" w:rsidRDefault="001C7A69" w:rsidP="00DE5FDC">
      <w:pPr>
        <w:pStyle w:val="Caption"/>
        <w:jc w:val="both"/>
        <w:rPr>
          <w:rFonts w:asciiTheme="minorHAnsi" w:hAnsiTheme="minorHAnsi" w:cstheme="minorHAnsi"/>
          <w:b w:val="0"/>
          <w:bCs w:val="0"/>
          <w:i w:val="0"/>
          <w:color w:val="000000" w:themeColor="text1"/>
        </w:rPr>
      </w:pPr>
      <w:r w:rsidRPr="009D1960">
        <w:rPr>
          <w:rFonts w:asciiTheme="minorHAnsi" w:hAnsiTheme="minorHAnsi" w:cstheme="minorHAnsi"/>
          <w:b w:val="0"/>
          <w:bCs w:val="0"/>
          <w:i w:val="0"/>
          <w:color w:val="000000" w:themeColor="text1"/>
        </w:rPr>
        <w:t xml:space="preserve">The following table summarizes the limited evidence about the safety of the TB drugs used in all-oral STRs in pregnant and lactating women. </w:t>
      </w:r>
    </w:p>
    <w:p w14:paraId="729EEA75" w14:textId="500D95FF" w:rsidR="001C7A69" w:rsidRPr="00DE5FDC" w:rsidRDefault="001C7A69" w:rsidP="002C4FED">
      <w:pPr>
        <w:pStyle w:val="Heading3"/>
        <w:rPr>
          <w:rFonts w:asciiTheme="minorHAnsi" w:hAnsiTheme="minorHAnsi"/>
        </w:rPr>
      </w:pPr>
      <w:bookmarkStart w:id="128" w:name="_Toc12885972"/>
      <w:bookmarkStart w:id="129" w:name="_Toc12886219"/>
      <w:bookmarkStart w:id="130" w:name="_Ref12950016"/>
      <w:bookmarkStart w:id="131" w:name="_Toc13486766"/>
      <w:r w:rsidRPr="00DE5FDC">
        <w:rPr>
          <w:rFonts w:asciiTheme="minorHAnsi" w:hAnsiTheme="minorHAnsi"/>
        </w:rPr>
        <w:t xml:space="preserve">Table </w:t>
      </w:r>
      <w:r w:rsidR="005E0DF4" w:rsidRPr="00DE5FDC">
        <w:rPr>
          <w:rFonts w:asciiTheme="minorHAnsi" w:hAnsiTheme="minorHAnsi"/>
        </w:rPr>
        <w:t>8</w:t>
      </w:r>
      <w:r w:rsidRPr="00DE5FDC">
        <w:rPr>
          <w:rFonts w:asciiTheme="minorHAnsi" w:hAnsiTheme="minorHAnsi"/>
        </w:rPr>
        <w:t xml:space="preserve"> Treatment of pregnant or lactating women with new and repurposed drugs</w:t>
      </w:r>
      <w:bookmarkEnd w:id="128"/>
      <w:bookmarkEnd w:id="129"/>
      <w:bookmarkEnd w:id="130"/>
      <w:bookmarkEnd w:id="131"/>
    </w:p>
    <w:tbl>
      <w:tblPr>
        <w:tblW w:w="4415"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15" w:type="dxa"/>
          <w:right w:w="115" w:type="dxa"/>
        </w:tblCellMar>
        <w:tblLook w:val="0000" w:firstRow="0" w:lastRow="0" w:firstColumn="0" w:lastColumn="0" w:noHBand="0" w:noVBand="0"/>
      </w:tblPr>
      <w:tblGrid>
        <w:gridCol w:w="1103"/>
        <w:gridCol w:w="7144"/>
      </w:tblGrid>
      <w:tr w:rsidR="00A10278" w:rsidRPr="00C74234" w:rsidDel="00D77A4B" w14:paraId="2F8EB477" w14:textId="77777777" w:rsidTr="00093E2C">
        <w:tc>
          <w:tcPr>
            <w:tcW w:w="669" w:type="pct"/>
            <w:shd w:val="clear" w:color="auto" w:fill="235868"/>
            <w:tcMar>
              <w:top w:w="100" w:type="dxa"/>
              <w:left w:w="100" w:type="dxa"/>
              <w:bottom w:w="100" w:type="dxa"/>
              <w:right w:w="100" w:type="dxa"/>
            </w:tcMar>
            <w:vAlign w:val="center"/>
          </w:tcPr>
          <w:p w14:paraId="55959126" w14:textId="77777777" w:rsidR="00A10278" w:rsidRPr="00C74234" w:rsidRDefault="00A10278" w:rsidP="00E20A53">
            <w:pPr>
              <w:jc w:val="center"/>
              <w:rPr>
                <w:rFonts w:asciiTheme="minorHAnsi" w:hAnsiTheme="minorHAnsi" w:cstheme="minorHAnsi"/>
                <w:b/>
                <w:color w:val="000000" w:themeColor="text1"/>
                <w:sz w:val="24"/>
                <w:szCs w:val="24"/>
              </w:rPr>
            </w:pPr>
            <w:r w:rsidRPr="00C74234">
              <w:rPr>
                <w:rFonts w:asciiTheme="minorHAnsi" w:hAnsiTheme="minorHAnsi" w:cstheme="minorHAnsi"/>
                <w:b/>
                <w:color w:val="FFFFFF" w:themeColor="background1"/>
                <w:sz w:val="24"/>
                <w:szCs w:val="24"/>
              </w:rPr>
              <w:t>Drugs</w:t>
            </w:r>
          </w:p>
        </w:tc>
        <w:tc>
          <w:tcPr>
            <w:tcW w:w="4331" w:type="pct"/>
            <w:shd w:val="clear" w:color="auto" w:fill="235868"/>
            <w:tcMar>
              <w:top w:w="100" w:type="dxa"/>
              <w:left w:w="100" w:type="dxa"/>
              <w:bottom w:w="100" w:type="dxa"/>
              <w:right w:w="100" w:type="dxa"/>
            </w:tcMar>
            <w:vAlign w:val="center"/>
          </w:tcPr>
          <w:p w14:paraId="015B8875" w14:textId="77777777" w:rsidR="00A10278" w:rsidRPr="00C74234" w:rsidRDefault="00A10278" w:rsidP="00E20A53">
            <w:pPr>
              <w:pStyle w:val="Tabletext"/>
              <w:jc w:val="center"/>
              <w:rPr>
                <w:rFonts w:asciiTheme="minorHAnsi" w:hAnsiTheme="minorHAnsi" w:cstheme="minorHAnsi"/>
                <w:b/>
                <w:color w:val="000000" w:themeColor="text1"/>
                <w:sz w:val="24"/>
                <w:szCs w:val="24"/>
              </w:rPr>
            </w:pPr>
            <w:r w:rsidRPr="00C74234">
              <w:rPr>
                <w:rFonts w:asciiTheme="minorHAnsi" w:hAnsiTheme="minorHAnsi" w:cstheme="minorHAnsi"/>
                <w:b/>
                <w:color w:val="FFFFFF" w:themeColor="background1"/>
                <w:sz w:val="24"/>
                <w:szCs w:val="24"/>
              </w:rPr>
              <w:t>Summary</w:t>
            </w:r>
          </w:p>
        </w:tc>
      </w:tr>
      <w:tr w:rsidR="00A10278" w:rsidRPr="00C74234" w:rsidDel="00D77A4B" w14:paraId="2E13BF0D" w14:textId="77777777" w:rsidTr="00A10278">
        <w:tc>
          <w:tcPr>
            <w:tcW w:w="669" w:type="pct"/>
            <w:shd w:val="clear" w:color="auto" w:fill="FFFFFF" w:themeFill="background1"/>
            <w:tcMar>
              <w:top w:w="100" w:type="dxa"/>
              <w:left w:w="100" w:type="dxa"/>
              <w:bottom w:w="100" w:type="dxa"/>
              <w:right w:w="100" w:type="dxa"/>
            </w:tcMar>
            <w:vAlign w:val="center"/>
          </w:tcPr>
          <w:p w14:paraId="10AE0968" w14:textId="77777777" w:rsidR="00A10278" w:rsidRPr="00C74234" w:rsidRDefault="00A10278" w:rsidP="000A384C">
            <w:pPr>
              <w:jc w:val="left"/>
              <w:rPr>
                <w:rFonts w:asciiTheme="minorHAnsi" w:hAnsiTheme="minorHAnsi" w:cstheme="minorHAnsi"/>
                <w:color w:val="000000" w:themeColor="text1"/>
              </w:rPr>
            </w:pPr>
            <w:r w:rsidRPr="00C74234">
              <w:rPr>
                <w:rFonts w:asciiTheme="minorHAnsi" w:hAnsiTheme="minorHAnsi" w:cstheme="minorHAnsi"/>
                <w:color w:val="000000" w:themeColor="text1"/>
              </w:rPr>
              <w:t>Lfx or Mfx</w:t>
            </w:r>
          </w:p>
        </w:tc>
        <w:tc>
          <w:tcPr>
            <w:tcW w:w="4331" w:type="pct"/>
            <w:shd w:val="clear" w:color="auto" w:fill="FFFFFF" w:themeFill="background1"/>
            <w:tcMar>
              <w:top w:w="100" w:type="dxa"/>
              <w:left w:w="100" w:type="dxa"/>
              <w:bottom w:w="100" w:type="dxa"/>
              <w:right w:w="100" w:type="dxa"/>
            </w:tcMar>
            <w:vAlign w:val="center"/>
          </w:tcPr>
          <w:p w14:paraId="7741B042" w14:textId="77777777"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rPr>
              <w:t>Use with caution. No teratogenic effects seen in humans when used for short periods of time (two to four weeks). Long-term use in gravid patients is limited, but given bactericidal activity, benefits often outweighs the risks.</w:t>
            </w:r>
          </w:p>
        </w:tc>
      </w:tr>
      <w:tr w:rsidR="00A10278" w:rsidRPr="00C74234" w:rsidDel="00D77A4B" w14:paraId="5F98B816" w14:textId="77777777" w:rsidTr="00A10278">
        <w:tc>
          <w:tcPr>
            <w:tcW w:w="669" w:type="pct"/>
            <w:shd w:val="clear" w:color="auto" w:fill="FFFFFF" w:themeFill="background1"/>
            <w:tcMar>
              <w:top w:w="100" w:type="dxa"/>
              <w:left w:w="100" w:type="dxa"/>
              <w:bottom w:w="100" w:type="dxa"/>
              <w:right w:w="100" w:type="dxa"/>
            </w:tcMar>
            <w:vAlign w:val="center"/>
          </w:tcPr>
          <w:p w14:paraId="46951EED" w14:textId="77777777"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rPr>
              <w:t>Bdq</w:t>
            </w:r>
          </w:p>
        </w:tc>
        <w:tc>
          <w:tcPr>
            <w:tcW w:w="4331" w:type="pct"/>
            <w:shd w:val="clear" w:color="auto" w:fill="FFFFFF" w:themeFill="background1"/>
            <w:tcMar>
              <w:top w:w="100" w:type="dxa"/>
              <w:left w:w="100" w:type="dxa"/>
              <w:bottom w:w="100" w:type="dxa"/>
              <w:right w:w="100" w:type="dxa"/>
            </w:tcMar>
          </w:tcPr>
          <w:p w14:paraId="10746136" w14:textId="77777777" w:rsidR="00A10278" w:rsidRPr="00C74234" w:rsidRDefault="00A10278" w:rsidP="000A384C">
            <w:pPr>
              <w:pStyle w:val="Tabletext"/>
              <w:rPr>
                <w:rFonts w:asciiTheme="minorHAnsi" w:hAnsiTheme="minorHAnsi" w:cstheme="minorHAnsi"/>
                <w:color w:val="000000" w:themeColor="text1"/>
                <w:sz w:val="22"/>
                <w:shd w:val="clear" w:color="auto" w:fill="FFFFFF"/>
                <w:lang w:eastAsia="ko-KR"/>
              </w:rPr>
            </w:pPr>
            <w:r w:rsidRPr="00C74234">
              <w:rPr>
                <w:rFonts w:asciiTheme="minorHAnsi" w:hAnsiTheme="minorHAnsi" w:cstheme="minorHAnsi"/>
                <w:color w:val="000000" w:themeColor="text1"/>
                <w:sz w:val="22"/>
                <w:shd w:val="clear" w:color="auto" w:fill="FFFFFF"/>
                <w:lang w:eastAsia="ko-KR"/>
              </w:rPr>
              <w:t>Animal studies have not revealed any evidence of harm to the fetus or any effects on fertility in females; some males treated with high doses failed to produce offspring. There are no controlled data in human pregnancy.</w:t>
            </w:r>
            <w:r w:rsidRPr="00C74234">
              <w:rPr>
                <w:rStyle w:val="FootnoteReference"/>
                <w:rFonts w:asciiTheme="minorHAnsi" w:hAnsiTheme="minorHAnsi" w:cstheme="minorHAnsi"/>
                <w:color w:val="000000" w:themeColor="text1"/>
                <w:sz w:val="22"/>
                <w:shd w:val="clear" w:color="auto" w:fill="FFFFFF"/>
                <w:lang w:eastAsia="ko-KR"/>
              </w:rPr>
              <w:footnoteReference w:id="30"/>
            </w:r>
            <w:r w:rsidRPr="00C74234">
              <w:rPr>
                <w:rFonts w:asciiTheme="minorHAnsi" w:hAnsiTheme="minorHAnsi" w:cstheme="minorHAnsi"/>
                <w:color w:val="000000" w:themeColor="text1"/>
                <w:sz w:val="22"/>
                <w:shd w:val="clear" w:color="auto" w:fill="FFFFFF"/>
                <w:lang w:eastAsia="ko-KR"/>
              </w:rPr>
              <w:t> </w:t>
            </w:r>
          </w:p>
          <w:p w14:paraId="5BC21C66" w14:textId="77777777" w:rsidR="00A10278" w:rsidRPr="00C74234" w:rsidRDefault="00A10278" w:rsidP="000A384C">
            <w:pPr>
              <w:pStyle w:val="Tabletext"/>
              <w:rPr>
                <w:rFonts w:asciiTheme="minorHAnsi" w:hAnsiTheme="minorHAnsi" w:cstheme="minorHAnsi"/>
                <w:color w:val="000000" w:themeColor="text1"/>
                <w:sz w:val="22"/>
                <w:shd w:val="clear" w:color="auto" w:fill="FFFFFF"/>
                <w:lang w:eastAsia="ko-KR"/>
              </w:rPr>
            </w:pPr>
          </w:p>
          <w:p w14:paraId="40C84F58" w14:textId="1C6F9A90" w:rsidR="00A10278" w:rsidRPr="00C74234" w:rsidRDefault="00A10278" w:rsidP="000A384C">
            <w:pPr>
              <w:pStyle w:val="Tabletext"/>
              <w:rPr>
                <w:rFonts w:asciiTheme="minorHAnsi" w:hAnsiTheme="minorHAnsi" w:cstheme="minorHAnsi"/>
                <w:color w:val="000000" w:themeColor="text1"/>
                <w:sz w:val="22"/>
                <w:lang w:eastAsia="ko-KR"/>
              </w:rPr>
            </w:pPr>
            <w:r w:rsidRPr="00C74234">
              <w:rPr>
                <w:rFonts w:asciiTheme="minorHAnsi" w:hAnsiTheme="minorHAnsi" w:cstheme="minorHAnsi"/>
                <w:color w:val="000000" w:themeColor="text1"/>
                <w:sz w:val="22"/>
                <w:shd w:val="clear" w:color="auto" w:fill="FFFFFF"/>
                <w:lang w:eastAsia="ko-KR"/>
              </w:rPr>
              <w:t xml:space="preserve">Pharmacokinetic data in rats treated with doses 1-2 times the human clinical dose have shown 6- to 12-fold higher </w:t>
            </w:r>
            <w:r w:rsidR="00C74234">
              <w:rPr>
                <w:rFonts w:asciiTheme="minorHAnsi" w:hAnsiTheme="minorHAnsi" w:cstheme="minorHAnsi"/>
                <w:color w:val="000000" w:themeColor="text1"/>
                <w:sz w:val="22"/>
                <w:shd w:val="clear" w:color="auto" w:fill="FFFFFF"/>
                <w:lang w:eastAsia="ko-KR"/>
              </w:rPr>
              <w:t>Bdq</w:t>
            </w:r>
            <w:r w:rsidRPr="00C74234">
              <w:rPr>
                <w:rFonts w:asciiTheme="minorHAnsi" w:hAnsiTheme="minorHAnsi" w:cstheme="minorHAnsi"/>
                <w:color w:val="000000" w:themeColor="text1"/>
                <w:sz w:val="22"/>
                <w:shd w:val="clear" w:color="auto" w:fill="FFFFFF"/>
                <w:lang w:eastAsia="ko-KR"/>
              </w:rPr>
              <w:t xml:space="preserve"> concentrations in milk than the maximum concentrations observed in maternal plasma.  </w:t>
            </w:r>
          </w:p>
        </w:tc>
      </w:tr>
      <w:tr w:rsidR="00A10278" w:rsidRPr="00C74234" w:rsidDel="00D77A4B" w14:paraId="21377BC9" w14:textId="77777777" w:rsidTr="00A10278">
        <w:tc>
          <w:tcPr>
            <w:tcW w:w="669" w:type="pct"/>
            <w:shd w:val="clear" w:color="auto" w:fill="FFFFFF" w:themeFill="background1"/>
            <w:tcMar>
              <w:top w:w="100" w:type="dxa"/>
              <w:left w:w="100" w:type="dxa"/>
              <w:bottom w:w="100" w:type="dxa"/>
              <w:right w:w="100" w:type="dxa"/>
            </w:tcMar>
            <w:vAlign w:val="center"/>
          </w:tcPr>
          <w:p w14:paraId="00DB0B06" w14:textId="77777777"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rPr>
              <w:t>Dlm</w:t>
            </w:r>
          </w:p>
        </w:tc>
        <w:tc>
          <w:tcPr>
            <w:tcW w:w="4331" w:type="pct"/>
            <w:shd w:val="clear" w:color="auto" w:fill="FFFFFF" w:themeFill="background1"/>
            <w:tcMar>
              <w:top w:w="100" w:type="dxa"/>
              <w:left w:w="100" w:type="dxa"/>
              <w:bottom w:w="100" w:type="dxa"/>
              <w:right w:w="100" w:type="dxa"/>
            </w:tcMar>
          </w:tcPr>
          <w:p w14:paraId="0A7FE6E0" w14:textId="2B2A4FAD" w:rsidR="00A10278" w:rsidRPr="00C74234" w:rsidRDefault="00A10278" w:rsidP="000A384C">
            <w:pPr>
              <w:pStyle w:val="Tabletext"/>
              <w:rPr>
                <w:rFonts w:asciiTheme="minorHAnsi" w:hAnsiTheme="minorHAnsi" w:cstheme="minorHAnsi"/>
                <w:color w:val="000000" w:themeColor="text1"/>
                <w:sz w:val="22"/>
                <w:lang w:eastAsia="ko-KR"/>
              </w:rPr>
            </w:pPr>
            <w:r w:rsidRPr="00C74234">
              <w:rPr>
                <w:rFonts w:asciiTheme="minorHAnsi" w:hAnsiTheme="minorHAnsi" w:cstheme="minorHAnsi"/>
                <w:color w:val="000000" w:themeColor="text1"/>
                <w:sz w:val="22"/>
                <w:lang w:eastAsia="ko-KR"/>
              </w:rPr>
              <w:t>In rabbit reproductive studies, embryo-fetal toxicity was observed at maternally toxic dosages. Avoid in pregnancy; however</w:t>
            </w:r>
            <w:r w:rsidR="00C74234">
              <w:rPr>
                <w:rFonts w:asciiTheme="minorHAnsi" w:hAnsiTheme="minorHAnsi" w:cstheme="minorHAnsi"/>
                <w:color w:val="000000" w:themeColor="text1"/>
                <w:sz w:val="22"/>
                <w:lang w:eastAsia="ko-KR"/>
              </w:rPr>
              <w:t>,</w:t>
            </w:r>
            <w:r w:rsidRPr="00C74234">
              <w:rPr>
                <w:rFonts w:asciiTheme="minorHAnsi" w:hAnsiTheme="minorHAnsi" w:cstheme="minorHAnsi"/>
                <w:color w:val="000000" w:themeColor="text1"/>
                <w:sz w:val="22"/>
                <w:lang w:eastAsia="ko-KR"/>
              </w:rPr>
              <w:t xml:space="preserve"> the benefits in patients with no other options may outweigh the risks.</w:t>
            </w:r>
          </w:p>
          <w:p w14:paraId="67C8C80F" w14:textId="77777777" w:rsidR="00A10278" w:rsidRPr="00C74234" w:rsidRDefault="00A10278" w:rsidP="000A384C">
            <w:pPr>
              <w:pStyle w:val="Tabletext"/>
              <w:rPr>
                <w:rFonts w:asciiTheme="minorHAnsi" w:hAnsiTheme="minorHAnsi" w:cstheme="minorHAnsi"/>
                <w:color w:val="000000" w:themeColor="text1"/>
                <w:sz w:val="22"/>
                <w:lang w:eastAsia="ko-KR"/>
              </w:rPr>
            </w:pPr>
          </w:p>
          <w:p w14:paraId="1CAFD97E" w14:textId="05C20552"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lang w:eastAsia="ko-KR"/>
              </w:rPr>
              <w:t xml:space="preserve">Pharmacokinetic data in animals have shown excretion of </w:t>
            </w:r>
            <w:r w:rsidR="00C74234">
              <w:rPr>
                <w:rFonts w:asciiTheme="minorHAnsi" w:hAnsiTheme="minorHAnsi" w:cstheme="minorHAnsi"/>
                <w:color w:val="000000" w:themeColor="text1"/>
                <w:sz w:val="22"/>
                <w:lang w:eastAsia="ko-KR"/>
              </w:rPr>
              <w:t>Dlm</w:t>
            </w:r>
            <w:r w:rsidRPr="00C74234">
              <w:rPr>
                <w:rFonts w:asciiTheme="minorHAnsi" w:hAnsiTheme="minorHAnsi" w:cstheme="minorHAnsi"/>
                <w:color w:val="000000" w:themeColor="text1"/>
                <w:sz w:val="22"/>
                <w:lang w:eastAsia="ko-KR"/>
              </w:rPr>
              <w:t>/metabolites into breast milk. In lactating rats, the C</w:t>
            </w:r>
            <w:r w:rsidRPr="00C74234">
              <w:rPr>
                <w:rFonts w:asciiTheme="minorHAnsi" w:hAnsiTheme="minorHAnsi" w:cstheme="minorHAnsi"/>
                <w:color w:val="000000" w:themeColor="text1"/>
                <w:sz w:val="22"/>
                <w:vertAlign w:val="subscript"/>
                <w:lang w:eastAsia="ko-KR"/>
              </w:rPr>
              <w:t>max</w:t>
            </w:r>
            <w:r w:rsidRPr="00C74234">
              <w:rPr>
                <w:rFonts w:asciiTheme="minorHAnsi" w:hAnsiTheme="minorHAnsi" w:cstheme="minorHAnsi"/>
                <w:color w:val="000000" w:themeColor="text1"/>
                <w:sz w:val="22"/>
                <w:lang w:eastAsia="ko-KR"/>
              </w:rPr>
              <w:t xml:space="preserve"> for </w:t>
            </w:r>
            <w:r w:rsidR="00C74234">
              <w:rPr>
                <w:rFonts w:asciiTheme="minorHAnsi" w:hAnsiTheme="minorHAnsi" w:cstheme="minorHAnsi"/>
                <w:color w:val="000000" w:themeColor="text1"/>
                <w:sz w:val="22"/>
                <w:lang w:eastAsia="ko-KR"/>
              </w:rPr>
              <w:t>Dlm</w:t>
            </w:r>
            <w:r w:rsidRPr="00C74234">
              <w:rPr>
                <w:rFonts w:asciiTheme="minorHAnsi" w:hAnsiTheme="minorHAnsi" w:cstheme="minorHAnsi"/>
                <w:color w:val="000000" w:themeColor="text1"/>
                <w:sz w:val="22"/>
                <w:lang w:eastAsia="ko-KR"/>
              </w:rPr>
              <w:t xml:space="preserve"> in breast milk was 4-fold higher than that of the blood.</w:t>
            </w:r>
          </w:p>
        </w:tc>
      </w:tr>
      <w:tr w:rsidR="00A10278" w:rsidRPr="00C74234" w:rsidDel="00D77A4B" w14:paraId="0156A94C" w14:textId="77777777" w:rsidTr="00A10278">
        <w:trPr>
          <w:trHeight w:val="708"/>
        </w:trPr>
        <w:tc>
          <w:tcPr>
            <w:tcW w:w="669" w:type="pct"/>
            <w:tcBorders>
              <w:left w:val="single" w:sz="4" w:space="0" w:color="auto"/>
            </w:tcBorders>
            <w:shd w:val="clear" w:color="auto" w:fill="FFFFFF" w:themeFill="background1"/>
            <w:tcMar>
              <w:top w:w="100" w:type="dxa"/>
              <w:left w:w="100" w:type="dxa"/>
              <w:bottom w:w="100" w:type="dxa"/>
              <w:right w:w="100" w:type="dxa"/>
            </w:tcMar>
            <w:vAlign w:val="center"/>
          </w:tcPr>
          <w:p w14:paraId="68948CA8" w14:textId="77777777"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rPr>
              <w:lastRenderedPageBreak/>
              <w:t>Lzd</w:t>
            </w:r>
          </w:p>
        </w:tc>
        <w:tc>
          <w:tcPr>
            <w:tcW w:w="4331" w:type="pct"/>
            <w:shd w:val="clear" w:color="auto" w:fill="FFFFFF" w:themeFill="background1"/>
            <w:tcMar>
              <w:top w:w="100" w:type="dxa"/>
              <w:left w:w="100" w:type="dxa"/>
              <w:bottom w:w="100" w:type="dxa"/>
              <w:right w:w="100" w:type="dxa"/>
            </w:tcMar>
          </w:tcPr>
          <w:p w14:paraId="5DC59E4C" w14:textId="77777777"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shd w:val="clear" w:color="auto" w:fill="FFFFFF"/>
                <w:lang w:eastAsia="ko-KR"/>
              </w:rPr>
              <w:t xml:space="preserve">Animal studies have failed to reveal evidence of teratogenicity, but embryofetal toxicity was observed at maternotoxic doses. Placental transfer of this drug and/or its metabolites was observed in rats. There are no controlled data in human pregnancy. </w:t>
            </w:r>
          </w:p>
        </w:tc>
      </w:tr>
      <w:tr w:rsidR="00A10278" w:rsidRPr="00C74234" w:rsidDel="00D77A4B" w14:paraId="405C89F4" w14:textId="77777777" w:rsidTr="00A10278">
        <w:tc>
          <w:tcPr>
            <w:tcW w:w="669" w:type="pct"/>
            <w:shd w:val="clear" w:color="auto" w:fill="FFFFFF" w:themeFill="background1"/>
            <w:tcMar>
              <w:top w:w="100" w:type="dxa"/>
              <w:left w:w="100" w:type="dxa"/>
              <w:bottom w:w="100" w:type="dxa"/>
              <w:right w:w="100" w:type="dxa"/>
            </w:tcMar>
            <w:vAlign w:val="center"/>
          </w:tcPr>
          <w:p w14:paraId="74A97A5C" w14:textId="77777777"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rPr>
              <w:t>Cfz</w:t>
            </w:r>
          </w:p>
        </w:tc>
        <w:tc>
          <w:tcPr>
            <w:tcW w:w="4331" w:type="pct"/>
            <w:shd w:val="clear" w:color="auto" w:fill="FFFFFF" w:themeFill="background1"/>
            <w:tcMar>
              <w:top w:w="100" w:type="dxa"/>
              <w:left w:w="100" w:type="dxa"/>
              <w:bottom w:w="100" w:type="dxa"/>
              <w:right w:w="100" w:type="dxa"/>
            </w:tcMar>
          </w:tcPr>
          <w:p w14:paraId="2999C047" w14:textId="27EAE4DB" w:rsidR="00A10278" w:rsidRPr="00C74234" w:rsidRDefault="00A10278" w:rsidP="000A384C">
            <w:pPr>
              <w:pStyle w:val="Tabletext"/>
              <w:rPr>
                <w:rFonts w:asciiTheme="minorHAnsi" w:hAnsiTheme="minorHAnsi" w:cstheme="minorHAnsi"/>
                <w:color w:val="000000" w:themeColor="text1"/>
                <w:sz w:val="22"/>
                <w:lang w:eastAsia="ko-KR"/>
              </w:rPr>
            </w:pPr>
            <w:r w:rsidRPr="00C74234">
              <w:rPr>
                <w:rFonts w:asciiTheme="minorHAnsi" w:hAnsiTheme="minorHAnsi" w:cstheme="minorHAnsi"/>
                <w:color w:val="000000" w:themeColor="text1"/>
                <w:sz w:val="22"/>
                <w:lang w:eastAsia="ko-KR"/>
              </w:rPr>
              <w:t xml:space="preserve">There are no studies of </w:t>
            </w:r>
            <w:r w:rsidR="00956C05">
              <w:rPr>
                <w:rFonts w:asciiTheme="minorHAnsi" w:hAnsiTheme="minorHAnsi" w:cstheme="minorHAnsi"/>
                <w:color w:val="000000" w:themeColor="text1"/>
                <w:sz w:val="22"/>
                <w:lang w:eastAsia="ko-KR"/>
              </w:rPr>
              <w:t>Cfz</w:t>
            </w:r>
            <w:r w:rsidRPr="00C74234">
              <w:rPr>
                <w:rFonts w:asciiTheme="minorHAnsi" w:hAnsiTheme="minorHAnsi" w:cstheme="minorHAnsi"/>
                <w:color w:val="000000" w:themeColor="text1"/>
                <w:sz w:val="22"/>
                <w:lang w:eastAsia="ko-KR"/>
              </w:rPr>
              <w:t xml:space="preserve"> use in pregnant women. Few cases of </w:t>
            </w:r>
            <w:r w:rsidR="00956C05">
              <w:rPr>
                <w:rFonts w:asciiTheme="minorHAnsi" w:hAnsiTheme="minorHAnsi" w:cstheme="minorHAnsi"/>
                <w:color w:val="000000" w:themeColor="text1"/>
                <w:sz w:val="22"/>
                <w:lang w:eastAsia="ko-KR"/>
              </w:rPr>
              <w:t>Cfz</w:t>
            </w:r>
            <w:r w:rsidRPr="00C74234">
              <w:rPr>
                <w:rFonts w:asciiTheme="minorHAnsi" w:hAnsiTheme="minorHAnsi" w:cstheme="minorHAnsi"/>
                <w:color w:val="000000" w:themeColor="text1"/>
                <w:sz w:val="22"/>
                <w:lang w:eastAsia="ko-KR"/>
              </w:rPr>
              <w:t xml:space="preserve"> use during pregnancy have been reported in the literature. </w:t>
            </w:r>
          </w:p>
          <w:p w14:paraId="0A722F53" w14:textId="77777777" w:rsidR="00A10278" w:rsidRPr="00C74234" w:rsidRDefault="00A10278" w:rsidP="000A384C">
            <w:pPr>
              <w:pStyle w:val="Tabletext"/>
              <w:rPr>
                <w:rFonts w:asciiTheme="minorHAnsi" w:hAnsiTheme="minorHAnsi" w:cstheme="minorHAnsi"/>
                <w:color w:val="000000" w:themeColor="text1"/>
                <w:sz w:val="22"/>
                <w:lang w:eastAsia="ko-KR"/>
              </w:rPr>
            </w:pPr>
          </w:p>
          <w:p w14:paraId="598E3A39" w14:textId="1942BFED" w:rsidR="00A10278" w:rsidRPr="00C74234" w:rsidRDefault="00A10278" w:rsidP="000A384C">
            <w:pPr>
              <w:pStyle w:val="Tabletext"/>
              <w:rPr>
                <w:rFonts w:asciiTheme="minorHAnsi" w:hAnsiTheme="minorHAnsi" w:cstheme="minorHAnsi"/>
                <w:color w:val="000000" w:themeColor="text1"/>
                <w:sz w:val="22"/>
                <w:lang w:eastAsia="ko-KR"/>
              </w:rPr>
            </w:pPr>
            <w:r w:rsidRPr="00C74234">
              <w:rPr>
                <w:rFonts w:asciiTheme="minorHAnsi" w:hAnsiTheme="minorHAnsi" w:cstheme="minorHAnsi"/>
                <w:color w:val="000000" w:themeColor="text1"/>
                <w:sz w:val="22"/>
                <w:lang w:eastAsia="ko-KR"/>
              </w:rPr>
              <w:t xml:space="preserve">Embryofetal toxicity studies were conducted in rats, rabbits and mice. In mice, </w:t>
            </w:r>
            <w:r w:rsidR="00956C05">
              <w:rPr>
                <w:rFonts w:asciiTheme="minorHAnsi" w:hAnsiTheme="minorHAnsi" w:cstheme="minorHAnsi"/>
                <w:color w:val="000000" w:themeColor="text1"/>
                <w:sz w:val="22"/>
                <w:lang w:eastAsia="ko-KR"/>
              </w:rPr>
              <w:t>Cfz</w:t>
            </w:r>
            <w:r w:rsidRPr="00C74234">
              <w:rPr>
                <w:rFonts w:asciiTheme="minorHAnsi" w:hAnsiTheme="minorHAnsi" w:cstheme="minorHAnsi"/>
                <w:color w:val="000000" w:themeColor="text1"/>
                <w:sz w:val="22"/>
                <w:lang w:eastAsia="ko-KR"/>
              </w:rPr>
              <w:t xml:space="preserve">-induced embryotoxicity and fetotoxicity was evident. </w:t>
            </w:r>
          </w:p>
        </w:tc>
      </w:tr>
      <w:tr w:rsidR="00A10278" w:rsidRPr="00C74234" w:rsidDel="00D77A4B" w14:paraId="4BBD4F90" w14:textId="77777777" w:rsidTr="00A10278">
        <w:tc>
          <w:tcPr>
            <w:tcW w:w="669" w:type="pct"/>
            <w:shd w:val="clear" w:color="auto" w:fill="FFFFFF" w:themeFill="background1"/>
            <w:tcMar>
              <w:top w:w="100" w:type="dxa"/>
              <w:left w:w="100" w:type="dxa"/>
              <w:bottom w:w="100" w:type="dxa"/>
              <w:right w:w="100" w:type="dxa"/>
            </w:tcMar>
            <w:vAlign w:val="center"/>
          </w:tcPr>
          <w:p w14:paraId="39252909" w14:textId="77777777"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rPr>
              <w:t>Z</w:t>
            </w:r>
          </w:p>
        </w:tc>
        <w:tc>
          <w:tcPr>
            <w:tcW w:w="4331" w:type="pct"/>
            <w:shd w:val="clear" w:color="auto" w:fill="FFFFFF" w:themeFill="background1"/>
            <w:tcMar>
              <w:top w:w="100" w:type="dxa"/>
              <w:left w:w="100" w:type="dxa"/>
              <w:bottom w:w="100" w:type="dxa"/>
              <w:right w:w="100" w:type="dxa"/>
            </w:tcMar>
          </w:tcPr>
          <w:p w14:paraId="703210D9" w14:textId="77777777" w:rsidR="00A10278" w:rsidRPr="00C74234" w:rsidRDefault="00A10278" w:rsidP="000A384C">
            <w:pPr>
              <w:pStyle w:val="Tabletext"/>
              <w:rPr>
                <w:rFonts w:asciiTheme="minorHAnsi" w:hAnsiTheme="minorHAnsi" w:cstheme="minorHAnsi"/>
                <w:color w:val="000000" w:themeColor="text1"/>
                <w:sz w:val="22"/>
              </w:rPr>
            </w:pPr>
            <w:r w:rsidRPr="00C74234">
              <w:rPr>
                <w:rFonts w:asciiTheme="minorHAnsi" w:hAnsiTheme="minorHAnsi" w:cstheme="minorHAnsi"/>
                <w:color w:val="000000" w:themeColor="text1"/>
                <w:sz w:val="22"/>
              </w:rPr>
              <w:t>Experience in gravid patients suggests safety; however, there is less data than other first-line anti-TB drugs. WHO recommends its routine use.</w:t>
            </w:r>
          </w:p>
        </w:tc>
      </w:tr>
    </w:tbl>
    <w:p w14:paraId="0A9341D5" w14:textId="77777777" w:rsidR="00DE5FDC" w:rsidRDefault="00DE5FDC" w:rsidP="001C7A69">
      <w:pPr>
        <w:rPr>
          <w:rFonts w:ascii="Times New Roman" w:hAnsi="Times New Roman"/>
          <w:i/>
          <w:color w:val="000000" w:themeColor="text1"/>
          <w:sz w:val="24"/>
          <w:szCs w:val="24"/>
        </w:rPr>
      </w:pPr>
    </w:p>
    <w:p w14:paraId="034CE4E9" w14:textId="0AE19163" w:rsidR="001C7A69" w:rsidRPr="00B85017" w:rsidRDefault="001C7A69" w:rsidP="001C7A69">
      <w:pPr>
        <w:rPr>
          <w:rFonts w:ascii="Times New Roman" w:hAnsi="Times New Roman"/>
          <w:i/>
          <w:color w:val="000000" w:themeColor="text1"/>
          <w:sz w:val="24"/>
          <w:szCs w:val="24"/>
        </w:rPr>
      </w:pPr>
      <w:r w:rsidRPr="00B85017">
        <w:rPr>
          <w:rFonts w:ascii="Times New Roman" w:hAnsi="Times New Roman"/>
          <w:i/>
          <w:color w:val="000000" w:themeColor="text1"/>
          <w:sz w:val="24"/>
          <w:szCs w:val="24"/>
        </w:rPr>
        <w:t>Lactation</w:t>
      </w:r>
    </w:p>
    <w:p w14:paraId="37F660AA" w14:textId="5BD041E4"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For a variety of reasons, breastfeeding is still the ideal strategy for women and their infants.  This is true for women with RR-TB on treatment as well.  Little is known about the safety of most second-line medications during breastfeeding, although the doses of medications that can be passed along in the breast milk are usually quite low.   Appropriate infection control measures should be followed during breastfeeding.</w:t>
      </w:r>
    </w:p>
    <w:p w14:paraId="01E71F13" w14:textId="77777777" w:rsidR="001C7A69" w:rsidRPr="00003170" w:rsidRDefault="001C7A69" w:rsidP="00003170">
      <w:pPr>
        <w:pStyle w:val="Heading2"/>
      </w:pPr>
      <w:bookmarkStart w:id="132" w:name="_Toc12792960"/>
      <w:bookmarkStart w:id="133" w:name="_Ref12885172"/>
      <w:bookmarkStart w:id="134" w:name="_Toc12952371"/>
      <w:bookmarkStart w:id="135" w:name="_Toc13486720"/>
      <w:r w:rsidRPr="00003170">
        <w:t>Extrapulmonary TB</w:t>
      </w:r>
      <w:bookmarkEnd w:id="132"/>
      <w:bookmarkEnd w:id="133"/>
      <w:bookmarkEnd w:id="134"/>
      <w:bookmarkEnd w:id="135"/>
    </w:p>
    <w:p w14:paraId="1A9FC0B2" w14:textId="0DAD2021"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There is limited experience for the use of bedaquiline and delamanid in extrapulmonary TB. Both drugs are thought to have poor central nervous system (CNS) penetration. Many all-oral STR</w:t>
      </w:r>
      <w:r w:rsidR="00C05072">
        <w:rPr>
          <w:rFonts w:asciiTheme="minorHAnsi" w:hAnsiTheme="minorHAnsi" w:cstheme="minorHAnsi"/>
          <w:color w:val="000000" w:themeColor="text1"/>
        </w:rPr>
        <w:t>s</w:t>
      </w:r>
      <w:r w:rsidRPr="009D1960">
        <w:rPr>
          <w:rFonts w:asciiTheme="minorHAnsi" w:hAnsiTheme="minorHAnsi" w:cstheme="minorHAnsi"/>
          <w:color w:val="000000" w:themeColor="text1"/>
        </w:rPr>
        <w:t xml:space="preserve"> heavily depend on bedaquiline or delamanid and it is not known if certain types of extrapulmonary TB</w:t>
      </w:r>
      <w:r w:rsidR="0034038C">
        <w:rPr>
          <w:rFonts w:asciiTheme="minorHAnsi" w:hAnsiTheme="minorHAnsi" w:cstheme="minorHAnsi"/>
          <w:color w:val="000000" w:themeColor="text1"/>
        </w:rPr>
        <w:t>, such as</w:t>
      </w:r>
      <w:r w:rsidR="00F64375">
        <w:rPr>
          <w:rFonts w:asciiTheme="minorHAnsi" w:hAnsiTheme="minorHAnsi" w:cstheme="minorHAnsi"/>
          <w:color w:val="000000" w:themeColor="text1"/>
        </w:rPr>
        <w:t xml:space="preserve"> </w:t>
      </w:r>
      <w:r w:rsidR="00F64375" w:rsidRPr="00F64375">
        <w:rPr>
          <w:rFonts w:asciiTheme="minorHAnsi" w:hAnsiTheme="minorHAnsi" w:cstheme="minorHAnsi"/>
          <w:color w:val="000000" w:themeColor="text1"/>
        </w:rPr>
        <w:t>TB osteomyelitis</w:t>
      </w:r>
      <w:r w:rsidR="00112627">
        <w:rPr>
          <w:rFonts w:asciiTheme="minorHAnsi" w:hAnsiTheme="minorHAnsi" w:cstheme="minorHAnsi"/>
          <w:color w:val="000000" w:themeColor="text1"/>
        </w:rPr>
        <w:t xml:space="preserve"> or TB </w:t>
      </w:r>
      <w:r w:rsidR="00575249">
        <w:rPr>
          <w:rFonts w:asciiTheme="minorHAnsi" w:hAnsiTheme="minorHAnsi" w:cstheme="minorHAnsi"/>
          <w:color w:val="000000" w:themeColor="text1"/>
        </w:rPr>
        <w:t>meningitis</w:t>
      </w:r>
      <w:r w:rsidR="00112627">
        <w:rPr>
          <w:rFonts w:asciiTheme="minorHAnsi" w:hAnsiTheme="minorHAnsi" w:cstheme="minorHAnsi"/>
          <w:color w:val="000000" w:themeColor="text1"/>
        </w:rPr>
        <w:t>,</w:t>
      </w:r>
      <w:r w:rsidR="00F64375" w:rsidRPr="00F64375">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 xml:space="preserve">can be treated with shorter treatment durations. Therefore, regimens for extrapulmonary TB are </w:t>
      </w:r>
      <w:r w:rsidR="007B424E">
        <w:rPr>
          <w:rFonts w:asciiTheme="minorHAnsi" w:hAnsiTheme="minorHAnsi" w:cstheme="minorHAnsi"/>
          <w:color w:val="000000" w:themeColor="text1"/>
        </w:rPr>
        <w:t>often</w:t>
      </w:r>
      <w:r w:rsidR="007B424E"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individualized based on the type of extrapulmonary TB</w:t>
      </w:r>
      <w:r w:rsidR="00112627">
        <w:rPr>
          <w:rFonts w:asciiTheme="minorHAnsi" w:hAnsiTheme="minorHAnsi" w:cstheme="minorHAnsi"/>
          <w:color w:val="000000" w:themeColor="text1"/>
        </w:rPr>
        <w:t xml:space="preserve">. </w:t>
      </w:r>
      <w:r w:rsidR="00760753">
        <w:rPr>
          <w:rFonts w:asciiTheme="minorHAnsi" w:hAnsiTheme="minorHAnsi" w:cstheme="minorHAnsi"/>
          <w:color w:val="000000" w:themeColor="text1"/>
        </w:rPr>
        <w:t xml:space="preserve">Most forms of extra-pulmonary TB, such as </w:t>
      </w:r>
      <w:r w:rsidR="00367146">
        <w:rPr>
          <w:rFonts w:asciiTheme="minorHAnsi" w:hAnsiTheme="minorHAnsi" w:cstheme="minorHAnsi"/>
          <w:color w:val="000000" w:themeColor="text1"/>
        </w:rPr>
        <w:t>TB of the lymph nodes and plural</w:t>
      </w:r>
      <w:r w:rsidR="00270798">
        <w:rPr>
          <w:rFonts w:asciiTheme="minorHAnsi" w:hAnsiTheme="minorHAnsi" w:cstheme="minorHAnsi"/>
          <w:color w:val="000000" w:themeColor="text1"/>
        </w:rPr>
        <w:t xml:space="preserve"> effusions</w:t>
      </w:r>
      <w:r w:rsidR="00760753">
        <w:rPr>
          <w:rFonts w:asciiTheme="minorHAnsi" w:hAnsiTheme="minorHAnsi" w:cstheme="minorHAnsi"/>
          <w:color w:val="000000" w:themeColor="text1"/>
        </w:rPr>
        <w:t>,</w:t>
      </w:r>
      <w:r w:rsidR="007B424E">
        <w:rPr>
          <w:rFonts w:asciiTheme="minorHAnsi" w:hAnsiTheme="minorHAnsi" w:cstheme="minorHAnsi"/>
          <w:color w:val="000000" w:themeColor="text1"/>
        </w:rPr>
        <w:t xml:space="preserve"> can</w:t>
      </w:r>
      <w:r w:rsidR="00367146">
        <w:rPr>
          <w:rFonts w:asciiTheme="minorHAnsi" w:hAnsiTheme="minorHAnsi" w:cstheme="minorHAnsi"/>
          <w:color w:val="000000" w:themeColor="text1"/>
        </w:rPr>
        <w:t xml:space="preserve"> likely </w:t>
      </w:r>
      <w:r w:rsidR="004415EC">
        <w:rPr>
          <w:rFonts w:asciiTheme="minorHAnsi" w:hAnsiTheme="minorHAnsi" w:cstheme="minorHAnsi"/>
          <w:color w:val="000000" w:themeColor="text1"/>
        </w:rPr>
        <w:t>be treated with all-oral STRs under operational research</w:t>
      </w:r>
      <w:r w:rsidR="00367146">
        <w:rPr>
          <w:rFonts w:asciiTheme="minorHAnsi" w:hAnsiTheme="minorHAnsi" w:cstheme="minorHAnsi"/>
          <w:color w:val="000000" w:themeColor="text1"/>
        </w:rPr>
        <w:t xml:space="preserve"> </w:t>
      </w:r>
      <w:r w:rsidR="007B424E">
        <w:rPr>
          <w:rFonts w:asciiTheme="minorHAnsi" w:hAnsiTheme="minorHAnsi" w:cstheme="minorHAnsi"/>
          <w:color w:val="000000" w:themeColor="text1"/>
        </w:rPr>
        <w:t>conditions</w:t>
      </w:r>
      <w:r w:rsidR="004415EC">
        <w:rPr>
          <w:rFonts w:asciiTheme="minorHAnsi" w:hAnsiTheme="minorHAnsi" w:cstheme="minorHAnsi"/>
          <w:color w:val="000000" w:themeColor="text1"/>
        </w:rPr>
        <w:t xml:space="preserve">.  </w:t>
      </w:r>
      <w:r w:rsidR="00575586" w:rsidRPr="00F64375">
        <w:rPr>
          <w:rFonts w:asciiTheme="minorHAnsi" w:hAnsiTheme="minorHAnsi" w:cstheme="minorHAnsi"/>
          <w:color w:val="000000" w:themeColor="text1"/>
        </w:rPr>
        <w:t>TB osteomyelitis</w:t>
      </w:r>
      <w:r w:rsidR="00575586">
        <w:rPr>
          <w:rFonts w:asciiTheme="minorHAnsi" w:hAnsiTheme="minorHAnsi" w:cstheme="minorHAnsi"/>
          <w:color w:val="000000" w:themeColor="text1"/>
        </w:rPr>
        <w:t xml:space="preserve"> or TB meningitis should be treated for at least 12 months </w:t>
      </w:r>
      <w:r w:rsidR="00EE7DF1">
        <w:rPr>
          <w:rFonts w:asciiTheme="minorHAnsi" w:hAnsiTheme="minorHAnsi" w:cstheme="minorHAnsi"/>
          <w:color w:val="000000" w:themeColor="text1"/>
        </w:rPr>
        <w:t xml:space="preserve">under operational research conditions </w:t>
      </w:r>
      <w:r w:rsidR="00575586">
        <w:rPr>
          <w:rFonts w:asciiTheme="minorHAnsi" w:hAnsiTheme="minorHAnsi" w:cstheme="minorHAnsi"/>
          <w:color w:val="000000" w:themeColor="text1"/>
        </w:rPr>
        <w:t xml:space="preserve">or by a full </w:t>
      </w:r>
      <w:r w:rsidR="00575249">
        <w:rPr>
          <w:rFonts w:asciiTheme="minorHAnsi" w:hAnsiTheme="minorHAnsi" w:cstheme="minorHAnsi"/>
          <w:color w:val="000000" w:themeColor="text1"/>
        </w:rPr>
        <w:t>LTR</w:t>
      </w:r>
      <w:r w:rsidR="00575586">
        <w:rPr>
          <w:rFonts w:asciiTheme="minorHAnsi" w:hAnsiTheme="minorHAnsi" w:cstheme="minorHAnsi"/>
          <w:color w:val="000000" w:themeColor="text1"/>
        </w:rPr>
        <w:t xml:space="preserve"> (18-20 months). </w:t>
      </w:r>
      <w:r w:rsidRPr="009D1960">
        <w:rPr>
          <w:rFonts w:asciiTheme="minorHAnsi" w:hAnsiTheme="minorHAnsi" w:cstheme="minorHAnsi"/>
          <w:color w:val="000000" w:themeColor="text1"/>
        </w:rPr>
        <w:t xml:space="preserve"> </w:t>
      </w:r>
      <w:r w:rsidR="005B1681">
        <w:rPr>
          <w:rFonts w:asciiTheme="minorHAnsi" w:hAnsiTheme="minorHAnsi" w:cstheme="minorHAnsi"/>
          <w:color w:val="000000" w:themeColor="text1"/>
        </w:rPr>
        <w:fldChar w:fldCharType="begin"/>
      </w:r>
      <w:r w:rsidR="005B1681">
        <w:rPr>
          <w:rFonts w:asciiTheme="minorHAnsi" w:hAnsiTheme="minorHAnsi" w:cstheme="minorHAnsi"/>
          <w:color w:val="000000" w:themeColor="text1"/>
        </w:rPr>
        <w:instrText xml:space="preserve"> REF _Ref13473721 \h </w:instrText>
      </w:r>
      <w:r w:rsidR="005B1681">
        <w:rPr>
          <w:rFonts w:asciiTheme="minorHAnsi" w:hAnsiTheme="minorHAnsi" w:cstheme="minorHAnsi"/>
          <w:color w:val="000000" w:themeColor="text1"/>
        </w:rPr>
      </w:r>
      <w:r w:rsidR="005B1681">
        <w:rPr>
          <w:rFonts w:asciiTheme="minorHAnsi" w:hAnsiTheme="minorHAnsi" w:cstheme="minorHAnsi"/>
          <w:color w:val="000000" w:themeColor="text1"/>
        </w:rPr>
        <w:fldChar w:fldCharType="separate"/>
      </w:r>
      <w:r w:rsidR="005B1681" w:rsidRPr="00DE5FDC">
        <w:rPr>
          <w:rFonts w:asciiTheme="minorHAnsi" w:hAnsiTheme="minorHAnsi"/>
        </w:rPr>
        <w:t xml:space="preserve">Table 9 </w:t>
      </w:r>
      <w:r w:rsidR="005B1681">
        <w:rPr>
          <w:rFonts w:asciiTheme="minorHAnsi" w:hAnsiTheme="minorHAnsi" w:cstheme="minorHAnsi"/>
          <w:color w:val="000000" w:themeColor="text1"/>
        </w:rPr>
        <w:fldChar w:fldCharType="end"/>
      </w:r>
      <w:r w:rsidRPr="009D1960">
        <w:rPr>
          <w:rFonts w:asciiTheme="minorHAnsi" w:hAnsiTheme="minorHAnsi" w:cstheme="minorHAnsi"/>
          <w:color w:val="000000" w:themeColor="text1"/>
        </w:rPr>
        <w:t xml:space="preserve"> describes the drugs commonly used in all oral STR and the knowledgebase of their use in extrapulmonary TB. </w:t>
      </w:r>
    </w:p>
    <w:p w14:paraId="7DB02742" w14:textId="713B7501" w:rsidR="001C7A69" w:rsidRPr="00DE5FDC" w:rsidRDefault="001C7A69" w:rsidP="002C4FED">
      <w:pPr>
        <w:pStyle w:val="Heading3"/>
        <w:rPr>
          <w:rFonts w:asciiTheme="minorHAnsi" w:hAnsiTheme="minorHAnsi"/>
        </w:rPr>
      </w:pPr>
      <w:bookmarkStart w:id="136" w:name="_Toc12885973"/>
      <w:bookmarkStart w:id="137" w:name="_Toc12886220"/>
      <w:bookmarkStart w:id="138" w:name="_Ref13473721"/>
      <w:bookmarkStart w:id="139" w:name="_Toc13486767"/>
      <w:r w:rsidRPr="00DE5FDC">
        <w:rPr>
          <w:rFonts w:asciiTheme="minorHAnsi" w:hAnsiTheme="minorHAnsi"/>
        </w:rPr>
        <w:t xml:space="preserve">Table </w:t>
      </w:r>
      <w:r w:rsidR="005E0DF4" w:rsidRPr="00DE5FDC">
        <w:rPr>
          <w:rFonts w:asciiTheme="minorHAnsi" w:hAnsiTheme="minorHAnsi"/>
        </w:rPr>
        <w:t>9</w:t>
      </w:r>
      <w:r w:rsidRPr="00DE5FDC">
        <w:rPr>
          <w:rFonts w:asciiTheme="minorHAnsi" w:hAnsiTheme="minorHAnsi"/>
        </w:rPr>
        <w:t xml:space="preserve"> Extrapulmonary TB and the drugs commonly used in all-oral STR</w:t>
      </w:r>
      <w:bookmarkEnd w:id="136"/>
      <w:bookmarkEnd w:id="137"/>
      <w:bookmarkEnd w:id="138"/>
      <w:bookmarkEnd w:id="139"/>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15" w:type="dxa"/>
          <w:right w:w="115" w:type="dxa"/>
        </w:tblCellMar>
        <w:tblLook w:val="0000" w:firstRow="0" w:lastRow="0" w:firstColumn="0" w:lastColumn="0" w:noHBand="0" w:noVBand="0"/>
      </w:tblPr>
      <w:tblGrid>
        <w:gridCol w:w="1285"/>
        <w:gridCol w:w="8055"/>
      </w:tblGrid>
      <w:tr w:rsidR="001C7A69" w:rsidRPr="00956C05" w:rsidDel="00D77A4B" w14:paraId="0928BC01" w14:textId="77777777" w:rsidTr="00093E2C">
        <w:tc>
          <w:tcPr>
            <w:tcW w:w="688" w:type="pct"/>
            <w:shd w:val="clear" w:color="auto" w:fill="235868"/>
            <w:tcMar>
              <w:top w:w="100" w:type="dxa"/>
              <w:left w:w="100" w:type="dxa"/>
              <w:bottom w:w="100" w:type="dxa"/>
              <w:right w:w="100" w:type="dxa"/>
            </w:tcMar>
            <w:vAlign w:val="center"/>
          </w:tcPr>
          <w:p w14:paraId="69DF0177" w14:textId="77777777" w:rsidR="001C7A69" w:rsidRPr="00956C05" w:rsidRDefault="001C7A69" w:rsidP="00E20A53">
            <w:pPr>
              <w:jc w:val="center"/>
              <w:rPr>
                <w:rFonts w:asciiTheme="minorHAnsi" w:hAnsiTheme="minorHAnsi" w:cstheme="minorHAnsi"/>
                <w:b/>
                <w:color w:val="FFFFFF" w:themeColor="background1"/>
                <w:sz w:val="20"/>
                <w:szCs w:val="20"/>
              </w:rPr>
            </w:pPr>
            <w:r w:rsidRPr="00956C05">
              <w:rPr>
                <w:rFonts w:asciiTheme="minorHAnsi" w:hAnsiTheme="minorHAnsi" w:cstheme="minorHAnsi"/>
                <w:b/>
                <w:color w:val="FFFFFF" w:themeColor="background1"/>
                <w:sz w:val="20"/>
                <w:szCs w:val="20"/>
              </w:rPr>
              <w:t>Drugs</w:t>
            </w:r>
          </w:p>
        </w:tc>
        <w:tc>
          <w:tcPr>
            <w:tcW w:w="4312" w:type="pct"/>
            <w:shd w:val="clear" w:color="auto" w:fill="235868"/>
            <w:tcMar>
              <w:top w:w="100" w:type="dxa"/>
              <w:left w:w="100" w:type="dxa"/>
              <w:bottom w:w="100" w:type="dxa"/>
              <w:right w:w="100" w:type="dxa"/>
            </w:tcMar>
            <w:vAlign w:val="center"/>
          </w:tcPr>
          <w:p w14:paraId="2B48210D" w14:textId="77777777" w:rsidR="001C7A69" w:rsidRPr="00956C05" w:rsidRDefault="001C7A69" w:rsidP="00E20A53">
            <w:pPr>
              <w:pStyle w:val="Tabletext"/>
              <w:jc w:val="center"/>
              <w:rPr>
                <w:rFonts w:asciiTheme="minorHAnsi" w:hAnsiTheme="minorHAnsi" w:cstheme="minorHAnsi"/>
                <w:b/>
                <w:color w:val="FFFFFF" w:themeColor="background1"/>
              </w:rPr>
            </w:pPr>
            <w:r w:rsidRPr="00956C05">
              <w:rPr>
                <w:rFonts w:asciiTheme="minorHAnsi" w:hAnsiTheme="minorHAnsi" w:cstheme="minorHAnsi"/>
                <w:b/>
                <w:color w:val="FFFFFF" w:themeColor="background1"/>
              </w:rPr>
              <w:t>Comments</w:t>
            </w:r>
          </w:p>
        </w:tc>
      </w:tr>
      <w:tr w:rsidR="001C7A69" w:rsidRPr="00956C05" w:rsidDel="00D77A4B" w14:paraId="6E2CF6B6" w14:textId="77777777" w:rsidTr="000A384C">
        <w:tc>
          <w:tcPr>
            <w:tcW w:w="688" w:type="pct"/>
            <w:shd w:val="clear" w:color="auto" w:fill="FFFFFF" w:themeFill="background1"/>
            <w:tcMar>
              <w:top w:w="100" w:type="dxa"/>
              <w:left w:w="100" w:type="dxa"/>
              <w:bottom w:w="100" w:type="dxa"/>
              <w:right w:w="100" w:type="dxa"/>
            </w:tcMar>
            <w:vAlign w:val="center"/>
          </w:tcPr>
          <w:p w14:paraId="7AC12264" w14:textId="77777777" w:rsidR="001C7A69" w:rsidRPr="00956C05" w:rsidRDefault="001C7A69" w:rsidP="000A384C">
            <w:pPr>
              <w:jc w:val="left"/>
              <w:rPr>
                <w:rFonts w:asciiTheme="minorHAnsi" w:hAnsiTheme="minorHAnsi" w:cstheme="minorHAnsi"/>
                <w:b/>
                <w:color w:val="000000" w:themeColor="text1"/>
                <w:sz w:val="20"/>
                <w:szCs w:val="20"/>
              </w:rPr>
            </w:pPr>
            <w:r w:rsidRPr="00956C05">
              <w:rPr>
                <w:rFonts w:asciiTheme="minorHAnsi" w:hAnsiTheme="minorHAnsi" w:cstheme="minorHAnsi"/>
                <w:color w:val="000000" w:themeColor="text1"/>
                <w:sz w:val="20"/>
                <w:szCs w:val="20"/>
              </w:rPr>
              <w:lastRenderedPageBreak/>
              <w:t>Lfx or Mfx</w:t>
            </w:r>
          </w:p>
        </w:tc>
        <w:tc>
          <w:tcPr>
            <w:tcW w:w="4312" w:type="pct"/>
            <w:shd w:val="clear" w:color="auto" w:fill="FFFFFF" w:themeFill="background1"/>
            <w:tcMar>
              <w:top w:w="100" w:type="dxa"/>
              <w:left w:w="100" w:type="dxa"/>
              <w:bottom w:w="100" w:type="dxa"/>
              <w:right w:w="100" w:type="dxa"/>
            </w:tcMar>
            <w:vAlign w:val="center"/>
          </w:tcPr>
          <w:p w14:paraId="5E5140BA" w14:textId="2564935D" w:rsidR="001C7A69" w:rsidRPr="00956C05" w:rsidRDefault="001C7A69" w:rsidP="000A384C">
            <w:pPr>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Penetration of the FQ’s into the CNS only occurs in the presence of meningeal inflammation. </w:t>
            </w:r>
            <w:r w:rsidR="00956C05">
              <w:rPr>
                <w:rFonts w:asciiTheme="minorHAnsi" w:hAnsiTheme="minorHAnsi" w:cstheme="minorHAnsi"/>
                <w:color w:val="000000" w:themeColor="text1"/>
                <w:sz w:val="20"/>
                <w:szCs w:val="20"/>
              </w:rPr>
              <w:t>Mfx</w:t>
            </w:r>
            <w:r w:rsidRPr="00956C05">
              <w:rPr>
                <w:rFonts w:asciiTheme="minorHAnsi" w:hAnsiTheme="minorHAnsi" w:cstheme="minorHAnsi"/>
                <w:color w:val="000000" w:themeColor="text1"/>
                <w:sz w:val="20"/>
                <w:szCs w:val="20"/>
              </w:rPr>
              <w:t xml:space="preserve"> is thought to have better penetration based on animal studies.</w:t>
            </w:r>
          </w:p>
        </w:tc>
      </w:tr>
      <w:tr w:rsidR="001C7A69" w:rsidRPr="00956C05" w:rsidDel="00D77A4B" w14:paraId="26BD9B18" w14:textId="77777777" w:rsidTr="000A384C">
        <w:trPr>
          <w:trHeight w:val="213"/>
        </w:trPr>
        <w:tc>
          <w:tcPr>
            <w:tcW w:w="688" w:type="pct"/>
            <w:shd w:val="clear" w:color="auto" w:fill="FFFFFF" w:themeFill="background1"/>
            <w:tcMar>
              <w:top w:w="100" w:type="dxa"/>
              <w:left w:w="100" w:type="dxa"/>
              <w:bottom w:w="100" w:type="dxa"/>
              <w:right w:w="100" w:type="dxa"/>
            </w:tcMar>
            <w:vAlign w:val="center"/>
          </w:tcPr>
          <w:p w14:paraId="4E018779"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Bdq</w:t>
            </w:r>
          </w:p>
        </w:tc>
        <w:tc>
          <w:tcPr>
            <w:tcW w:w="4312" w:type="pct"/>
            <w:shd w:val="clear" w:color="auto" w:fill="FFFFFF" w:themeFill="background1"/>
            <w:tcMar>
              <w:top w:w="100" w:type="dxa"/>
              <w:left w:w="100" w:type="dxa"/>
              <w:bottom w:w="100" w:type="dxa"/>
              <w:right w:w="100" w:type="dxa"/>
            </w:tcMar>
          </w:tcPr>
          <w:p w14:paraId="2BB70167" w14:textId="249EDDD6"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Very limited experience with Bdq in TB meningitis or TB osteomyelitis. One patient with meningitis had undetectable levels of Bdq in CSF.</w:t>
            </w:r>
            <w:r w:rsidRPr="00956C05">
              <w:rPr>
                <w:rStyle w:val="FootnoteReference"/>
                <w:rFonts w:asciiTheme="minorHAnsi" w:hAnsiTheme="minorHAnsi" w:cstheme="minorHAnsi"/>
                <w:color w:val="000000" w:themeColor="text1"/>
              </w:rPr>
              <w:footnoteReference w:id="31"/>
            </w:r>
            <w:r w:rsidRPr="00956C05">
              <w:rPr>
                <w:rFonts w:asciiTheme="minorHAnsi" w:hAnsiTheme="minorHAnsi" w:cstheme="minorHAnsi"/>
                <w:color w:val="000000" w:themeColor="text1"/>
              </w:rPr>
              <w:t xml:space="preserve"> Drug is protein bound and likely has low penetration into the CSF.</w:t>
            </w:r>
            <w:r w:rsidR="0048459F">
              <w:rPr>
                <w:rFonts w:asciiTheme="minorHAnsi" w:hAnsiTheme="minorHAnsi" w:cstheme="minorHAnsi"/>
                <w:color w:val="000000" w:themeColor="text1"/>
              </w:rPr>
              <w:t xml:space="preserve"> It is not </w:t>
            </w:r>
            <w:r w:rsidR="00082462">
              <w:rPr>
                <w:rFonts w:asciiTheme="minorHAnsi" w:hAnsiTheme="minorHAnsi" w:cstheme="minorHAnsi"/>
                <w:color w:val="000000" w:themeColor="text1"/>
              </w:rPr>
              <w:t>been</w:t>
            </w:r>
            <w:r w:rsidR="00C93B8E">
              <w:rPr>
                <w:rFonts w:asciiTheme="minorHAnsi" w:hAnsiTheme="minorHAnsi" w:cstheme="minorHAnsi"/>
                <w:color w:val="000000" w:themeColor="text1"/>
              </w:rPr>
              <w:t xml:space="preserve"> adequately</w:t>
            </w:r>
            <w:r w:rsidR="00082462">
              <w:rPr>
                <w:rFonts w:asciiTheme="minorHAnsi" w:hAnsiTheme="minorHAnsi" w:cstheme="minorHAnsi"/>
                <w:color w:val="000000" w:themeColor="text1"/>
              </w:rPr>
              <w:t xml:space="preserve"> studied</w:t>
            </w:r>
            <w:r w:rsidR="0048459F">
              <w:rPr>
                <w:rFonts w:asciiTheme="minorHAnsi" w:hAnsiTheme="minorHAnsi" w:cstheme="minorHAnsi"/>
                <w:color w:val="000000" w:themeColor="text1"/>
              </w:rPr>
              <w:t xml:space="preserve"> </w:t>
            </w:r>
            <w:r w:rsidR="00CC5B85">
              <w:rPr>
                <w:rFonts w:asciiTheme="minorHAnsi" w:hAnsiTheme="minorHAnsi" w:cstheme="minorHAnsi"/>
                <w:color w:val="000000" w:themeColor="text1"/>
              </w:rPr>
              <w:t xml:space="preserve">if Bdq has </w:t>
            </w:r>
            <w:r w:rsidR="00C93B8E">
              <w:rPr>
                <w:rFonts w:asciiTheme="minorHAnsi" w:hAnsiTheme="minorHAnsi" w:cstheme="minorHAnsi"/>
                <w:color w:val="000000" w:themeColor="text1"/>
              </w:rPr>
              <w:t>significant</w:t>
            </w:r>
            <w:r w:rsidR="00CC5B85">
              <w:rPr>
                <w:rFonts w:asciiTheme="minorHAnsi" w:hAnsiTheme="minorHAnsi" w:cstheme="minorHAnsi"/>
                <w:color w:val="000000" w:themeColor="text1"/>
              </w:rPr>
              <w:t xml:space="preserve"> penetration in inflamed </w:t>
            </w:r>
            <w:r w:rsidR="00082462">
              <w:rPr>
                <w:rFonts w:asciiTheme="minorHAnsi" w:hAnsiTheme="minorHAnsi" w:cstheme="minorHAnsi"/>
                <w:color w:val="000000" w:themeColor="text1"/>
              </w:rPr>
              <w:t>meninges</w:t>
            </w:r>
            <w:r w:rsidR="00C93B8E">
              <w:rPr>
                <w:rFonts w:asciiTheme="minorHAnsi" w:hAnsiTheme="minorHAnsi" w:cstheme="minorHAnsi"/>
                <w:color w:val="000000" w:themeColor="text1"/>
              </w:rPr>
              <w:t xml:space="preserve"> as do many drugs.  </w:t>
            </w:r>
          </w:p>
        </w:tc>
      </w:tr>
      <w:tr w:rsidR="001C7A69" w:rsidRPr="00956C05" w:rsidDel="00D77A4B" w14:paraId="76C05CAD" w14:textId="77777777" w:rsidTr="000A384C">
        <w:tc>
          <w:tcPr>
            <w:tcW w:w="688" w:type="pct"/>
            <w:shd w:val="clear" w:color="auto" w:fill="FFFFFF" w:themeFill="background1"/>
            <w:tcMar>
              <w:top w:w="100" w:type="dxa"/>
              <w:left w:w="100" w:type="dxa"/>
              <w:bottom w:w="100" w:type="dxa"/>
              <w:right w:w="100" w:type="dxa"/>
            </w:tcMar>
            <w:vAlign w:val="center"/>
          </w:tcPr>
          <w:p w14:paraId="52F3B6EB"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Dlm</w:t>
            </w:r>
          </w:p>
        </w:tc>
        <w:tc>
          <w:tcPr>
            <w:tcW w:w="4312" w:type="pct"/>
            <w:shd w:val="clear" w:color="auto" w:fill="FFFFFF" w:themeFill="background1"/>
            <w:tcMar>
              <w:top w:w="100" w:type="dxa"/>
              <w:left w:w="100" w:type="dxa"/>
              <w:bottom w:w="100" w:type="dxa"/>
              <w:right w:w="100" w:type="dxa"/>
            </w:tcMar>
          </w:tcPr>
          <w:p w14:paraId="6ABD2EFC" w14:textId="30890F4D"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Very limited experience with Dlm in TB meningitis or TB osteomyelitis. Drug is protein bound and likely has low penetration into the CSF.</w:t>
            </w:r>
            <w:r w:rsidR="00C93B8E">
              <w:rPr>
                <w:rFonts w:asciiTheme="minorHAnsi" w:hAnsiTheme="minorHAnsi" w:cstheme="minorHAnsi"/>
                <w:color w:val="000000" w:themeColor="text1"/>
              </w:rPr>
              <w:t xml:space="preserve"> It is not been adequately studied if Dlm has significant penetration in inflamed meninges as do many drugs.  </w:t>
            </w:r>
          </w:p>
        </w:tc>
      </w:tr>
      <w:tr w:rsidR="001C7A69" w:rsidRPr="00956C05" w:rsidDel="00D77A4B" w14:paraId="60A9CD6B" w14:textId="77777777" w:rsidTr="000A384C">
        <w:trPr>
          <w:trHeight w:val="231"/>
        </w:trPr>
        <w:tc>
          <w:tcPr>
            <w:tcW w:w="688" w:type="pct"/>
            <w:tcBorders>
              <w:left w:val="single" w:sz="4" w:space="0" w:color="auto"/>
            </w:tcBorders>
            <w:shd w:val="clear" w:color="auto" w:fill="FFFFFF" w:themeFill="background1"/>
            <w:tcMar>
              <w:top w:w="100" w:type="dxa"/>
              <w:left w:w="100" w:type="dxa"/>
              <w:bottom w:w="100" w:type="dxa"/>
              <w:right w:w="100" w:type="dxa"/>
            </w:tcMar>
            <w:vAlign w:val="center"/>
          </w:tcPr>
          <w:p w14:paraId="4CB03E9A"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Lzd</w:t>
            </w:r>
          </w:p>
        </w:tc>
        <w:tc>
          <w:tcPr>
            <w:tcW w:w="4312" w:type="pct"/>
            <w:shd w:val="clear" w:color="auto" w:fill="FFFFFF" w:themeFill="background1"/>
            <w:tcMar>
              <w:top w:w="100" w:type="dxa"/>
              <w:left w:w="100" w:type="dxa"/>
              <w:bottom w:w="100" w:type="dxa"/>
              <w:right w:w="100" w:type="dxa"/>
            </w:tcMar>
          </w:tcPr>
          <w:p w14:paraId="205E6733"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Excellent bone and soft-tissue penetration; commonly used for osteomyelitis due to gram-positive bacteria. Good CNS penetration.</w:t>
            </w:r>
            <w:r w:rsidRPr="00956C05">
              <w:rPr>
                <w:rStyle w:val="FootnoteReference"/>
                <w:rFonts w:asciiTheme="minorHAnsi" w:hAnsiTheme="minorHAnsi" w:cstheme="minorHAnsi"/>
                <w:color w:val="000000" w:themeColor="text1"/>
              </w:rPr>
              <w:footnoteReference w:id="32"/>
            </w:r>
          </w:p>
        </w:tc>
      </w:tr>
      <w:tr w:rsidR="001C7A69" w:rsidRPr="00956C05" w:rsidDel="00D77A4B" w14:paraId="6A195ECD" w14:textId="77777777" w:rsidTr="000A384C">
        <w:tc>
          <w:tcPr>
            <w:tcW w:w="688" w:type="pct"/>
            <w:shd w:val="clear" w:color="auto" w:fill="FFFFFF" w:themeFill="background1"/>
            <w:tcMar>
              <w:top w:w="100" w:type="dxa"/>
              <w:left w:w="100" w:type="dxa"/>
              <w:bottom w:w="100" w:type="dxa"/>
              <w:right w:w="100" w:type="dxa"/>
            </w:tcMar>
            <w:vAlign w:val="center"/>
          </w:tcPr>
          <w:p w14:paraId="6D3A5D0E"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Cfz</w:t>
            </w:r>
          </w:p>
        </w:tc>
        <w:tc>
          <w:tcPr>
            <w:tcW w:w="4312" w:type="pct"/>
            <w:shd w:val="clear" w:color="auto" w:fill="FFFFFF" w:themeFill="background1"/>
            <w:tcMar>
              <w:top w:w="100" w:type="dxa"/>
              <w:left w:w="100" w:type="dxa"/>
              <w:bottom w:w="100" w:type="dxa"/>
              <w:right w:w="100" w:type="dxa"/>
            </w:tcMar>
          </w:tcPr>
          <w:p w14:paraId="7310E475"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 xml:space="preserve">Cfz has been used extensively to treat leprosy lesions in soft tissue, though it is unclear if this means that bone and soft tissue penetration is adequate. </w:t>
            </w:r>
          </w:p>
        </w:tc>
      </w:tr>
      <w:tr w:rsidR="001C7A69" w:rsidRPr="00956C05" w:rsidDel="00D77A4B" w14:paraId="68E7A2B4" w14:textId="77777777" w:rsidTr="000A384C">
        <w:trPr>
          <w:trHeight w:val="150"/>
        </w:trPr>
        <w:tc>
          <w:tcPr>
            <w:tcW w:w="688" w:type="pct"/>
            <w:shd w:val="clear" w:color="auto" w:fill="FFFFFF" w:themeFill="background1"/>
            <w:tcMar>
              <w:top w:w="100" w:type="dxa"/>
              <w:left w:w="100" w:type="dxa"/>
              <w:bottom w:w="100" w:type="dxa"/>
              <w:right w:w="100" w:type="dxa"/>
            </w:tcMar>
            <w:vAlign w:val="center"/>
          </w:tcPr>
          <w:p w14:paraId="6A56D9E1"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Z</w:t>
            </w:r>
          </w:p>
        </w:tc>
        <w:tc>
          <w:tcPr>
            <w:tcW w:w="4312" w:type="pct"/>
            <w:shd w:val="clear" w:color="auto" w:fill="FFFFFF" w:themeFill="background1"/>
            <w:tcMar>
              <w:top w:w="100" w:type="dxa"/>
              <w:left w:w="100" w:type="dxa"/>
              <w:bottom w:w="100" w:type="dxa"/>
              <w:right w:w="100" w:type="dxa"/>
            </w:tcMar>
          </w:tcPr>
          <w:p w14:paraId="20F16CCC" w14:textId="39D6AD2A" w:rsidR="001C7A69" w:rsidRPr="00956C05" w:rsidRDefault="00956C05" w:rsidP="000A384C">
            <w:pPr>
              <w:pStyle w:val="Tabletext"/>
              <w:rPr>
                <w:rFonts w:asciiTheme="minorHAnsi" w:hAnsiTheme="minorHAnsi" w:cstheme="minorHAnsi"/>
                <w:color w:val="000000" w:themeColor="text1"/>
              </w:rPr>
            </w:pPr>
            <w:r>
              <w:rPr>
                <w:rFonts w:asciiTheme="minorHAnsi" w:hAnsiTheme="minorHAnsi" w:cstheme="minorHAnsi"/>
                <w:color w:val="000000" w:themeColor="text1"/>
              </w:rPr>
              <w:t>Z</w:t>
            </w:r>
            <w:r w:rsidR="001C7A69" w:rsidRPr="00956C05">
              <w:rPr>
                <w:rFonts w:asciiTheme="minorHAnsi" w:hAnsiTheme="minorHAnsi" w:cstheme="minorHAnsi"/>
                <w:color w:val="000000" w:themeColor="text1"/>
              </w:rPr>
              <w:t xml:space="preserve"> has good penetration in bone, soft tissues and CNS.</w:t>
            </w:r>
          </w:p>
        </w:tc>
      </w:tr>
    </w:tbl>
    <w:p w14:paraId="1959B001" w14:textId="77777777" w:rsidR="001C7A69" w:rsidRPr="00B85017" w:rsidRDefault="001C7A69" w:rsidP="001C7A69">
      <w:pPr>
        <w:rPr>
          <w:color w:val="000000" w:themeColor="text1"/>
        </w:rPr>
      </w:pPr>
    </w:p>
    <w:p w14:paraId="20C1DD53" w14:textId="77777777" w:rsidR="001C7A69" w:rsidRPr="00003170" w:rsidRDefault="001C7A69" w:rsidP="00003170">
      <w:pPr>
        <w:pStyle w:val="Heading2"/>
      </w:pPr>
      <w:bookmarkStart w:id="140" w:name="_Toc12792961"/>
      <w:bookmarkStart w:id="141" w:name="_Ref12885190"/>
      <w:bookmarkStart w:id="142" w:name="_Ref12887262"/>
      <w:bookmarkStart w:id="143" w:name="_Toc12952372"/>
      <w:bookmarkStart w:id="144" w:name="_Toc13486721"/>
      <w:r w:rsidRPr="00003170">
        <w:t>Co-morbidities (HIV, chronic renal disease and insufficiency, hepatitis C)</w:t>
      </w:r>
      <w:bookmarkEnd w:id="140"/>
      <w:bookmarkEnd w:id="141"/>
      <w:bookmarkEnd w:id="142"/>
      <w:bookmarkEnd w:id="143"/>
      <w:bookmarkEnd w:id="144"/>
    </w:p>
    <w:p w14:paraId="48546D27" w14:textId="5ED23739" w:rsidR="001C7A69" w:rsidRPr="00DE5FDC" w:rsidRDefault="001C7A69" w:rsidP="002C4FED">
      <w:pPr>
        <w:pStyle w:val="Heading3"/>
        <w:rPr>
          <w:rFonts w:asciiTheme="minorHAnsi" w:hAnsiTheme="minorHAnsi"/>
        </w:rPr>
      </w:pPr>
      <w:bookmarkStart w:id="145" w:name="_Toc12885974"/>
      <w:bookmarkStart w:id="146" w:name="_Toc12886221"/>
      <w:bookmarkStart w:id="147" w:name="_Toc13486768"/>
      <w:r w:rsidRPr="00DE5FDC">
        <w:rPr>
          <w:rFonts w:asciiTheme="minorHAnsi" w:hAnsiTheme="minorHAnsi"/>
        </w:rPr>
        <w:t xml:space="preserve">Table </w:t>
      </w:r>
      <w:r w:rsidR="005E0DF4" w:rsidRPr="00DE5FDC">
        <w:rPr>
          <w:rFonts w:asciiTheme="minorHAnsi" w:hAnsiTheme="minorHAnsi"/>
        </w:rPr>
        <w:t>10</w:t>
      </w:r>
      <w:r w:rsidRPr="00DE5FDC">
        <w:rPr>
          <w:rFonts w:asciiTheme="minorHAnsi" w:hAnsiTheme="minorHAnsi"/>
        </w:rPr>
        <w:t xml:space="preserve"> Special populations</w:t>
      </w:r>
      <w:bookmarkEnd w:id="145"/>
      <w:bookmarkEnd w:id="146"/>
      <w:bookmarkEnd w:id="147"/>
    </w:p>
    <w:tbl>
      <w:tblPr>
        <w:tblW w:w="5150" w:type="pct"/>
        <w:tblInd w:w="-2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15" w:type="dxa"/>
          <w:right w:w="115" w:type="dxa"/>
        </w:tblCellMar>
        <w:tblLook w:val="0000" w:firstRow="0" w:lastRow="0" w:firstColumn="0" w:lastColumn="0" w:noHBand="0" w:noVBand="0"/>
      </w:tblPr>
      <w:tblGrid>
        <w:gridCol w:w="1749"/>
        <w:gridCol w:w="7871"/>
      </w:tblGrid>
      <w:tr w:rsidR="00C11F94" w:rsidRPr="00956C05" w:rsidDel="00D77A4B" w14:paraId="607A542A" w14:textId="77777777" w:rsidTr="00093E2C">
        <w:tc>
          <w:tcPr>
            <w:tcW w:w="909" w:type="pct"/>
            <w:shd w:val="clear" w:color="auto" w:fill="235868"/>
            <w:tcMar>
              <w:top w:w="100" w:type="dxa"/>
              <w:left w:w="100" w:type="dxa"/>
              <w:bottom w:w="100" w:type="dxa"/>
              <w:right w:w="100" w:type="dxa"/>
            </w:tcMar>
            <w:vAlign w:val="center"/>
          </w:tcPr>
          <w:p w14:paraId="69EC4D41" w14:textId="77777777" w:rsidR="001C7A69" w:rsidRPr="00956C05" w:rsidRDefault="001C7A69" w:rsidP="00E20A53">
            <w:pPr>
              <w:jc w:val="center"/>
              <w:rPr>
                <w:rFonts w:asciiTheme="minorHAnsi" w:hAnsiTheme="minorHAnsi" w:cstheme="minorHAnsi"/>
                <w:b/>
                <w:color w:val="FFFFFF" w:themeColor="background1"/>
                <w:sz w:val="20"/>
                <w:szCs w:val="20"/>
              </w:rPr>
            </w:pPr>
            <w:r w:rsidRPr="00956C05">
              <w:rPr>
                <w:rFonts w:asciiTheme="minorHAnsi" w:hAnsiTheme="minorHAnsi" w:cstheme="minorHAnsi"/>
                <w:b/>
                <w:color w:val="FFFFFF" w:themeColor="background1"/>
                <w:sz w:val="20"/>
                <w:szCs w:val="20"/>
              </w:rPr>
              <w:t>Situation</w:t>
            </w:r>
          </w:p>
        </w:tc>
        <w:tc>
          <w:tcPr>
            <w:tcW w:w="4091" w:type="pct"/>
            <w:shd w:val="clear" w:color="auto" w:fill="235868"/>
            <w:tcMar>
              <w:top w:w="100" w:type="dxa"/>
              <w:left w:w="100" w:type="dxa"/>
              <w:bottom w:w="100" w:type="dxa"/>
              <w:right w:w="100" w:type="dxa"/>
            </w:tcMar>
            <w:vAlign w:val="center"/>
          </w:tcPr>
          <w:p w14:paraId="295C9985" w14:textId="77777777" w:rsidR="001C7A69" w:rsidRPr="00956C05" w:rsidRDefault="001C7A69" w:rsidP="00E20A53">
            <w:pPr>
              <w:pStyle w:val="Tabletext"/>
              <w:jc w:val="center"/>
              <w:rPr>
                <w:rFonts w:asciiTheme="minorHAnsi" w:hAnsiTheme="minorHAnsi" w:cstheme="minorHAnsi"/>
                <w:b/>
                <w:color w:val="FFFFFF" w:themeColor="background1"/>
              </w:rPr>
            </w:pPr>
            <w:r w:rsidRPr="00956C05">
              <w:rPr>
                <w:rFonts w:asciiTheme="minorHAnsi" w:hAnsiTheme="minorHAnsi" w:cstheme="minorHAnsi"/>
                <w:b/>
                <w:color w:val="FFFFFF" w:themeColor="background1"/>
              </w:rPr>
              <w:t>Recommendations</w:t>
            </w:r>
          </w:p>
        </w:tc>
      </w:tr>
      <w:tr w:rsidR="00C11F94" w:rsidRPr="00956C05" w:rsidDel="00D77A4B" w14:paraId="144E3657" w14:textId="77777777" w:rsidTr="000A384C">
        <w:tc>
          <w:tcPr>
            <w:tcW w:w="909" w:type="pct"/>
            <w:shd w:val="clear" w:color="auto" w:fill="FFFFFF" w:themeFill="background1"/>
            <w:tcMar>
              <w:top w:w="100" w:type="dxa"/>
              <w:left w:w="100" w:type="dxa"/>
              <w:bottom w:w="100" w:type="dxa"/>
              <w:right w:w="100" w:type="dxa"/>
            </w:tcMar>
            <w:vAlign w:val="center"/>
          </w:tcPr>
          <w:p w14:paraId="4FFBA8B9"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HIV</w:t>
            </w:r>
          </w:p>
        </w:tc>
        <w:tc>
          <w:tcPr>
            <w:tcW w:w="4091" w:type="pct"/>
            <w:shd w:val="clear" w:color="auto" w:fill="FFFFFF" w:themeFill="background1"/>
            <w:tcMar>
              <w:top w:w="100" w:type="dxa"/>
              <w:left w:w="100" w:type="dxa"/>
              <w:bottom w:w="100" w:type="dxa"/>
              <w:right w:w="100" w:type="dxa"/>
            </w:tcMar>
          </w:tcPr>
          <w:p w14:paraId="04849668" w14:textId="77777777" w:rsidR="001C7A69" w:rsidRPr="00956C05" w:rsidRDefault="001C7A69" w:rsidP="000A384C">
            <w:pPr>
              <w:pStyle w:val="ListBullet"/>
              <w:spacing w:before="0"/>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Antiretroviral therapy (ART) should be given to any HIV co-infected MDR-TB patient without delay. </w:t>
            </w:r>
          </w:p>
          <w:p w14:paraId="6D8AB50C" w14:textId="77777777" w:rsidR="001C7A69" w:rsidRPr="00956C05" w:rsidRDefault="001C7A69" w:rsidP="000A384C">
            <w:pPr>
              <w:pStyle w:val="ListBullet"/>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ART can be started as soon as MDR-TB treatment is tolerated—usually within a few days. The risk of immune reconstitution syndrome can be mitigated by designing an appropriate MDR-TB regimen. </w:t>
            </w:r>
          </w:p>
          <w:p w14:paraId="7D508012" w14:textId="033763E1" w:rsidR="001C7A69" w:rsidRPr="00956C05" w:rsidRDefault="00085F89" w:rsidP="000A384C">
            <w:pPr>
              <w:pStyle w:val="ListBullet"/>
              <w:spacing w:after="0"/>
              <w:jc w:val="lef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Bdq</w:t>
            </w:r>
            <w:r w:rsidR="001C7A69" w:rsidRPr="00956C05">
              <w:rPr>
                <w:rFonts w:asciiTheme="minorHAnsi" w:hAnsiTheme="minorHAnsi" w:cstheme="minorHAnsi"/>
                <w:color w:val="000000" w:themeColor="text1"/>
                <w:sz w:val="20"/>
                <w:szCs w:val="20"/>
              </w:rPr>
              <w:t xml:space="preserve"> has important interactions with ART that will affect the choice of ART (see section 3.3.2). </w:t>
            </w:r>
          </w:p>
        </w:tc>
      </w:tr>
      <w:tr w:rsidR="00C11F94" w:rsidRPr="00956C05" w:rsidDel="00D77A4B" w14:paraId="6BF5D9C7" w14:textId="77777777" w:rsidTr="000A384C">
        <w:tc>
          <w:tcPr>
            <w:tcW w:w="909" w:type="pct"/>
            <w:shd w:val="clear" w:color="auto" w:fill="FFFFFF" w:themeFill="background1"/>
            <w:tcMar>
              <w:top w:w="100" w:type="dxa"/>
              <w:left w:w="100" w:type="dxa"/>
              <w:bottom w:w="100" w:type="dxa"/>
              <w:right w:w="100" w:type="dxa"/>
            </w:tcMar>
            <w:vAlign w:val="center"/>
          </w:tcPr>
          <w:p w14:paraId="17876E91"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lastRenderedPageBreak/>
              <w:t>Chronic renal insufficiency</w:t>
            </w:r>
          </w:p>
        </w:tc>
        <w:tc>
          <w:tcPr>
            <w:tcW w:w="4091" w:type="pct"/>
            <w:shd w:val="clear" w:color="auto" w:fill="FFFFFF" w:themeFill="background1"/>
            <w:tcMar>
              <w:top w:w="100" w:type="dxa"/>
              <w:left w:w="100" w:type="dxa"/>
              <w:bottom w:w="100" w:type="dxa"/>
              <w:right w:w="100" w:type="dxa"/>
            </w:tcMar>
          </w:tcPr>
          <w:p w14:paraId="41A964AD" w14:textId="1D7CE87A" w:rsidR="001C7A69" w:rsidRPr="00956C05" w:rsidRDefault="00085F89" w:rsidP="000A384C">
            <w:pPr>
              <w:pStyle w:val="ListBullet"/>
              <w:spacing w:before="0"/>
              <w:jc w:val="lef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Bdq</w:t>
            </w:r>
            <w:r w:rsidR="001C7A69" w:rsidRPr="00956C05">
              <w:rPr>
                <w:rFonts w:asciiTheme="minorHAnsi" w:hAnsiTheme="minorHAnsi" w:cstheme="minorHAnsi"/>
                <w:color w:val="000000" w:themeColor="text1"/>
                <w:sz w:val="20"/>
                <w:szCs w:val="20"/>
              </w:rPr>
              <w:t xml:space="preserve"> and </w:t>
            </w:r>
            <w:r>
              <w:rPr>
                <w:rFonts w:asciiTheme="minorHAnsi" w:hAnsiTheme="minorHAnsi" w:cstheme="minorHAnsi"/>
                <w:color w:val="000000" w:themeColor="text1"/>
                <w:sz w:val="20"/>
                <w:szCs w:val="20"/>
              </w:rPr>
              <w:t>Dlm</w:t>
            </w:r>
            <w:r w:rsidR="001C7A69" w:rsidRPr="00956C05">
              <w:rPr>
                <w:rFonts w:asciiTheme="minorHAnsi" w:hAnsiTheme="minorHAnsi" w:cstheme="minorHAnsi"/>
                <w:color w:val="000000" w:themeColor="text1"/>
                <w:sz w:val="20"/>
                <w:szCs w:val="20"/>
              </w:rPr>
              <w:t xml:space="preserve"> are not renally excreted and no dose adjustment is required in mild/moderate renal insufficiency. There is no data on the use of either of these drugs in patients with severe renal impairment. </w:t>
            </w:r>
          </w:p>
          <w:p w14:paraId="1A881CF0" w14:textId="42A7361E" w:rsidR="001C7A69" w:rsidRPr="00956C05" w:rsidRDefault="001C7A69" w:rsidP="000A384C">
            <w:pPr>
              <w:pStyle w:val="ListBullet"/>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No dose adjustment of </w:t>
            </w:r>
            <w:r w:rsidR="00085F89">
              <w:rPr>
                <w:rFonts w:asciiTheme="minorHAnsi" w:hAnsiTheme="minorHAnsi" w:cstheme="minorHAnsi"/>
                <w:color w:val="000000" w:themeColor="text1"/>
                <w:sz w:val="20"/>
                <w:szCs w:val="20"/>
              </w:rPr>
              <w:t>Lzd</w:t>
            </w:r>
            <w:r w:rsidRPr="00956C05">
              <w:rPr>
                <w:rFonts w:asciiTheme="minorHAnsi" w:hAnsiTheme="minorHAnsi" w:cstheme="minorHAnsi"/>
                <w:color w:val="000000" w:themeColor="text1"/>
                <w:sz w:val="20"/>
                <w:szCs w:val="20"/>
              </w:rPr>
              <w:t xml:space="preserve"> is required in patients with renal impairment; however, the two primary metabolites of </w:t>
            </w:r>
            <w:r w:rsidR="00085F89">
              <w:rPr>
                <w:rFonts w:asciiTheme="minorHAnsi" w:hAnsiTheme="minorHAnsi" w:cstheme="minorHAnsi"/>
                <w:color w:val="000000" w:themeColor="text1"/>
                <w:sz w:val="20"/>
                <w:szCs w:val="20"/>
              </w:rPr>
              <w:t>Lzd</w:t>
            </w:r>
            <w:r w:rsidRPr="00956C05">
              <w:rPr>
                <w:rFonts w:asciiTheme="minorHAnsi" w:hAnsiTheme="minorHAnsi" w:cstheme="minorHAnsi"/>
                <w:color w:val="000000" w:themeColor="text1"/>
                <w:sz w:val="20"/>
                <w:szCs w:val="20"/>
              </w:rPr>
              <w:t xml:space="preserve"> accumulate in patients with renal impairment and the clinical significance of this is unknown.</w:t>
            </w:r>
          </w:p>
          <w:p w14:paraId="72CADFBA" w14:textId="2495D26B" w:rsidR="001C7A69" w:rsidRPr="00956C05" w:rsidRDefault="001C7A69" w:rsidP="000A384C">
            <w:pPr>
              <w:pStyle w:val="ListBullet"/>
              <w:spacing w:after="0"/>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No dose adjustment of </w:t>
            </w:r>
            <w:r w:rsidR="00085F89">
              <w:rPr>
                <w:rFonts w:asciiTheme="minorHAnsi" w:hAnsiTheme="minorHAnsi" w:cstheme="minorHAnsi"/>
                <w:color w:val="000000" w:themeColor="text1"/>
                <w:sz w:val="20"/>
                <w:szCs w:val="20"/>
              </w:rPr>
              <w:t>Cfz</w:t>
            </w:r>
            <w:r w:rsidRPr="00956C05">
              <w:rPr>
                <w:rFonts w:asciiTheme="minorHAnsi" w:hAnsiTheme="minorHAnsi" w:cstheme="minorHAnsi"/>
                <w:color w:val="000000" w:themeColor="text1"/>
                <w:sz w:val="20"/>
                <w:szCs w:val="20"/>
              </w:rPr>
              <w:t xml:space="preserve"> is required in patients with renal impairment.</w:t>
            </w:r>
          </w:p>
        </w:tc>
      </w:tr>
      <w:tr w:rsidR="00C11F94" w:rsidRPr="00956C05" w:rsidDel="00D77A4B" w14:paraId="651A249C" w14:textId="77777777" w:rsidTr="000A384C">
        <w:trPr>
          <w:trHeight w:val="915"/>
        </w:trPr>
        <w:tc>
          <w:tcPr>
            <w:tcW w:w="909" w:type="pct"/>
            <w:tcBorders>
              <w:left w:val="single" w:sz="4" w:space="0" w:color="auto"/>
            </w:tcBorders>
            <w:shd w:val="clear" w:color="auto" w:fill="FFFFFF" w:themeFill="background1"/>
            <w:tcMar>
              <w:top w:w="100" w:type="dxa"/>
              <w:left w:w="100" w:type="dxa"/>
              <w:bottom w:w="100" w:type="dxa"/>
              <w:right w:w="100" w:type="dxa"/>
            </w:tcMar>
            <w:vAlign w:val="center"/>
          </w:tcPr>
          <w:p w14:paraId="51B0A732" w14:textId="77777777" w:rsidR="001C7A69" w:rsidRPr="00956C05" w:rsidRDefault="001C7A69"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Hepatitis C</w:t>
            </w:r>
          </w:p>
        </w:tc>
        <w:tc>
          <w:tcPr>
            <w:tcW w:w="4091" w:type="pct"/>
            <w:shd w:val="clear" w:color="auto" w:fill="FFFFFF" w:themeFill="background1"/>
            <w:tcMar>
              <w:top w:w="100" w:type="dxa"/>
              <w:left w:w="100" w:type="dxa"/>
              <w:bottom w:w="100" w:type="dxa"/>
              <w:right w:w="100" w:type="dxa"/>
            </w:tcMar>
          </w:tcPr>
          <w:p w14:paraId="010B0568" w14:textId="77777777" w:rsidR="001C7A69" w:rsidRPr="00956C05" w:rsidRDefault="001C7A69" w:rsidP="000A384C">
            <w:pPr>
              <w:pStyle w:val="ListBullet"/>
              <w:spacing w:before="0"/>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MDR-TB is strongly correlated with hepatitis C infection in many countries. </w:t>
            </w:r>
          </w:p>
          <w:p w14:paraId="1EDB0AE6" w14:textId="77777777" w:rsidR="001C7A69" w:rsidRPr="00956C05" w:rsidRDefault="001C7A69" w:rsidP="000A384C">
            <w:pPr>
              <w:pStyle w:val="ListBullet"/>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Active hepatitis C is a risk factor for MDR-TB treatment failure. </w:t>
            </w:r>
          </w:p>
          <w:p w14:paraId="543DE229" w14:textId="0BA602AE" w:rsidR="001C7A69" w:rsidRPr="00956C05" w:rsidRDefault="001C7A69" w:rsidP="000A384C">
            <w:pPr>
              <w:pStyle w:val="ListBullet"/>
              <w:spacing w:after="0"/>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Direct-acting antivirals (DAAs) are well-tolerated when given with MDR-TB treatment</w:t>
            </w:r>
            <w:r w:rsidR="002D1B98">
              <w:rPr>
                <w:rFonts w:asciiTheme="minorHAnsi" w:hAnsiTheme="minorHAnsi" w:cstheme="minorHAnsi"/>
                <w:color w:val="000000" w:themeColor="text1"/>
                <w:sz w:val="20"/>
                <w:szCs w:val="20"/>
              </w:rPr>
              <w:t>, although experience is limited</w:t>
            </w:r>
            <w:r w:rsidRPr="00956C05">
              <w:rPr>
                <w:rFonts w:asciiTheme="minorHAnsi" w:hAnsiTheme="minorHAnsi" w:cstheme="minorHAnsi"/>
                <w:color w:val="000000" w:themeColor="text1"/>
                <w:sz w:val="20"/>
                <w:szCs w:val="20"/>
              </w:rPr>
              <w:t xml:space="preserve">.  </w:t>
            </w:r>
          </w:p>
        </w:tc>
      </w:tr>
      <w:tr w:rsidR="00C11F94" w:rsidRPr="00956C05" w:rsidDel="00D77A4B" w14:paraId="2A8D07A4" w14:textId="77777777" w:rsidTr="000A384C">
        <w:trPr>
          <w:trHeight w:val="915"/>
        </w:trPr>
        <w:tc>
          <w:tcPr>
            <w:tcW w:w="909" w:type="pct"/>
            <w:tcBorders>
              <w:left w:val="single" w:sz="4" w:space="0" w:color="auto"/>
            </w:tcBorders>
            <w:shd w:val="clear" w:color="auto" w:fill="FFFFFF" w:themeFill="background1"/>
            <w:tcMar>
              <w:top w:w="100" w:type="dxa"/>
              <w:left w:w="100" w:type="dxa"/>
              <w:bottom w:w="100" w:type="dxa"/>
              <w:right w:w="100" w:type="dxa"/>
            </w:tcMar>
            <w:vAlign w:val="center"/>
          </w:tcPr>
          <w:p w14:paraId="2A6D5F81" w14:textId="7A25D685" w:rsidR="00A51BFF" w:rsidRPr="00956C05" w:rsidRDefault="00A51BFF" w:rsidP="000A384C">
            <w:pPr>
              <w:pStyle w:val="Tabletext"/>
              <w:rPr>
                <w:rFonts w:asciiTheme="minorHAnsi" w:hAnsiTheme="minorHAnsi" w:cstheme="minorHAnsi"/>
                <w:color w:val="000000" w:themeColor="text1"/>
              </w:rPr>
            </w:pPr>
            <w:r w:rsidRPr="00956C05">
              <w:rPr>
                <w:rFonts w:asciiTheme="minorHAnsi" w:hAnsiTheme="minorHAnsi" w:cstheme="minorHAnsi"/>
                <w:color w:val="000000" w:themeColor="text1"/>
              </w:rPr>
              <w:t>Diabetes</w:t>
            </w:r>
          </w:p>
        </w:tc>
        <w:tc>
          <w:tcPr>
            <w:tcW w:w="4091" w:type="pct"/>
            <w:shd w:val="clear" w:color="auto" w:fill="FFFFFF" w:themeFill="background1"/>
            <w:tcMar>
              <w:top w:w="100" w:type="dxa"/>
              <w:left w:w="100" w:type="dxa"/>
              <w:bottom w:w="100" w:type="dxa"/>
              <w:right w:w="100" w:type="dxa"/>
            </w:tcMar>
          </w:tcPr>
          <w:p w14:paraId="16B222D8" w14:textId="0AEE73AD" w:rsidR="00A51BFF" w:rsidRPr="00956C05" w:rsidRDefault="00A51BFF" w:rsidP="000A384C">
            <w:pPr>
              <w:pStyle w:val="ListBullet"/>
              <w:spacing w:before="0"/>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Diabetes is a risk factor for renal disease, peripheral neuropathy and eye disease.  </w:t>
            </w:r>
          </w:p>
          <w:p w14:paraId="78D874F5" w14:textId="686F8F22" w:rsidR="00784536" w:rsidRPr="00956C05" w:rsidRDefault="00784536" w:rsidP="000A384C">
            <w:pPr>
              <w:pStyle w:val="ListBullet"/>
              <w:spacing w:before="0"/>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Close monitoring for peripheral neuropathy is warranted in diabetic patients on </w:t>
            </w:r>
            <w:r w:rsidR="00085F89">
              <w:rPr>
                <w:rFonts w:asciiTheme="minorHAnsi" w:hAnsiTheme="minorHAnsi" w:cstheme="minorHAnsi"/>
                <w:color w:val="000000" w:themeColor="text1"/>
                <w:sz w:val="20"/>
                <w:szCs w:val="20"/>
              </w:rPr>
              <w:t>Lzd</w:t>
            </w:r>
            <w:r w:rsidRPr="00956C05">
              <w:rPr>
                <w:rFonts w:asciiTheme="minorHAnsi" w:hAnsiTheme="minorHAnsi" w:cstheme="minorHAnsi"/>
                <w:color w:val="000000" w:themeColor="text1"/>
                <w:sz w:val="20"/>
                <w:szCs w:val="20"/>
              </w:rPr>
              <w:t xml:space="preserve"> with a low threshold for lowering the dose or stopping the drug if peripheral neuropathy develops or exacerbates while on treatment. </w:t>
            </w:r>
          </w:p>
          <w:p w14:paraId="40F5A378" w14:textId="1096F981" w:rsidR="00A51BFF" w:rsidRPr="00956C05" w:rsidRDefault="00A51BFF" w:rsidP="000A384C">
            <w:pPr>
              <w:pStyle w:val="ListBullet"/>
              <w:spacing w:before="0"/>
              <w:jc w:val="left"/>
              <w:rPr>
                <w:rFonts w:asciiTheme="minorHAnsi" w:hAnsiTheme="minorHAnsi" w:cstheme="minorHAnsi"/>
                <w:color w:val="000000" w:themeColor="text1"/>
                <w:sz w:val="20"/>
                <w:szCs w:val="20"/>
              </w:rPr>
            </w:pPr>
            <w:r w:rsidRPr="00956C05">
              <w:rPr>
                <w:rFonts w:asciiTheme="minorHAnsi" w:hAnsiTheme="minorHAnsi" w:cstheme="minorHAnsi"/>
                <w:color w:val="000000" w:themeColor="text1"/>
                <w:sz w:val="20"/>
                <w:szCs w:val="20"/>
              </w:rPr>
              <w:t xml:space="preserve">Treatment of diabetes with normalization of theHgA1C should occur concurrently with MDR-TB treatment. </w:t>
            </w:r>
          </w:p>
        </w:tc>
      </w:tr>
    </w:tbl>
    <w:p w14:paraId="44F9D2AF" w14:textId="6C60281F" w:rsidR="00AF574C" w:rsidRDefault="00AF574C" w:rsidP="001C7A69">
      <w:pPr>
        <w:rPr>
          <w:rFonts w:ascii="Calibri" w:eastAsia="MS Gothic" w:hAnsi="Calibri"/>
          <w:color w:val="000000" w:themeColor="text1"/>
          <w:sz w:val="28"/>
          <w:szCs w:val="28"/>
        </w:rPr>
      </w:pPr>
    </w:p>
    <w:p w14:paraId="3FF0176F" w14:textId="77777777" w:rsidR="00A10278" w:rsidRPr="00B85017" w:rsidRDefault="00A10278" w:rsidP="001C7A69">
      <w:pPr>
        <w:rPr>
          <w:rFonts w:ascii="Calibri" w:eastAsia="MS Gothic" w:hAnsi="Calibri"/>
          <w:color w:val="000000" w:themeColor="text1"/>
          <w:sz w:val="28"/>
          <w:szCs w:val="28"/>
        </w:rPr>
      </w:pPr>
    </w:p>
    <w:p w14:paraId="0438750A" w14:textId="4EFF2DBA" w:rsidR="00E8522C" w:rsidRPr="00003170" w:rsidRDefault="00E8522C" w:rsidP="00003170">
      <w:pPr>
        <w:pStyle w:val="Heading2"/>
      </w:pPr>
      <w:bookmarkStart w:id="148" w:name="_Toc12792962"/>
      <w:bookmarkStart w:id="149" w:name="_Ref12885092"/>
      <w:bookmarkStart w:id="150" w:name="_Toc12952373"/>
      <w:bookmarkStart w:id="151" w:name="_Toc13486722"/>
      <w:r w:rsidRPr="00003170">
        <w:t>Definitions: culture conversion, t</w:t>
      </w:r>
      <w:r w:rsidR="0032141E" w:rsidRPr="00003170">
        <w:t xml:space="preserve">reatment outcome definitions and </w:t>
      </w:r>
      <w:r w:rsidR="00D150A4" w:rsidRPr="00003170">
        <w:t>recurrence</w:t>
      </w:r>
      <w:bookmarkEnd w:id="148"/>
      <w:bookmarkEnd w:id="149"/>
      <w:bookmarkEnd w:id="150"/>
      <w:bookmarkEnd w:id="151"/>
    </w:p>
    <w:p w14:paraId="6E16D068" w14:textId="477DFE45" w:rsidR="00E8522C" w:rsidRPr="009D1960" w:rsidRDefault="00E8522C" w:rsidP="00E8522C">
      <w:pPr>
        <w:spacing w:before="0" w:after="0"/>
        <w:contextualSpacing/>
        <w:jc w:val="left"/>
        <w:rPr>
          <w:rFonts w:asciiTheme="minorHAnsi" w:eastAsia="Times New Roman" w:hAnsiTheme="minorHAnsi" w:cstheme="minorHAnsi"/>
          <w:bCs/>
          <w:color w:val="000000" w:themeColor="text1"/>
          <w:lang w:eastAsia="ko-KR"/>
        </w:rPr>
      </w:pPr>
      <w:r w:rsidRPr="009D1960">
        <w:rPr>
          <w:rFonts w:asciiTheme="minorHAnsi" w:eastAsia="Times New Roman" w:hAnsiTheme="minorHAnsi" w:cstheme="minorHAnsi"/>
          <w:bCs/>
          <w:color w:val="000000" w:themeColor="text1"/>
          <w:lang w:eastAsia="ko-KR"/>
        </w:rPr>
        <w:t>Culture conversion and reversion are defined as the following:</w:t>
      </w:r>
    </w:p>
    <w:p w14:paraId="66E1BB0E" w14:textId="25C193DF"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br/>
        <w:t>Conversion</w:t>
      </w:r>
      <w:r w:rsidRPr="009D1960">
        <w:rPr>
          <w:rFonts w:asciiTheme="minorHAnsi" w:eastAsia="Times New Roman" w:hAnsiTheme="minorHAnsi" w:cstheme="minorHAnsi"/>
          <w:color w:val="000000" w:themeColor="text1"/>
          <w:lang w:eastAsia="ko-KR"/>
        </w:rPr>
        <w:t xml:space="preserve"> (to negative)</w:t>
      </w:r>
    </w:p>
    <w:p w14:paraId="7CD2018B" w14:textId="4BC28910"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 xml:space="preserve">Culture is considered to have converted to negative when two consecutive cultures taken at least </w:t>
      </w:r>
      <w:r w:rsidR="00ED09E7">
        <w:rPr>
          <w:rFonts w:asciiTheme="minorHAnsi" w:eastAsia="Times New Roman" w:hAnsiTheme="minorHAnsi" w:cstheme="minorHAnsi"/>
          <w:color w:val="000000" w:themeColor="text1"/>
          <w:lang w:eastAsia="ko-KR"/>
        </w:rPr>
        <w:t>15</w:t>
      </w:r>
      <w:r w:rsidRPr="009D1960">
        <w:rPr>
          <w:rFonts w:asciiTheme="minorHAnsi" w:eastAsia="Times New Roman" w:hAnsiTheme="minorHAnsi" w:cstheme="minorHAnsi"/>
          <w:color w:val="000000" w:themeColor="text1"/>
          <w:lang w:eastAsia="ko-KR"/>
        </w:rPr>
        <w:t xml:space="preserve"> days apart are found to be negative. In such case, the specimen collection date of the first negative culture is used as the date of</w:t>
      </w:r>
      <w:r w:rsidRPr="009D1960">
        <w:rPr>
          <w:rFonts w:asciiTheme="minorHAnsi" w:eastAsia="Times New Roman" w:hAnsiTheme="minorHAnsi" w:cstheme="minorHAnsi"/>
          <w:color w:val="000000" w:themeColor="text1"/>
          <w:spacing w:val="-4"/>
          <w:lang w:eastAsia="ko-KR"/>
        </w:rPr>
        <w:t xml:space="preserve"> </w:t>
      </w:r>
      <w:r w:rsidRPr="009D1960">
        <w:rPr>
          <w:rFonts w:asciiTheme="minorHAnsi" w:eastAsia="Times New Roman" w:hAnsiTheme="minorHAnsi" w:cstheme="minorHAnsi"/>
          <w:color w:val="000000" w:themeColor="text1"/>
          <w:lang w:eastAsia="ko-KR"/>
        </w:rPr>
        <w:t>conversion.</w:t>
      </w:r>
    </w:p>
    <w:p w14:paraId="1F921C32"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p>
    <w:p w14:paraId="435076D1"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Reversion</w:t>
      </w:r>
      <w:r w:rsidRPr="009D1960">
        <w:rPr>
          <w:rFonts w:asciiTheme="minorHAnsi" w:eastAsia="Times New Roman" w:hAnsiTheme="minorHAnsi" w:cstheme="minorHAnsi"/>
          <w:color w:val="000000" w:themeColor="text1"/>
          <w:lang w:eastAsia="ko-KR"/>
        </w:rPr>
        <w:t xml:space="preserve"> (to positive)</w:t>
      </w:r>
    </w:p>
    <w:p w14:paraId="2FFD3B5C" w14:textId="739B2D87" w:rsidR="00E8522C" w:rsidRPr="009D1960" w:rsidRDefault="00E8522C" w:rsidP="00D150A4">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Culture is considered to have reverted to positive when after an initial conversion, two consecutive cultures taken at least 30 days apart are found to be positive.</w:t>
      </w:r>
    </w:p>
    <w:p w14:paraId="0F7DC455" w14:textId="77777777" w:rsidR="00E8522C" w:rsidRPr="009D1960" w:rsidRDefault="00E8522C" w:rsidP="00E8522C">
      <w:pPr>
        <w:spacing w:before="0" w:after="0"/>
        <w:jc w:val="left"/>
        <w:rPr>
          <w:rFonts w:asciiTheme="minorHAnsi" w:eastAsia="Times New Roman" w:hAnsiTheme="minorHAnsi" w:cstheme="minorHAnsi"/>
          <w:color w:val="000000" w:themeColor="text1"/>
          <w:lang w:eastAsia="ko-KR"/>
        </w:rPr>
      </w:pPr>
    </w:p>
    <w:p w14:paraId="09C57BDB" w14:textId="20DB133D" w:rsidR="00E8522C" w:rsidRPr="009D1960" w:rsidRDefault="00E8522C" w:rsidP="00E8522C">
      <w:pPr>
        <w:spacing w:before="0" w:after="0"/>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 xml:space="preserve">Outcomes are based on </w:t>
      </w:r>
      <w:r w:rsidRPr="009D1960">
        <w:rPr>
          <w:rFonts w:asciiTheme="minorHAnsi" w:eastAsia="Times New Roman" w:hAnsiTheme="minorHAnsi" w:cstheme="minorHAnsi"/>
          <w:i/>
          <w:color w:val="000000" w:themeColor="text1"/>
          <w:lang w:eastAsia="ko-KR"/>
        </w:rPr>
        <w:t>Definitions and reporting framework for tuberculosis (2013 revision)</w:t>
      </w:r>
      <w:r w:rsidRPr="009D1960">
        <w:rPr>
          <w:rFonts w:asciiTheme="minorHAnsi" w:eastAsia="Times New Roman" w:hAnsiTheme="minorHAnsi" w:cstheme="minorHAnsi"/>
          <w:color w:val="000000" w:themeColor="text1"/>
          <w:lang w:eastAsia="ko-KR"/>
        </w:rPr>
        <w:t xml:space="preserve"> released by WHO in 2013. The outcome is assigned on the principle of "first outcome met" and is not revised during the follow up period. </w:t>
      </w:r>
    </w:p>
    <w:p w14:paraId="7A9EA129" w14:textId="67E1B06A" w:rsidR="00E8522C" w:rsidRPr="00B85017" w:rsidRDefault="00E8522C" w:rsidP="00E8522C">
      <w:pPr>
        <w:widowControl w:val="0"/>
        <w:autoSpaceDE w:val="0"/>
        <w:autoSpaceDN w:val="0"/>
        <w:spacing w:before="0" w:after="0"/>
        <w:jc w:val="left"/>
        <w:rPr>
          <w:rFonts w:asciiTheme="minorHAnsi" w:eastAsia="Arial" w:hAnsiTheme="minorHAnsi" w:cstheme="minorHAnsi"/>
          <w:color w:val="000000" w:themeColor="text1"/>
          <w:sz w:val="24"/>
          <w:szCs w:val="24"/>
        </w:rPr>
      </w:pPr>
    </w:p>
    <w:p w14:paraId="5839CC6A" w14:textId="0C3D61F6" w:rsidR="00E8522C" w:rsidRPr="009D1960" w:rsidRDefault="00E8522C" w:rsidP="00E8522C">
      <w:pPr>
        <w:widowControl w:val="0"/>
        <w:autoSpaceDE w:val="0"/>
        <w:autoSpaceDN w:val="0"/>
        <w:spacing w:before="0" w:after="0"/>
        <w:jc w:val="left"/>
        <w:rPr>
          <w:rFonts w:asciiTheme="minorHAnsi" w:eastAsia="Arial" w:hAnsiTheme="minorHAnsi" w:cstheme="minorHAnsi"/>
          <w:b/>
          <w:bCs/>
          <w:color w:val="000000" w:themeColor="text1"/>
        </w:rPr>
      </w:pPr>
      <w:r w:rsidRPr="009D1960">
        <w:rPr>
          <w:rFonts w:asciiTheme="minorHAnsi" w:eastAsia="Arial" w:hAnsiTheme="minorHAnsi" w:cstheme="minorHAnsi"/>
          <w:b/>
          <w:bCs/>
          <w:color w:val="000000" w:themeColor="text1"/>
        </w:rPr>
        <w:t>Treatment Outcomes:</w:t>
      </w:r>
    </w:p>
    <w:p w14:paraId="3299AC5D"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lastRenderedPageBreak/>
        <w:t>Cured</w:t>
      </w:r>
    </w:p>
    <w:p w14:paraId="4C763909"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 xml:space="preserve">Treatment completed without evidence of failure AND three or more consecutive cultures taken at least 30 days apart at the end of treatment. </w:t>
      </w:r>
    </w:p>
    <w:p w14:paraId="6E76F285"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p>
    <w:p w14:paraId="6442D9DE"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Treatment completed</w:t>
      </w:r>
    </w:p>
    <w:p w14:paraId="73ACF5BC"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Treatment completed without evidence of failure BUT no record that three or more consecutive cultures taken at least 30 days apart are negative at the end of treatment.</w:t>
      </w:r>
    </w:p>
    <w:p w14:paraId="4D5C1034"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p>
    <w:p w14:paraId="53779FD1"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p>
    <w:p w14:paraId="2F3B02EC"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Treatment failed</w:t>
      </w:r>
    </w:p>
    <w:p w14:paraId="05EBE417"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Treatment terminated or need for permanent regimen change of ≥2 anti-TB drugs because</w:t>
      </w:r>
      <w:r w:rsidRPr="009D1960">
        <w:rPr>
          <w:rFonts w:asciiTheme="minorHAnsi" w:eastAsia="Times New Roman" w:hAnsiTheme="minorHAnsi" w:cstheme="minorHAnsi"/>
          <w:color w:val="000000" w:themeColor="text1"/>
          <w:spacing w:val="-1"/>
          <w:lang w:eastAsia="ko-KR"/>
        </w:rPr>
        <w:t xml:space="preserve"> </w:t>
      </w:r>
      <w:r w:rsidRPr="009D1960">
        <w:rPr>
          <w:rFonts w:asciiTheme="minorHAnsi" w:eastAsia="Times New Roman" w:hAnsiTheme="minorHAnsi" w:cstheme="minorHAnsi"/>
          <w:color w:val="000000" w:themeColor="text1"/>
          <w:spacing w:val="-3"/>
          <w:lang w:eastAsia="ko-KR"/>
        </w:rPr>
        <w:t>of:</w:t>
      </w:r>
    </w:p>
    <w:p w14:paraId="4599FD5A" w14:textId="77777777" w:rsidR="00E8522C" w:rsidRPr="009D1960" w:rsidRDefault="00E8522C" w:rsidP="00E8522C">
      <w:pPr>
        <w:spacing w:before="0" w:after="0"/>
        <w:ind w:left="1440" w:hanging="36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 xml:space="preserve">lack of conversion. </w:t>
      </w:r>
    </w:p>
    <w:p w14:paraId="3F994BF9" w14:textId="77777777" w:rsidR="00E8522C" w:rsidRPr="009D1960" w:rsidRDefault="00E8522C" w:rsidP="00E8522C">
      <w:pPr>
        <w:spacing w:before="0" w:after="0"/>
        <w:ind w:left="1440" w:hanging="36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bacteriological reversion after conversion to negative.</w:t>
      </w:r>
    </w:p>
    <w:p w14:paraId="770466F8" w14:textId="77777777" w:rsidR="00E8522C" w:rsidRPr="009D1960" w:rsidRDefault="00E8522C" w:rsidP="00E8522C">
      <w:pPr>
        <w:spacing w:before="0" w:after="0"/>
        <w:ind w:left="1440" w:hanging="36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 xml:space="preserve">evidence of acquired resistance to drugs in the shorter regimen. </w:t>
      </w:r>
    </w:p>
    <w:p w14:paraId="7EEF3E49" w14:textId="77777777" w:rsidR="00E8522C" w:rsidRPr="009D1960" w:rsidRDefault="00E8522C" w:rsidP="00E8522C">
      <w:pPr>
        <w:spacing w:before="0" w:after="0"/>
        <w:ind w:left="1440" w:hanging="36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 xml:space="preserve">adverse drug reaction. </w:t>
      </w:r>
    </w:p>
    <w:p w14:paraId="3B358303" w14:textId="77777777" w:rsidR="00E8522C" w:rsidRPr="009D1960" w:rsidRDefault="00E8522C" w:rsidP="00E8522C">
      <w:pPr>
        <w:spacing w:before="0" w:after="0"/>
        <w:ind w:left="1440"/>
        <w:contextualSpacing/>
        <w:jc w:val="left"/>
        <w:rPr>
          <w:rFonts w:asciiTheme="minorHAnsi" w:eastAsia="Times New Roman" w:hAnsiTheme="minorHAnsi" w:cstheme="minorHAnsi"/>
          <w:color w:val="000000" w:themeColor="text1"/>
          <w:lang w:eastAsia="ko-KR"/>
        </w:rPr>
      </w:pPr>
    </w:p>
    <w:p w14:paraId="0EEFD3BF"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Died</w:t>
      </w:r>
      <w:r w:rsidRPr="009D1960">
        <w:rPr>
          <w:rFonts w:asciiTheme="minorHAnsi" w:eastAsia="Times New Roman" w:hAnsiTheme="minorHAnsi" w:cstheme="minorHAnsi"/>
          <w:color w:val="000000" w:themeColor="text1"/>
          <w:lang w:eastAsia="ko-KR"/>
        </w:rPr>
        <w:t xml:space="preserve"> </w:t>
      </w:r>
    </w:p>
    <w:p w14:paraId="219B0F12" w14:textId="211F44CD"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A patient who dies for any reason during the course of</w:t>
      </w:r>
      <w:r w:rsidRPr="009D1960">
        <w:rPr>
          <w:rFonts w:asciiTheme="minorHAnsi" w:eastAsia="Times New Roman" w:hAnsiTheme="minorHAnsi" w:cstheme="minorHAnsi"/>
          <w:color w:val="000000" w:themeColor="text1"/>
          <w:spacing w:val="-14"/>
          <w:lang w:eastAsia="ko-KR"/>
        </w:rPr>
        <w:t xml:space="preserve"> </w:t>
      </w:r>
      <w:r w:rsidRPr="009D1960">
        <w:rPr>
          <w:rFonts w:asciiTheme="minorHAnsi" w:eastAsia="Times New Roman" w:hAnsiTheme="minorHAnsi" w:cstheme="minorHAnsi"/>
          <w:color w:val="000000" w:themeColor="text1"/>
          <w:lang w:eastAsia="ko-KR"/>
        </w:rPr>
        <w:t>treatment.</w:t>
      </w:r>
      <w:r w:rsidR="009C700B">
        <w:rPr>
          <w:rFonts w:asciiTheme="minorHAnsi" w:eastAsia="Times New Roman" w:hAnsiTheme="minorHAnsi" w:cstheme="minorHAnsi"/>
          <w:color w:val="000000" w:themeColor="text1"/>
          <w:lang w:eastAsia="ko-KR"/>
        </w:rPr>
        <w:t xml:space="preserve"> </w:t>
      </w:r>
    </w:p>
    <w:p w14:paraId="549DE05B"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p>
    <w:p w14:paraId="47B4F373"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Lost to follow-up</w:t>
      </w:r>
    </w:p>
    <w:p w14:paraId="03EC6E4E"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 xml:space="preserve">A patient whose treatment was interrupted for 2 consecutive months or more. </w:t>
      </w:r>
    </w:p>
    <w:p w14:paraId="20504C8D"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p>
    <w:p w14:paraId="43958920" w14:textId="77777777"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Not evaluated</w:t>
      </w:r>
    </w:p>
    <w:p w14:paraId="5ABA6A8A" w14:textId="29E3C1A2"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color w:val="000000" w:themeColor="text1"/>
          <w:lang w:eastAsia="ko-KR"/>
        </w:rPr>
        <w:t>A patient for whom no treatment outcome is assigned. (This includes cases "transferred out" to another treatment unit and whose treatment outcome is</w:t>
      </w:r>
      <w:r w:rsidRPr="009D1960">
        <w:rPr>
          <w:rFonts w:asciiTheme="minorHAnsi" w:eastAsia="Times New Roman" w:hAnsiTheme="minorHAnsi" w:cstheme="minorHAnsi"/>
          <w:color w:val="000000" w:themeColor="text1"/>
          <w:spacing w:val="-2"/>
          <w:lang w:eastAsia="ko-KR"/>
        </w:rPr>
        <w:t xml:space="preserve"> </w:t>
      </w:r>
      <w:r w:rsidRPr="009D1960">
        <w:rPr>
          <w:rFonts w:asciiTheme="minorHAnsi" w:eastAsia="Times New Roman" w:hAnsiTheme="minorHAnsi" w:cstheme="minorHAnsi"/>
          <w:color w:val="000000" w:themeColor="text1"/>
          <w:lang w:eastAsia="ko-KR"/>
        </w:rPr>
        <w:t>unknown, or where the shorter regimen was not available.)</w:t>
      </w:r>
    </w:p>
    <w:p w14:paraId="21881E39" w14:textId="7DFC3749"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p>
    <w:p w14:paraId="4FE1EFC4" w14:textId="0ED06E83" w:rsidR="00E8522C" w:rsidRPr="00591354" w:rsidRDefault="00E8522C" w:rsidP="00E8522C">
      <w:pPr>
        <w:spacing w:before="0" w:after="0"/>
        <w:ind w:left="720"/>
        <w:contextualSpacing/>
        <w:jc w:val="left"/>
        <w:rPr>
          <w:rFonts w:asciiTheme="minorHAnsi" w:eastAsia="Times New Roman" w:hAnsiTheme="minorHAnsi" w:cstheme="minorHAnsi"/>
          <w:b/>
          <w:bCs/>
          <w:color w:val="000000" w:themeColor="text1"/>
          <w:lang w:eastAsia="ko-KR"/>
        </w:rPr>
      </w:pPr>
      <w:r w:rsidRPr="00591354">
        <w:rPr>
          <w:rFonts w:asciiTheme="minorHAnsi" w:eastAsia="Times New Roman" w:hAnsiTheme="minorHAnsi" w:cstheme="minorHAnsi"/>
          <w:b/>
          <w:bCs/>
          <w:color w:val="000000" w:themeColor="text1"/>
          <w:lang w:eastAsia="ko-KR"/>
        </w:rPr>
        <w:t>Withdrawn</w:t>
      </w:r>
    </w:p>
    <w:p w14:paraId="6D2C43AF" w14:textId="0CC5F7CF" w:rsidR="00E8522C" w:rsidRPr="009D1960" w:rsidRDefault="00E8522C" w:rsidP="00E8522C">
      <w:pPr>
        <w:spacing w:before="0" w:after="0"/>
        <w:ind w:left="720"/>
        <w:contextualSpacing/>
        <w:jc w:val="left"/>
        <w:rPr>
          <w:rFonts w:asciiTheme="minorHAnsi" w:eastAsia="Times New Roman" w:hAnsiTheme="minorHAnsi" w:cstheme="minorHAnsi"/>
          <w:color w:val="000000" w:themeColor="text1"/>
          <w:lang w:eastAsia="ko-KR"/>
        </w:rPr>
      </w:pPr>
      <w:r w:rsidRPr="00ED09E7">
        <w:rPr>
          <w:rFonts w:asciiTheme="minorHAnsi" w:eastAsia="Times New Roman" w:hAnsiTheme="minorHAnsi" w:cstheme="minorHAnsi"/>
          <w:color w:val="000000" w:themeColor="text1"/>
          <w:highlight w:val="yellow"/>
          <w:lang w:eastAsia="ko-KR"/>
        </w:rPr>
        <w:t xml:space="preserve">A patient is taken off the all-oral STR for any reason other than treatment failure (for example, </w:t>
      </w:r>
      <w:r w:rsidR="00AF574C" w:rsidRPr="00ED09E7">
        <w:rPr>
          <w:rFonts w:asciiTheme="minorHAnsi" w:eastAsia="Times New Roman" w:hAnsiTheme="minorHAnsi" w:cstheme="minorHAnsi"/>
          <w:color w:val="000000" w:themeColor="text1"/>
          <w:highlight w:val="yellow"/>
          <w:lang w:eastAsia="ko-KR"/>
        </w:rPr>
        <w:t>an exclusion criteri</w:t>
      </w:r>
      <w:r w:rsidR="00DE5FDC" w:rsidRPr="00ED09E7">
        <w:rPr>
          <w:rFonts w:asciiTheme="minorHAnsi" w:eastAsia="Times New Roman" w:hAnsiTheme="minorHAnsi" w:cstheme="minorHAnsi"/>
          <w:color w:val="000000" w:themeColor="text1"/>
          <w:highlight w:val="yellow"/>
          <w:lang w:eastAsia="ko-KR"/>
        </w:rPr>
        <w:t>on</w:t>
      </w:r>
      <w:r w:rsidR="00AF574C" w:rsidRPr="00ED09E7">
        <w:rPr>
          <w:rFonts w:asciiTheme="minorHAnsi" w:eastAsia="Times New Roman" w:hAnsiTheme="minorHAnsi" w:cstheme="minorHAnsi"/>
          <w:color w:val="000000" w:themeColor="text1"/>
          <w:highlight w:val="yellow"/>
          <w:lang w:eastAsia="ko-KR"/>
        </w:rPr>
        <w:t xml:space="preserve"> was discovered after the start of the regimen</w:t>
      </w:r>
      <w:r w:rsidRPr="00ED09E7">
        <w:rPr>
          <w:rFonts w:asciiTheme="minorHAnsi" w:eastAsia="Times New Roman" w:hAnsiTheme="minorHAnsi" w:cstheme="minorHAnsi"/>
          <w:color w:val="000000" w:themeColor="text1"/>
          <w:highlight w:val="yellow"/>
          <w:lang w:eastAsia="ko-KR"/>
        </w:rPr>
        <w:t>, withdrawn patient informed consent or</w:t>
      </w:r>
      <w:r w:rsidR="00AF574C" w:rsidRPr="00ED09E7">
        <w:rPr>
          <w:rFonts w:asciiTheme="minorHAnsi" w:eastAsia="Times New Roman" w:hAnsiTheme="minorHAnsi" w:cstheme="minorHAnsi"/>
          <w:color w:val="000000" w:themeColor="text1"/>
          <w:highlight w:val="yellow"/>
          <w:lang w:eastAsia="ko-KR"/>
        </w:rPr>
        <w:t xml:space="preserve"> for</w:t>
      </w:r>
      <w:r w:rsidRPr="00ED09E7">
        <w:rPr>
          <w:rFonts w:asciiTheme="minorHAnsi" w:eastAsia="Times New Roman" w:hAnsiTheme="minorHAnsi" w:cstheme="minorHAnsi"/>
          <w:color w:val="000000" w:themeColor="text1"/>
          <w:highlight w:val="yellow"/>
          <w:lang w:eastAsia="ko-KR"/>
        </w:rPr>
        <w:t xml:space="preserve"> other reasons) and referred to the PMDT program for routine care</w:t>
      </w:r>
      <w:r w:rsidR="00AF574C" w:rsidRPr="00ED09E7">
        <w:rPr>
          <w:rFonts w:asciiTheme="minorHAnsi" w:eastAsia="Times New Roman" w:hAnsiTheme="minorHAnsi" w:cstheme="minorHAnsi"/>
          <w:color w:val="000000" w:themeColor="text1"/>
          <w:highlight w:val="yellow"/>
          <w:lang w:eastAsia="ko-KR"/>
        </w:rPr>
        <w:t>. (This outcome definition is not part of the standard WHO programmatic definitions).</w:t>
      </w:r>
      <w:r w:rsidR="00AF574C" w:rsidRPr="009D1960">
        <w:rPr>
          <w:rFonts w:asciiTheme="minorHAnsi" w:eastAsia="Times New Roman" w:hAnsiTheme="minorHAnsi" w:cstheme="minorHAnsi"/>
          <w:color w:val="000000" w:themeColor="text1"/>
          <w:lang w:eastAsia="ko-KR"/>
        </w:rPr>
        <w:t xml:space="preserve"> </w:t>
      </w:r>
    </w:p>
    <w:p w14:paraId="3C9608C6" w14:textId="77777777" w:rsidR="00E8522C" w:rsidRPr="009D1960" w:rsidRDefault="00E8522C" w:rsidP="00E8522C">
      <w:pPr>
        <w:spacing w:before="0" w:after="0"/>
        <w:contextualSpacing/>
        <w:jc w:val="left"/>
        <w:rPr>
          <w:rFonts w:asciiTheme="minorHAnsi" w:eastAsia="Times New Roman" w:hAnsiTheme="minorHAnsi" w:cstheme="minorHAnsi"/>
          <w:color w:val="000000" w:themeColor="text1"/>
          <w:lang w:eastAsia="ko-KR"/>
        </w:rPr>
      </w:pPr>
    </w:p>
    <w:p w14:paraId="6D6AB94E" w14:textId="77777777" w:rsidR="00DE5FDC" w:rsidRDefault="00DE5FDC" w:rsidP="00D150A4">
      <w:pPr>
        <w:spacing w:before="0" w:after="0"/>
        <w:contextualSpacing/>
        <w:jc w:val="left"/>
        <w:rPr>
          <w:rFonts w:asciiTheme="minorHAnsi" w:eastAsia="Times New Roman" w:hAnsiTheme="minorHAnsi" w:cstheme="minorHAnsi"/>
          <w:b/>
          <w:color w:val="000000" w:themeColor="text1"/>
          <w:lang w:eastAsia="ko-KR"/>
        </w:rPr>
      </w:pPr>
    </w:p>
    <w:p w14:paraId="6C5BF237" w14:textId="21C06837" w:rsidR="00E8522C" w:rsidRPr="009D1960" w:rsidRDefault="00E8522C" w:rsidP="00D150A4">
      <w:pPr>
        <w:spacing w:before="0" w:after="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Treatment success</w:t>
      </w:r>
      <w:r w:rsidRPr="009D1960">
        <w:rPr>
          <w:rFonts w:asciiTheme="minorHAnsi" w:eastAsia="Times New Roman" w:hAnsiTheme="minorHAnsi" w:cstheme="minorHAnsi"/>
          <w:color w:val="000000" w:themeColor="text1"/>
          <w:lang w:eastAsia="ko-KR"/>
        </w:rPr>
        <w:t xml:space="preserve"> is defined as the sum of cured and treatment</w:t>
      </w:r>
      <w:r w:rsidRPr="009D1960">
        <w:rPr>
          <w:rFonts w:asciiTheme="minorHAnsi" w:eastAsia="Times New Roman" w:hAnsiTheme="minorHAnsi" w:cstheme="minorHAnsi"/>
          <w:color w:val="000000" w:themeColor="text1"/>
          <w:spacing w:val="-8"/>
          <w:lang w:eastAsia="ko-KR"/>
        </w:rPr>
        <w:t xml:space="preserve"> </w:t>
      </w:r>
      <w:r w:rsidRPr="009D1960">
        <w:rPr>
          <w:rFonts w:asciiTheme="minorHAnsi" w:eastAsia="Times New Roman" w:hAnsiTheme="minorHAnsi" w:cstheme="minorHAnsi"/>
          <w:color w:val="000000" w:themeColor="text1"/>
          <w:lang w:eastAsia="ko-KR"/>
        </w:rPr>
        <w:t>completed.</w:t>
      </w:r>
    </w:p>
    <w:p w14:paraId="7BA41B04" w14:textId="77777777" w:rsidR="00E8522C" w:rsidRPr="009D1960" w:rsidRDefault="00E8522C" w:rsidP="00E8522C">
      <w:pPr>
        <w:widowControl w:val="0"/>
        <w:autoSpaceDE w:val="0"/>
        <w:autoSpaceDN w:val="0"/>
        <w:spacing w:before="0" w:after="0"/>
        <w:jc w:val="left"/>
        <w:rPr>
          <w:rFonts w:asciiTheme="minorHAnsi" w:eastAsia="Arial" w:hAnsiTheme="minorHAnsi" w:cstheme="minorHAnsi"/>
          <w:color w:val="000000" w:themeColor="text1"/>
        </w:rPr>
      </w:pPr>
    </w:p>
    <w:p w14:paraId="5449B6F4" w14:textId="77777777" w:rsidR="00DE5FDC" w:rsidRDefault="00DE5FDC" w:rsidP="00E8522C">
      <w:pPr>
        <w:widowControl w:val="0"/>
        <w:autoSpaceDE w:val="0"/>
        <w:autoSpaceDN w:val="0"/>
        <w:spacing w:before="0" w:after="0"/>
        <w:jc w:val="left"/>
        <w:rPr>
          <w:rFonts w:asciiTheme="minorHAnsi" w:eastAsia="Arial" w:hAnsiTheme="minorHAnsi" w:cstheme="minorHAnsi"/>
          <w:b/>
          <w:color w:val="000000" w:themeColor="text1"/>
        </w:rPr>
      </w:pPr>
    </w:p>
    <w:p w14:paraId="61AD6FC6" w14:textId="3253CF70" w:rsidR="00E8522C" w:rsidRPr="009D1960" w:rsidRDefault="00E8522C" w:rsidP="00E8522C">
      <w:pPr>
        <w:widowControl w:val="0"/>
        <w:autoSpaceDE w:val="0"/>
        <w:autoSpaceDN w:val="0"/>
        <w:spacing w:before="0" w:after="0"/>
        <w:jc w:val="left"/>
        <w:rPr>
          <w:rFonts w:asciiTheme="minorHAnsi" w:eastAsia="Arial" w:hAnsiTheme="minorHAnsi" w:cstheme="minorHAnsi"/>
          <w:b/>
          <w:color w:val="000000" w:themeColor="text1"/>
        </w:rPr>
      </w:pPr>
      <w:r w:rsidRPr="009D1960">
        <w:rPr>
          <w:rFonts w:asciiTheme="minorHAnsi" w:eastAsia="Arial" w:hAnsiTheme="minorHAnsi" w:cstheme="minorHAnsi"/>
          <w:b/>
          <w:color w:val="000000" w:themeColor="text1"/>
        </w:rPr>
        <w:t>Recurrent TB</w:t>
      </w:r>
    </w:p>
    <w:p w14:paraId="55A5DA91" w14:textId="77777777" w:rsidR="00E8522C" w:rsidRPr="009D1960" w:rsidRDefault="00E8522C" w:rsidP="00E8522C">
      <w:pPr>
        <w:widowControl w:val="0"/>
        <w:autoSpaceDE w:val="0"/>
        <w:autoSpaceDN w:val="0"/>
        <w:spacing w:before="0" w:after="0"/>
        <w:jc w:val="left"/>
        <w:rPr>
          <w:rFonts w:asciiTheme="minorHAnsi" w:eastAsia="Arial" w:hAnsiTheme="minorHAnsi" w:cstheme="minorHAnsi"/>
          <w:color w:val="000000" w:themeColor="text1"/>
        </w:rPr>
      </w:pPr>
      <w:r w:rsidRPr="009D1960">
        <w:rPr>
          <w:rFonts w:asciiTheme="minorHAnsi" w:eastAsia="Arial" w:hAnsiTheme="minorHAnsi" w:cstheme="minorHAnsi"/>
          <w:color w:val="000000" w:themeColor="text1"/>
        </w:rPr>
        <w:t xml:space="preserve"> Defined as having either (1) or (2) after cure or completion of treatment:</w:t>
      </w:r>
    </w:p>
    <w:p w14:paraId="44BFE665" w14:textId="655610A1" w:rsidR="00967A5E" w:rsidRDefault="00967A5E" w:rsidP="00CB2F8E">
      <w:pPr>
        <w:widowControl w:val="0"/>
        <w:numPr>
          <w:ilvl w:val="0"/>
          <w:numId w:val="29"/>
        </w:numPr>
        <w:autoSpaceDE w:val="0"/>
        <w:autoSpaceDN w:val="0"/>
        <w:spacing w:before="0" w:after="0"/>
        <w:jc w:val="left"/>
        <w:rPr>
          <w:rFonts w:asciiTheme="minorHAnsi" w:eastAsia="Arial" w:hAnsiTheme="minorHAnsi" w:cstheme="minorHAnsi"/>
          <w:color w:val="000000" w:themeColor="text1"/>
        </w:rPr>
      </w:pPr>
      <w:r>
        <w:rPr>
          <w:rFonts w:asciiTheme="minorHAnsi" w:eastAsia="Arial" w:hAnsiTheme="minorHAnsi" w:cstheme="minorHAnsi"/>
          <w:color w:val="000000" w:themeColor="text1"/>
        </w:rPr>
        <w:t>Tw</w:t>
      </w:r>
      <w:r w:rsidR="00E8522C" w:rsidRPr="009D1960">
        <w:rPr>
          <w:rFonts w:asciiTheme="minorHAnsi" w:eastAsia="Arial" w:hAnsiTheme="minorHAnsi" w:cstheme="minorHAnsi"/>
          <w:color w:val="000000" w:themeColor="text1"/>
        </w:rPr>
        <w:t>o positive cultures</w:t>
      </w:r>
      <w:r>
        <w:rPr>
          <w:rFonts w:asciiTheme="minorHAnsi" w:eastAsia="Arial" w:hAnsiTheme="minorHAnsi" w:cstheme="minorHAnsi"/>
          <w:color w:val="000000" w:themeColor="text1"/>
        </w:rPr>
        <w:t xml:space="preserve"> (taken on different days), irrespective of the presence of clinical signs and symptoms of TB.</w:t>
      </w:r>
    </w:p>
    <w:p w14:paraId="56BECC22" w14:textId="3B9E84DE" w:rsidR="00E8522C" w:rsidRPr="009D1960" w:rsidRDefault="00E8522C" w:rsidP="00967A5E">
      <w:pPr>
        <w:widowControl w:val="0"/>
        <w:autoSpaceDE w:val="0"/>
        <w:autoSpaceDN w:val="0"/>
        <w:spacing w:before="0" w:after="0"/>
        <w:jc w:val="left"/>
        <w:rPr>
          <w:rFonts w:asciiTheme="minorHAnsi" w:eastAsia="Arial" w:hAnsiTheme="minorHAnsi" w:cstheme="minorHAnsi"/>
          <w:color w:val="000000" w:themeColor="text1"/>
        </w:rPr>
      </w:pPr>
    </w:p>
    <w:p w14:paraId="70AA1DEC" w14:textId="77777777" w:rsidR="00E8522C" w:rsidRPr="009D1960" w:rsidRDefault="00E8522C" w:rsidP="00CB2F8E">
      <w:pPr>
        <w:widowControl w:val="0"/>
        <w:numPr>
          <w:ilvl w:val="0"/>
          <w:numId w:val="29"/>
        </w:numPr>
        <w:autoSpaceDE w:val="0"/>
        <w:autoSpaceDN w:val="0"/>
        <w:spacing w:before="0" w:after="0"/>
        <w:jc w:val="left"/>
        <w:rPr>
          <w:rFonts w:asciiTheme="minorHAnsi" w:eastAsia="Arial" w:hAnsiTheme="minorHAnsi" w:cstheme="minorHAnsi"/>
          <w:color w:val="000000" w:themeColor="text1"/>
        </w:rPr>
      </w:pPr>
      <w:r w:rsidRPr="009D1960">
        <w:rPr>
          <w:rFonts w:asciiTheme="minorHAnsi" w:eastAsia="Arial" w:hAnsiTheme="minorHAnsi" w:cstheme="minorHAnsi"/>
          <w:color w:val="000000" w:themeColor="text1"/>
        </w:rPr>
        <w:t xml:space="preserve">One positive culture with clinical signs and symptoms or radiographic deterioration (an isolated positive smear or culture without clinical or radiographic deterioration after treatment </w:t>
      </w:r>
      <w:r w:rsidRPr="009D1960">
        <w:rPr>
          <w:rFonts w:asciiTheme="minorHAnsi" w:eastAsia="Arial" w:hAnsiTheme="minorHAnsi" w:cstheme="minorHAnsi"/>
          <w:color w:val="000000" w:themeColor="text1"/>
        </w:rPr>
        <w:lastRenderedPageBreak/>
        <w:t>completion provides insufficient evidence to define recurrent TB).</w:t>
      </w:r>
    </w:p>
    <w:p w14:paraId="494AE450" w14:textId="77777777" w:rsidR="00E8522C" w:rsidRPr="009D1960" w:rsidRDefault="00E8522C" w:rsidP="00E8522C">
      <w:pPr>
        <w:widowControl w:val="0"/>
        <w:autoSpaceDE w:val="0"/>
        <w:autoSpaceDN w:val="0"/>
        <w:spacing w:before="0" w:after="0"/>
        <w:jc w:val="left"/>
        <w:rPr>
          <w:rFonts w:asciiTheme="minorHAnsi" w:eastAsia="Arial" w:hAnsiTheme="minorHAnsi" w:cstheme="minorHAnsi"/>
          <w:color w:val="000000" w:themeColor="text1"/>
        </w:rPr>
      </w:pPr>
    </w:p>
    <w:p w14:paraId="5925BB62" w14:textId="77777777" w:rsidR="00E8522C" w:rsidRPr="009D1960" w:rsidRDefault="00E8522C" w:rsidP="00E8522C">
      <w:pPr>
        <w:widowControl w:val="0"/>
        <w:autoSpaceDE w:val="0"/>
        <w:autoSpaceDN w:val="0"/>
        <w:spacing w:before="0" w:after="0"/>
        <w:jc w:val="left"/>
        <w:rPr>
          <w:rFonts w:asciiTheme="minorHAnsi" w:eastAsia="Arial" w:hAnsiTheme="minorHAnsi" w:cstheme="minorHAnsi"/>
          <w:color w:val="000000" w:themeColor="text1"/>
        </w:rPr>
      </w:pPr>
      <w:r w:rsidRPr="009D1960">
        <w:rPr>
          <w:rFonts w:asciiTheme="minorHAnsi" w:eastAsia="Arial" w:hAnsiTheme="minorHAnsi" w:cstheme="minorHAnsi"/>
          <w:color w:val="000000" w:themeColor="text1"/>
        </w:rPr>
        <w:t>If genotyping is available, recurrent TB may be further classified as relapse, reinfection, or undetermined as defined below:</w:t>
      </w:r>
    </w:p>
    <w:p w14:paraId="17929524" w14:textId="77777777" w:rsidR="00E8522C" w:rsidRPr="009D1960" w:rsidRDefault="00E8522C" w:rsidP="00CB2F8E">
      <w:pPr>
        <w:numPr>
          <w:ilvl w:val="0"/>
          <w:numId w:val="30"/>
        </w:numPr>
        <w:spacing w:before="0" w:after="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Relapse</w:t>
      </w:r>
      <w:r w:rsidRPr="009D1960">
        <w:rPr>
          <w:rFonts w:asciiTheme="minorHAnsi" w:eastAsia="Times New Roman" w:hAnsiTheme="minorHAnsi" w:cstheme="minorHAnsi"/>
          <w:color w:val="000000" w:themeColor="text1"/>
          <w:lang w:eastAsia="ko-KR"/>
        </w:rPr>
        <w:t>: isolates of the recurrent episode share the same genotype pattern with isolates of the first episode of</w:t>
      </w:r>
      <w:r w:rsidRPr="009D1960">
        <w:rPr>
          <w:rFonts w:asciiTheme="minorHAnsi" w:eastAsia="Times New Roman" w:hAnsiTheme="minorHAnsi" w:cstheme="minorHAnsi"/>
          <w:color w:val="000000" w:themeColor="text1"/>
          <w:spacing w:val="-1"/>
          <w:lang w:eastAsia="ko-KR"/>
        </w:rPr>
        <w:t xml:space="preserve"> </w:t>
      </w:r>
      <w:r w:rsidRPr="009D1960">
        <w:rPr>
          <w:rFonts w:asciiTheme="minorHAnsi" w:eastAsia="Times New Roman" w:hAnsiTheme="minorHAnsi" w:cstheme="minorHAnsi"/>
          <w:color w:val="000000" w:themeColor="text1"/>
          <w:lang w:eastAsia="ko-KR"/>
        </w:rPr>
        <w:t>MDR-TB.</w:t>
      </w:r>
    </w:p>
    <w:p w14:paraId="6D704730" w14:textId="77777777" w:rsidR="00E8522C" w:rsidRPr="009D1960" w:rsidRDefault="00E8522C" w:rsidP="00CB2F8E">
      <w:pPr>
        <w:numPr>
          <w:ilvl w:val="0"/>
          <w:numId w:val="30"/>
        </w:numPr>
        <w:spacing w:before="0" w:after="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Reinfection</w:t>
      </w:r>
      <w:r w:rsidRPr="009D1960">
        <w:rPr>
          <w:rFonts w:asciiTheme="minorHAnsi" w:eastAsia="Times New Roman" w:hAnsiTheme="minorHAnsi" w:cstheme="minorHAnsi"/>
          <w:color w:val="000000" w:themeColor="text1"/>
          <w:lang w:eastAsia="ko-KR"/>
        </w:rPr>
        <w:t>: isolates of the recurrent episode and isolates of the first episode of MDR-TB have different genotype</w:t>
      </w:r>
      <w:r w:rsidRPr="009D1960">
        <w:rPr>
          <w:rFonts w:asciiTheme="minorHAnsi" w:eastAsia="Times New Roman" w:hAnsiTheme="minorHAnsi" w:cstheme="minorHAnsi"/>
          <w:color w:val="000000" w:themeColor="text1"/>
          <w:spacing w:val="-1"/>
          <w:lang w:eastAsia="ko-KR"/>
        </w:rPr>
        <w:t xml:space="preserve"> </w:t>
      </w:r>
      <w:r w:rsidRPr="009D1960">
        <w:rPr>
          <w:rFonts w:asciiTheme="minorHAnsi" w:eastAsia="Times New Roman" w:hAnsiTheme="minorHAnsi" w:cstheme="minorHAnsi"/>
          <w:color w:val="000000" w:themeColor="text1"/>
          <w:lang w:eastAsia="ko-KR"/>
        </w:rPr>
        <w:t>patterns.</w:t>
      </w:r>
    </w:p>
    <w:p w14:paraId="0767F6B9" w14:textId="77777777" w:rsidR="00E8522C" w:rsidRPr="009D1960" w:rsidRDefault="00E8522C" w:rsidP="00CB2F8E">
      <w:pPr>
        <w:numPr>
          <w:ilvl w:val="0"/>
          <w:numId w:val="30"/>
        </w:numPr>
        <w:spacing w:before="0" w:after="0"/>
        <w:contextualSpacing/>
        <w:jc w:val="left"/>
        <w:rPr>
          <w:rFonts w:asciiTheme="minorHAnsi" w:eastAsia="Times New Roman" w:hAnsiTheme="minorHAnsi" w:cstheme="minorHAnsi"/>
          <w:color w:val="000000" w:themeColor="text1"/>
          <w:lang w:eastAsia="ko-KR"/>
        </w:rPr>
      </w:pPr>
      <w:r w:rsidRPr="009D1960">
        <w:rPr>
          <w:rFonts w:asciiTheme="minorHAnsi" w:eastAsia="Times New Roman" w:hAnsiTheme="minorHAnsi" w:cstheme="minorHAnsi"/>
          <w:b/>
          <w:color w:val="000000" w:themeColor="text1"/>
          <w:lang w:eastAsia="ko-KR"/>
        </w:rPr>
        <w:t>Undetermined:</w:t>
      </w:r>
      <w:r w:rsidRPr="009D1960">
        <w:rPr>
          <w:rFonts w:asciiTheme="minorHAnsi" w:eastAsia="Times New Roman" w:hAnsiTheme="minorHAnsi" w:cstheme="minorHAnsi"/>
          <w:color w:val="000000" w:themeColor="text1"/>
          <w:lang w:eastAsia="ko-KR"/>
        </w:rPr>
        <w:t xml:space="preserve"> there is insufficient information to determine whether the recurrent episode is due to relapse or</w:t>
      </w:r>
      <w:r w:rsidRPr="009D1960">
        <w:rPr>
          <w:rFonts w:asciiTheme="minorHAnsi" w:eastAsia="Times New Roman" w:hAnsiTheme="minorHAnsi" w:cstheme="minorHAnsi"/>
          <w:color w:val="000000" w:themeColor="text1"/>
          <w:spacing w:val="-9"/>
          <w:lang w:eastAsia="ko-KR"/>
        </w:rPr>
        <w:t xml:space="preserve"> </w:t>
      </w:r>
      <w:r w:rsidRPr="009D1960">
        <w:rPr>
          <w:rFonts w:asciiTheme="minorHAnsi" w:eastAsia="Times New Roman" w:hAnsiTheme="minorHAnsi" w:cstheme="minorHAnsi"/>
          <w:color w:val="000000" w:themeColor="text1"/>
          <w:lang w:eastAsia="ko-KR"/>
        </w:rPr>
        <w:t>reinfection.</w:t>
      </w:r>
    </w:p>
    <w:p w14:paraId="4953B0A1" w14:textId="290987B6" w:rsidR="0032141E" w:rsidRPr="009D1960" w:rsidRDefault="0032141E" w:rsidP="0032141E">
      <w:pPr>
        <w:rPr>
          <w:color w:val="000000" w:themeColor="text1"/>
          <w:sz w:val="21"/>
          <w:szCs w:val="21"/>
        </w:rPr>
      </w:pPr>
    </w:p>
    <w:p w14:paraId="5A0D511F" w14:textId="6829DCD3" w:rsidR="001C7A69" w:rsidRPr="00B85017" w:rsidRDefault="001C7A69" w:rsidP="001C7A69">
      <w:pPr>
        <w:pStyle w:val="Tabletext"/>
        <w:rPr>
          <w:color w:val="000000" w:themeColor="text1"/>
        </w:rPr>
      </w:pPr>
    </w:p>
    <w:p w14:paraId="4BEE05BA" w14:textId="77777777" w:rsidR="001C7A69" w:rsidRPr="00003170" w:rsidRDefault="001C7A69" w:rsidP="00B855A3">
      <w:pPr>
        <w:pStyle w:val="Heading1"/>
        <w:numPr>
          <w:ilvl w:val="0"/>
          <w:numId w:val="0"/>
        </w:numPr>
        <w:ind w:left="432" w:hanging="432"/>
      </w:pPr>
      <w:bookmarkStart w:id="152" w:name="h.1v1yuxt" w:colFirst="0" w:colLast="0"/>
      <w:bookmarkEnd w:id="152"/>
      <w:r w:rsidRPr="00003170">
        <w:br w:type="page"/>
      </w:r>
      <w:bookmarkStart w:id="153" w:name="_Toc12792963"/>
      <w:bookmarkStart w:id="154" w:name="_Ref12884960"/>
      <w:bookmarkStart w:id="155" w:name="_Toc12952374"/>
      <w:bookmarkStart w:id="156" w:name="_Toc13486723"/>
      <w:r w:rsidRPr="00003170">
        <w:lastRenderedPageBreak/>
        <w:t>Treatment education and patient consent</w:t>
      </w:r>
      <w:bookmarkEnd w:id="153"/>
      <w:bookmarkEnd w:id="154"/>
      <w:bookmarkEnd w:id="155"/>
      <w:bookmarkEnd w:id="156"/>
    </w:p>
    <w:p w14:paraId="055E86E4" w14:textId="6B5E26F9" w:rsidR="001C7A69" w:rsidRPr="00003170" w:rsidRDefault="001C7A69" w:rsidP="00003170">
      <w:pPr>
        <w:pStyle w:val="Heading2"/>
      </w:pPr>
      <w:bookmarkStart w:id="157" w:name="h.4f1mdlm" w:colFirst="0" w:colLast="0"/>
      <w:bookmarkStart w:id="158" w:name="_Toc12792964"/>
      <w:bookmarkStart w:id="159" w:name="_Ref12884925"/>
      <w:bookmarkStart w:id="160" w:name="_Toc12952375"/>
      <w:bookmarkStart w:id="161" w:name="_Toc13486724"/>
      <w:bookmarkEnd w:id="157"/>
      <w:r w:rsidRPr="00003170">
        <w:t>Treatment education material</w:t>
      </w:r>
      <w:bookmarkEnd w:id="158"/>
      <w:bookmarkEnd w:id="159"/>
      <w:bookmarkEnd w:id="160"/>
      <w:bookmarkEnd w:id="161"/>
    </w:p>
    <w:p w14:paraId="166995E6" w14:textId="65130C17"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Patient education materials should be provided to all patient</w:t>
      </w:r>
      <w:r w:rsidR="009B4C8E">
        <w:rPr>
          <w:rFonts w:asciiTheme="minorHAnsi" w:hAnsiTheme="minorHAnsi" w:cstheme="minorHAnsi"/>
          <w:color w:val="000000" w:themeColor="text1"/>
        </w:rPr>
        <w:t>s</w:t>
      </w:r>
      <w:r w:rsidRPr="009D1960">
        <w:rPr>
          <w:rFonts w:asciiTheme="minorHAnsi" w:hAnsiTheme="minorHAnsi" w:cstheme="minorHAnsi"/>
          <w:color w:val="000000" w:themeColor="text1"/>
        </w:rPr>
        <w:t xml:space="preserve"> undergoing MDR-TB treatment. Often the very same material used by the NTP can be used with minor modifications to educate the patient on the shorter duration of the regimen and novel nature of it.  Examples of patient education materials are provided in the endTB Toolkit on implementation of the all oral shorter regimen under operational research.</w:t>
      </w:r>
      <w:r w:rsidRPr="009D1960">
        <w:rPr>
          <w:rFonts w:asciiTheme="minorHAnsi" w:hAnsiTheme="minorHAnsi" w:cstheme="minorHAnsi"/>
          <w:color w:val="000000" w:themeColor="text1"/>
          <w:vertAlign w:val="superscript"/>
        </w:rPr>
        <w:fldChar w:fldCharType="begin"/>
      </w:r>
      <w:r w:rsidRPr="009D1960">
        <w:rPr>
          <w:rFonts w:asciiTheme="minorHAnsi" w:hAnsiTheme="minorHAnsi" w:cstheme="minorHAnsi"/>
          <w:color w:val="000000" w:themeColor="text1"/>
          <w:vertAlign w:val="superscript"/>
        </w:rPr>
        <w:instrText xml:space="preserve"> NOTEREF _Ref11306298 \h  \* MERGEFORMAT </w:instrText>
      </w:r>
      <w:r w:rsidRPr="009D1960">
        <w:rPr>
          <w:rFonts w:asciiTheme="minorHAnsi" w:hAnsiTheme="minorHAnsi" w:cstheme="minorHAnsi"/>
          <w:color w:val="000000" w:themeColor="text1"/>
          <w:vertAlign w:val="superscript"/>
        </w:rPr>
      </w:r>
      <w:r w:rsidRPr="009D1960">
        <w:rPr>
          <w:rFonts w:asciiTheme="minorHAnsi" w:hAnsiTheme="minorHAnsi" w:cstheme="minorHAnsi"/>
          <w:color w:val="000000" w:themeColor="text1"/>
          <w:vertAlign w:val="superscript"/>
        </w:rPr>
        <w:fldChar w:fldCharType="separate"/>
      </w:r>
      <w:r w:rsidR="00C21E58" w:rsidRPr="009D1960">
        <w:rPr>
          <w:rFonts w:asciiTheme="minorHAnsi" w:hAnsiTheme="minorHAnsi" w:cstheme="minorHAnsi"/>
          <w:color w:val="000000" w:themeColor="text1"/>
          <w:vertAlign w:val="superscript"/>
        </w:rPr>
        <w:t>3</w:t>
      </w:r>
      <w:r w:rsidRPr="009D1960">
        <w:rPr>
          <w:rFonts w:asciiTheme="minorHAnsi" w:hAnsiTheme="minorHAnsi" w:cstheme="minorHAnsi"/>
          <w:color w:val="000000" w:themeColor="text1"/>
          <w:vertAlign w:val="superscript"/>
        </w:rPr>
        <w:fldChar w:fldCharType="end"/>
      </w:r>
    </w:p>
    <w:p w14:paraId="6BA84D74" w14:textId="77777777" w:rsidR="001C7A69" w:rsidRPr="009D1960" w:rsidRDefault="001C7A69" w:rsidP="00003170">
      <w:pPr>
        <w:pStyle w:val="Heading2"/>
        <w:rPr>
          <w:rFonts w:asciiTheme="minorHAnsi" w:hAnsiTheme="minorHAnsi" w:cstheme="minorHAnsi"/>
        </w:rPr>
      </w:pPr>
      <w:bookmarkStart w:id="162" w:name="_Toc12792965"/>
      <w:bookmarkStart w:id="163" w:name="_Ref12884858"/>
      <w:bookmarkStart w:id="164" w:name="_Ref12884871"/>
      <w:bookmarkStart w:id="165" w:name="_Ref12884886"/>
      <w:bookmarkStart w:id="166" w:name="_Toc12952376"/>
      <w:bookmarkStart w:id="167" w:name="_Toc13486725"/>
      <w:r w:rsidRPr="009D1960">
        <w:rPr>
          <w:rFonts w:asciiTheme="minorHAnsi" w:hAnsiTheme="minorHAnsi" w:cstheme="minorHAnsi"/>
        </w:rPr>
        <w:t>Patient consent</w:t>
      </w:r>
      <w:bookmarkEnd w:id="162"/>
      <w:bookmarkEnd w:id="163"/>
      <w:bookmarkEnd w:id="164"/>
      <w:bookmarkEnd w:id="165"/>
      <w:bookmarkEnd w:id="166"/>
      <w:bookmarkEnd w:id="167"/>
    </w:p>
    <w:p w14:paraId="32B03E1F" w14:textId="04C49F20"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 xml:space="preserve">Patient consent forms should be part of the study protocol </w:t>
      </w:r>
      <w:r w:rsidR="00784536" w:rsidRPr="009D1960">
        <w:rPr>
          <w:rFonts w:asciiTheme="minorHAnsi" w:hAnsiTheme="minorHAnsi" w:cstheme="minorHAnsi"/>
          <w:color w:val="000000" w:themeColor="text1"/>
        </w:rPr>
        <w:t>that is</w:t>
      </w:r>
      <w:r w:rsidRPr="009D1960">
        <w:rPr>
          <w:rFonts w:asciiTheme="minorHAnsi" w:hAnsiTheme="minorHAnsi" w:cstheme="minorHAnsi"/>
          <w:color w:val="000000" w:themeColor="text1"/>
        </w:rPr>
        <w:t xml:space="preserve"> approv</w:t>
      </w:r>
      <w:r w:rsidR="00784536" w:rsidRPr="009D1960">
        <w:rPr>
          <w:rFonts w:asciiTheme="minorHAnsi" w:hAnsiTheme="minorHAnsi" w:cstheme="minorHAnsi"/>
          <w:color w:val="000000" w:themeColor="text1"/>
        </w:rPr>
        <w:t>ed</w:t>
      </w:r>
      <w:r w:rsidRPr="009D1960">
        <w:rPr>
          <w:rFonts w:asciiTheme="minorHAnsi" w:hAnsiTheme="minorHAnsi" w:cstheme="minorHAnsi"/>
          <w:color w:val="000000" w:themeColor="text1"/>
        </w:rPr>
        <w:t xml:space="preserve"> </w:t>
      </w:r>
      <w:r w:rsidR="009551F6">
        <w:rPr>
          <w:rFonts w:asciiTheme="minorHAnsi" w:hAnsiTheme="minorHAnsi" w:cstheme="minorHAnsi"/>
          <w:color w:val="000000" w:themeColor="text1"/>
        </w:rPr>
        <w:t>by</w:t>
      </w:r>
      <w:r w:rsidRPr="009D1960">
        <w:rPr>
          <w:rFonts w:asciiTheme="minorHAnsi" w:hAnsiTheme="minorHAnsi" w:cstheme="minorHAnsi"/>
          <w:color w:val="000000" w:themeColor="text1"/>
        </w:rPr>
        <w:t xml:space="preserve"> an ethics </w:t>
      </w:r>
      <w:r w:rsidR="00784536" w:rsidRPr="009D1960">
        <w:rPr>
          <w:rFonts w:asciiTheme="minorHAnsi" w:hAnsiTheme="minorHAnsi" w:cstheme="minorHAnsi"/>
          <w:color w:val="000000" w:themeColor="text1"/>
        </w:rPr>
        <w:t>committee</w:t>
      </w:r>
      <w:r w:rsidR="009551F6">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the ministry of health</w:t>
      </w:r>
      <w:r w:rsidR="009551F6">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 xml:space="preserve">or both.  For all patients starting all-oral STRs, </w:t>
      </w:r>
      <w:r w:rsidR="00784536" w:rsidRPr="009D1960">
        <w:rPr>
          <w:rFonts w:asciiTheme="minorHAnsi" w:hAnsiTheme="minorHAnsi" w:cstheme="minorHAnsi"/>
          <w:color w:val="000000" w:themeColor="text1"/>
        </w:rPr>
        <w:t>written</w:t>
      </w:r>
      <w:r w:rsidRPr="009D1960">
        <w:rPr>
          <w:rFonts w:asciiTheme="minorHAnsi" w:hAnsiTheme="minorHAnsi" w:cstheme="minorHAnsi"/>
          <w:color w:val="000000" w:themeColor="text1"/>
        </w:rPr>
        <w:t xml:space="preserve"> consent </w:t>
      </w:r>
      <w:r w:rsidR="00EB35F6">
        <w:rPr>
          <w:rFonts w:asciiTheme="minorHAnsi" w:hAnsiTheme="minorHAnsi" w:cstheme="minorHAnsi"/>
          <w:color w:val="000000" w:themeColor="text1"/>
        </w:rPr>
        <w:t>must be</w:t>
      </w:r>
      <w:r w:rsidR="00784536"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obtained. The consent process will ensure the patient is:</w:t>
      </w:r>
    </w:p>
    <w:p w14:paraId="2E4C0327" w14:textId="77777777" w:rsidR="001C7A69" w:rsidRPr="009D1960" w:rsidRDefault="001C7A69" w:rsidP="001C7A69">
      <w:pPr>
        <w:pStyle w:val="ListBullet"/>
        <w:tabs>
          <w:tab w:val="clear" w:pos="360"/>
          <w:tab w:val="num" w:pos="720"/>
        </w:tabs>
        <w:ind w:left="720"/>
        <w:rPr>
          <w:rFonts w:asciiTheme="minorHAnsi" w:hAnsiTheme="minorHAnsi" w:cstheme="minorHAnsi"/>
          <w:color w:val="000000" w:themeColor="text1"/>
        </w:rPr>
      </w:pPr>
      <w:r w:rsidRPr="009D1960">
        <w:rPr>
          <w:rFonts w:asciiTheme="minorHAnsi" w:hAnsiTheme="minorHAnsi" w:cstheme="minorHAnsi"/>
          <w:color w:val="000000" w:themeColor="text1"/>
        </w:rPr>
        <w:t>Aware of the novel nature of the all-oral STRs;</w:t>
      </w:r>
    </w:p>
    <w:p w14:paraId="3521CB7B" w14:textId="561D113C" w:rsidR="001C7A69" w:rsidRPr="009D1960" w:rsidRDefault="00EB35F6" w:rsidP="001C7A69">
      <w:pPr>
        <w:pStyle w:val="ListBullet"/>
        <w:tabs>
          <w:tab w:val="clear" w:pos="360"/>
          <w:tab w:val="num" w:pos="720"/>
        </w:tabs>
        <w:ind w:left="720"/>
        <w:rPr>
          <w:rFonts w:asciiTheme="minorHAnsi" w:hAnsiTheme="minorHAnsi" w:cstheme="minorHAnsi"/>
          <w:color w:val="000000" w:themeColor="text1"/>
        </w:rPr>
      </w:pPr>
      <w:r>
        <w:rPr>
          <w:rFonts w:asciiTheme="minorHAnsi" w:hAnsiTheme="minorHAnsi" w:cstheme="minorHAnsi"/>
          <w:color w:val="000000" w:themeColor="text1"/>
        </w:rPr>
        <w:t>Understands</w:t>
      </w:r>
      <w:r w:rsidR="001C7A69" w:rsidRPr="009D1960">
        <w:rPr>
          <w:rFonts w:asciiTheme="minorHAnsi" w:hAnsiTheme="minorHAnsi" w:cstheme="minorHAnsi"/>
          <w:color w:val="000000" w:themeColor="text1"/>
        </w:rPr>
        <w:t xml:space="preserve"> the reason</w:t>
      </w:r>
      <w:r w:rsidR="00CF6760">
        <w:rPr>
          <w:rFonts w:asciiTheme="minorHAnsi" w:hAnsiTheme="minorHAnsi" w:cstheme="minorHAnsi"/>
          <w:color w:val="000000" w:themeColor="text1"/>
        </w:rPr>
        <w:t>(s)</w:t>
      </w:r>
      <w:r w:rsidR="001C7A69" w:rsidRPr="009D1960">
        <w:rPr>
          <w:rFonts w:asciiTheme="minorHAnsi" w:hAnsiTheme="minorHAnsi" w:cstheme="minorHAnsi"/>
          <w:color w:val="000000" w:themeColor="text1"/>
        </w:rPr>
        <w:t xml:space="preserve"> why the all-oral STR is being proposed </w:t>
      </w:r>
      <w:r w:rsidR="00784536" w:rsidRPr="009D1960">
        <w:rPr>
          <w:rFonts w:asciiTheme="minorHAnsi" w:hAnsiTheme="minorHAnsi" w:cstheme="minorHAnsi"/>
          <w:color w:val="000000" w:themeColor="text1"/>
        </w:rPr>
        <w:t>as an option for</w:t>
      </w:r>
      <w:r w:rsidR="001C7A69" w:rsidRPr="009D1960">
        <w:rPr>
          <w:rFonts w:asciiTheme="minorHAnsi" w:hAnsiTheme="minorHAnsi" w:cstheme="minorHAnsi"/>
          <w:color w:val="000000" w:themeColor="text1"/>
        </w:rPr>
        <w:t xml:space="preserve"> the treatment</w:t>
      </w:r>
      <w:r w:rsidR="00784536" w:rsidRPr="009D1960">
        <w:rPr>
          <w:rFonts w:asciiTheme="minorHAnsi" w:hAnsiTheme="minorHAnsi" w:cstheme="minorHAnsi"/>
          <w:color w:val="000000" w:themeColor="text1"/>
        </w:rPr>
        <w:t xml:space="preserve"> of MDR-TB</w:t>
      </w:r>
      <w:r w:rsidR="001C7A69" w:rsidRPr="009D1960">
        <w:rPr>
          <w:rFonts w:asciiTheme="minorHAnsi" w:hAnsiTheme="minorHAnsi" w:cstheme="minorHAnsi"/>
          <w:color w:val="000000" w:themeColor="text1"/>
        </w:rPr>
        <w:t>;</w:t>
      </w:r>
    </w:p>
    <w:p w14:paraId="6C87FF21" w14:textId="77777777" w:rsidR="001C7A69" w:rsidRPr="009D1960" w:rsidRDefault="001C7A69" w:rsidP="001C7A69">
      <w:pPr>
        <w:pStyle w:val="ListBullet"/>
        <w:tabs>
          <w:tab w:val="clear" w:pos="360"/>
          <w:tab w:val="num" w:pos="720"/>
        </w:tabs>
        <w:ind w:left="720"/>
        <w:rPr>
          <w:rFonts w:asciiTheme="minorHAnsi" w:hAnsiTheme="minorHAnsi" w:cstheme="minorHAnsi"/>
          <w:color w:val="000000" w:themeColor="text1"/>
        </w:rPr>
      </w:pPr>
      <w:r w:rsidRPr="009D1960">
        <w:rPr>
          <w:rFonts w:asciiTheme="minorHAnsi" w:hAnsiTheme="minorHAnsi" w:cstheme="minorHAnsi"/>
          <w:color w:val="000000" w:themeColor="text1"/>
        </w:rPr>
        <w:t>Recognizes the possible benefits and potential harms, including the uncertainty that surrounds outcomes.</w:t>
      </w:r>
    </w:p>
    <w:p w14:paraId="38537FD6" w14:textId="41C45733"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Examples of informed consent are provided in the endTB Toolkit on implementation of the all oral shorter regimen under operational research.</w:t>
      </w:r>
      <w:r w:rsidRPr="009D1960">
        <w:rPr>
          <w:rFonts w:asciiTheme="minorHAnsi" w:hAnsiTheme="minorHAnsi" w:cstheme="minorHAnsi"/>
          <w:color w:val="000000" w:themeColor="text1"/>
          <w:vertAlign w:val="superscript"/>
        </w:rPr>
        <w:fldChar w:fldCharType="begin"/>
      </w:r>
      <w:r w:rsidRPr="009D1960">
        <w:rPr>
          <w:rFonts w:asciiTheme="minorHAnsi" w:hAnsiTheme="minorHAnsi" w:cstheme="minorHAnsi"/>
          <w:color w:val="000000" w:themeColor="text1"/>
          <w:vertAlign w:val="superscript"/>
        </w:rPr>
        <w:instrText xml:space="preserve"> NOTEREF _Ref11306298 \h  \* MERGEFORMAT </w:instrText>
      </w:r>
      <w:r w:rsidRPr="009D1960">
        <w:rPr>
          <w:rFonts w:asciiTheme="minorHAnsi" w:hAnsiTheme="minorHAnsi" w:cstheme="minorHAnsi"/>
          <w:color w:val="000000" w:themeColor="text1"/>
          <w:vertAlign w:val="superscript"/>
        </w:rPr>
      </w:r>
      <w:r w:rsidRPr="009D1960">
        <w:rPr>
          <w:rFonts w:asciiTheme="minorHAnsi" w:hAnsiTheme="minorHAnsi" w:cstheme="minorHAnsi"/>
          <w:color w:val="000000" w:themeColor="text1"/>
          <w:vertAlign w:val="superscript"/>
        </w:rPr>
        <w:fldChar w:fldCharType="separate"/>
      </w:r>
      <w:r w:rsidR="00C21E58" w:rsidRPr="009D1960">
        <w:rPr>
          <w:rFonts w:asciiTheme="minorHAnsi" w:hAnsiTheme="minorHAnsi" w:cstheme="minorHAnsi"/>
          <w:color w:val="000000" w:themeColor="text1"/>
          <w:vertAlign w:val="superscript"/>
        </w:rPr>
        <w:t>3</w:t>
      </w:r>
      <w:r w:rsidRPr="009D1960">
        <w:rPr>
          <w:rFonts w:asciiTheme="minorHAnsi" w:hAnsiTheme="minorHAnsi" w:cstheme="minorHAnsi"/>
          <w:color w:val="000000" w:themeColor="text1"/>
          <w:vertAlign w:val="superscript"/>
        </w:rPr>
        <w:fldChar w:fldCharType="end"/>
      </w:r>
    </w:p>
    <w:p w14:paraId="765C0F7A" w14:textId="5E347E88" w:rsidR="001C7A69" w:rsidRPr="009D1960" w:rsidRDefault="00CF6760" w:rsidP="001C7A69">
      <w:pPr>
        <w:rPr>
          <w:rFonts w:asciiTheme="minorHAnsi" w:hAnsiTheme="minorHAnsi" w:cstheme="minorHAnsi"/>
          <w:color w:val="000000" w:themeColor="text1"/>
        </w:rPr>
      </w:pPr>
      <w:r>
        <w:rPr>
          <w:rFonts w:asciiTheme="minorHAnsi" w:hAnsiTheme="minorHAnsi" w:cstheme="minorHAnsi"/>
          <w:color w:val="000000" w:themeColor="text1"/>
        </w:rPr>
        <w:t>Additionally, f</w:t>
      </w:r>
      <w:r w:rsidR="001C7A69" w:rsidRPr="009D1960">
        <w:rPr>
          <w:rFonts w:asciiTheme="minorHAnsi" w:hAnsiTheme="minorHAnsi" w:cstheme="minorHAnsi"/>
          <w:color w:val="000000" w:themeColor="text1"/>
        </w:rPr>
        <w:t>or patients that meet the definition of a minor or “incapacitated” by national law, consent from the legal representative is required.</w:t>
      </w:r>
    </w:p>
    <w:p w14:paraId="44CABA40" w14:textId="1FA7C49E"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 xml:space="preserve">All patients should have the option of withdrawing consent at any time.  The study protocol should describe what happens to patients </w:t>
      </w:r>
      <w:r w:rsidR="00B93B1B">
        <w:rPr>
          <w:rFonts w:asciiTheme="minorHAnsi" w:hAnsiTheme="minorHAnsi" w:cstheme="minorHAnsi"/>
          <w:color w:val="000000" w:themeColor="text1"/>
        </w:rPr>
        <w:t>who</w:t>
      </w:r>
      <w:r w:rsidRPr="009D1960">
        <w:rPr>
          <w:rFonts w:asciiTheme="minorHAnsi" w:hAnsiTheme="minorHAnsi" w:cstheme="minorHAnsi"/>
          <w:color w:val="000000" w:themeColor="text1"/>
        </w:rPr>
        <w:t xml:space="preserve"> withdraw </w:t>
      </w:r>
      <w:r w:rsidR="00B93B1B">
        <w:rPr>
          <w:rFonts w:asciiTheme="minorHAnsi" w:hAnsiTheme="minorHAnsi" w:cstheme="minorHAnsi"/>
          <w:color w:val="000000" w:themeColor="text1"/>
        </w:rPr>
        <w:t xml:space="preserve">their </w:t>
      </w:r>
      <w:r w:rsidRPr="009D1960">
        <w:rPr>
          <w:rFonts w:asciiTheme="minorHAnsi" w:hAnsiTheme="minorHAnsi" w:cstheme="minorHAnsi"/>
          <w:color w:val="000000" w:themeColor="text1"/>
        </w:rPr>
        <w:t xml:space="preserve">consent.  In most programs they are transferred to the all-oral LTR used in the national program.  Depending on the time on treatment with the all-oral STR and clinical status at the time of withdrawal, a new regimen may be started or time in the all-oral STR can be counted towards an all-oral LTR. </w:t>
      </w:r>
    </w:p>
    <w:p w14:paraId="3057F7B4" w14:textId="77777777" w:rsidR="001C7A69" w:rsidRPr="009D1960" w:rsidRDefault="001C7A69" w:rsidP="001C7A69">
      <w:pPr>
        <w:rPr>
          <w:rFonts w:asciiTheme="minorHAnsi" w:hAnsiTheme="minorHAnsi" w:cstheme="minorHAnsi"/>
          <w:color w:val="000000" w:themeColor="text1"/>
        </w:rPr>
      </w:pPr>
    </w:p>
    <w:p w14:paraId="0C91158E" w14:textId="3C058D60" w:rsidR="001C7A69" w:rsidRPr="009D1960" w:rsidRDefault="001C7A69" w:rsidP="009D1960">
      <w:pPr>
        <w:spacing w:before="0" w:after="0"/>
        <w:jc w:val="left"/>
        <w:rPr>
          <w:rFonts w:asciiTheme="minorHAnsi" w:hAnsiTheme="minorHAnsi" w:cstheme="minorHAnsi"/>
          <w:color w:val="000000" w:themeColor="text1"/>
        </w:rPr>
      </w:pPr>
      <w:r w:rsidRPr="009D1960">
        <w:rPr>
          <w:rFonts w:asciiTheme="minorHAnsi" w:hAnsiTheme="minorHAnsi" w:cstheme="minorHAnsi"/>
          <w:color w:val="000000" w:themeColor="text1"/>
        </w:rPr>
        <w:br w:type="page"/>
      </w:r>
    </w:p>
    <w:p w14:paraId="34F4A43B" w14:textId="77777777" w:rsidR="001C7A69" w:rsidRPr="00003170" w:rsidRDefault="001C7A69" w:rsidP="00003170">
      <w:pPr>
        <w:pStyle w:val="Heading1"/>
      </w:pPr>
      <w:bookmarkStart w:id="168" w:name="_Ref426098403"/>
      <w:bookmarkStart w:id="169" w:name="_Toc12792966"/>
      <w:bookmarkStart w:id="170" w:name="_Toc12952377"/>
      <w:bookmarkStart w:id="171" w:name="_Toc13486726"/>
      <w:r w:rsidRPr="00003170">
        <w:lastRenderedPageBreak/>
        <w:t xml:space="preserve">Baseline evaluation and monitoring </w:t>
      </w:r>
      <w:bookmarkEnd w:id="168"/>
      <w:r w:rsidRPr="00003170">
        <w:t>treatment</w:t>
      </w:r>
      <w:bookmarkEnd w:id="169"/>
      <w:bookmarkEnd w:id="170"/>
      <w:bookmarkEnd w:id="171"/>
    </w:p>
    <w:p w14:paraId="284D3564" w14:textId="4B14917A" w:rsidR="001C7A69" w:rsidRPr="00003170" w:rsidRDefault="001C7A69" w:rsidP="00003170">
      <w:pPr>
        <w:pStyle w:val="Heading2"/>
      </w:pPr>
      <w:bookmarkStart w:id="172" w:name="_Toc12792967"/>
      <w:bookmarkStart w:id="173" w:name="_Toc12952378"/>
      <w:bookmarkStart w:id="174" w:name="_Toc13486727"/>
      <w:r w:rsidRPr="00003170">
        <w:t>Monitoring schedule for patient follow-up</w:t>
      </w:r>
      <w:bookmarkEnd w:id="172"/>
      <w:bookmarkEnd w:id="173"/>
      <w:bookmarkEnd w:id="174"/>
    </w:p>
    <w:p w14:paraId="3505FB85" w14:textId="18F0D9FE"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Patient should undergo appropriate baseline screening and monitoring during and after treatment, including clinical evaluation, bacteriological and laboratory testing as described</w:t>
      </w:r>
      <w:r w:rsidR="004449C0">
        <w:rPr>
          <w:rFonts w:asciiTheme="minorHAnsi" w:hAnsiTheme="minorHAnsi" w:cstheme="minorHAnsi"/>
          <w:color w:val="000000" w:themeColor="text1"/>
        </w:rPr>
        <w:t xml:space="preserve"> in </w:t>
      </w:r>
      <w:r w:rsidR="00780B58" w:rsidRPr="004449C0">
        <w:rPr>
          <w:rFonts w:asciiTheme="minorHAnsi" w:hAnsiTheme="minorHAnsi" w:cstheme="minorHAnsi"/>
          <w:color w:val="000000" w:themeColor="text1"/>
        </w:rPr>
        <w:fldChar w:fldCharType="begin"/>
      </w:r>
      <w:r w:rsidR="00780B58" w:rsidRPr="004449C0">
        <w:rPr>
          <w:rFonts w:asciiTheme="minorHAnsi" w:hAnsiTheme="minorHAnsi" w:cstheme="minorHAnsi"/>
          <w:color w:val="000000" w:themeColor="text1"/>
        </w:rPr>
        <w:instrText xml:space="preserve"> REF _Ref13049748 \h </w:instrText>
      </w:r>
      <w:r w:rsidR="004449C0">
        <w:rPr>
          <w:rFonts w:asciiTheme="minorHAnsi" w:hAnsiTheme="minorHAnsi" w:cstheme="minorHAnsi"/>
          <w:color w:val="000000" w:themeColor="text1"/>
        </w:rPr>
        <w:instrText xml:space="preserve"> \* MERGEFORMAT </w:instrText>
      </w:r>
      <w:r w:rsidR="00780B58" w:rsidRPr="004449C0">
        <w:rPr>
          <w:rFonts w:asciiTheme="minorHAnsi" w:hAnsiTheme="minorHAnsi" w:cstheme="minorHAnsi"/>
          <w:color w:val="000000" w:themeColor="text1"/>
        </w:rPr>
      </w:r>
      <w:r w:rsidR="00780B58" w:rsidRPr="004449C0">
        <w:rPr>
          <w:rFonts w:asciiTheme="minorHAnsi" w:hAnsiTheme="minorHAnsi" w:cstheme="minorHAnsi"/>
          <w:color w:val="000000" w:themeColor="text1"/>
        </w:rPr>
        <w:fldChar w:fldCharType="separate"/>
      </w:r>
      <w:r w:rsidR="00780B58" w:rsidRPr="004449C0">
        <w:rPr>
          <w:rFonts w:asciiTheme="minorHAnsi" w:hAnsiTheme="minorHAnsi" w:cstheme="minorHAnsi"/>
        </w:rPr>
        <w:t>Table 11</w:t>
      </w:r>
      <w:r w:rsidR="00780B58" w:rsidRPr="004449C0">
        <w:rPr>
          <w:rFonts w:asciiTheme="minorHAnsi" w:hAnsiTheme="minorHAnsi" w:cstheme="minorHAnsi"/>
          <w:color w:val="000000" w:themeColor="text1"/>
        </w:rPr>
        <w:fldChar w:fldCharType="end"/>
      </w:r>
      <w:r w:rsidR="00577A78" w:rsidRPr="004449C0">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w:t>
      </w:r>
    </w:p>
    <w:p w14:paraId="536AC082" w14:textId="77777777" w:rsidR="00B93B1B" w:rsidRDefault="00B93B1B" w:rsidP="001C7A69">
      <w:pPr>
        <w:rPr>
          <w:rFonts w:asciiTheme="minorHAnsi" w:hAnsiTheme="minorHAnsi" w:cstheme="minorHAnsi"/>
          <w:color w:val="000000" w:themeColor="text1"/>
        </w:rPr>
      </w:pPr>
    </w:p>
    <w:p w14:paraId="418EEE04" w14:textId="77777777"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Additional remarks:</w:t>
      </w:r>
    </w:p>
    <w:p w14:paraId="234DDAFC" w14:textId="2F4EC53B" w:rsidR="001C7A69" w:rsidRPr="009D1960" w:rsidRDefault="001C7A69" w:rsidP="00CB2F8E">
      <w:pPr>
        <w:pStyle w:val="ListParagraph"/>
        <w:numPr>
          <w:ilvl w:val="0"/>
          <w:numId w:val="8"/>
        </w:numPr>
        <w:rPr>
          <w:rFonts w:asciiTheme="minorHAnsi" w:hAnsiTheme="minorHAnsi" w:cstheme="minorHAnsi"/>
          <w:color w:val="000000" w:themeColor="text1"/>
        </w:rPr>
      </w:pPr>
      <w:r w:rsidRPr="009D1960">
        <w:rPr>
          <w:rFonts w:asciiTheme="minorHAnsi" w:hAnsiTheme="minorHAnsi" w:cstheme="minorHAnsi"/>
          <w:color w:val="000000" w:themeColor="text1"/>
        </w:rPr>
        <w:t>The laboratory and ECG follow-up should be continued at monthly intervals for the</w:t>
      </w:r>
      <w:r w:rsidR="00FE286A">
        <w:rPr>
          <w:rFonts w:asciiTheme="minorHAnsi" w:hAnsiTheme="minorHAnsi" w:cstheme="minorHAnsi"/>
          <w:color w:val="000000" w:themeColor="text1"/>
        </w:rPr>
        <w:t xml:space="preserve"> </w:t>
      </w:r>
      <w:r w:rsidR="003F1B3C">
        <w:rPr>
          <w:rFonts w:asciiTheme="minorHAnsi" w:hAnsiTheme="minorHAnsi" w:cstheme="minorHAnsi"/>
          <w:color w:val="000000" w:themeColor="text1"/>
        </w:rPr>
        <w:t xml:space="preserve">first six months and then </w:t>
      </w:r>
      <w:r w:rsidR="005A0CFB">
        <w:rPr>
          <w:rFonts w:asciiTheme="minorHAnsi" w:hAnsiTheme="minorHAnsi" w:cstheme="minorHAnsi"/>
          <w:color w:val="000000" w:themeColor="text1"/>
        </w:rPr>
        <w:t>if indicated</w:t>
      </w:r>
      <w:r w:rsidR="00CF6607">
        <w:rPr>
          <w:rFonts w:asciiTheme="minorHAnsi" w:hAnsiTheme="minorHAnsi" w:cstheme="minorHAnsi"/>
          <w:color w:val="000000" w:themeColor="text1"/>
        </w:rPr>
        <w:t xml:space="preserve"> (because of palpitations, syncope, or cardiac symptoms).</w:t>
      </w:r>
    </w:p>
    <w:p w14:paraId="7CD6AC9E" w14:textId="12D2168D" w:rsidR="001C7A69" w:rsidRPr="009D1960" w:rsidRDefault="008F5E1B" w:rsidP="00FD1E50">
      <w:pPr>
        <w:pStyle w:val="ListParagraph"/>
        <w:numPr>
          <w:ilvl w:val="0"/>
          <w:numId w:val="8"/>
        </w:numPr>
        <w:rPr>
          <w:rFonts w:asciiTheme="minorHAnsi" w:hAnsiTheme="minorHAnsi" w:cstheme="minorHAnsi"/>
          <w:color w:val="000000" w:themeColor="text1"/>
        </w:rPr>
      </w:pPr>
      <w:r w:rsidRPr="009D1960">
        <w:rPr>
          <w:rFonts w:asciiTheme="minorHAnsi" w:hAnsiTheme="minorHAnsi" w:cstheme="minorHAnsi"/>
          <w:color w:val="000000" w:themeColor="text1"/>
        </w:rPr>
        <w:t xml:space="preserve">Clinical judgement is </w:t>
      </w:r>
      <w:r w:rsidR="00E106D3" w:rsidRPr="009D1960">
        <w:rPr>
          <w:rFonts w:asciiTheme="minorHAnsi" w:hAnsiTheme="minorHAnsi" w:cstheme="minorHAnsi"/>
          <w:color w:val="000000" w:themeColor="text1"/>
        </w:rPr>
        <w:t>warranted</w:t>
      </w:r>
      <w:r w:rsidR="00A7128D">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this guide advises to err on the side of caution</w:t>
      </w:r>
      <w:r w:rsidR="00FE286A">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with more frequent monitoring in fragile patients or patients with co-morbidities. </w:t>
      </w:r>
    </w:p>
    <w:p w14:paraId="52A916A5" w14:textId="34511E7F" w:rsidR="001C7A69" w:rsidRPr="009D1960" w:rsidRDefault="00BC2E78" w:rsidP="00CB2F8E">
      <w:pPr>
        <w:pStyle w:val="ListParagraph"/>
        <w:numPr>
          <w:ilvl w:val="0"/>
          <w:numId w:val="8"/>
        </w:numPr>
        <w:rPr>
          <w:rFonts w:asciiTheme="minorHAnsi" w:hAnsiTheme="minorHAnsi" w:cstheme="minorHAnsi"/>
          <w:color w:val="000000" w:themeColor="text1"/>
        </w:rPr>
      </w:pPr>
      <w:r>
        <w:rPr>
          <w:rFonts w:asciiTheme="minorHAnsi" w:hAnsiTheme="minorHAnsi" w:cstheme="minorHAnsi"/>
          <w:color w:val="000000" w:themeColor="text1"/>
        </w:rPr>
        <w:t>For</w:t>
      </w:r>
      <w:r w:rsidR="001C7A69" w:rsidRPr="009D1960">
        <w:rPr>
          <w:rFonts w:asciiTheme="minorHAnsi" w:hAnsiTheme="minorHAnsi" w:cstheme="minorHAnsi"/>
          <w:color w:val="000000" w:themeColor="text1"/>
        </w:rPr>
        <w:t xml:space="preserve"> case</w:t>
      </w:r>
      <w:r>
        <w:rPr>
          <w:rFonts w:asciiTheme="minorHAnsi" w:hAnsiTheme="minorHAnsi" w:cstheme="minorHAnsi"/>
          <w:color w:val="000000" w:themeColor="text1"/>
        </w:rPr>
        <w:t>s</w:t>
      </w:r>
      <w:r w:rsidR="001C7A69" w:rsidRPr="009D1960">
        <w:rPr>
          <w:rFonts w:asciiTheme="minorHAnsi" w:hAnsiTheme="minorHAnsi" w:cstheme="minorHAnsi"/>
          <w:color w:val="000000" w:themeColor="text1"/>
        </w:rPr>
        <w:t xml:space="preserve"> of electrolyte disturbances or ECG abnormalities, more frequent monitoring should be performed as described in the </w:t>
      </w:r>
      <w:r w:rsidR="002C7F8A">
        <w:rPr>
          <w:rFonts w:asciiTheme="minorHAnsi" w:hAnsiTheme="minorHAnsi" w:cstheme="minorHAnsi"/>
          <w:color w:val="000000" w:themeColor="text1"/>
        </w:rPr>
        <w:t>section</w:t>
      </w:r>
      <w:r w:rsidR="001C7A69" w:rsidRPr="009D1960">
        <w:rPr>
          <w:rFonts w:asciiTheme="minorHAnsi" w:hAnsiTheme="minorHAnsi" w:cstheme="minorHAnsi"/>
          <w:color w:val="000000" w:themeColor="text1"/>
        </w:rPr>
        <w:t xml:space="preserve"> on clinical management of adverse events of interest</w:t>
      </w:r>
      <w:r w:rsidR="00D153D9">
        <w:rPr>
          <w:rFonts w:asciiTheme="minorHAnsi" w:hAnsiTheme="minorHAnsi" w:cstheme="minorHAnsi"/>
          <w:color w:val="000000" w:themeColor="text1"/>
        </w:rPr>
        <w:t xml:space="preserve"> (Section</w:t>
      </w:r>
      <w:r w:rsidR="007554B4">
        <w:rPr>
          <w:rFonts w:asciiTheme="minorHAnsi" w:hAnsiTheme="minorHAnsi" w:cstheme="minorHAnsi"/>
          <w:color w:val="000000" w:themeColor="text1"/>
        </w:rPr>
        <w:t xml:space="preserve"> </w:t>
      </w:r>
      <w:r w:rsidR="00CD5D7F">
        <w:rPr>
          <w:rFonts w:asciiTheme="minorHAnsi" w:hAnsiTheme="minorHAnsi" w:cstheme="minorHAnsi"/>
          <w:color w:val="000000" w:themeColor="text1"/>
        </w:rPr>
        <w:fldChar w:fldCharType="begin"/>
      </w:r>
      <w:r w:rsidR="00CD5D7F">
        <w:rPr>
          <w:rFonts w:asciiTheme="minorHAnsi" w:hAnsiTheme="minorHAnsi" w:cstheme="minorHAnsi"/>
          <w:color w:val="000000" w:themeColor="text1"/>
        </w:rPr>
        <w:instrText xml:space="preserve"> REF _Ref12887887 \r \h </w:instrText>
      </w:r>
      <w:r w:rsidR="00CD5D7F">
        <w:rPr>
          <w:rFonts w:asciiTheme="minorHAnsi" w:hAnsiTheme="minorHAnsi" w:cstheme="minorHAnsi"/>
          <w:color w:val="000000" w:themeColor="text1"/>
        </w:rPr>
      </w:r>
      <w:r w:rsidR="00CD5D7F">
        <w:rPr>
          <w:rFonts w:asciiTheme="minorHAnsi" w:hAnsiTheme="minorHAnsi" w:cstheme="minorHAnsi"/>
          <w:color w:val="000000" w:themeColor="text1"/>
        </w:rPr>
        <w:fldChar w:fldCharType="separate"/>
      </w:r>
      <w:r w:rsidR="00CD5D7F">
        <w:rPr>
          <w:rFonts w:asciiTheme="minorHAnsi" w:hAnsiTheme="minorHAnsi" w:cstheme="minorHAnsi"/>
          <w:color w:val="000000" w:themeColor="text1"/>
        </w:rPr>
        <w:t>6</w:t>
      </w:r>
      <w:r w:rsidR="00CD5D7F">
        <w:rPr>
          <w:rFonts w:asciiTheme="minorHAnsi" w:hAnsiTheme="minorHAnsi" w:cstheme="minorHAnsi"/>
          <w:color w:val="000000" w:themeColor="text1"/>
        </w:rPr>
        <w:fldChar w:fldCharType="end"/>
      </w:r>
      <w:r w:rsidR="001C7A69" w:rsidRPr="002C7F8A">
        <w:rPr>
          <w:rFonts w:asciiTheme="minorHAnsi" w:hAnsiTheme="minorHAnsi" w:cstheme="minorHAnsi"/>
          <w:color w:val="000000" w:themeColor="text1"/>
        </w:rPr>
        <w:t>)</w:t>
      </w:r>
      <w:r>
        <w:rPr>
          <w:rFonts w:asciiTheme="minorHAnsi" w:hAnsiTheme="minorHAnsi" w:cstheme="minorHAnsi"/>
          <w:color w:val="000000" w:themeColor="text1"/>
        </w:rPr>
        <w:t>.</w:t>
      </w:r>
    </w:p>
    <w:p w14:paraId="30B20231" w14:textId="5E566E92" w:rsidR="001C7A69" w:rsidRPr="009D1960" w:rsidRDefault="008F5E1B" w:rsidP="00CB2F8E">
      <w:pPr>
        <w:pStyle w:val="ListParagraph"/>
        <w:numPr>
          <w:ilvl w:val="0"/>
          <w:numId w:val="8"/>
        </w:numPr>
        <w:rPr>
          <w:rFonts w:asciiTheme="minorHAnsi" w:hAnsiTheme="minorHAnsi" w:cstheme="minorHAnsi"/>
          <w:color w:val="000000" w:themeColor="text1"/>
        </w:rPr>
      </w:pPr>
      <w:r w:rsidRPr="009D1960">
        <w:rPr>
          <w:rFonts w:asciiTheme="minorHAnsi" w:hAnsiTheme="minorHAnsi" w:cstheme="minorHAnsi"/>
          <w:color w:val="000000" w:themeColor="text1"/>
        </w:rPr>
        <w:t>Monitoring with a</w:t>
      </w:r>
      <w:r w:rsidR="001C7A69" w:rsidRPr="009D1960">
        <w:rPr>
          <w:rFonts w:asciiTheme="minorHAnsi" w:hAnsiTheme="minorHAnsi" w:cstheme="minorHAnsi"/>
          <w:color w:val="000000" w:themeColor="text1"/>
        </w:rPr>
        <w:t xml:space="preserve">udiometry does not need to be performed </w:t>
      </w:r>
      <w:r w:rsidRPr="009D1960">
        <w:rPr>
          <w:rFonts w:asciiTheme="minorHAnsi" w:hAnsiTheme="minorHAnsi" w:cstheme="minorHAnsi"/>
          <w:color w:val="000000" w:themeColor="text1"/>
        </w:rPr>
        <w:t>in patients on all-oral STRs</w:t>
      </w:r>
      <w:r w:rsidR="001C7A69" w:rsidRPr="009D1960">
        <w:rPr>
          <w:rFonts w:asciiTheme="minorHAnsi" w:hAnsiTheme="minorHAnsi" w:cstheme="minorHAnsi"/>
          <w:color w:val="000000" w:themeColor="text1"/>
        </w:rPr>
        <w:t xml:space="preserve">. </w:t>
      </w:r>
    </w:p>
    <w:p w14:paraId="7271D704" w14:textId="77777777" w:rsidR="001C7A69" w:rsidRPr="0083070F" w:rsidRDefault="001C7A69" w:rsidP="0083070F">
      <w:pPr>
        <w:pStyle w:val="ListParagraph"/>
        <w:numPr>
          <w:ilvl w:val="0"/>
          <w:numId w:val="8"/>
        </w:numPr>
        <w:rPr>
          <w:rFonts w:asciiTheme="minorHAnsi" w:hAnsiTheme="minorHAnsi" w:cstheme="minorHAnsi"/>
          <w:color w:val="000000" w:themeColor="text1"/>
        </w:rPr>
        <w:sectPr w:rsidR="001C7A69" w:rsidRPr="0083070F" w:rsidSect="00A5296E">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20" w:footer="720" w:gutter="0"/>
          <w:pgNumType w:start="1"/>
          <w:cols w:space="720"/>
          <w:titlePg/>
          <w:docGrid w:linePitch="299"/>
        </w:sectPr>
      </w:pPr>
      <w:r w:rsidRPr="009D1960">
        <w:rPr>
          <w:rFonts w:asciiTheme="minorHAnsi" w:hAnsiTheme="minorHAnsi" w:cstheme="minorHAnsi"/>
          <w:color w:val="000000" w:themeColor="text1"/>
        </w:rPr>
        <w:t>Urea, creatinine</w:t>
      </w:r>
      <w:r w:rsidR="00FF0A91">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and electrolytes should be performed at baseline and then </w:t>
      </w:r>
      <w:r w:rsidR="008F5E1B" w:rsidRPr="009D1960">
        <w:rPr>
          <w:rFonts w:asciiTheme="minorHAnsi" w:hAnsiTheme="minorHAnsi" w:cstheme="minorHAnsi"/>
          <w:color w:val="000000" w:themeColor="text1"/>
        </w:rPr>
        <w:t xml:space="preserve">repeated </w:t>
      </w:r>
      <w:r w:rsidRPr="009D1960">
        <w:rPr>
          <w:rFonts w:asciiTheme="minorHAnsi" w:hAnsiTheme="minorHAnsi" w:cstheme="minorHAnsi"/>
          <w:color w:val="000000" w:themeColor="text1"/>
        </w:rPr>
        <w:t>if</w:t>
      </w:r>
      <w:r w:rsidR="008F5E1B"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clinically indicated</w:t>
      </w:r>
      <w:r w:rsidR="008F5E1B" w:rsidRPr="009D1960">
        <w:rPr>
          <w:rFonts w:asciiTheme="minorHAnsi" w:hAnsiTheme="minorHAnsi" w:cstheme="minorHAnsi"/>
          <w:color w:val="000000" w:themeColor="text1"/>
        </w:rPr>
        <w:t>.  No need for routine monitoring of the urea, creatinine</w:t>
      </w:r>
      <w:r w:rsidR="00FF0A91">
        <w:rPr>
          <w:rFonts w:asciiTheme="minorHAnsi" w:hAnsiTheme="minorHAnsi" w:cstheme="minorHAnsi"/>
          <w:color w:val="000000" w:themeColor="text1"/>
        </w:rPr>
        <w:t>,</w:t>
      </w:r>
      <w:r w:rsidR="008F5E1B" w:rsidRPr="009D1960">
        <w:rPr>
          <w:rFonts w:asciiTheme="minorHAnsi" w:hAnsiTheme="minorHAnsi" w:cstheme="minorHAnsi"/>
          <w:color w:val="000000" w:themeColor="text1"/>
        </w:rPr>
        <w:t xml:space="preserve"> and electrolytes.</w:t>
      </w:r>
    </w:p>
    <w:p w14:paraId="1452B7F5" w14:textId="5F0F98AD" w:rsidR="001C7A69" w:rsidRPr="00735C6A" w:rsidRDefault="001C7A69" w:rsidP="002C4FED">
      <w:pPr>
        <w:pStyle w:val="Heading3"/>
        <w:rPr>
          <w:rStyle w:val="IntenseEmphasis"/>
          <w:rFonts w:asciiTheme="minorHAnsi" w:hAnsiTheme="minorHAnsi"/>
          <w:b/>
          <w:bCs/>
          <w:i/>
          <w:color w:val="000000" w:themeColor="text1"/>
        </w:rPr>
      </w:pPr>
      <w:bookmarkStart w:id="175" w:name="_Ref11322201"/>
      <w:bookmarkStart w:id="176" w:name="_Toc12885975"/>
      <w:bookmarkStart w:id="177" w:name="_Toc12886222"/>
      <w:bookmarkStart w:id="178" w:name="_Ref12888538"/>
      <w:bookmarkStart w:id="179" w:name="_Ref12951158"/>
      <w:bookmarkStart w:id="180" w:name="_Ref12965635"/>
      <w:bookmarkStart w:id="181" w:name="_Ref13049748"/>
      <w:bookmarkStart w:id="182" w:name="_Toc13486769"/>
      <w:r w:rsidRPr="00735C6A">
        <w:rPr>
          <w:rFonts w:asciiTheme="minorHAnsi" w:hAnsiTheme="minorHAnsi"/>
        </w:rPr>
        <w:lastRenderedPageBreak/>
        <w:t xml:space="preserve">Table </w:t>
      </w:r>
      <w:bookmarkEnd w:id="175"/>
      <w:r w:rsidR="002C4FED" w:rsidRPr="00735C6A">
        <w:rPr>
          <w:rFonts w:asciiTheme="minorHAnsi" w:hAnsiTheme="minorHAnsi"/>
        </w:rPr>
        <w:t>11</w:t>
      </w:r>
      <w:r w:rsidRPr="00735C6A">
        <w:rPr>
          <w:rFonts w:asciiTheme="minorHAnsi" w:hAnsiTheme="minorHAnsi"/>
        </w:rPr>
        <w:t xml:space="preserve"> </w:t>
      </w:r>
      <w:r w:rsidRPr="00735C6A">
        <w:rPr>
          <w:rStyle w:val="IntenseEmphasis"/>
          <w:rFonts w:asciiTheme="minorHAnsi" w:hAnsiTheme="minorHAnsi"/>
          <w:b/>
          <w:bCs/>
          <w:i/>
          <w:color w:val="000000" w:themeColor="text1"/>
        </w:rPr>
        <w:t>Monitoring schedule</w:t>
      </w:r>
      <w:bookmarkEnd w:id="176"/>
      <w:bookmarkEnd w:id="177"/>
      <w:bookmarkEnd w:id="178"/>
      <w:bookmarkEnd w:id="179"/>
      <w:bookmarkEnd w:id="180"/>
      <w:bookmarkEnd w:id="181"/>
      <w:bookmarkEnd w:id="182"/>
      <w:r w:rsidRPr="00735C6A">
        <w:rPr>
          <w:rStyle w:val="IntenseEmphasis"/>
          <w:rFonts w:asciiTheme="minorHAnsi" w:hAnsiTheme="minorHAnsi"/>
          <w:b/>
          <w:bCs/>
          <w:i/>
          <w:color w:val="000000" w:themeColor="text1"/>
        </w:rPr>
        <w:t xml:space="preserve"> </w:t>
      </w:r>
    </w:p>
    <w:tbl>
      <w:tblPr>
        <w:tblW w:w="5000" w:type="pct"/>
        <w:tblBorders>
          <w:top w:val="single" w:sz="6" w:space="0" w:color="CCCCCC"/>
          <w:left w:val="single" w:sz="6" w:space="0" w:color="CCCCCC"/>
          <w:bottom w:val="single" w:sz="6" w:space="0" w:color="CCCCCC"/>
          <w:right w:val="single" w:sz="6" w:space="0" w:color="CCCCCC"/>
        </w:tblBorders>
        <w:tblCellMar>
          <w:left w:w="0" w:type="dxa"/>
          <w:right w:w="0" w:type="dxa"/>
        </w:tblCellMar>
        <w:tblLook w:val="00A0" w:firstRow="1" w:lastRow="0" w:firstColumn="1" w:lastColumn="0" w:noHBand="0" w:noVBand="0"/>
      </w:tblPr>
      <w:tblGrid>
        <w:gridCol w:w="3298"/>
        <w:gridCol w:w="788"/>
        <w:gridCol w:w="569"/>
        <w:gridCol w:w="657"/>
        <w:gridCol w:w="657"/>
        <w:gridCol w:w="657"/>
        <w:gridCol w:w="657"/>
        <w:gridCol w:w="657"/>
        <w:gridCol w:w="657"/>
        <w:gridCol w:w="1175"/>
        <w:gridCol w:w="970"/>
        <w:gridCol w:w="1195"/>
        <w:gridCol w:w="1149"/>
        <w:gridCol w:w="1161"/>
        <w:gridCol w:w="1136"/>
      </w:tblGrid>
      <w:tr w:rsidR="00B85017" w:rsidRPr="00B85017" w14:paraId="50AE80F0" w14:textId="77777777" w:rsidTr="00735C6A">
        <w:trPr>
          <w:trHeight w:val="891"/>
          <w:tblHeader/>
        </w:trPr>
        <w:tc>
          <w:tcPr>
            <w:tcW w:w="1073" w:type="pct"/>
            <w:tcBorders>
              <w:top w:val="single" w:sz="6" w:space="0" w:color="000000" w:themeColor="text1"/>
              <w:left w:val="single" w:sz="6" w:space="0" w:color="000000" w:themeColor="text1"/>
              <w:bottom w:val="single" w:sz="6" w:space="0" w:color="CCCCCC"/>
              <w:right w:val="single" w:sz="6" w:space="0" w:color="000000" w:themeColor="text1"/>
            </w:tcBorders>
            <w:shd w:val="clear" w:color="auto" w:fill="235868"/>
            <w:tcMar>
              <w:top w:w="30" w:type="dxa"/>
              <w:left w:w="45" w:type="dxa"/>
              <w:bottom w:w="30" w:type="dxa"/>
              <w:right w:w="45" w:type="dxa"/>
            </w:tcMar>
            <w:vAlign w:val="bottom"/>
          </w:tcPr>
          <w:p w14:paraId="4467DD16" w14:textId="77777777" w:rsidR="001C7A69" w:rsidRPr="00093E2C" w:rsidRDefault="001C7A69" w:rsidP="000A384C">
            <w:pPr>
              <w:spacing w:before="20" w:after="20"/>
              <w:jc w:val="left"/>
              <w:rPr>
                <w:rFonts w:ascii="Calibri" w:hAnsi="Calibri" w:cs="Arial"/>
                <w:b/>
                <w:color w:val="FFFFFF" w:themeColor="background1"/>
                <w:sz w:val="20"/>
                <w:szCs w:val="20"/>
              </w:rPr>
            </w:pPr>
          </w:p>
        </w:tc>
        <w:tc>
          <w:tcPr>
            <w:tcW w:w="255"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5F997FD7"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Baseline Visit</w:t>
            </w:r>
          </w:p>
        </w:tc>
        <w:tc>
          <w:tcPr>
            <w:tcW w:w="184"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1ECA35B2"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Week 2</w:t>
            </w:r>
          </w:p>
        </w:tc>
        <w:tc>
          <w:tcPr>
            <w:tcW w:w="213"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4E7AB84B"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Month 1</w:t>
            </w:r>
          </w:p>
        </w:tc>
        <w:tc>
          <w:tcPr>
            <w:tcW w:w="213"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54FCEBCA"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Month 2</w:t>
            </w:r>
          </w:p>
        </w:tc>
        <w:tc>
          <w:tcPr>
            <w:tcW w:w="213"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05EE765C"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Month 3</w:t>
            </w:r>
          </w:p>
        </w:tc>
        <w:tc>
          <w:tcPr>
            <w:tcW w:w="213"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283F4FF6"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Month 4</w:t>
            </w:r>
          </w:p>
        </w:tc>
        <w:tc>
          <w:tcPr>
            <w:tcW w:w="213"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1FEB4E1C"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Month 5</w:t>
            </w:r>
          </w:p>
        </w:tc>
        <w:tc>
          <w:tcPr>
            <w:tcW w:w="213"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2120556D"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Month 6</w:t>
            </w:r>
          </w:p>
        </w:tc>
        <w:tc>
          <w:tcPr>
            <w:tcW w:w="383"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7079F47C"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Until end of treatment</w:t>
            </w:r>
          </w:p>
        </w:tc>
        <w:tc>
          <w:tcPr>
            <w:tcW w:w="316"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vAlign w:val="center"/>
          </w:tcPr>
          <w:p w14:paraId="11A53A9A" w14:textId="77777777" w:rsidR="001C7A69" w:rsidRPr="00093E2C" w:rsidRDefault="001C7A69" w:rsidP="000A384C">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End of treatment</w:t>
            </w:r>
          </w:p>
        </w:tc>
        <w:tc>
          <w:tcPr>
            <w:tcW w:w="389" w:type="pct"/>
            <w:tcBorders>
              <w:top w:val="single" w:sz="6" w:space="0" w:color="000000" w:themeColor="text1"/>
              <w:left w:val="single" w:sz="6" w:space="0" w:color="CCCCCC"/>
              <w:bottom w:val="single" w:sz="6" w:space="0" w:color="CCCCCC"/>
              <w:right w:val="single" w:sz="6" w:space="0" w:color="000000" w:themeColor="text1"/>
            </w:tcBorders>
            <w:shd w:val="clear" w:color="auto" w:fill="235868"/>
            <w:tcMar>
              <w:top w:w="30" w:type="dxa"/>
              <w:left w:w="45" w:type="dxa"/>
              <w:bottom w:w="30" w:type="dxa"/>
              <w:right w:w="45" w:type="dxa"/>
            </w:tcMar>
          </w:tcPr>
          <w:p w14:paraId="0AC5DBAC" w14:textId="13D74A0D" w:rsidR="001C7A69" w:rsidRPr="00093E2C" w:rsidRDefault="001C7A69" w:rsidP="00735C6A">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3 months post-end</w:t>
            </w:r>
            <w:r w:rsidR="00B02123" w:rsidRPr="00093E2C">
              <w:rPr>
                <w:rFonts w:ascii="Calibri" w:hAnsi="Calibri" w:cs="Arial"/>
                <w:b/>
                <w:bCs/>
                <w:color w:val="FFFFFF" w:themeColor="background1"/>
                <w:sz w:val="20"/>
                <w:szCs w:val="20"/>
              </w:rPr>
              <w:t>-</w:t>
            </w:r>
            <w:r w:rsidRPr="00093E2C">
              <w:rPr>
                <w:rFonts w:ascii="Calibri" w:hAnsi="Calibri" w:cs="Arial"/>
                <w:b/>
                <w:bCs/>
                <w:color w:val="FFFFFF" w:themeColor="background1"/>
                <w:sz w:val="20"/>
                <w:szCs w:val="20"/>
              </w:rPr>
              <w:t>of</w:t>
            </w:r>
            <w:r w:rsidR="00B02123" w:rsidRPr="00093E2C">
              <w:rPr>
                <w:rFonts w:ascii="Calibri" w:hAnsi="Calibri" w:cs="Arial"/>
                <w:b/>
                <w:bCs/>
                <w:color w:val="FFFFFF" w:themeColor="background1"/>
                <w:sz w:val="20"/>
                <w:szCs w:val="20"/>
              </w:rPr>
              <w:t>-</w:t>
            </w:r>
            <w:r w:rsidRPr="00093E2C">
              <w:rPr>
                <w:rFonts w:ascii="Calibri" w:hAnsi="Calibri" w:cs="Arial"/>
                <w:b/>
                <w:bCs/>
                <w:color w:val="FFFFFF" w:themeColor="background1"/>
                <w:sz w:val="20"/>
                <w:szCs w:val="20"/>
              </w:rPr>
              <w:t>treatment</w:t>
            </w:r>
          </w:p>
        </w:tc>
        <w:tc>
          <w:tcPr>
            <w:tcW w:w="374" w:type="pct"/>
            <w:tcBorders>
              <w:top w:val="single" w:sz="6" w:space="0" w:color="000000" w:themeColor="text1"/>
              <w:left w:val="single" w:sz="6" w:space="0" w:color="CCCCCC"/>
              <w:bottom w:val="single" w:sz="6" w:space="0" w:color="000000" w:themeColor="text1"/>
              <w:right w:val="single" w:sz="6" w:space="0" w:color="000000" w:themeColor="text1"/>
            </w:tcBorders>
            <w:shd w:val="clear" w:color="auto" w:fill="235868"/>
          </w:tcPr>
          <w:p w14:paraId="63891206" w14:textId="5511485B" w:rsidR="001C7A69" w:rsidRPr="00093E2C" w:rsidRDefault="001C7A69" w:rsidP="00735C6A">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 xml:space="preserve">6 </w:t>
            </w:r>
            <w:r w:rsidR="00B02123" w:rsidRPr="00093E2C">
              <w:rPr>
                <w:rFonts w:ascii="Calibri" w:hAnsi="Calibri" w:cs="Arial"/>
                <w:b/>
                <w:bCs/>
                <w:color w:val="FFFFFF" w:themeColor="background1"/>
                <w:sz w:val="20"/>
                <w:szCs w:val="20"/>
              </w:rPr>
              <w:t>months post-end-of-treatment</w:t>
            </w:r>
          </w:p>
        </w:tc>
        <w:tc>
          <w:tcPr>
            <w:tcW w:w="378" w:type="pct"/>
            <w:tcBorders>
              <w:top w:val="single" w:sz="6" w:space="0" w:color="000000" w:themeColor="text1"/>
              <w:left w:val="single" w:sz="6" w:space="0" w:color="CCCCCC"/>
              <w:bottom w:val="single" w:sz="6" w:space="0" w:color="000000" w:themeColor="text1"/>
              <w:right w:val="single" w:sz="6" w:space="0" w:color="000000" w:themeColor="text1"/>
            </w:tcBorders>
            <w:shd w:val="clear" w:color="auto" w:fill="235868"/>
          </w:tcPr>
          <w:p w14:paraId="1C856765" w14:textId="704FF77B" w:rsidR="001C7A69" w:rsidRPr="00093E2C" w:rsidRDefault="001C7A69" w:rsidP="00735C6A">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 xml:space="preserve">9 </w:t>
            </w:r>
            <w:r w:rsidR="00B02123" w:rsidRPr="00093E2C">
              <w:rPr>
                <w:rFonts w:ascii="Calibri" w:hAnsi="Calibri" w:cs="Arial"/>
                <w:b/>
                <w:bCs/>
                <w:color w:val="FFFFFF" w:themeColor="background1"/>
                <w:sz w:val="20"/>
                <w:szCs w:val="20"/>
              </w:rPr>
              <w:t>months post-end-of-treatment</w:t>
            </w:r>
          </w:p>
        </w:tc>
        <w:tc>
          <w:tcPr>
            <w:tcW w:w="370" w:type="pct"/>
            <w:tcBorders>
              <w:top w:val="single" w:sz="6" w:space="0" w:color="000000" w:themeColor="text1"/>
              <w:left w:val="single" w:sz="6" w:space="0" w:color="CCCCCC"/>
              <w:bottom w:val="single" w:sz="6" w:space="0" w:color="000000" w:themeColor="text1"/>
              <w:right w:val="single" w:sz="6" w:space="0" w:color="000000" w:themeColor="text1"/>
            </w:tcBorders>
            <w:shd w:val="clear" w:color="auto" w:fill="235868"/>
          </w:tcPr>
          <w:p w14:paraId="44DC40CB" w14:textId="4C6BEE00" w:rsidR="001C7A69" w:rsidRPr="00093E2C" w:rsidRDefault="001C7A69" w:rsidP="00735C6A">
            <w:pPr>
              <w:spacing w:before="20" w:after="20"/>
              <w:jc w:val="center"/>
              <w:rPr>
                <w:rFonts w:ascii="Calibri" w:hAnsi="Calibri" w:cs="Arial"/>
                <w:b/>
                <w:bCs/>
                <w:color w:val="FFFFFF" w:themeColor="background1"/>
                <w:sz w:val="20"/>
                <w:szCs w:val="20"/>
              </w:rPr>
            </w:pPr>
            <w:r w:rsidRPr="00093E2C">
              <w:rPr>
                <w:rFonts w:ascii="Calibri" w:hAnsi="Calibri" w:cs="Arial"/>
                <w:b/>
                <w:bCs/>
                <w:color w:val="FFFFFF" w:themeColor="background1"/>
                <w:sz w:val="20"/>
                <w:szCs w:val="20"/>
              </w:rPr>
              <w:t xml:space="preserve">12 </w:t>
            </w:r>
            <w:r w:rsidR="00B02123" w:rsidRPr="00093E2C">
              <w:rPr>
                <w:rFonts w:ascii="Calibri" w:hAnsi="Calibri" w:cs="Arial"/>
                <w:b/>
                <w:bCs/>
                <w:color w:val="FFFFFF" w:themeColor="background1"/>
                <w:sz w:val="20"/>
                <w:szCs w:val="20"/>
              </w:rPr>
              <w:t>months post-end-of-treatment</w:t>
            </w:r>
          </w:p>
        </w:tc>
      </w:tr>
      <w:tr w:rsidR="00413579" w:rsidRPr="00B85017" w14:paraId="123D546B" w14:textId="77777777" w:rsidTr="0083070F">
        <w:tc>
          <w:tcPr>
            <w:tcW w:w="5000" w:type="pct"/>
            <w:gridSpan w:val="15"/>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vAlign w:val="bottom"/>
          </w:tcPr>
          <w:p w14:paraId="295A8F6F" w14:textId="6B6415F5" w:rsidR="00413579" w:rsidRPr="00B85017" w:rsidRDefault="00413579" w:rsidP="000A384C">
            <w:pPr>
              <w:spacing w:before="20" w:after="20"/>
              <w:jc w:val="left"/>
              <w:rPr>
                <w:rFonts w:ascii="Calibri" w:hAnsi="Calibri" w:cs="Arial"/>
                <w:b/>
                <w:bCs/>
                <w:i/>
                <w:iCs/>
                <w:color w:val="000000" w:themeColor="text1"/>
                <w:sz w:val="20"/>
                <w:szCs w:val="20"/>
              </w:rPr>
            </w:pPr>
            <w:r w:rsidRPr="00B85017">
              <w:rPr>
                <w:rFonts w:ascii="Calibri" w:hAnsi="Calibri" w:cs="Arial"/>
                <w:b/>
                <w:bCs/>
                <w:i/>
                <w:iCs/>
                <w:color w:val="000000" w:themeColor="text1"/>
                <w:sz w:val="20"/>
                <w:szCs w:val="20"/>
              </w:rPr>
              <w:t>Clinical evaluation</w:t>
            </w:r>
          </w:p>
        </w:tc>
      </w:tr>
      <w:tr w:rsidR="00B85017" w:rsidRPr="00B85017" w14:paraId="68490445" w14:textId="77777777" w:rsidTr="00A66813">
        <w:trPr>
          <w:trHeight w:val="327"/>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55DC3E19"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Vital signs</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D472BE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2E6B5F0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8299F54"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FD2492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14D7618"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3B86C8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5277F63"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574EA97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FC741E4"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Monthly</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A37D2F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AA559C5"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bottom"/>
          </w:tcPr>
          <w:p w14:paraId="6471C710"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8"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bottom"/>
          </w:tcPr>
          <w:p w14:paraId="7BEE8B3F"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0"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bottom"/>
          </w:tcPr>
          <w:p w14:paraId="0960F94F"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r>
      <w:tr w:rsidR="001557A0" w:rsidRPr="00B85017" w14:paraId="22011DF0" w14:textId="77777777" w:rsidTr="00963A4E">
        <w:trPr>
          <w:trHeight w:val="327"/>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5435AA39" w14:textId="22AA9FD9" w:rsidR="001557A0" w:rsidRPr="00B85017" w:rsidRDefault="001557A0" w:rsidP="001557A0">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Brief peripheral neuropathy screen</w:t>
            </w:r>
            <w:r w:rsidR="00B919EA">
              <w:rPr>
                <w:rFonts w:ascii="Calibri" w:hAnsi="Calibri" w:cs="Arial"/>
                <w:color w:val="000000" w:themeColor="text1"/>
                <w:sz w:val="20"/>
                <w:szCs w:val="20"/>
              </w:rPr>
              <w:t xml:space="preserve"> (BPNS)</w:t>
            </w:r>
            <w:r w:rsidR="00B57410">
              <w:rPr>
                <w:rFonts w:ascii="Calibri" w:hAnsi="Calibri" w:cs="Arial"/>
                <w:color w:val="000000" w:themeColor="text1"/>
                <w:sz w:val="20"/>
                <w:szCs w:val="20"/>
              </w:rPr>
              <w:t xml:space="preserve"> if on Lzd.</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29D040C6"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3551AD45" w14:textId="77777777" w:rsidR="001557A0" w:rsidRPr="00B85017" w:rsidRDefault="001557A0" w:rsidP="001557A0">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970F288"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D15034E"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4A2C8E25"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2A55EDDF"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D9341FA"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5556F5FA"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4274FB7"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Monthly</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329D56D"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26EDAE69" w14:textId="1486E06F" w:rsidR="001557A0" w:rsidRPr="001557A0" w:rsidRDefault="001557A0" w:rsidP="001557A0">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shd w:val="clear" w:color="auto" w:fill="auto"/>
            <w:vAlign w:val="bottom"/>
          </w:tcPr>
          <w:p w14:paraId="0748B6B5" w14:textId="1A69EDB8" w:rsidR="001557A0" w:rsidRPr="001557A0" w:rsidRDefault="001557A0" w:rsidP="001557A0">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shd w:val="clear" w:color="auto" w:fill="auto"/>
            <w:vAlign w:val="bottom"/>
          </w:tcPr>
          <w:p w14:paraId="0B95F8F3" w14:textId="6CD160AA" w:rsidR="001557A0" w:rsidRPr="001557A0" w:rsidRDefault="001557A0" w:rsidP="001557A0">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bottom"/>
          </w:tcPr>
          <w:p w14:paraId="137C48CA" w14:textId="2F9759A1" w:rsidR="001557A0" w:rsidRPr="001557A0" w:rsidRDefault="001557A0" w:rsidP="001557A0">
            <w:pPr>
              <w:spacing w:before="20" w:after="20"/>
              <w:jc w:val="center"/>
              <w:rPr>
                <w:rFonts w:ascii="Calibri" w:hAnsi="Calibri" w:cs="Arial"/>
                <w:color w:val="000000" w:themeColor="text1"/>
                <w:sz w:val="20"/>
                <w:szCs w:val="20"/>
              </w:rPr>
            </w:pPr>
            <w:r w:rsidRPr="001557A0">
              <w:rPr>
                <w:rFonts w:ascii="Calibri" w:hAnsi="Calibri" w:cs="Arial"/>
                <w:color w:val="000000" w:themeColor="text1"/>
                <w:sz w:val="20"/>
                <w:szCs w:val="20"/>
              </w:rPr>
              <w:t>X</w:t>
            </w:r>
          </w:p>
        </w:tc>
      </w:tr>
      <w:tr w:rsidR="001557A0" w:rsidRPr="00B85017" w14:paraId="4D3569E6" w14:textId="77777777" w:rsidTr="00963A4E">
        <w:trPr>
          <w:trHeight w:val="327"/>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1FE64EA4" w14:textId="77777777" w:rsidR="001557A0" w:rsidRPr="00B85017" w:rsidRDefault="001557A0" w:rsidP="001557A0">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Visual acuity and colorblindness screen</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163A3DF"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469287FD" w14:textId="77777777" w:rsidR="001557A0" w:rsidRPr="00B85017" w:rsidRDefault="001557A0" w:rsidP="001557A0">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E77D6EA"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567CBF53"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AC4B7C9"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7CB4B53"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D157690"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B7229C3"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5B8E134"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Monthly</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0A446AF" w14:textId="77777777" w:rsidR="001557A0" w:rsidRPr="00B85017" w:rsidRDefault="001557A0" w:rsidP="001557A0">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0938634C" w14:textId="2CAFCBDA" w:rsidR="001557A0" w:rsidRPr="001557A0" w:rsidRDefault="001557A0" w:rsidP="001557A0">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shd w:val="clear" w:color="auto" w:fill="auto"/>
            <w:vAlign w:val="bottom"/>
          </w:tcPr>
          <w:p w14:paraId="5346052B" w14:textId="52B9604A" w:rsidR="001557A0" w:rsidRPr="001557A0" w:rsidRDefault="001557A0" w:rsidP="001557A0">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shd w:val="clear" w:color="auto" w:fill="auto"/>
            <w:vAlign w:val="bottom"/>
          </w:tcPr>
          <w:p w14:paraId="4041230E" w14:textId="37765C22" w:rsidR="001557A0" w:rsidRPr="001557A0" w:rsidRDefault="001557A0" w:rsidP="001557A0">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bottom"/>
          </w:tcPr>
          <w:p w14:paraId="1DEAA129" w14:textId="5B0AEE7A" w:rsidR="001557A0" w:rsidRPr="001557A0" w:rsidRDefault="001557A0" w:rsidP="001557A0">
            <w:pPr>
              <w:spacing w:before="20" w:after="20"/>
              <w:jc w:val="center"/>
              <w:rPr>
                <w:rFonts w:ascii="Calibri" w:hAnsi="Calibri" w:cs="Arial"/>
                <w:color w:val="000000" w:themeColor="text1"/>
                <w:sz w:val="20"/>
                <w:szCs w:val="20"/>
              </w:rPr>
            </w:pPr>
            <w:r w:rsidRPr="001557A0">
              <w:rPr>
                <w:rFonts w:ascii="Calibri" w:hAnsi="Calibri" w:cs="Arial"/>
                <w:color w:val="000000" w:themeColor="text1"/>
                <w:sz w:val="20"/>
                <w:szCs w:val="20"/>
              </w:rPr>
              <w:t>X</w:t>
            </w:r>
          </w:p>
        </w:tc>
      </w:tr>
      <w:tr w:rsidR="00B85017" w:rsidRPr="00B85017" w14:paraId="68356F7E" w14:textId="77777777" w:rsidTr="00A66813">
        <w:trPr>
          <w:trHeight w:val="327"/>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152C8BC0" w14:textId="235E378B" w:rsidR="001C7A69" w:rsidRPr="00B85017" w:rsidRDefault="00963A4E" w:rsidP="000A384C">
            <w:pPr>
              <w:spacing w:before="20" w:after="20"/>
              <w:jc w:val="left"/>
              <w:rPr>
                <w:rFonts w:ascii="Calibri" w:hAnsi="Calibri" w:cs="Arial"/>
                <w:color w:val="000000" w:themeColor="text1"/>
                <w:sz w:val="20"/>
                <w:szCs w:val="20"/>
              </w:rPr>
            </w:pPr>
            <w:r>
              <w:rPr>
                <w:rFonts w:ascii="Calibri" w:hAnsi="Calibri" w:cs="Arial"/>
                <w:color w:val="000000" w:themeColor="text1"/>
                <w:sz w:val="20"/>
                <w:szCs w:val="20"/>
              </w:rPr>
              <w:t xml:space="preserve">Post-end-of- treatment </w:t>
            </w:r>
            <w:r w:rsidR="001C7A69" w:rsidRPr="00B85017">
              <w:rPr>
                <w:rFonts w:ascii="Calibri" w:hAnsi="Calibri" w:cs="Arial"/>
                <w:color w:val="000000" w:themeColor="text1"/>
                <w:sz w:val="20"/>
                <w:szCs w:val="20"/>
              </w:rPr>
              <w:t>consultation</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8FA0D8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5BE4F603"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9BEBD5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25735E5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55F638D8"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1EF942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F1291C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466F4653"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5E9BF7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363D003"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72FE660"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bottom"/>
          </w:tcPr>
          <w:p w14:paraId="53A597D6"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8"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bottom"/>
          </w:tcPr>
          <w:p w14:paraId="12BED7F8"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0"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bottom"/>
          </w:tcPr>
          <w:p w14:paraId="3E6FF5CC"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r>
      <w:tr w:rsidR="00B85017" w:rsidRPr="00B85017" w14:paraId="4E88A359"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center"/>
          </w:tcPr>
          <w:p w14:paraId="6503338D" w14:textId="77777777" w:rsidR="001C7A69" w:rsidRPr="00B85017" w:rsidRDefault="001C7A69" w:rsidP="000A384C">
            <w:pPr>
              <w:pStyle w:val="Tabletext"/>
              <w:rPr>
                <w:rFonts w:ascii="Calibri" w:hAnsi="Calibri" w:cs="Arial"/>
                <w:color w:val="000000" w:themeColor="text1"/>
              </w:rPr>
            </w:pPr>
            <w:r w:rsidRPr="00B85017">
              <w:rPr>
                <w:rFonts w:ascii="Calibri" w:hAnsi="Calibri" w:cs="Arial"/>
                <w:color w:val="000000" w:themeColor="text1"/>
              </w:rPr>
              <w:t>Assessment and follow-up of adverse events</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46DD8EF3"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3CC1DB3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7404A0A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709328C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5890A13A"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3F8611CD"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1565B640"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7A0D616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6E5DC5EA"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18"/>
                <w:szCs w:val="18"/>
              </w:rPr>
              <w:t>At each scheduled /unscheduled visit</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1E7E8FA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7858E36F"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051A1243"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8"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543B4E6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0"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023BE33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r>
      <w:tr w:rsidR="00B85017" w:rsidRPr="00B85017" w14:paraId="08C0A40E" w14:textId="77777777" w:rsidTr="00A66813">
        <w:trPr>
          <w:trHeight w:val="396"/>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center"/>
          </w:tcPr>
          <w:p w14:paraId="6AEF7C87"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 xml:space="preserve">Weight </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008926C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28A265B5"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7924A56C"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0DEB0F52"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0DB76807"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501E809A"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3D38664B"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37B916A0"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52A5C7A0" w14:textId="77777777" w:rsidR="001C7A69" w:rsidRPr="00B85017" w:rsidRDefault="001C7A69" w:rsidP="000A384C">
            <w:pPr>
              <w:spacing w:before="20" w:after="20"/>
              <w:jc w:val="center"/>
              <w:rPr>
                <w:rFonts w:ascii="Calibri" w:hAnsi="Calibri" w:cs="Arial"/>
                <w:color w:val="000000" w:themeColor="text1"/>
                <w:sz w:val="18"/>
                <w:szCs w:val="18"/>
              </w:rPr>
            </w:pPr>
            <w:r w:rsidRPr="00B85017">
              <w:rPr>
                <w:rFonts w:ascii="Calibri" w:hAnsi="Calibri" w:cs="Arial"/>
                <w:color w:val="000000" w:themeColor="text1"/>
                <w:sz w:val="18"/>
                <w:szCs w:val="18"/>
              </w:rPr>
              <w:t>Monthly</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3CE81440"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2E5DADE6"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5AE5117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8"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20DB016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0"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0CD2A996"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r>
      <w:tr w:rsidR="00413579" w:rsidRPr="00B85017" w14:paraId="3B35BB44" w14:textId="77777777" w:rsidTr="0083070F">
        <w:tc>
          <w:tcPr>
            <w:tcW w:w="5000" w:type="pct"/>
            <w:gridSpan w:val="15"/>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vAlign w:val="bottom"/>
          </w:tcPr>
          <w:p w14:paraId="42EDE34C" w14:textId="10351AE7" w:rsidR="00413579" w:rsidRPr="00B85017" w:rsidRDefault="00413579" w:rsidP="000A384C">
            <w:pPr>
              <w:spacing w:before="20" w:after="20"/>
              <w:jc w:val="left"/>
              <w:rPr>
                <w:rFonts w:ascii="Calibri" w:hAnsi="Calibri" w:cs="Arial"/>
                <w:b/>
                <w:bCs/>
                <w:i/>
                <w:iCs/>
                <w:color w:val="000000" w:themeColor="text1"/>
                <w:sz w:val="20"/>
                <w:szCs w:val="20"/>
              </w:rPr>
            </w:pPr>
            <w:r w:rsidRPr="00B85017">
              <w:rPr>
                <w:rFonts w:ascii="Calibri" w:hAnsi="Calibri" w:cs="Arial"/>
                <w:b/>
                <w:bCs/>
                <w:i/>
                <w:iCs/>
                <w:color w:val="000000" w:themeColor="text1"/>
                <w:sz w:val="20"/>
                <w:szCs w:val="20"/>
              </w:rPr>
              <w:t>Bacteriological testing</w:t>
            </w:r>
          </w:p>
        </w:tc>
      </w:tr>
      <w:tr w:rsidR="00B85017" w:rsidRPr="00B85017" w14:paraId="5A71E18A" w14:textId="77777777" w:rsidTr="00E5087F">
        <w:trPr>
          <w:trHeight w:val="295"/>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175E05AF"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Smear</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D0CC638"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E1D1C4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DD3742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41C3FF5"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ACE659B"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B1CCFB7"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B59623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F1AB84A"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F1CF1E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Monthly</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447A2BD3"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center"/>
          </w:tcPr>
          <w:p w14:paraId="1DF01AF1" w14:textId="761FE62B"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1F464880"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8" w:type="pct"/>
            <w:tcBorders>
              <w:top w:val="single" w:sz="6" w:space="0" w:color="CCCCCC"/>
              <w:left w:val="single" w:sz="6" w:space="0" w:color="CCCCCC"/>
              <w:bottom w:val="single" w:sz="6" w:space="0" w:color="000000" w:themeColor="text1"/>
              <w:right w:val="single" w:sz="6" w:space="0" w:color="000000" w:themeColor="text1"/>
            </w:tcBorders>
            <w:shd w:val="clear" w:color="auto" w:fill="auto"/>
            <w:vAlign w:val="center"/>
          </w:tcPr>
          <w:p w14:paraId="66580BC6" w14:textId="58E970BF"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5AC88A63"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r>
      <w:tr w:rsidR="00B85017" w:rsidRPr="00B85017" w14:paraId="18A00965" w14:textId="77777777" w:rsidTr="00E5087F">
        <w:trPr>
          <w:trHeight w:val="295"/>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5DE64259"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Culture</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58C3AA7"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FB30F3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235B255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AB55B1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A7385CD"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5CE0CF3B"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77AE865"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1323BF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F3435D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Monthly</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11019C20"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center"/>
          </w:tcPr>
          <w:p w14:paraId="05CF26C2" w14:textId="26D28AB4"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770E9D9D"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78" w:type="pct"/>
            <w:tcBorders>
              <w:top w:val="single" w:sz="6" w:space="0" w:color="CCCCCC"/>
              <w:left w:val="single" w:sz="6" w:space="0" w:color="CCCCCC"/>
              <w:bottom w:val="single" w:sz="6" w:space="0" w:color="000000" w:themeColor="text1"/>
              <w:right w:val="single" w:sz="6" w:space="0" w:color="000000" w:themeColor="text1"/>
            </w:tcBorders>
            <w:shd w:val="clear" w:color="auto" w:fill="auto"/>
            <w:vAlign w:val="center"/>
          </w:tcPr>
          <w:p w14:paraId="06C198A2" w14:textId="0E973D89"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vAlign w:val="center"/>
          </w:tcPr>
          <w:p w14:paraId="4C09376C"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r>
      <w:tr w:rsidR="00A83C09" w:rsidRPr="00B85017" w14:paraId="247719C7" w14:textId="77777777" w:rsidTr="00E5087F">
        <w:trPr>
          <w:trHeight w:val="295"/>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3B799EA4" w14:textId="640B769E" w:rsidR="00A83C09" w:rsidRPr="00B85017" w:rsidRDefault="00EC4871"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Freeze</w:t>
            </w:r>
            <w:r w:rsidR="00A83C09" w:rsidRPr="00B85017">
              <w:rPr>
                <w:rFonts w:ascii="Calibri" w:hAnsi="Calibri" w:cs="Arial"/>
                <w:color w:val="000000" w:themeColor="text1"/>
                <w:sz w:val="20"/>
                <w:szCs w:val="20"/>
              </w:rPr>
              <w:t xml:space="preserve"> </w:t>
            </w:r>
            <w:r w:rsidRPr="00B85017">
              <w:rPr>
                <w:rFonts w:ascii="Calibri" w:hAnsi="Calibri" w:cs="Arial"/>
                <w:color w:val="000000" w:themeColor="text1"/>
                <w:sz w:val="20"/>
                <w:szCs w:val="20"/>
              </w:rPr>
              <w:t xml:space="preserve">baseline </w:t>
            </w:r>
            <w:r w:rsidR="00A83C09" w:rsidRPr="00B85017">
              <w:rPr>
                <w:rFonts w:ascii="Calibri" w:hAnsi="Calibri" w:cs="Arial"/>
                <w:color w:val="000000" w:themeColor="text1"/>
                <w:sz w:val="20"/>
                <w:szCs w:val="20"/>
              </w:rPr>
              <w:t xml:space="preserve">culture </w:t>
            </w:r>
            <w:r w:rsidRPr="00B85017">
              <w:rPr>
                <w:rFonts w:ascii="Calibri" w:hAnsi="Calibri" w:cs="Arial"/>
                <w:color w:val="000000" w:themeColor="text1"/>
                <w:sz w:val="20"/>
                <w:szCs w:val="20"/>
              </w:rPr>
              <w:t>(if possible)</w:t>
            </w:r>
            <w:r w:rsidR="00A83C09" w:rsidRPr="00B85017">
              <w:rPr>
                <w:rFonts w:ascii="Calibri" w:hAnsi="Calibri" w:cs="Arial"/>
                <w:color w:val="000000" w:themeColor="text1"/>
                <w:sz w:val="20"/>
                <w:szCs w:val="20"/>
              </w:rPr>
              <w:t xml:space="preserve"> </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43C7CD46" w14:textId="613077CC" w:rsidR="00A83C09" w:rsidRPr="00B85017" w:rsidRDefault="00EC4871"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31ACC25" w14:textId="77777777" w:rsidR="00A83C09" w:rsidRPr="00B85017" w:rsidRDefault="00A83C0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6169FDB" w14:textId="77777777" w:rsidR="00A83C09" w:rsidRPr="00B85017" w:rsidRDefault="00A83C0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CFF440F" w14:textId="77777777" w:rsidR="00A83C09" w:rsidRPr="00B85017" w:rsidRDefault="00A83C0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7E2F9CB" w14:textId="77777777" w:rsidR="00A83C09" w:rsidRPr="00B85017" w:rsidRDefault="00A83C0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995D4D0" w14:textId="77777777" w:rsidR="00A83C09" w:rsidRPr="00B85017" w:rsidRDefault="00A83C0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411F0E6" w14:textId="77777777" w:rsidR="00A83C09" w:rsidRPr="00B85017" w:rsidRDefault="00A83C0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F539061" w14:textId="77777777" w:rsidR="00A83C09" w:rsidRPr="00B85017" w:rsidRDefault="00A83C0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3D6B77F" w14:textId="77777777" w:rsidR="00A83C09" w:rsidRPr="00B85017" w:rsidRDefault="00A83C0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F4A704E" w14:textId="77777777" w:rsidR="00A83C09" w:rsidRPr="00B85017" w:rsidRDefault="00A83C0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5C35321" w14:textId="77777777" w:rsidR="00A83C09" w:rsidRPr="00B85017" w:rsidRDefault="00A83C0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0158D6F5" w14:textId="77777777" w:rsidR="00A83C09" w:rsidRPr="00B85017" w:rsidRDefault="00A83C0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483B30CC" w14:textId="77777777" w:rsidR="00A83C09" w:rsidRPr="00B85017" w:rsidRDefault="00A83C0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21CBDA01" w14:textId="77777777" w:rsidR="00A83C09" w:rsidRPr="00B85017" w:rsidRDefault="00A83C09" w:rsidP="000A384C">
            <w:pPr>
              <w:spacing w:before="20" w:after="20"/>
              <w:jc w:val="center"/>
              <w:rPr>
                <w:rFonts w:ascii="Calibri" w:hAnsi="Calibri" w:cs="Arial"/>
                <w:color w:val="000000" w:themeColor="text1"/>
                <w:sz w:val="20"/>
                <w:szCs w:val="20"/>
              </w:rPr>
            </w:pPr>
          </w:p>
        </w:tc>
      </w:tr>
      <w:tr w:rsidR="00B85017" w:rsidRPr="00B85017" w14:paraId="693E400F" w14:textId="77777777" w:rsidTr="00E5087F">
        <w:trPr>
          <w:trHeight w:val="295"/>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4E953564"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Xpert MTB/RIF</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4D2E2507"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E4F665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7170268"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8C43D1A"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B68E8C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2B8294A"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E14B87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BF6DE5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8BBB5D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43C194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0A3862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7C5E3E3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468598B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0E40DBD5"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23A0D82B" w14:textId="77777777" w:rsidTr="00E5087F">
        <w:trPr>
          <w:trHeight w:val="295"/>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142C7CCF"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LPA (Hain GenoType MTBDRsl)</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9BCC042"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9285A2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C174A2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275" w:type="pct"/>
            <w:gridSpan w:val="11"/>
            <w:tcBorders>
              <w:top w:val="single" w:sz="6" w:space="0" w:color="CCCCCC"/>
              <w:left w:val="single" w:sz="6" w:space="0" w:color="CCCCCC"/>
              <w:bottom w:val="single" w:sz="6" w:space="0" w:color="000000" w:themeColor="text1"/>
              <w:right w:val="single" w:sz="6" w:space="0" w:color="000000" w:themeColor="text1"/>
            </w:tcBorders>
            <w:shd w:val="clear" w:color="auto" w:fill="F2DBDB" w:themeFill="accent2" w:themeFillTint="33"/>
            <w:tcMar>
              <w:top w:w="30" w:type="dxa"/>
              <w:left w:w="45" w:type="dxa"/>
              <w:bottom w:w="30" w:type="dxa"/>
              <w:right w:w="45" w:type="dxa"/>
            </w:tcMar>
            <w:vAlign w:val="bottom"/>
          </w:tcPr>
          <w:p w14:paraId="7484BF03" w14:textId="4C5EBC01"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 xml:space="preserve">If smear- or culture-positive </w:t>
            </w:r>
            <w:r w:rsidR="00C11F94">
              <w:rPr>
                <w:rFonts w:ascii="Calibri" w:hAnsi="Calibri" w:cs="Arial"/>
                <w:color w:val="000000" w:themeColor="text1"/>
                <w:sz w:val="20"/>
                <w:szCs w:val="20"/>
              </w:rPr>
              <w:t>check for amplification of resistance</w:t>
            </w:r>
          </w:p>
        </w:tc>
      </w:tr>
      <w:tr w:rsidR="00B85017" w:rsidRPr="00B85017" w14:paraId="793B49D5" w14:textId="77777777" w:rsidTr="00E5087F">
        <w:trPr>
          <w:trHeight w:val="295"/>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6C91A9AF"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Culture-based first-line DST</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2B278407"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600D84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97636E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275" w:type="pct"/>
            <w:gridSpan w:val="11"/>
            <w:tcBorders>
              <w:top w:val="single" w:sz="6" w:space="0" w:color="CCCCCC"/>
              <w:left w:val="single" w:sz="6" w:space="0" w:color="CCCCCC"/>
              <w:bottom w:val="single" w:sz="6" w:space="0" w:color="000000" w:themeColor="text1"/>
              <w:right w:val="single" w:sz="6" w:space="0" w:color="000000" w:themeColor="text1"/>
            </w:tcBorders>
            <w:shd w:val="clear" w:color="auto" w:fill="F2DBDB" w:themeFill="accent2" w:themeFillTint="33"/>
            <w:tcMar>
              <w:top w:w="30" w:type="dxa"/>
              <w:left w:w="45" w:type="dxa"/>
              <w:bottom w:w="30" w:type="dxa"/>
              <w:right w:w="45" w:type="dxa"/>
            </w:tcMar>
            <w:vAlign w:val="bottom"/>
          </w:tcPr>
          <w:p w14:paraId="1724C8E2" w14:textId="70D19BC5" w:rsidR="001C7A69" w:rsidRPr="00B85017" w:rsidRDefault="00C11F94"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 xml:space="preserve">If smear- or culture-positive </w:t>
            </w:r>
            <w:r>
              <w:rPr>
                <w:rFonts w:ascii="Calibri" w:hAnsi="Calibri" w:cs="Arial"/>
                <w:color w:val="000000" w:themeColor="text1"/>
                <w:sz w:val="20"/>
                <w:szCs w:val="20"/>
              </w:rPr>
              <w:t>check for amplification of resistance</w:t>
            </w:r>
          </w:p>
        </w:tc>
      </w:tr>
      <w:tr w:rsidR="00B85017" w:rsidRPr="00B85017" w14:paraId="59CBF0C9" w14:textId="77777777" w:rsidTr="00E5087F">
        <w:trPr>
          <w:trHeight w:val="295"/>
        </w:trPr>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728C785F"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Culture-based second-line DST</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1F2C86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9FFD77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6F8B55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275" w:type="pct"/>
            <w:gridSpan w:val="11"/>
            <w:tcBorders>
              <w:top w:val="single" w:sz="6" w:space="0" w:color="CCCCCC"/>
              <w:left w:val="single" w:sz="6" w:space="0" w:color="CCCCCC"/>
              <w:bottom w:val="single" w:sz="6" w:space="0" w:color="000000" w:themeColor="text1"/>
              <w:right w:val="single" w:sz="6" w:space="0" w:color="000000" w:themeColor="text1"/>
            </w:tcBorders>
            <w:shd w:val="clear" w:color="auto" w:fill="F2DBDB" w:themeFill="accent2" w:themeFillTint="33"/>
            <w:tcMar>
              <w:top w:w="30" w:type="dxa"/>
              <w:left w:w="45" w:type="dxa"/>
              <w:bottom w:w="30" w:type="dxa"/>
              <w:right w:w="45" w:type="dxa"/>
            </w:tcMar>
            <w:vAlign w:val="bottom"/>
          </w:tcPr>
          <w:p w14:paraId="1E5263D0" w14:textId="47668DCD" w:rsidR="001C7A69" w:rsidRPr="00B85017" w:rsidRDefault="00C11F94"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 xml:space="preserve">If smear- or culture-positive </w:t>
            </w:r>
            <w:r>
              <w:rPr>
                <w:rFonts w:ascii="Calibri" w:hAnsi="Calibri" w:cs="Arial"/>
                <w:color w:val="000000" w:themeColor="text1"/>
                <w:sz w:val="20"/>
                <w:szCs w:val="20"/>
              </w:rPr>
              <w:t>check for amplification of resistance</w:t>
            </w:r>
          </w:p>
        </w:tc>
      </w:tr>
      <w:tr w:rsidR="00413579" w:rsidRPr="00B85017" w14:paraId="08377584" w14:textId="77777777" w:rsidTr="0083070F">
        <w:tc>
          <w:tcPr>
            <w:tcW w:w="5000" w:type="pct"/>
            <w:gridSpan w:val="15"/>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vAlign w:val="bottom"/>
          </w:tcPr>
          <w:p w14:paraId="676E2968" w14:textId="17579AAE" w:rsidR="00413579" w:rsidRPr="00B85017" w:rsidRDefault="00413579" w:rsidP="000A384C">
            <w:pPr>
              <w:spacing w:before="20" w:after="20"/>
              <w:jc w:val="left"/>
              <w:rPr>
                <w:rFonts w:ascii="Calibri" w:hAnsi="Calibri" w:cs="Arial"/>
                <w:b/>
                <w:bCs/>
                <w:i/>
                <w:iCs/>
                <w:color w:val="000000" w:themeColor="text1"/>
                <w:sz w:val="20"/>
                <w:szCs w:val="20"/>
              </w:rPr>
            </w:pPr>
            <w:r w:rsidRPr="00B85017">
              <w:rPr>
                <w:rFonts w:ascii="Calibri" w:hAnsi="Calibri" w:cs="Arial"/>
                <w:b/>
                <w:bCs/>
                <w:i/>
                <w:iCs/>
                <w:color w:val="000000" w:themeColor="text1"/>
                <w:sz w:val="20"/>
                <w:szCs w:val="20"/>
              </w:rPr>
              <w:lastRenderedPageBreak/>
              <w:t>Laboratory testing</w:t>
            </w:r>
          </w:p>
        </w:tc>
      </w:tr>
      <w:tr w:rsidR="00B85017" w:rsidRPr="00B85017" w14:paraId="4938ACA1" w14:textId="77777777" w:rsidTr="00395962">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52A410A9" w14:textId="127788EE"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 xml:space="preserve">ECG </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B1FF6B6"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448A3B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41BDB092"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252BAC0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772697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B4508E6"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42730D09" w14:textId="67B54717" w:rsidR="001C7A69" w:rsidRPr="00B85017" w:rsidRDefault="00895B94" w:rsidP="000A384C">
            <w:pPr>
              <w:spacing w:before="20" w:after="20"/>
              <w:jc w:val="center"/>
              <w:rPr>
                <w:rFonts w:ascii="Calibri" w:hAnsi="Calibri" w:cs="Arial"/>
                <w:color w:val="000000" w:themeColor="text1"/>
                <w:sz w:val="20"/>
                <w:szCs w:val="20"/>
              </w:rPr>
            </w:pPr>
            <w:r>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52C7F5EC"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5C324EE7" w14:textId="5C9E9763" w:rsidR="001C7A69" w:rsidRPr="00B85017" w:rsidRDefault="008F1972" w:rsidP="000A384C">
            <w:pPr>
              <w:spacing w:before="20" w:after="20"/>
              <w:jc w:val="center"/>
              <w:rPr>
                <w:rFonts w:ascii="Calibri" w:hAnsi="Calibri" w:cs="Arial"/>
                <w:color w:val="000000" w:themeColor="text1"/>
                <w:sz w:val="20"/>
                <w:szCs w:val="20"/>
              </w:rPr>
            </w:pPr>
            <w:r>
              <w:rPr>
                <w:rFonts w:ascii="Calibri" w:hAnsi="Calibri" w:cs="Arial"/>
                <w:color w:val="000000" w:themeColor="text1"/>
                <w:sz w:val="20"/>
                <w:szCs w:val="20"/>
              </w:rPr>
              <w:t>If indicated</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1109CA8A" w14:textId="20B7CA15"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FABC2B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3B598AE5"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753257AB"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275A2B37"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1D484869" w14:textId="77777777" w:rsidTr="00895B94">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1E43798D"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Full blood count (hemoglobin, white blood cells and platelets) if on Lzd</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D9AE0A1"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59A84220"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26FDA3F6"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B87E224"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56FB6DBF"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06AE1D2B"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0A1B9DC"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7641273"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B638913" w14:textId="77777777" w:rsidR="00E5087F"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 xml:space="preserve">Monthly </w:t>
            </w:r>
          </w:p>
          <w:p w14:paraId="1524A457" w14:textId="424AD8F5" w:rsidR="001C7A69" w:rsidRPr="00B85017" w:rsidRDefault="00E5087F" w:rsidP="000A384C">
            <w:pPr>
              <w:spacing w:before="20" w:after="20"/>
              <w:jc w:val="center"/>
              <w:rPr>
                <w:rFonts w:ascii="Calibri" w:hAnsi="Calibri" w:cs="Arial"/>
                <w:color w:val="000000" w:themeColor="text1"/>
                <w:sz w:val="20"/>
                <w:szCs w:val="20"/>
              </w:rPr>
            </w:pPr>
            <w:r>
              <w:rPr>
                <w:rFonts w:ascii="Calibri" w:hAnsi="Calibri" w:cs="Arial"/>
                <w:color w:val="000000" w:themeColor="text1"/>
                <w:sz w:val="20"/>
                <w:szCs w:val="20"/>
              </w:rPr>
              <w:t>(</w:t>
            </w:r>
            <w:r w:rsidR="001C7A69" w:rsidRPr="00B85017">
              <w:rPr>
                <w:rFonts w:ascii="Calibri" w:hAnsi="Calibri" w:cs="Arial"/>
                <w:color w:val="000000" w:themeColor="text1"/>
                <w:sz w:val="20"/>
                <w:szCs w:val="20"/>
              </w:rPr>
              <w:t>if on Lzd</w:t>
            </w:r>
            <w:r>
              <w:rPr>
                <w:rFonts w:ascii="Calibri" w:hAnsi="Calibri" w:cs="Arial"/>
                <w:color w:val="000000" w:themeColor="text1"/>
                <w:sz w:val="20"/>
                <w:szCs w:val="20"/>
              </w:rPr>
              <w:t>)</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9C159EC"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9A3950A"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2399867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53C830F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420A3962"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19A5C0F6" w14:textId="77777777" w:rsidTr="00895B94">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790E9585" w14:textId="125C4216" w:rsidR="007C09A0" w:rsidRPr="00B85017" w:rsidRDefault="007C09A0"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Liver function tests (AST, ALT)</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3F8B040E"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532766ED"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29A463C5"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229455F5"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2FB2663B"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6A08B12F"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6A824A6A" w14:textId="30752B47" w:rsidR="001C7A69" w:rsidRPr="00B85017" w:rsidRDefault="00895B94" w:rsidP="000A384C">
            <w:pPr>
              <w:spacing w:before="20" w:after="20"/>
              <w:jc w:val="center"/>
              <w:rPr>
                <w:rFonts w:ascii="Calibri" w:hAnsi="Calibri" w:cs="Arial"/>
                <w:color w:val="000000" w:themeColor="text1"/>
                <w:sz w:val="20"/>
                <w:szCs w:val="20"/>
              </w:rPr>
            </w:pPr>
            <w:r>
              <w:rPr>
                <w:rFonts w:ascii="Calibri" w:hAnsi="Calibri" w:cs="Arial"/>
                <w:color w:val="000000" w:themeColor="text1"/>
                <w:sz w:val="20"/>
                <w:szCs w:val="20"/>
              </w:rPr>
              <w:t>X</w:t>
            </w: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236DA564"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406EC1D9" w14:textId="6B388383" w:rsidR="001C7A69" w:rsidRPr="00B85017" w:rsidRDefault="008F1972" w:rsidP="000A384C">
            <w:pPr>
              <w:spacing w:before="20" w:after="20"/>
              <w:jc w:val="center"/>
              <w:rPr>
                <w:rFonts w:ascii="Calibri" w:hAnsi="Calibri" w:cs="Arial"/>
                <w:color w:val="000000" w:themeColor="text1"/>
                <w:sz w:val="20"/>
                <w:szCs w:val="20"/>
              </w:rPr>
            </w:pPr>
            <w:r>
              <w:rPr>
                <w:rFonts w:ascii="Calibri" w:hAnsi="Calibri" w:cs="Arial"/>
                <w:color w:val="000000" w:themeColor="text1"/>
                <w:sz w:val="20"/>
                <w:szCs w:val="20"/>
              </w:rPr>
              <w:t>If indicated</w:t>
            </w: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40F777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0674E6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6637793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79313A58"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7098313C"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7B5B95E9"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06E86215"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Serum creatinine (at baseline and then only if clinically indicated)</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C076266"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6256A15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30779E75"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7806B5E8"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347D8975"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4F0F10D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1006D37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70EA51C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684FC37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570B72D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6D41998A"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08AC318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50F3EAC5"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3882574A"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0A053074"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3F63D2CD" w14:textId="77777777" w:rsidR="0031046B" w:rsidRDefault="007C09A0"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 xml:space="preserve">Serum potassium </w:t>
            </w:r>
          </w:p>
          <w:p w14:paraId="0392F84B" w14:textId="29947546" w:rsidR="001C7A69" w:rsidRPr="00B85017" w:rsidRDefault="007C09A0"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 xml:space="preserve">(at baseline and then only if clinically indicated) </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84C176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5A2AD988"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38E80DB3"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396256F5"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0CAEC10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27311DF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2256509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645E608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13A9492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6067FC3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30" w:type="dxa"/>
              <w:left w:w="45" w:type="dxa"/>
              <w:bottom w:w="30" w:type="dxa"/>
              <w:right w:w="45" w:type="dxa"/>
            </w:tcMar>
            <w:vAlign w:val="bottom"/>
          </w:tcPr>
          <w:p w14:paraId="10429EE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66D7834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74D3EF7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01969CAC"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24238ECA"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04208DF0"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 xml:space="preserve">Hepatitis Bs Antigen </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6FF1ED37"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F2641F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9BC8C7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164DFB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5E70AFB"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B9D0C0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2E48EBA"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5444DB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86523CB"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B1AE7D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23C9BF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4A3908E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0918925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0EB3D5F3"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0A87034C"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0329A81D"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Hepatitis C Antibody</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70231402"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CC388C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462914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46D4FD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09C407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5622E3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2948A3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7863DD5"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3FF11E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B5DEE8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D94B2B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4C9A0CF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4CF0804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4176EDA1"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25156584"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08FFE83B" w14:textId="77777777" w:rsidR="0031046B"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 xml:space="preserve">HbA1c </w:t>
            </w:r>
          </w:p>
          <w:p w14:paraId="78962ADC" w14:textId="186C2CD0"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(repeated every 3 months if elevated)</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3F7393A"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E5B30E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B70B92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E7D05A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D4FDAA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B84D8F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285605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1CCC75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807114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22E494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4BEE28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2A04D01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15B0296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222FF6A2"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7095F186"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40E4496D"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Pregnancy test (females)</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10E1B796"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E4CB8E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05F483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2626A4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49503A3"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3B93AC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641044A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F2761A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4DA6EC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AD9A99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B4B7D5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3A134B24"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11367F3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72BA4FD7"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7A718DBE"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435F9CC9"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HIV testing</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460EB5A4"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D5B40A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0CB111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95C815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CD9DCF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CFEAFB8"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1A80455"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5BAE63A"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E1F258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BEE5EAB"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2B27E5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44A4CC1B"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01370A3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378EC03C"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3DBEC119" w14:textId="77777777" w:rsidTr="0083070F">
        <w:tc>
          <w:tcPr>
            <w:tcW w:w="1073" w:type="pct"/>
            <w:tcBorders>
              <w:top w:val="single" w:sz="6" w:space="0" w:color="CCCCCC"/>
              <w:left w:val="single" w:sz="6" w:space="0" w:color="000000" w:themeColor="text1"/>
              <w:bottom w:val="single" w:sz="6" w:space="0" w:color="000000" w:themeColor="text1"/>
              <w:right w:val="single" w:sz="6" w:space="0" w:color="000000" w:themeColor="text1"/>
            </w:tcBorders>
            <w:tcMar>
              <w:top w:w="30" w:type="dxa"/>
              <w:left w:w="45" w:type="dxa"/>
              <w:bottom w:w="30" w:type="dxa"/>
              <w:right w:w="45" w:type="dxa"/>
            </w:tcMar>
            <w:vAlign w:val="bottom"/>
          </w:tcPr>
          <w:p w14:paraId="7157B66B"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CD4 (repeated every 6 months if HIV+)</w:t>
            </w:r>
          </w:p>
        </w:tc>
        <w:tc>
          <w:tcPr>
            <w:tcW w:w="255"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bottom"/>
          </w:tcPr>
          <w:p w14:paraId="4CFE2593"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CF4583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54E9DBD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2AA3FCC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0265708"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09E5B2D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4C0A88F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6" w:space="0" w:color="000000" w:themeColor="text1"/>
              <w:right w:val="single" w:sz="6" w:space="0" w:color="000000" w:themeColor="text1"/>
            </w:tcBorders>
            <w:shd w:val="clear" w:color="auto" w:fill="FDE9D9" w:themeFill="accent6" w:themeFillTint="33"/>
            <w:tcMar>
              <w:top w:w="30" w:type="dxa"/>
              <w:left w:w="45" w:type="dxa"/>
              <w:bottom w:w="30" w:type="dxa"/>
              <w:right w:w="45" w:type="dxa"/>
            </w:tcMar>
            <w:vAlign w:val="center"/>
          </w:tcPr>
          <w:p w14:paraId="4B365C87"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7F88823A"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32F8ED72"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6" w:space="0" w:color="000000" w:themeColor="text1"/>
              <w:right w:val="single" w:sz="6" w:space="0" w:color="000000" w:themeColor="text1"/>
            </w:tcBorders>
            <w:tcMar>
              <w:top w:w="30" w:type="dxa"/>
              <w:left w:w="45" w:type="dxa"/>
              <w:bottom w:w="30" w:type="dxa"/>
              <w:right w:w="45" w:type="dxa"/>
            </w:tcMar>
            <w:vAlign w:val="bottom"/>
          </w:tcPr>
          <w:p w14:paraId="12BA0A5B"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6" w:space="0" w:color="000000" w:themeColor="text1"/>
              <w:right w:val="single" w:sz="6" w:space="0" w:color="000000" w:themeColor="text1"/>
            </w:tcBorders>
          </w:tcPr>
          <w:p w14:paraId="062BF3AB"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6" w:space="0" w:color="000000" w:themeColor="text1"/>
              <w:right w:val="single" w:sz="6" w:space="0" w:color="000000" w:themeColor="text1"/>
            </w:tcBorders>
          </w:tcPr>
          <w:p w14:paraId="5F2F99D9"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6" w:space="0" w:color="000000" w:themeColor="text1"/>
              <w:right w:val="single" w:sz="6" w:space="0" w:color="000000" w:themeColor="text1"/>
            </w:tcBorders>
          </w:tcPr>
          <w:p w14:paraId="402DF28C"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30CC63FA" w14:textId="77777777" w:rsidTr="0083070F">
        <w:tc>
          <w:tcPr>
            <w:tcW w:w="1073" w:type="pct"/>
            <w:tcBorders>
              <w:top w:val="single" w:sz="6" w:space="0" w:color="CCCCCC"/>
              <w:left w:val="single" w:sz="6" w:space="0" w:color="000000" w:themeColor="text1"/>
              <w:bottom w:val="single" w:sz="4" w:space="0" w:color="auto"/>
              <w:right w:val="single" w:sz="6" w:space="0" w:color="000000" w:themeColor="text1"/>
            </w:tcBorders>
            <w:tcMar>
              <w:top w:w="30" w:type="dxa"/>
              <w:left w:w="45" w:type="dxa"/>
              <w:bottom w:w="30" w:type="dxa"/>
              <w:right w:w="45" w:type="dxa"/>
            </w:tcMar>
            <w:vAlign w:val="bottom"/>
          </w:tcPr>
          <w:p w14:paraId="5A02A68F" w14:textId="447AE38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HIV Viral load (repeated every 6 months if HIV +)</w:t>
            </w:r>
          </w:p>
        </w:tc>
        <w:tc>
          <w:tcPr>
            <w:tcW w:w="255" w:type="pct"/>
            <w:tcBorders>
              <w:top w:val="single" w:sz="6" w:space="0" w:color="CCCCCC"/>
              <w:left w:val="single" w:sz="6" w:space="0" w:color="CCCCCC"/>
              <w:bottom w:val="single" w:sz="4" w:space="0" w:color="auto"/>
              <w:right w:val="single" w:sz="6" w:space="0" w:color="000000" w:themeColor="text1"/>
            </w:tcBorders>
            <w:shd w:val="clear" w:color="auto" w:fill="FDE9D9" w:themeFill="accent6" w:themeFillTint="33"/>
            <w:tcMar>
              <w:top w:w="30" w:type="dxa"/>
              <w:left w:w="45" w:type="dxa"/>
              <w:bottom w:w="30" w:type="dxa"/>
              <w:right w:w="45" w:type="dxa"/>
            </w:tcMar>
            <w:vAlign w:val="bottom"/>
          </w:tcPr>
          <w:p w14:paraId="32BCAAEB"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0AF5D39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13C2EFA5"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387051BA"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47FC1CAB"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2DE4ACA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38BF7488"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6" w:space="0" w:color="CCCCCC"/>
              <w:left w:val="single" w:sz="6" w:space="0" w:color="CCCCCC"/>
              <w:bottom w:val="single" w:sz="4" w:space="0" w:color="auto"/>
              <w:right w:val="single" w:sz="6" w:space="0" w:color="000000" w:themeColor="text1"/>
            </w:tcBorders>
            <w:shd w:val="clear" w:color="auto" w:fill="FDE9D9" w:themeFill="accent6" w:themeFillTint="33"/>
            <w:tcMar>
              <w:top w:w="30" w:type="dxa"/>
              <w:left w:w="45" w:type="dxa"/>
              <w:bottom w:w="30" w:type="dxa"/>
              <w:right w:w="45" w:type="dxa"/>
            </w:tcMar>
            <w:vAlign w:val="center"/>
          </w:tcPr>
          <w:p w14:paraId="23E6494B"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54968B73"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2E70A66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89" w:type="pct"/>
            <w:tcBorders>
              <w:top w:val="single" w:sz="6" w:space="0" w:color="CCCCCC"/>
              <w:left w:val="single" w:sz="6" w:space="0" w:color="CCCCCC"/>
              <w:bottom w:val="single" w:sz="4" w:space="0" w:color="auto"/>
              <w:right w:val="single" w:sz="6" w:space="0" w:color="000000" w:themeColor="text1"/>
            </w:tcBorders>
            <w:tcMar>
              <w:top w:w="30" w:type="dxa"/>
              <w:left w:w="45" w:type="dxa"/>
              <w:bottom w:w="30" w:type="dxa"/>
              <w:right w:w="45" w:type="dxa"/>
            </w:tcMar>
            <w:vAlign w:val="bottom"/>
          </w:tcPr>
          <w:p w14:paraId="32AB846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6" w:space="0" w:color="CCCCCC"/>
              <w:left w:val="single" w:sz="6" w:space="0" w:color="CCCCCC"/>
              <w:bottom w:val="single" w:sz="4" w:space="0" w:color="auto"/>
              <w:right w:val="single" w:sz="6" w:space="0" w:color="000000" w:themeColor="text1"/>
            </w:tcBorders>
          </w:tcPr>
          <w:p w14:paraId="7903EB03"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6" w:space="0" w:color="CCCCCC"/>
              <w:left w:val="single" w:sz="6" w:space="0" w:color="CCCCCC"/>
              <w:bottom w:val="single" w:sz="4" w:space="0" w:color="auto"/>
              <w:right w:val="single" w:sz="6" w:space="0" w:color="000000" w:themeColor="text1"/>
            </w:tcBorders>
          </w:tcPr>
          <w:p w14:paraId="265BD2B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6" w:space="0" w:color="CCCCCC"/>
              <w:left w:val="single" w:sz="6" w:space="0" w:color="CCCCCC"/>
              <w:bottom w:val="single" w:sz="4" w:space="0" w:color="auto"/>
              <w:right w:val="single" w:sz="6" w:space="0" w:color="000000" w:themeColor="text1"/>
            </w:tcBorders>
          </w:tcPr>
          <w:p w14:paraId="2BB09838" w14:textId="77777777" w:rsidR="001C7A69" w:rsidRPr="00B85017" w:rsidRDefault="001C7A69" w:rsidP="000A384C">
            <w:pPr>
              <w:spacing w:before="20" w:after="20"/>
              <w:jc w:val="center"/>
              <w:rPr>
                <w:rFonts w:ascii="Calibri" w:hAnsi="Calibri" w:cs="Arial"/>
                <w:color w:val="000000" w:themeColor="text1"/>
                <w:sz w:val="20"/>
                <w:szCs w:val="20"/>
              </w:rPr>
            </w:pPr>
          </w:p>
        </w:tc>
      </w:tr>
      <w:tr w:rsidR="00B85017" w:rsidRPr="00B85017" w14:paraId="159D59FC" w14:textId="77777777" w:rsidTr="003A16B2">
        <w:tc>
          <w:tcPr>
            <w:tcW w:w="1073"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2C243A2C" w14:textId="77777777" w:rsidR="001C7A69" w:rsidRPr="00B85017" w:rsidRDefault="001C7A69" w:rsidP="000A384C">
            <w:pPr>
              <w:spacing w:before="20" w:after="20"/>
              <w:jc w:val="left"/>
              <w:rPr>
                <w:rFonts w:ascii="Calibri" w:hAnsi="Calibri" w:cs="Arial"/>
                <w:color w:val="000000" w:themeColor="text1"/>
                <w:sz w:val="20"/>
                <w:szCs w:val="20"/>
              </w:rPr>
            </w:pPr>
            <w:r w:rsidRPr="00B85017">
              <w:rPr>
                <w:rFonts w:ascii="Calibri" w:hAnsi="Calibri" w:cs="Arial"/>
                <w:color w:val="000000" w:themeColor="text1"/>
                <w:sz w:val="20"/>
                <w:szCs w:val="20"/>
              </w:rPr>
              <w:t>Chest X-Ray</w:t>
            </w:r>
          </w:p>
        </w:tc>
        <w:tc>
          <w:tcPr>
            <w:tcW w:w="255" w:type="pct"/>
            <w:tcBorders>
              <w:top w:val="single" w:sz="4" w:space="0" w:color="auto"/>
              <w:left w:val="single" w:sz="4" w:space="0" w:color="auto"/>
              <w:bottom w:val="single" w:sz="4" w:space="0" w:color="auto"/>
              <w:right w:val="single" w:sz="4" w:space="0" w:color="auto"/>
            </w:tcBorders>
            <w:shd w:val="clear" w:color="auto" w:fill="FDE9D9" w:themeFill="accent6" w:themeFillTint="33"/>
            <w:tcMar>
              <w:top w:w="30" w:type="dxa"/>
              <w:left w:w="45" w:type="dxa"/>
              <w:bottom w:w="30" w:type="dxa"/>
              <w:right w:w="45" w:type="dxa"/>
            </w:tcMar>
            <w:vAlign w:val="bottom"/>
          </w:tcPr>
          <w:p w14:paraId="04D88759"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184"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01CD214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581456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3B506041"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1589744F"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553FB43E"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07F29B8C" w14:textId="77777777" w:rsidR="001C7A69" w:rsidRPr="00B85017" w:rsidRDefault="001C7A69" w:rsidP="000A384C">
            <w:pPr>
              <w:spacing w:before="20" w:after="20"/>
              <w:jc w:val="center"/>
              <w:rPr>
                <w:rFonts w:ascii="Calibri" w:hAnsi="Calibri" w:cs="Arial"/>
                <w:color w:val="000000" w:themeColor="text1"/>
                <w:sz w:val="20"/>
                <w:szCs w:val="20"/>
              </w:rPr>
            </w:pPr>
          </w:p>
        </w:tc>
        <w:tc>
          <w:tcPr>
            <w:tcW w:w="213" w:type="pct"/>
            <w:tcBorders>
              <w:top w:val="single" w:sz="4" w:space="0" w:color="auto"/>
              <w:left w:val="single" w:sz="4" w:space="0" w:color="auto"/>
              <w:bottom w:val="single" w:sz="4" w:space="0" w:color="auto"/>
              <w:right w:val="single" w:sz="4" w:space="0" w:color="auto"/>
            </w:tcBorders>
            <w:shd w:val="clear" w:color="auto" w:fill="FDE9D9" w:themeFill="accent6" w:themeFillTint="33"/>
            <w:tcMar>
              <w:top w:w="30" w:type="dxa"/>
              <w:left w:w="45" w:type="dxa"/>
              <w:bottom w:w="30" w:type="dxa"/>
              <w:right w:w="45" w:type="dxa"/>
            </w:tcMar>
            <w:vAlign w:val="center"/>
          </w:tcPr>
          <w:p w14:paraId="0146085B" w14:textId="77777777" w:rsidR="001C7A69" w:rsidRPr="00B85017" w:rsidRDefault="001C7A69" w:rsidP="000A384C">
            <w:pPr>
              <w:spacing w:before="20" w:after="20"/>
              <w:jc w:val="center"/>
              <w:rPr>
                <w:rFonts w:ascii="Calibri" w:hAnsi="Calibri" w:cs="Arial"/>
                <w:color w:val="000000" w:themeColor="text1"/>
                <w:sz w:val="20"/>
                <w:szCs w:val="20"/>
              </w:rPr>
            </w:pPr>
            <w:r w:rsidRPr="00B85017">
              <w:rPr>
                <w:rFonts w:ascii="Calibri" w:hAnsi="Calibri" w:cs="Arial"/>
                <w:color w:val="000000" w:themeColor="text1"/>
                <w:sz w:val="20"/>
                <w:szCs w:val="20"/>
              </w:rPr>
              <w:t>X</w:t>
            </w:r>
          </w:p>
        </w:tc>
        <w:tc>
          <w:tcPr>
            <w:tcW w:w="383"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76BB2AE6"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16" w:type="pct"/>
            <w:tcBorders>
              <w:top w:val="single" w:sz="4" w:space="0" w:color="auto"/>
              <w:left w:val="single" w:sz="4" w:space="0" w:color="auto"/>
              <w:bottom w:val="single" w:sz="4" w:space="0" w:color="auto"/>
              <w:right w:val="single" w:sz="4" w:space="0" w:color="auto"/>
            </w:tcBorders>
            <w:shd w:val="clear" w:color="auto" w:fill="auto"/>
            <w:tcMar>
              <w:top w:w="30" w:type="dxa"/>
              <w:left w:w="45" w:type="dxa"/>
              <w:bottom w:w="30" w:type="dxa"/>
              <w:right w:w="45" w:type="dxa"/>
            </w:tcMar>
            <w:vAlign w:val="bottom"/>
          </w:tcPr>
          <w:p w14:paraId="0569C154" w14:textId="595BE078" w:rsidR="001C7A69" w:rsidRPr="00B85017" w:rsidRDefault="001C7A69" w:rsidP="00AE7B6D">
            <w:pPr>
              <w:spacing w:before="20" w:after="20"/>
              <w:rPr>
                <w:rFonts w:ascii="Calibri" w:hAnsi="Calibri" w:cs="Arial"/>
                <w:color w:val="000000" w:themeColor="text1"/>
                <w:sz w:val="20"/>
                <w:szCs w:val="20"/>
              </w:rPr>
            </w:pPr>
          </w:p>
        </w:tc>
        <w:tc>
          <w:tcPr>
            <w:tcW w:w="389" w:type="pct"/>
            <w:tcBorders>
              <w:top w:val="single" w:sz="4" w:space="0" w:color="auto"/>
              <w:left w:val="single" w:sz="4" w:space="0" w:color="auto"/>
              <w:bottom w:val="single" w:sz="4" w:space="0" w:color="auto"/>
              <w:right w:val="single" w:sz="4" w:space="0" w:color="auto"/>
            </w:tcBorders>
            <w:tcMar>
              <w:top w:w="30" w:type="dxa"/>
              <w:left w:w="45" w:type="dxa"/>
              <w:bottom w:w="30" w:type="dxa"/>
              <w:right w:w="45" w:type="dxa"/>
            </w:tcMar>
            <w:vAlign w:val="bottom"/>
          </w:tcPr>
          <w:p w14:paraId="452A77A0"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4" w:type="pct"/>
            <w:tcBorders>
              <w:top w:val="single" w:sz="4" w:space="0" w:color="auto"/>
              <w:left w:val="single" w:sz="4" w:space="0" w:color="auto"/>
              <w:bottom w:val="single" w:sz="4" w:space="0" w:color="auto"/>
              <w:right w:val="single" w:sz="4" w:space="0" w:color="auto"/>
            </w:tcBorders>
          </w:tcPr>
          <w:p w14:paraId="093C133D"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8" w:type="pct"/>
            <w:tcBorders>
              <w:top w:val="single" w:sz="4" w:space="0" w:color="auto"/>
              <w:left w:val="single" w:sz="4" w:space="0" w:color="auto"/>
              <w:bottom w:val="single" w:sz="4" w:space="0" w:color="auto"/>
              <w:right w:val="single" w:sz="4" w:space="0" w:color="auto"/>
            </w:tcBorders>
          </w:tcPr>
          <w:p w14:paraId="60BAC407" w14:textId="77777777" w:rsidR="001C7A69" w:rsidRPr="00B85017" w:rsidRDefault="001C7A69" w:rsidP="000A384C">
            <w:pPr>
              <w:spacing w:before="20" w:after="20"/>
              <w:jc w:val="center"/>
              <w:rPr>
                <w:rFonts w:ascii="Calibri" w:hAnsi="Calibri" w:cs="Arial"/>
                <w:color w:val="000000" w:themeColor="text1"/>
                <w:sz w:val="20"/>
                <w:szCs w:val="20"/>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7FF3B92" w14:textId="73E96E8C" w:rsidR="001C7A69" w:rsidRPr="00B85017" w:rsidRDefault="001C7A69" w:rsidP="000A384C">
            <w:pPr>
              <w:spacing w:before="20" w:after="20"/>
              <w:jc w:val="center"/>
              <w:rPr>
                <w:rFonts w:ascii="Calibri" w:hAnsi="Calibri" w:cs="Arial"/>
                <w:color w:val="000000" w:themeColor="text1"/>
                <w:sz w:val="20"/>
                <w:szCs w:val="20"/>
              </w:rPr>
            </w:pPr>
          </w:p>
        </w:tc>
      </w:tr>
    </w:tbl>
    <w:p w14:paraId="2BBB9618" w14:textId="2011C9DA" w:rsidR="001C7A69" w:rsidRPr="00B85017" w:rsidRDefault="001C7A69" w:rsidP="001C7A69">
      <w:pPr>
        <w:pStyle w:val="Tabletext"/>
        <w:rPr>
          <w:color w:val="000000" w:themeColor="text1"/>
        </w:rPr>
        <w:sectPr w:rsidR="001C7A69" w:rsidRPr="00B85017" w:rsidSect="0083070F">
          <w:pgSz w:w="16839" w:h="11907" w:orient="landscape"/>
          <w:pgMar w:top="720" w:right="720" w:bottom="720" w:left="720" w:header="720" w:footer="720" w:gutter="0"/>
          <w:cols w:space="720"/>
          <w:docGrid w:linePitch="299"/>
        </w:sectPr>
      </w:pPr>
      <w:bookmarkStart w:id="183" w:name="h.w3o2olkr0xmr" w:colFirst="0" w:colLast="0"/>
      <w:bookmarkStart w:id="184" w:name="h.3tbugp1" w:colFirst="0" w:colLast="0"/>
      <w:bookmarkEnd w:id="183"/>
      <w:bookmarkEnd w:id="184"/>
      <w:r w:rsidRPr="00B85017">
        <w:rPr>
          <w:color w:val="000000" w:themeColor="text1"/>
        </w:rPr>
        <w:t xml:space="preserve"> </w:t>
      </w:r>
    </w:p>
    <w:p w14:paraId="5679E312" w14:textId="39722E8E" w:rsidR="001C7A69" w:rsidRPr="00003170" w:rsidRDefault="001C7A69" w:rsidP="00003170">
      <w:pPr>
        <w:pStyle w:val="Heading1"/>
      </w:pPr>
      <w:bookmarkStart w:id="185" w:name="_Ref426101855"/>
      <w:bookmarkStart w:id="186" w:name="_Toc12792968"/>
      <w:bookmarkStart w:id="187" w:name="_Ref12887887"/>
      <w:bookmarkStart w:id="188" w:name="_Toc12952379"/>
      <w:bookmarkStart w:id="189" w:name="_Toc13486728"/>
      <w:r w:rsidRPr="00003170">
        <w:lastRenderedPageBreak/>
        <w:t>Drug safety</w:t>
      </w:r>
      <w:bookmarkEnd w:id="185"/>
      <w:bookmarkEnd w:id="186"/>
      <w:r w:rsidR="00A33027" w:rsidRPr="00003170">
        <w:t xml:space="preserve"> and the management of adverse events</w:t>
      </w:r>
      <w:bookmarkEnd w:id="187"/>
      <w:bookmarkEnd w:id="188"/>
      <w:bookmarkEnd w:id="189"/>
    </w:p>
    <w:p w14:paraId="1D0906E7" w14:textId="64B9D7CF" w:rsidR="001C7A69" w:rsidRPr="00003170" w:rsidRDefault="001C7A69" w:rsidP="00003170">
      <w:pPr>
        <w:pStyle w:val="Heading2"/>
      </w:pPr>
      <w:bookmarkStart w:id="190" w:name="_Ref426103573"/>
      <w:bookmarkStart w:id="191" w:name="_Toc12792969"/>
      <w:bookmarkStart w:id="192" w:name="_Toc12952380"/>
      <w:bookmarkStart w:id="193" w:name="_Toc13486729"/>
      <w:r w:rsidRPr="00003170">
        <w:t>Scope of safety data collection and definitions</w:t>
      </w:r>
      <w:bookmarkEnd w:id="190"/>
      <w:bookmarkEnd w:id="191"/>
      <w:bookmarkEnd w:id="192"/>
      <w:bookmarkEnd w:id="193"/>
    </w:p>
    <w:p w14:paraId="124A70BE" w14:textId="789D63BA" w:rsidR="002F466F" w:rsidRPr="009D1960" w:rsidRDefault="002F466F" w:rsidP="002F466F">
      <w:pPr>
        <w:rPr>
          <w:rFonts w:asciiTheme="minorHAnsi" w:hAnsiTheme="minorHAnsi" w:cstheme="minorHAnsi"/>
          <w:color w:val="000000" w:themeColor="text1"/>
        </w:rPr>
      </w:pPr>
      <w:r w:rsidRPr="009D1960">
        <w:rPr>
          <w:rFonts w:asciiTheme="minorHAnsi" w:hAnsiTheme="minorHAnsi" w:cstheme="minorHAnsi"/>
          <w:color w:val="000000" w:themeColor="text1"/>
        </w:rPr>
        <w:t>There are three levels of monitoring in the aDSM Framework</w:t>
      </w:r>
      <w:r w:rsidR="00D871BC" w:rsidRPr="00432DA1">
        <w:rPr>
          <w:rFonts w:asciiTheme="minorHAnsi" w:hAnsiTheme="minorHAnsi" w:cstheme="minorHAnsi"/>
          <w:color w:val="000000" w:themeColor="text1"/>
          <w:vertAlign w:val="superscript"/>
        </w:rPr>
        <w:t>;</w:t>
      </w:r>
      <w:r w:rsidR="003468FB" w:rsidRPr="00432DA1">
        <w:rPr>
          <w:rFonts w:asciiTheme="minorHAnsi" w:hAnsiTheme="minorHAnsi" w:cstheme="minorHAnsi"/>
          <w:color w:val="000000" w:themeColor="text1"/>
          <w:sz w:val="20"/>
          <w:szCs w:val="20"/>
          <w:vertAlign w:val="superscript"/>
        </w:rPr>
        <w:fldChar w:fldCharType="begin"/>
      </w:r>
      <w:r w:rsidR="005249CF" w:rsidRPr="00432DA1">
        <w:rPr>
          <w:rFonts w:asciiTheme="minorHAnsi" w:hAnsiTheme="minorHAnsi" w:cstheme="minorHAnsi"/>
          <w:color w:val="000000" w:themeColor="text1"/>
          <w:sz w:val="20"/>
          <w:szCs w:val="20"/>
          <w:vertAlign w:val="superscript"/>
        </w:rPr>
        <w:instrText xml:space="preserve"> NOTEREF _Ref13487789 \h </w:instrText>
      </w:r>
      <w:r w:rsidR="00EE2867" w:rsidRPr="00432DA1">
        <w:rPr>
          <w:rFonts w:asciiTheme="minorHAnsi" w:hAnsiTheme="minorHAnsi" w:cstheme="minorHAnsi"/>
          <w:color w:val="000000" w:themeColor="text1"/>
          <w:sz w:val="20"/>
          <w:szCs w:val="20"/>
          <w:vertAlign w:val="superscript"/>
        </w:rPr>
        <w:instrText xml:space="preserve"> \* MERGEFORMAT </w:instrText>
      </w:r>
      <w:r w:rsidR="003468FB" w:rsidRPr="00432DA1">
        <w:rPr>
          <w:rFonts w:asciiTheme="minorHAnsi" w:hAnsiTheme="minorHAnsi" w:cstheme="minorHAnsi"/>
          <w:color w:val="000000" w:themeColor="text1"/>
          <w:sz w:val="20"/>
          <w:szCs w:val="20"/>
          <w:vertAlign w:val="superscript"/>
        </w:rPr>
      </w:r>
      <w:r w:rsidR="003468FB" w:rsidRPr="00432DA1">
        <w:rPr>
          <w:rFonts w:asciiTheme="minorHAnsi" w:hAnsiTheme="minorHAnsi" w:cstheme="minorHAnsi"/>
          <w:color w:val="000000" w:themeColor="text1"/>
          <w:sz w:val="20"/>
          <w:szCs w:val="20"/>
          <w:vertAlign w:val="superscript"/>
        </w:rPr>
        <w:fldChar w:fldCharType="separate"/>
      </w:r>
      <w:r w:rsidR="005249CF" w:rsidRPr="00432DA1">
        <w:rPr>
          <w:rFonts w:asciiTheme="minorHAnsi" w:hAnsiTheme="minorHAnsi" w:cstheme="minorHAnsi"/>
          <w:color w:val="000000" w:themeColor="text1"/>
          <w:sz w:val="20"/>
          <w:szCs w:val="20"/>
          <w:vertAlign w:val="superscript"/>
        </w:rPr>
        <w:t>7</w:t>
      </w:r>
      <w:r w:rsidR="003468FB" w:rsidRPr="00432DA1">
        <w:rPr>
          <w:rFonts w:asciiTheme="minorHAnsi" w:hAnsiTheme="minorHAnsi" w:cstheme="minorHAnsi"/>
          <w:color w:val="000000" w:themeColor="text1"/>
          <w:sz w:val="20"/>
          <w:szCs w:val="20"/>
          <w:vertAlign w:val="superscript"/>
        </w:rPr>
        <w:fldChar w:fldCharType="end"/>
      </w:r>
    </w:p>
    <w:p w14:paraId="4CD3D588" w14:textId="77777777" w:rsidR="002F466F" w:rsidRPr="00D871BC" w:rsidRDefault="002F466F" w:rsidP="00D871BC">
      <w:pPr>
        <w:pStyle w:val="ListParagraph"/>
        <w:numPr>
          <w:ilvl w:val="0"/>
          <w:numId w:val="48"/>
        </w:numPr>
        <w:rPr>
          <w:rFonts w:asciiTheme="minorHAnsi" w:hAnsiTheme="minorHAnsi" w:cstheme="minorHAnsi"/>
          <w:color w:val="000000" w:themeColor="text1"/>
        </w:rPr>
      </w:pPr>
      <w:r w:rsidRPr="00D871BC">
        <w:rPr>
          <w:rFonts w:asciiTheme="minorHAnsi" w:hAnsiTheme="minorHAnsi" w:cstheme="minorHAnsi"/>
          <w:color w:val="000000" w:themeColor="text1"/>
        </w:rPr>
        <w:t>Core package: requiring monitoring for and reporting of all SAEs (in cases where this is not possible, then at least report SUSARs);</w:t>
      </w:r>
    </w:p>
    <w:p w14:paraId="75B39832" w14:textId="77777777" w:rsidR="002F466F" w:rsidRPr="00D871BC" w:rsidRDefault="002F466F" w:rsidP="00D871BC">
      <w:pPr>
        <w:pStyle w:val="ListParagraph"/>
        <w:numPr>
          <w:ilvl w:val="0"/>
          <w:numId w:val="48"/>
        </w:numPr>
        <w:rPr>
          <w:rFonts w:asciiTheme="minorHAnsi" w:hAnsiTheme="minorHAnsi" w:cstheme="minorHAnsi"/>
          <w:color w:val="000000" w:themeColor="text1"/>
        </w:rPr>
      </w:pPr>
      <w:r w:rsidRPr="00D871BC">
        <w:rPr>
          <w:rFonts w:asciiTheme="minorHAnsi" w:hAnsiTheme="minorHAnsi" w:cstheme="minorHAnsi"/>
          <w:color w:val="000000" w:themeColor="text1"/>
        </w:rPr>
        <w:t>Intermediate package: includes SAEs as well as AEs of special interest;</w:t>
      </w:r>
    </w:p>
    <w:p w14:paraId="05E2B58C" w14:textId="77777777" w:rsidR="002F466F" w:rsidRPr="00D871BC" w:rsidRDefault="002F466F" w:rsidP="00D871BC">
      <w:pPr>
        <w:pStyle w:val="ListParagraph"/>
        <w:numPr>
          <w:ilvl w:val="0"/>
          <w:numId w:val="48"/>
        </w:numPr>
        <w:rPr>
          <w:rFonts w:asciiTheme="minorHAnsi" w:hAnsiTheme="minorHAnsi" w:cstheme="minorHAnsi"/>
          <w:color w:val="000000" w:themeColor="text1"/>
        </w:rPr>
      </w:pPr>
      <w:r w:rsidRPr="00D871BC">
        <w:rPr>
          <w:rFonts w:asciiTheme="minorHAnsi" w:hAnsiTheme="minorHAnsi" w:cstheme="minorHAnsi"/>
          <w:color w:val="000000" w:themeColor="text1"/>
        </w:rPr>
        <w:t xml:space="preserve">Advanced package: includes all AEs of clinical significance. </w:t>
      </w:r>
    </w:p>
    <w:p w14:paraId="7E5A8BD4" w14:textId="4D153983" w:rsidR="001C7A69" w:rsidRPr="009D1960" w:rsidRDefault="00BD1048"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T</w:t>
      </w:r>
      <w:r w:rsidR="001C7A69" w:rsidRPr="009D1960">
        <w:rPr>
          <w:rFonts w:asciiTheme="minorHAnsi" w:hAnsiTheme="minorHAnsi" w:cstheme="minorHAnsi"/>
          <w:color w:val="000000" w:themeColor="text1"/>
        </w:rPr>
        <w:t xml:space="preserve">he minimum requirements for safety data collection in operational research conditions </w:t>
      </w:r>
      <w:r w:rsidR="00541522">
        <w:rPr>
          <w:rFonts w:asciiTheme="minorHAnsi" w:hAnsiTheme="minorHAnsi" w:cstheme="minorHAnsi"/>
          <w:color w:val="000000" w:themeColor="text1"/>
        </w:rPr>
        <w:t>are</w:t>
      </w:r>
      <w:r w:rsidR="001C7A69" w:rsidRPr="009D1960">
        <w:rPr>
          <w:rFonts w:asciiTheme="minorHAnsi" w:hAnsiTheme="minorHAnsi" w:cstheme="minorHAnsi"/>
          <w:color w:val="000000" w:themeColor="text1"/>
        </w:rPr>
        <w:t xml:space="preserve"> the same as th</w:t>
      </w:r>
      <w:r w:rsidR="00541522">
        <w:rPr>
          <w:rFonts w:asciiTheme="minorHAnsi" w:hAnsiTheme="minorHAnsi" w:cstheme="minorHAnsi"/>
          <w:color w:val="000000" w:themeColor="text1"/>
        </w:rPr>
        <w:t>ose</w:t>
      </w:r>
      <w:r w:rsidR="001C7A69" w:rsidRPr="009D1960">
        <w:rPr>
          <w:rFonts w:asciiTheme="minorHAnsi" w:hAnsiTheme="minorHAnsi" w:cstheme="minorHAnsi"/>
          <w:color w:val="000000" w:themeColor="text1"/>
        </w:rPr>
        <w:t xml:space="preserve"> for programmatic use of MDR</w:t>
      </w:r>
      <w:r w:rsidR="00035B35">
        <w:rPr>
          <w:rFonts w:asciiTheme="minorHAnsi" w:hAnsiTheme="minorHAnsi" w:cstheme="minorHAnsi"/>
          <w:color w:val="000000" w:themeColor="text1"/>
        </w:rPr>
        <w:t>-</w:t>
      </w:r>
      <w:r w:rsidR="001C7A69" w:rsidRPr="009D1960">
        <w:rPr>
          <w:rFonts w:asciiTheme="minorHAnsi" w:hAnsiTheme="minorHAnsi" w:cstheme="minorHAnsi"/>
          <w:color w:val="000000" w:themeColor="text1"/>
        </w:rPr>
        <w:t>TB regimens, which is the WHO’s aDSM framework</w:t>
      </w:r>
      <w:r w:rsidR="004A7895">
        <w:rPr>
          <w:rFonts w:asciiTheme="minorHAnsi" w:hAnsiTheme="minorHAnsi" w:cstheme="minorHAnsi"/>
          <w:color w:val="000000" w:themeColor="text1"/>
        </w:rPr>
        <w:t xml:space="preserve"> core pac</w:t>
      </w:r>
      <w:r w:rsidR="003468FB">
        <w:rPr>
          <w:rFonts w:asciiTheme="minorHAnsi" w:hAnsiTheme="minorHAnsi" w:cstheme="minorHAnsi"/>
          <w:color w:val="000000" w:themeColor="text1"/>
        </w:rPr>
        <w:t>kage</w:t>
      </w:r>
      <w:r w:rsidR="001C7A69" w:rsidRPr="009D1960">
        <w:rPr>
          <w:rFonts w:asciiTheme="minorHAnsi" w:hAnsiTheme="minorHAnsi" w:cstheme="minorHAnsi"/>
          <w:color w:val="000000" w:themeColor="text1"/>
        </w:rPr>
        <w:t>. This framework includes a core package of require</w:t>
      </w:r>
      <w:r w:rsidR="005C69FC">
        <w:rPr>
          <w:rFonts w:asciiTheme="minorHAnsi" w:hAnsiTheme="minorHAnsi" w:cstheme="minorHAnsi"/>
          <w:color w:val="000000" w:themeColor="text1"/>
        </w:rPr>
        <w:t>ments for the</w:t>
      </w:r>
      <w:r w:rsidR="001C7A69" w:rsidRPr="009D1960">
        <w:rPr>
          <w:rFonts w:asciiTheme="minorHAnsi" w:hAnsiTheme="minorHAnsi" w:cstheme="minorHAnsi"/>
          <w:color w:val="000000" w:themeColor="text1"/>
        </w:rPr>
        <w:t xml:space="preserve"> monitoring and management of adverse events</w:t>
      </w:r>
      <w:r w:rsidR="005C69FC">
        <w:rPr>
          <w:rFonts w:asciiTheme="minorHAnsi" w:hAnsiTheme="minorHAnsi" w:cstheme="minorHAnsi"/>
          <w:color w:val="000000" w:themeColor="text1"/>
        </w:rPr>
        <w:t xml:space="preserve">, as well as the </w:t>
      </w:r>
      <w:r w:rsidR="001C7A69" w:rsidRPr="009D1960">
        <w:rPr>
          <w:rFonts w:asciiTheme="minorHAnsi" w:hAnsiTheme="minorHAnsi" w:cstheme="minorHAnsi"/>
          <w:color w:val="000000" w:themeColor="text1"/>
        </w:rPr>
        <w:t xml:space="preserve">reporting of all serious adverse events (SAEs). </w:t>
      </w:r>
      <w:r w:rsidR="00504D2F" w:rsidRPr="009D1960">
        <w:rPr>
          <w:rFonts w:asciiTheme="minorHAnsi" w:hAnsiTheme="minorHAnsi" w:cstheme="minorHAnsi"/>
          <w:color w:val="000000" w:themeColor="text1"/>
        </w:rPr>
        <w:t>SAEs are defined below.</w:t>
      </w:r>
      <w:r w:rsidR="001C7A69" w:rsidRPr="009D1960">
        <w:rPr>
          <w:rFonts w:asciiTheme="minorHAnsi" w:hAnsiTheme="minorHAnsi" w:cstheme="minorHAnsi"/>
          <w:color w:val="000000" w:themeColor="text1"/>
        </w:rPr>
        <w:t xml:space="preserve"> Many countries will have local pharmacovigilance (PV) requirements for TB drugs and may need to go </w:t>
      </w:r>
      <w:r w:rsidR="00A42389">
        <w:rPr>
          <w:rFonts w:asciiTheme="minorHAnsi" w:hAnsiTheme="minorHAnsi" w:cstheme="minorHAnsi"/>
          <w:color w:val="000000" w:themeColor="text1"/>
        </w:rPr>
        <w:t xml:space="preserve">beyond </w:t>
      </w:r>
      <w:r w:rsidR="001C7A69" w:rsidRPr="009D1960">
        <w:rPr>
          <w:rFonts w:asciiTheme="minorHAnsi" w:hAnsiTheme="minorHAnsi" w:cstheme="minorHAnsi"/>
          <w:color w:val="000000" w:themeColor="text1"/>
        </w:rPr>
        <w:t xml:space="preserve">these core PV requirements.  </w:t>
      </w:r>
    </w:p>
    <w:p w14:paraId="72B341E4" w14:textId="54FF8D68" w:rsidR="001C7A69" w:rsidRPr="009D1960" w:rsidRDefault="001C7A69" w:rsidP="00BD1048">
      <w:pPr>
        <w:rPr>
          <w:rFonts w:asciiTheme="minorHAnsi" w:hAnsiTheme="minorHAnsi" w:cstheme="minorHAnsi"/>
          <w:color w:val="000000" w:themeColor="text1"/>
        </w:rPr>
      </w:pPr>
      <w:r w:rsidRPr="009D1960">
        <w:rPr>
          <w:rFonts w:asciiTheme="minorHAnsi" w:hAnsiTheme="minorHAnsi" w:cstheme="minorHAnsi"/>
          <w:color w:val="000000" w:themeColor="text1"/>
        </w:rPr>
        <w:t xml:space="preserve">However, some countries may </w:t>
      </w:r>
      <w:r w:rsidR="00BD1048" w:rsidRPr="009D1960">
        <w:rPr>
          <w:rFonts w:asciiTheme="minorHAnsi" w:hAnsiTheme="minorHAnsi" w:cstheme="minorHAnsi"/>
          <w:color w:val="000000" w:themeColor="text1"/>
        </w:rPr>
        <w:t>not have a functioning</w:t>
      </w:r>
      <w:r w:rsidRPr="009D1960">
        <w:rPr>
          <w:rFonts w:asciiTheme="minorHAnsi" w:hAnsiTheme="minorHAnsi" w:cstheme="minorHAnsi"/>
          <w:color w:val="000000" w:themeColor="text1"/>
        </w:rPr>
        <w:t xml:space="preserve"> PV system and </w:t>
      </w:r>
      <w:r w:rsidR="00A42389">
        <w:rPr>
          <w:rFonts w:asciiTheme="minorHAnsi" w:hAnsiTheme="minorHAnsi" w:cstheme="minorHAnsi"/>
          <w:color w:val="000000" w:themeColor="text1"/>
        </w:rPr>
        <w:t xml:space="preserve">hence </w:t>
      </w:r>
      <w:r w:rsidRPr="009D1960">
        <w:rPr>
          <w:rFonts w:asciiTheme="minorHAnsi" w:hAnsiTheme="minorHAnsi" w:cstheme="minorHAnsi"/>
          <w:color w:val="000000" w:themeColor="text1"/>
        </w:rPr>
        <w:t>will have to decide what the</w:t>
      </w:r>
      <w:r w:rsidR="00577A78">
        <w:rPr>
          <w:rFonts w:asciiTheme="minorHAnsi" w:hAnsiTheme="minorHAnsi" w:cstheme="minorHAnsi"/>
          <w:color w:val="000000" w:themeColor="text1"/>
        </w:rPr>
        <w:t>y</w:t>
      </w:r>
      <w:r w:rsidRPr="009D1960">
        <w:rPr>
          <w:rFonts w:asciiTheme="minorHAnsi" w:hAnsiTheme="minorHAnsi" w:cstheme="minorHAnsi"/>
          <w:color w:val="000000" w:themeColor="text1"/>
        </w:rPr>
        <w:t xml:space="preserve"> can collect in terms of SAEs and where to report them.  </w:t>
      </w:r>
      <w:r w:rsidR="00BD1048" w:rsidRPr="009D1960">
        <w:rPr>
          <w:rFonts w:asciiTheme="minorHAnsi" w:hAnsiTheme="minorHAnsi" w:cstheme="minorHAnsi"/>
          <w:color w:val="000000" w:themeColor="text1"/>
        </w:rPr>
        <w:t>The WHO maintains a global database for TB active drug</w:t>
      </w:r>
      <w:r w:rsidR="00582B29">
        <w:rPr>
          <w:rFonts w:asciiTheme="minorHAnsi" w:hAnsiTheme="minorHAnsi" w:cstheme="minorHAnsi"/>
          <w:color w:val="000000" w:themeColor="text1"/>
        </w:rPr>
        <w:t>-</w:t>
      </w:r>
      <w:r w:rsidR="00BD1048" w:rsidRPr="009D1960">
        <w:rPr>
          <w:rFonts w:asciiTheme="minorHAnsi" w:hAnsiTheme="minorHAnsi" w:cstheme="minorHAnsi"/>
          <w:color w:val="000000" w:themeColor="text1"/>
        </w:rPr>
        <w:t>safety monitoring</w:t>
      </w:r>
      <w:r w:rsidR="00582B29">
        <w:rPr>
          <w:rFonts w:asciiTheme="minorHAnsi" w:hAnsiTheme="minorHAnsi" w:cstheme="minorHAnsi"/>
          <w:color w:val="000000" w:themeColor="text1"/>
        </w:rPr>
        <w:t xml:space="preserve"> and</w:t>
      </w:r>
      <w:r w:rsidR="00577A78">
        <w:rPr>
          <w:rFonts w:asciiTheme="minorHAnsi" w:hAnsiTheme="minorHAnsi" w:cstheme="minorHAnsi"/>
          <w:color w:val="000000" w:themeColor="text1"/>
        </w:rPr>
        <w:t xml:space="preserve"> </w:t>
      </w:r>
      <w:r w:rsidR="00582B29">
        <w:rPr>
          <w:rFonts w:asciiTheme="minorHAnsi" w:hAnsiTheme="minorHAnsi" w:cstheme="minorHAnsi"/>
          <w:color w:val="000000" w:themeColor="text1"/>
        </w:rPr>
        <w:t xml:space="preserve">management </w:t>
      </w:r>
      <w:r w:rsidR="00577A78">
        <w:rPr>
          <w:rFonts w:asciiTheme="minorHAnsi" w:hAnsiTheme="minorHAnsi" w:cstheme="minorHAnsi"/>
          <w:color w:val="000000" w:themeColor="text1"/>
        </w:rPr>
        <w:t>(aDSM)</w:t>
      </w:r>
      <w:r w:rsidR="00BD1048" w:rsidRPr="009D1960">
        <w:rPr>
          <w:rFonts w:asciiTheme="minorHAnsi" w:hAnsiTheme="minorHAnsi" w:cstheme="minorHAnsi"/>
          <w:color w:val="000000" w:themeColor="text1"/>
        </w:rPr>
        <w:t xml:space="preserve"> and encourages countries to contribute to it.</w:t>
      </w:r>
      <w:r w:rsidR="00BD1048" w:rsidRPr="009D1960">
        <w:rPr>
          <w:rStyle w:val="FootnoteReference"/>
          <w:rFonts w:asciiTheme="minorHAnsi" w:hAnsiTheme="minorHAnsi" w:cstheme="minorHAnsi"/>
          <w:color w:val="000000" w:themeColor="text1"/>
        </w:rPr>
        <w:footnoteReference w:id="33"/>
      </w:r>
      <w:r w:rsidR="00BD1048" w:rsidRPr="009D1960">
        <w:rPr>
          <w:rFonts w:asciiTheme="minorHAnsi" w:hAnsiTheme="minorHAnsi" w:cstheme="minorHAnsi"/>
          <w:color w:val="000000" w:themeColor="text1"/>
        </w:rPr>
        <w:t xml:space="preserve"> The WHO global database for aDSM is a very good option for countries that do not have a functional PV system. </w:t>
      </w:r>
    </w:p>
    <w:p w14:paraId="61F3CE06" w14:textId="45D05D92"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Unlike a number of years ago, the common SAEs are now fairly well described for bedaquiline, delamanid, clofazimine</w:t>
      </w:r>
      <w:r w:rsidR="00FF0A91">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and linezolid.  This guide suggests as </w:t>
      </w:r>
      <w:r w:rsidR="00D3524E">
        <w:rPr>
          <w:rFonts w:asciiTheme="minorHAnsi" w:hAnsiTheme="minorHAnsi" w:cstheme="minorHAnsi"/>
          <w:color w:val="000000" w:themeColor="text1"/>
        </w:rPr>
        <w:t>a</w:t>
      </w:r>
      <w:r w:rsidR="009337F1">
        <w:rPr>
          <w:rFonts w:asciiTheme="minorHAnsi" w:hAnsiTheme="minorHAnsi" w:cstheme="minorHAnsi"/>
          <w:color w:val="000000" w:themeColor="text1"/>
        </w:rPr>
        <w:t xml:space="preserve">n alternative to the </w:t>
      </w:r>
      <w:r w:rsidRPr="009D1960">
        <w:rPr>
          <w:rFonts w:asciiTheme="minorHAnsi" w:hAnsiTheme="minorHAnsi" w:cstheme="minorHAnsi"/>
          <w:color w:val="000000" w:themeColor="text1"/>
        </w:rPr>
        <w:t xml:space="preserve">minimum package of reporting </w:t>
      </w:r>
      <w:r w:rsidR="00CF7CF6">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especially for countries with </w:t>
      </w:r>
      <w:r w:rsidR="00B376AF">
        <w:rPr>
          <w:rFonts w:asciiTheme="minorHAnsi" w:hAnsiTheme="minorHAnsi" w:cstheme="minorHAnsi"/>
          <w:color w:val="000000" w:themeColor="text1"/>
        </w:rPr>
        <w:t xml:space="preserve">a </w:t>
      </w:r>
      <w:r w:rsidR="00CF7CF6">
        <w:rPr>
          <w:rFonts w:asciiTheme="minorHAnsi" w:hAnsiTheme="minorHAnsi" w:cstheme="minorHAnsi"/>
          <w:color w:val="000000" w:themeColor="text1"/>
        </w:rPr>
        <w:t>fragmented</w:t>
      </w:r>
      <w:r w:rsidRPr="009D1960">
        <w:rPr>
          <w:rFonts w:asciiTheme="minorHAnsi" w:hAnsiTheme="minorHAnsi" w:cstheme="minorHAnsi"/>
          <w:color w:val="000000" w:themeColor="text1"/>
        </w:rPr>
        <w:t xml:space="preserve"> or no formal PV system</w:t>
      </w:r>
      <w:r w:rsidR="00CF7CF6">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to routinely report any SAE they suspect to be odd or </w:t>
      </w:r>
      <w:r w:rsidR="00504D2F" w:rsidRPr="009D1960">
        <w:rPr>
          <w:rFonts w:asciiTheme="minorHAnsi" w:hAnsiTheme="minorHAnsi" w:cstheme="minorHAnsi"/>
          <w:color w:val="000000" w:themeColor="text1"/>
        </w:rPr>
        <w:t xml:space="preserve">out of the ordinary, </w:t>
      </w:r>
      <w:r w:rsidRPr="009D1960">
        <w:rPr>
          <w:rFonts w:asciiTheme="minorHAnsi" w:hAnsiTheme="minorHAnsi" w:cstheme="minorHAnsi"/>
          <w:color w:val="000000" w:themeColor="text1"/>
        </w:rPr>
        <w:t>and due to</w:t>
      </w:r>
      <w:r w:rsidR="00504D2F"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a drug.  There is a special term for this which is “suspected unsuspected SAE” or “</w:t>
      </w:r>
      <w:r w:rsidRPr="00FF775D">
        <w:rPr>
          <w:rFonts w:asciiTheme="minorHAnsi" w:hAnsiTheme="minorHAnsi" w:cstheme="minorHAnsi"/>
          <w:b/>
          <w:bCs/>
          <w:color w:val="000000" w:themeColor="text1"/>
        </w:rPr>
        <w:t>SUSAR</w:t>
      </w:r>
      <w:r w:rsidRPr="009D1960">
        <w:rPr>
          <w:rFonts w:asciiTheme="minorHAnsi" w:hAnsiTheme="minorHAnsi" w:cstheme="minorHAnsi"/>
          <w:color w:val="000000" w:themeColor="text1"/>
        </w:rPr>
        <w:t xml:space="preserve">” for short. </w:t>
      </w:r>
    </w:p>
    <w:p w14:paraId="6133A24E" w14:textId="2C7F41D7"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 xml:space="preserve">An </w:t>
      </w:r>
      <w:r w:rsidRPr="009D1960">
        <w:rPr>
          <w:rFonts w:asciiTheme="minorHAnsi" w:hAnsiTheme="minorHAnsi" w:cstheme="minorHAnsi"/>
          <w:b/>
          <w:bCs/>
          <w:color w:val="000000" w:themeColor="text1"/>
        </w:rPr>
        <w:t>adverse event (AE)</w:t>
      </w:r>
      <w:r w:rsidRPr="009D1960">
        <w:rPr>
          <w:rFonts w:asciiTheme="minorHAnsi" w:hAnsiTheme="minorHAnsi" w:cstheme="minorHAnsi"/>
          <w:color w:val="000000" w:themeColor="text1"/>
        </w:rPr>
        <w:t xml:space="preserve"> is defined as any untoward medical occurrence in a patient administered a pharmaceutical product</w:t>
      </w:r>
      <w:r w:rsidR="00244C51">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 xml:space="preserve">that does not necessarily have a causal relationship with this treatment. An AE can therefore be any unfavorable and unintended sign (including an abnormal laboratory finding), symptom, or disease temporally associated with the use of a medicinal product, whether or not </w:t>
      </w:r>
      <w:r w:rsidR="00244C51">
        <w:rPr>
          <w:rFonts w:asciiTheme="minorHAnsi" w:hAnsiTheme="minorHAnsi" w:cstheme="minorHAnsi"/>
          <w:color w:val="000000" w:themeColor="text1"/>
        </w:rPr>
        <w:t xml:space="preserve">it may be </w:t>
      </w:r>
      <w:r w:rsidRPr="009D1960">
        <w:rPr>
          <w:rFonts w:asciiTheme="minorHAnsi" w:hAnsiTheme="minorHAnsi" w:cstheme="minorHAnsi"/>
          <w:color w:val="000000" w:themeColor="text1"/>
        </w:rPr>
        <w:t>related to this medicinal product.</w:t>
      </w:r>
    </w:p>
    <w:p w14:paraId="14E67A48" w14:textId="419DA818"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All patients are monitored and assessed clinically for AEs (including lab abnormalities) at all visits during treatment (see monitoring schedule,</w:t>
      </w:r>
      <w:r w:rsidR="00D6674F" w:rsidRPr="009D1960">
        <w:rPr>
          <w:rFonts w:asciiTheme="minorHAnsi" w:hAnsiTheme="minorHAnsi" w:cstheme="minorHAnsi"/>
          <w:color w:val="000000" w:themeColor="text1"/>
        </w:rPr>
        <w:t xml:space="preserve"> </w:t>
      </w:r>
      <w:r w:rsidR="00D6674F" w:rsidRPr="009D1960">
        <w:rPr>
          <w:rFonts w:asciiTheme="minorHAnsi" w:hAnsiTheme="minorHAnsi" w:cstheme="minorHAnsi"/>
          <w:color w:val="000000" w:themeColor="text1"/>
        </w:rPr>
        <w:fldChar w:fldCharType="begin"/>
      </w:r>
      <w:r w:rsidR="00D6674F" w:rsidRPr="009D1960">
        <w:rPr>
          <w:rFonts w:asciiTheme="minorHAnsi" w:hAnsiTheme="minorHAnsi" w:cstheme="minorHAnsi"/>
          <w:color w:val="000000" w:themeColor="text1"/>
        </w:rPr>
        <w:instrText xml:space="preserve"> REF _Ref12951158 \h  \* MERGEFORMAT </w:instrText>
      </w:r>
      <w:r w:rsidR="00D6674F" w:rsidRPr="009D1960">
        <w:rPr>
          <w:rFonts w:asciiTheme="minorHAnsi" w:hAnsiTheme="minorHAnsi" w:cstheme="minorHAnsi"/>
          <w:color w:val="000000" w:themeColor="text1"/>
        </w:rPr>
      </w:r>
      <w:r w:rsidR="00D6674F" w:rsidRPr="009D1960">
        <w:rPr>
          <w:rFonts w:asciiTheme="minorHAnsi" w:hAnsiTheme="minorHAnsi" w:cstheme="minorHAnsi"/>
          <w:color w:val="000000" w:themeColor="text1"/>
        </w:rPr>
        <w:fldChar w:fldCharType="separate"/>
      </w:r>
      <w:r w:rsidR="00D6674F" w:rsidRPr="009D1960">
        <w:rPr>
          <w:rFonts w:asciiTheme="minorHAnsi" w:hAnsiTheme="minorHAnsi" w:cstheme="minorHAnsi"/>
        </w:rPr>
        <w:t xml:space="preserve">Table 11 </w:t>
      </w:r>
      <w:r w:rsidR="00D6674F" w:rsidRPr="009D1960">
        <w:rPr>
          <w:rFonts w:asciiTheme="minorHAnsi" w:hAnsiTheme="minorHAnsi" w:cstheme="minorHAnsi"/>
          <w:color w:val="000000" w:themeColor="text1"/>
        </w:rPr>
        <w:fldChar w:fldCharType="end"/>
      </w:r>
      <w:r w:rsidR="00BD046A">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and any detected AE</w:t>
      </w:r>
      <w:r w:rsidR="00BD046A">
        <w:rPr>
          <w:rFonts w:asciiTheme="minorHAnsi" w:hAnsiTheme="minorHAnsi" w:cstheme="minorHAnsi"/>
          <w:color w:val="000000" w:themeColor="text1"/>
        </w:rPr>
        <w:t xml:space="preserve"> is</w:t>
      </w:r>
      <w:r w:rsidRPr="009D1960">
        <w:rPr>
          <w:rFonts w:asciiTheme="minorHAnsi" w:hAnsiTheme="minorHAnsi" w:cstheme="minorHAnsi"/>
          <w:color w:val="000000" w:themeColor="text1"/>
        </w:rPr>
        <w:t xml:space="preserve"> managed accordingly</w:t>
      </w:r>
      <w:r w:rsidR="001E7D2D">
        <w:rPr>
          <w:rFonts w:asciiTheme="minorHAnsi" w:hAnsiTheme="minorHAnsi" w:cstheme="minorHAnsi"/>
          <w:color w:val="000000" w:themeColor="text1"/>
        </w:rPr>
        <w:t xml:space="preserve">. Refer to the </w:t>
      </w:r>
      <w:r w:rsidRPr="009D1960">
        <w:rPr>
          <w:rFonts w:asciiTheme="minorHAnsi" w:hAnsiTheme="minorHAnsi" w:cstheme="minorHAnsi"/>
          <w:color w:val="000000" w:themeColor="text1"/>
        </w:rPr>
        <w:t>next section in this clinical guide</w:t>
      </w:r>
      <w:r w:rsidR="001E7D2D">
        <w:rPr>
          <w:rFonts w:asciiTheme="minorHAnsi" w:hAnsiTheme="minorHAnsi" w:cstheme="minorHAnsi"/>
          <w:color w:val="000000" w:themeColor="text1"/>
        </w:rPr>
        <w:t xml:space="preserve">. </w:t>
      </w:r>
    </w:p>
    <w:p w14:paraId="068502F1" w14:textId="1721E953" w:rsidR="00504D2F" w:rsidRPr="009D1960" w:rsidRDefault="001C7A69" w:rsidP="00504D2F">
      <w:pPr>
        <w:rPr>
          <w:rFonts w:asciiTheme="minorHAnsi" w:hAnsiTheme="minorHAnsi" w:cstheme="minorHAnsi"/>
          <w:color w:val="000000" w:themeColor="text1"/>
        </w:rPr>
      </w:pPr>
      <w:r w:rsidRPr="009D1960">
        <w:rPr>
          <w:rFonts w:asciiTheme="minorHAnsi" w:hAnsiTheme="minorHAnsi" w:cstheme="minorHAnsi"/>
          <w:color w:val="000000" w:themeColor="text1"/>
        </w:rPr>
        <w:t>It is also preferable to record pregnancies (and neonatal follow</w:t>
      </w:r>
      <w:r w:rsidR="00504D2F" w:rsidRPr="009D1960">
        <w:rPr>
          <w:rFonts w:asciiTheme="minorHAnsi" w:hAnsiTheme="minorHAnsi" w:cstheme="minorHAnsi"/>
          <w:color w:val="000000" w:themeColor="text1"/>
        </w:rPr>
        <w:t>-</w:t>
      </w:r>
      <w:r w:rsidRPr="009D1960">
        <w:rPr>
          <w:rFonts w:asciiTheme="minorHAnsi" w:hAnsiTheme="minorHAnsi" w:cstheme="minorHAnsi"/>
          <w:color w:val="000000" w:themeColor="text1"/>
        </w:rPr>
        <w:t>up) and medical errors as serious adverse events.</w:t>
      </w:r>
    </w:p>
    <w:p w14:paraId="722268D8" w14:textId="52D2D41F" w:rsidR="001C7A69" w:rsidRPr="009D1960" w:rsidRDefault="00BD1048" w:rsidP="00504D2F">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 xml:space="preserve">Serious </w:t>
      </w:r>
      <w:r w:rsidR="001C7A69" w:rsidRPr="009D1960">
        <w:rPr>
          <w:rFonts w:asciiTheme="minorHAnsi" w:hAnsiTheme="minorHAnsi" w:cstheme="minorHAnsi"/>
          <w:b/>
          <w:bCs/>
          <w:color w:val="000000" w:themeColor="text1"/>
        </w:rPr>
        <w:t>Adverse Events (SAEs)</w:t>
      </w:r>
      <w:r w:rsidR="001C7A69" w:rsidRPr="009D1960">
        <w:rPr>
          <w:rFonts w:asciiTheme="minorHAnsi" w:hAnsiTheme="minorHAnsi" w:cstheme="minorHAnsi"/>
          <w:color w:val="000000" w:themeColor="text1"/>
        </w:rPr>
        <w:t xml:space="preserve"> defined as any untoward medical occurrence that, at any dose:</w:t>
      </w:r>
    </w:p>
    <w:p w14:paraId="2D1D1D62" w14:textId="019865EE"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Results in death</w:t>
      </w:r>
      <w:r w:rsidR="005119E1">
        <w:rPr>
          <w:rFonts w:asciiTheme="minorHAnsi" w:hAnsiTheme="minorHAnsi" w:cstheme="minorHAnsi"/>
          <w:color w:val="000000" w:themeColor="text1"/>
        </w:rPr>
        <w:t>;</w:t>
      </w:r>
    </w:p>
    <w:p w14:paraId="50FCF644" w14:textId="4E8B0D70"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lastRenderedPageBreak/>
        <w:t>Requires hospitalization or prolongation of hospitalization</w:t>
      </w:r>
      <w:r w:rsidR="005119E1">
        <w:rPr>
          <w:rFonts w:asciiTheme="minorHAnsi" w:hAnsiTheme="minorHAnsi" w:cstheme="minorHAnsi"/>
          <w:color w:val="000000" w:themeColor="text1"/>
        </w:rPr>
        <w:t>;</w:t>
      </w:r>
    </w:p>
    <w:p w14:paraId="13807B5A" w14:textId="478F6172"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Results in persistent or significant disability/incapacity</w:t>
      </w:r>
      <w:r w:rsidR="005119E1">
        <w:rPr>
          <w:rFonts w:asciiTheme="minorHAnsi" w:hAnsiTheme="minorHAnsi" w:cstheme="minorHAnsi"/>
          <w:color w:val="000000" w:themeColor="text1"/>
        </w:rPr>
        <w:t>;</w:t>
      </w:r>
    </w:p>
    <w:p w14:paraId="4308EDB5" w14:textId="629A3CF6"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Is life-threatening; life-threatening in this context refers to a reaction in which the patient was at risk of death at the time of the reaction</w:t>
      </w:r>
      <w:r w:rsidR="00802B61">
        <w:rPr>
          <w:rFonts w:asciiTheme="minorHAnsi" w:hAnsiTheme="minorHAnsi" w:cstheme="minorHAnsi"/>
          <w:color w:val="000000" w:themeColor="text1"/>
        </w:rPr>
        <w:t xml:space="preserve"> – it</w:t>
      </w:r>
      <w:r w:rsidRPr="009D1960">
        <w:rPr>
          <w:rFonts w:asciiTheme="minorHAnsi" w:hAnsiTheme="minorHAnsi" w:cstheme="minorHAnsi"/>
          <w:color w:val="000000" w:themeColor="text1"/>
        </w:rPr>
        <w:t xml:space="preserve"> does not refer to a reaction that hypothetically might have caused death if more severe</w:t>
      </w:r>
      <w:r w:rsidR="005119E1">
        <w:rPr>
          <w:rFonts w:asciiTheme="minorHAnsi" w:hAnsiTheme="minorHAnsi" w:cstheme="minorHAnsi"/>
          <w:color w:val="000000" w:themeColor="text1"/>
        </w:rPr>
        <w:t>;</w:t>
      </w:r>
    </w:p>
    <w:p w14:paraId="48941391" w14:textId="52218E72"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Is a congenital anomaly or a birth defect</w:t>
      </w:r>
      <w:r w:rsidR="0043341C">
        <w:rPr>
          <w:rFonts w:asciiTheme="minorHAnsi" w:hAnsiTheme="minorHAnsi" w:cstheme="minorHAnsi"/>
          <w:color w:val="000000" w:themeColor="text1"/>
        </w:rPr>
        <w:t>;</w:t>
      </w:r>
    </w:p>
    <w:p w14:paraId="60EA8D45" w14:textId="41E6BF63" w:rsidR="00BD1048" w:rsidRPr="009D1960" w:rsidRDefault="001C7A69" w:rsidP="00BD1048">
      <w:pPr>
        <w:pStyle w:val="ListBullet3"/>
        <w:rPr>
          <w:rFonts w:asciiTheme="minorHAnsi" w:hAnsiTheme="minorHAnsi" w:cstheme="minorHAnsi"/>
          <w:color w:val="000000" w:themeColor="text1"/>
          <w:shd w:val="clear" w:color="auto" w:fill="FFFFFF"/>
        </w:rPr>
      </w:pPr>
      <w:r w:rsidRPr="009D1960">
        <w:rPr>
          <w:rFonts w:asciiTheme="minorHAnsi" w:hAnsiTheme="minorHAnsi" w:cstheme="minorHAnsi"/>
          <w:color w:val="000000" w:themeColor="text1"/>
        </w:rPr>
        <w:t xml:space="preserve">Is otherwise medically significant; </w:t>
      </w:r>
      <w:r w:rsidR="00E01651">
        <w:rPr>
          <w:rFonts w:asciiTheme="minorHAnsi" w:hAnsiTheme="minorHAnsi" w:cstheme="minorHAnsi"/>
          <w:color w:val="000000" w:themeColor="text1"/>
        </w:rPr>
        <w:t>m</w:t>
      </w:r>
      <w:r w:rsidRPr="009D1960">
        <w:rPr>
          <w:rFonts w:asciiTheme="minorHAnsi" w:hAnsiTheme="minorHAnsi" w:cstheme="minorHAnsi"/>
          <w:color w:val="000000" w:themeColor="text1"/>
        </w:rPr>
        <w:t>edical and scientific judg</w:t>
      </w:r>
      <w:r w:rsidR="00E01651">
        <w:rPr>
          <w:rFonts w:asciiTheme="minorHAnsi" w:hAnsiTheme="minorHAnsi" w:cstheme="minorHAnsi"/>
          <w:color w:val="000000" w:themeColor="text1"/>
        </w:rPr>
        <w:t>e</w:t>
      </w:r>
      <w:r w:rsidRPr="009D1960">
        <w:rPr>
          <w:rFonts w:asciiTheme="minorHAnsi" w:hAnsiTheme="minorHAnsi" w:cstheme="minorHAnsi"/>
          <w:color w:val="000000" w:themeColor="text1"/>
        </w:rPr>
        <w:t>ment should be exercised in deciding whether other situations should be considered serious reactions, such as important medical events that might not be immediately life</w:t>
      </w:r>
      <w:r w:rsidR="000D299C">
        <w:rPr>
          <w:rFonts w:asciiTheme="minorHAnsi" w:hAnsiTheme="minorHAnsi" w:cstheme="minorHAnsi"/>
          <w:color w:val="000000" w:themeColor="text1"/>
        </w:rPr>
        <w:t>-</w:t>
      </w:r>
      <w:r w:rsidRPr="009D1960">
        <w:rPr>
          <w:rFonts w:asciiTheme="minorHAnsi" w:hAnsiTheme="minorHAnsi" w:cstheme="minorHAnsi"/>
          <w:color w:val="000000" w:themeColor="text1"/>
        </w:rPr>
        <w:t>threatening or result in death or hospitalization</w:t>
      </w:r>
      <w:r w:rsidR="00855F33">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but might jeopardi</w:t>
      </w:r>
      <w:r w:rsidR="00B0351F">
        <w:rPr>
          <w:rFonts w:asciiTheme="minorHAnsi" w:hAnsiTheme="minorHAnsi" w:cstheme="minorHAnsi"/>
          <w:color w:val="000000" w:themeColor="text1"/>
        </w:rPr>
        <w:t>z</w:t>
      </w:r>
      <w:r w:rsidRPr="009D1960">
        <w:rPr>
          <w:rFonts w:asciiTheme="minorHAnsi" w:hAnsiTheme="minorHAnsi" w:cstheme="minorHAnsi"/>
          <w:color w:val="000000" w:themeColor="text1"/>
        </w:rPr>
        <w:t>e the patient or</w:t>
      </w:r>
      <w:r w:rsidR="00855F33">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require intervention to prevent one of the other outcomes listed above. Suspected transmission of an infectious agent (e.g. pathogenic or non-pathogenic) via drug is always considered an SA</w:t>
      </w:r>
      <w:r w:rsidR="00504D2F" w:rsidRPr="009D1960">
        <w:rPr>
          <w:rFonts w:asciiTheme="minorHAnsi" w:hAnsiTheme="minorHAnsi" w:cstheme="minorHAnsi"/>
          <w:color w:val="000000" w:themeColor="text1"/>
        </w:rPr>
        <w:t>E</w:t>
      </w:r>
      <w:r w:rsidR="00C75729">
        <w:rPr>
          <w:rFonts w:asciiTheme="minorHAnsi" w:hAnsiTheme="minorHAnsi" w:cstheme="minorHAnsi"/>
          <w:color w:val="000000" w:themeColor="text1"/>
        </w:rPr>
        <w:t>.</w:t>
      </w:r>
    </w:p>
    <w:p w14:paraId="2DB172EC" w14:textId="1803C38D" w:rsidR="00504D2F" w:rsidRPr="009D1960" w:rsidRDefault="00504D2F" w:rsidP="00504D2F">
      <w:pPr>
        <w:pStyle w:val="ListBullet"/>
        <w:numPr>
          <w:ilvl w:val="0"/>
          <w:numId w:val="0"/>
        </w:numPr>
        <w:rPr>
          <w:rFonts w:asciiTheme="minorHAnsi" w:hAnsiTheme="minorHAnsi" w:cstheme="minorHAnsi"/>
          <w:color w:val="000000" w:themeColor="text1"/>
          <w:lang w:val="en-GB"/>
        </w:rPr>
      </w:pPr>
      <w:r w:rsidRPr="009D1960">
        <w:rPr>
          <w:rFonts w:asciiTheme="minorHAnsi" w:hAnsiTheme="minorHAnsi" w:cstheme="minorHAnsi"/>
          <w:color w:val="000000" w:themeColor="text1"/>
          <w:lang w:val="en-GB"/>
        </w:rPr>
        <w:t>In addition to SAEs, programs should report the following to regulatory authorities:</w:t>
      </w:r>
    </w:p>
    <w:p w14:paraId="0A8B8B27" w14:textId="2E2CD20B" w:rsidR="001C7A69" w:rsidRPr="009D1960" w:rsidRDefault="001C7A69" w:rsidP="00CB2F8E">
      <w:pPr>
        <w:pStyle w:val="ListBullet"/>
        <w:numPr>
          <w:ilvl w:val="0"/>
          <w:numId w:val="31"/>
        </w:numPr>
        <w:rPr>
          <w:rFonts w:asciiTheme="minorHAnsi" w:hAnsiTheme="minorHAnsi" w:cstheme="minorHAnsi"/>
          <w:color w:val="000000" w:themeColor="text1"/>
          <w:lang w:val="en-GB" w:eastAsia="fr-CH"/>
        </w:rPr>
      </w:pPr>
      <w:r w:rsidRPr="009D1960">
        <w:rPr>
          <w:rFonts w:asciiTheme="minorHAnsi" w:hAnsiTheme="minorHAnsi" w:cstheme="minorHAnsi"/>
          <w:b/>
          <w:bCs/>
          <w:color w:val="000000" w:themeColor="text1"/>
          <w:lang w:val="en-GB"/>
        </w:rPr>
        <w:t>Pregnancy</w:t>
      </w:r>
      <w:r w:rsidR="00504D2F" w:rsidRPr="009D1960">
        <w:rPr>
          <w:rFonts w:asciiTheme="minorHAnsi" w:hAnsiTheme="minorHAnsi" w:cstheme="minorHAnsi"/>
          <w:b/>
          <w:bCs/>
          <w:color w:val="000000" w:themeColor="text1"/>
          <w:lang w:val="en-GB"/>
        </w:rPr>
        <w:t xml:space="preserve">. </w:t>
      </w:r>
      <w:r w:rsidR="00504D2F" w:rsidRPr="009D1960">
        <w:rPr>
          <w:rFonts w:asciiTheme="minorHAnsi" w:hAnsiTheme="minorHAnsi" w:cstheme="minorHAnsi"/>
          <w:color w:val="000000" w:themeColor="text1"/>
          <w:lang w:val="en-GB"/>
        </w:rPr>
        <w:t>Pregnancy</w:t>
      </w:r>
      <w:r w:rsidRPr="009D1960">
        <w:rPr>
          <w:rFonts w:asciiTheme="minorHAnsi" w:hAnsiTheme="minorHAnsi" w:cstheme="minorHAnsi"/>
          <w:b/>
          <w:bCs/>
          <w:color w:val="000000" w:themeColor="text1"/>
          <w:lang w:val="en-GB"/>
        </w:rPr>
        <w:t xml:space="preserve"> </w:t>
      </w:r>
      <w:r w:rsidRPr="009D1960">
        <w:rPr>
          <w:rFonts w:asciiTheme="minorHAnsi" w:hAnsiTheme="minorHAnsi" w:cstheme="minorHAnsi"/>
          <w:color w:val="000000" w:themeColor="text1"/>
          <w:lang w:val="en-GB"/>
        </w:rPr>
        <w:t>must be avoided during MDR-TB treatment and effective contraception is recommended.</w:t>
      </w:r>
      <w:r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lang w:val="en-GB"/>
        </w:rPr>
        <w:t xml:space="preserve">If despite all precautions, </w:t>
      </w:r>
      <w:r w:rsidR="00080B79">
        <w:rPr>
          <w:rFonts w:asciiTheme="minorHAnsi" w:hAnsiTheme="minorHAnsi" w:cstheme="minorHAnsi"/>
          <w:color w:val="000000" w:themeColor="text1"/>
          <w:lang w:val="en-GB"/>
        </w:rPr>
        <w:t xml:space="preserve">if </w:t>
      </w:r>
      <w:r w:rsidRPr="009D1960">
        <w:rPr>
          <w:rFonts w:asciiTheme="minorHAnsi" w:hAnsiTheme="minorHAnsi" w:cstheme="minorHAnsi"/>
          <w:color w:val="000000" w:themeColor="text1"/>
          <w:lang w:val="en-GB"/>
        </w:rPr>
        <w:t xml:space="preserve">a patient is found to be pregnant, the </w:t>
      </w:r>
      <w:r w:rsidR="00504D2F" w:rsidRPr="009D1960">
        <w:rPr>
          <w:rFonts w:asciiTheme="minorHAnsi" w:hAnsiTheme="minorHAnsi" w:cstheme="minorHAnsi"/>
          <w:color w:val="000000" w:themeColor="text1"/>
          <w:lang w:val="en-GB"/>
        </w:rPr>
        <w:t>recommendations in</w:t>
      </w:r>
      <w:r w:rsidR="005A3854">
        <w:rPr>
          <w:rFonts w:asciiTheme="minorHAnsi" w:hAnsiTheme="minorHAnsi" w:cstheme="minorHAnsi"/>
          <w:color w:val="000000" w:themeColor="text1"/>
          <w:lang w:val="en-GB"/>
        </w:rPr>
        <w:t xml:space="preserve"> Section</w:t>
      </w:r>
      <w:r w:rsidR="00504D2F" w:rsidRPr="009D1960">
        <w:rPr>
          <w:rFonts w:asciiTheme="minorHAnsi" w:hAnsiTheme="minorHAnsi" w:cstheme="minorHAnsi"/>
          <w:color w:val="000000" w:themeColor="text1"/>
          <w:lang w:val="en-GB"/>
        </w:rPr>
        <w:t xml:space="preserve"> </w:t>
      </w:r>
      <w:r w:rsidR="00645493">
        <w:rPr>
          <w:rFonts w:asciiTheme="minorHAnsi" w:hAnsiTheme="minorHAnsi" w:cstheme="minorHAnsi"/>
          <w:color w:val="000000" w:themeColor="text1"/>
          <w:lang w:val="en-GB"/>
        </w:rPr>
        <w:fldChar w:fldCharType="begin"/>
      </w:r>
      <w:r w:rsidR="00645493">
        <w:rPr>
          <w:rFonts w:asciiTheme="minorHAnsi" w:hAnsiTheme="minorHAnsi" w:cstheme="minorHAnsi"/>
          <w:color w:val="000000" w:themeColor="text1"/>
          <w:lang w:val="en-GB"/>
        </w:rPr>
        <w:instrText xml:space="preserve"> REF _Ref13065136 \w \h </w:instrText>
      </w:r>
      <w:r w:rsidR="00645493">
        <w:rPr>
          <w:rFonts w:asciiTheme="minorHAnsi" w:hAnsiTheme="minorHAnsi" w:cstheme="minorHAnsi"/>
          <w:color w:val="000000" w:themeColor="text1"/>
          <w:lang w:val="en-GB"/>
        </w:rPr>
      </w:r>
      <w:r w:rsidR="00645493">
        <w:rPr>
          <w:rFonts w:asciiTheme="minorHAnsi" w:hAnsiTheme="minorHAnsi" w:cstheme="minorHAnsi"/>
          <w:color w:val="000000" w:themeColor="text1"/>
          <w:lang w:val="en-GB"/>
        </w:rPr>
        <w:fldChar w:fldCharType="separate"/>
      </w:r>
      <w:r w:rsidR="00645493">
        <w:rPr>
          <w:rFonts w:asciiTheme="minorHAnsi" w:hAnsiTheme="minorHAnsi" w:cstheme="minorHAnsi"/>
          <w:color w:val="000000" w:themeColor="text1"/>
          <w:lang w:val="en-GB"/>
        </w:rPr>
        <w:t>4.9</w:t>
      </w:r>
      <w:r w:rsidR="00645493">
        <w:rPr>
          <w:rFonts w:asciiTheme="minorHAnsi" w:hAnsiTheme="minorHAnsi" w:cstheme="minorHAnsi"/>
          <w:color w:val="000000" w:themeColor="text1"/>
          <w:lang w:val="en-GB"/>
        </w:rPr>
        <w:fldChar w:fldCharType="end"/>
      </w:r>
      <w:r w:rsidR="005A3854">
        <w:rPr>
          <w:rFonts w:asciiTheme="minorHAnsi" w:hAnsiTheme="minorHAnsi" w:cstheme="minorHAnsi"/>
          <w:color w:val="000000" w:themeColor="text1"/>
          <w:lang w:val="en-GB"/>
        </w:rPr>
        <w:t xml:space="preserve"> </w:t>
      </w:r>
      <w:r w:rsidR="00504D2F" w:rsidRPr="009D1960">
        <w:rPr>
          <w:rFonts w:asciiTheme="minorHAnsi" w:hAnsiTheme="minorHAnsi" w:cstheme="minorHAnsi"/>
          <w:color w:val="000000" w:themeColor="text1"/>
          <w:lang w:val="en-GB"/>
        </w:rPr>
        <w:t>should be followed</w:t>
      </w:r>
      <w:r w:rsidRPr="009D1960">
        <w:rPr>
          <w:rFonts w:asciiTheme="minorHAnsi" w:hAnsiTheme="minorHAnsi" w:cstheme="minorHAnsi"/>
          <w:color w:val="000000" w:themeColor="text1"/>
          <w:lang w:val="en-GB"/>
        </w:rPr>
        <w:t xml:space="preserve">. Infants born from exposed pregnancies should be followed-up until they reach 12 months of age. </w:t>
      </w:r>
      <w:r w:rsidR="00BD1048" w:rsidRPr="009D1960">
        <w:rPr>
          <w:rFonts w:asciiTheme="minorHAnsi" w:hAnsiTheme="minorHAnsi" w:cstheme="minorHAnsi"/>
          <w:color w:val="000000" w:themeColor="text1"/>
          <w:lang w:val="en-GB"/>
        </w:rPr>
        <w:t xml:space="preserve">Pregnancies on MDR-TB treatment </w:t>
      </w:r>
      <w:r w:rsidR="000860FE">
        <w:rPr>
          <w:rFonts w:asciiTheme="minorHAnsi" w:hAnsiTheme="minorHAnsi" w:cstheme="minorHAnsi"/>
          <w:color w:val="000000" w:themeColor="text1"/>
          <w:lang w:val="en-GB"/>
        </w:rPr>
        <w:t>(</w:t>
      </w:r>
      <w:r w:rsidR="00BD1048" w:rsidRPr="009D1960">
        <w:rPr>
          <w:rFonts w:asciiTheme="minorHAnsi" w:hAnsiTheme="minorHAnsi" w:cstheme="minorHAnsi"/>
          <w:color w:val="000000" w:themeColor="text1"/>
          <w:lang w:val="en-GB"/>
        </w:rPr>
        <w:t>including both STRs and LTRs</w:t>
      </w:r>
      <w:r w:rsidR="000860FE">
        <w:rPr>
          <w:rFonts w:asciiTheme="minorHAnsi" w:hAnsiTheme="minorHAnsi" w:cstheme="minorHAnsi"/>
          <w:color w:val="000000" w:themeColor="text1"/>
          <w:lang w:val="en-GB"/>
        </w:rPr>
        <w:t>)</w:t>
      </w:r>
      <w:r w:rsidR="00BD1048" w:rsidRPr="009D1960">
        <w:rPr>
          <w:rFonts w:asciiTheme="minorHAnsi" w:hAnsiTheme="minorHAnsi" w:cstheme="minorHAnsi"/>
          <w:color w:val="000000" w:themeColor="text1"/>
          <w:lang w:val="en-GB"/>
        </w:rPr>
        <w:t xml:space="preserve"> are often required to be reported to the country’s PV unit. </w:t>
      </w:r>
    </w:p>
    <w:p w14:paraId="26661822" w14:textId="4A69B42F" w:rsidR="001C7A69" w:rsidRPr="009D1960" w:rsidRDefault="001C7A69" w:rsidP="00CB2F8E">
      <w:pPr>
        <w:pStyle w:val="ListBullet"/>
        <w:numPr>
          <w:ilvl w:val="0"/>
          <w:numId w:val="31"/>
        </w:numPr>
        <w:rPr>
          <w:rFonts w:asciiTheme="minorHAnsi" w:hAnsiTheme="minorHAnsi" w:cstheme="minorHAnsi"/>
          <w:color w:val="000000" w:themeColor="text1"/>
          <w:lang w:val="en-GB"/>
        </w:rPr>
      </w:pPr>
      <w:r w:rsidRPr="009D1960">
        <w:rPr>
          <w:rFonts w:asciiTheme="minorHAnsi" w:hAnsiTheme="minorHAnsi" w:cstheme="minorHAnsi"/>
          <w:b/>
          <w:bCs/>
          <w:color w:val="000000" w:themeColor="text1"/>
          <w:lang w:val="en-GB"/>
        </w:rPr>
        <w:t>Medication errors</w:t>
      </w:r>
      <w:r w:rsidRPr="009D1960">
        <w:rPr>
          <w:rFonts w:asciiTheme="minorHAnsi" w:hAnsiTheme="minorHAnsi" w:cstheme="minorHAnsi"/>
          <w:color w:val="000000" w:themeColor="text1"/>
          <w:lang w:val="en-GB"/>
        </w:rPr>
        <w:t xml:space="preserve"> defined as unintended mistakes in the prescribing, dispensing and administration of a medicine that could cause harm to a patient (e.g. wrong drug prescribed, overdose) must be managed on a case</w:t>
      </w:r>
      <w:r w:rsidR="00BD1048" w:rsidRPr="009D1960">
        <w:rPr>
          <w:rFonts w:asciiTheme="minorHAnsi" w:hAnsiTheme="minorHAnsi" w:cstheme="minorHAnsi"/>
          <w:color w:val="000000" w:themeColor="text1"/>
          <w:lang w:val="en-GB"/>
        </w:rPr>
        <w:t>-</w:t>
      </w:r>
      <w:r w:rsidRPr="009D1960">
        <w:rPr>
          <w:rFonts w:asciiTheme="minorHAnsi" w:hAnsiTheme="minorHAnsi" w:cstheme="minorHAnsi"/>
          <w:color w:val="000000" w:themeColor="text1"/>
          <w:lang w:val="en-GB"/>
        </w:rPr>
        <w:t>by</w:t>
      </w:r>
      <w:r w:rsidR="00BD1048" w:rsidRPr="009D1960">
        <w:rPr>
          <w:rFonts w:asciiTheme="minorHAnsi" w:hAnsiTheme="minorHAnsi" w:cstheme="minorHAnsi"/>
          <w:color w:val="000000" w:themeColor="text1"/>
          <w:lang w:val="en-GB"/>
        </w:rPr>
        <w:t>-</w:t>
      </w:r>
      <w:r w:rsidRPr="009D1960">
        <w:rPr>
          <w:rFonts w:asciiTheme="minorHAnsi" w:hAnsiTheme="minorHAnsi" w:cstheme="minorHAnsi"/>
          <w:color w:val="000000" w:themeColor="text1"/>
          <w:lang w:val="en-GB"/>
        </w:rPr>
        <w:t>case basis. Hospitalization should be considered as appropriate.</w:t>
      </w:r>
      <w:r w:rsidR="00BD1048" w:rsidRPr="009D1960">
        <w:rPr>
          <w:rFonts w:asciiTheme="minorHAnsi" w:hAnsiTheme="minorHAnsi" w:cstheme="minorHAnsi"/>
          <w:color w:val="000000" w:themeColor="text1"/>
          <w:lang w:val="en-GB"/>
        </w:rPr>
        <w:t xml:space="preserve"> Medical errors in MDR-TB treatment, including both STRs and LTRs, are often required to be reported to the country’s PV unit.</w:t>
      </w:r>
    </w:p>
    <w:p w14:paraId="35B89656" w14:textId="20709ACD"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 xml:space="preserve">The clinician is responsible for appropriately managing </w:t>
      </w:r>
      <w:r w:rsidR="00C155A3" w:rsidRPr="009D1960">
        <w:rPr>
          <w:rFonts w:asciiTheme="minorHAnsi" w:hAnsiTheme="minorHAnsi" w:cstheme="minorHAnsi"/>
          <w:color w:val="000000" w:themeColor="text1"/>
        </w:rPr>
        <w:t xml:space="preserve">all </w:t>
      </w:r>
      <w:r w:rsidRPr="009D1960">
        <w:rPr>
          <w:rFonts w:asciiTheme="minorHAnsi" w:hAnsiTheme="minorHAnsi" w:cstheme="minorHAnsi"/>
          <w:color w:val="000000" w:themeColor="text1"/>
        </w:rPr>
        <w:t>AEs, drug-exposed pregnancies</w:t>
      </w:r>
      <w:r w:rsidR="007A29FD">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and potential medication errors in accordance with the local standards</w:t>
      </w:r>
      <w:r w:rsidR="0076734D">
        <w:rPr>
          <w:rFonts w:asciiTheme="minorHAnsi" w:hAnsiTheme="minorHAnsi" w:cstheme="minorHAnsi"/>
          <w:color w:val="000000" w:themeColor="text1"/>
        </w:rPr>
        <w:t>-</w:t>
      </w:r>
      <w:r w:rsidRPr="009D1960">
        <w:rPr>
          <w:rFonts w:asciiTheme="minorHAnsi" w:hAnsiTheme="minorHAnsi" w:cstheme="minorHAnsi"/>
          <w:color w:val="000000" w:themeColor="text1"/>
        </w:rPr>
        <w:t>of</w:t>
      </w:r>
      <w:r w:rsidR="0076734D">
        <w:rPr>
          <w:rFonts w:asciiTheme="minorHAnsi" w:hAnsiTheme="minorHAnsi" w:cstheme="minorHAnsi"/>
          <w:color w:val="000000" w:themeColor="text1"/>
        </w:rPr>
        <w:t>-</w:t>
      </w:r>
      <w:r w:rsidRPr="009D1960">
        <w:rPr>
          <w:rFonts w:asciiTheme="minorHAnsi" w:hAnsiTheme="minorHAnsi" w:cstheme="minorHAnsi"/>
          <w:color w:val="000000" w:themeColor="text1"/>
        </w:rPr>
        <w:t>care</w:t>
      </w:r>
      <w:r w:rsidR="0076734D">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a</w:t>
      </w:r>
      <w:r w:rsidR="0076734D">
        <w:rPr>
          <w:rFonts w:asciiTheme="minorHAnsi" w:hAnsiTheme="minorHAnsi" w:cstheme="minorHAnsi"/>
          <w:color w:val="000000" w:themeColor="text1"/>
        </w:rPr>
        <w:t xml:space="preserve">s well as </w:t>
      </w:r>
      <w:r w:rsidRPr="009D1960">
        <w:rPr>
          <w:rFonts w:asciiTheme="minorHAnsi" w:hAnsiTheme="minorHAnsi" w:cstheme="minorHAnsi"/>
          <w:color w:val="000000" w:themeColor="text1"/>
        </w:rPr>
        <w:t>referring the patient to the appropriate specialist</w:t>
      </w:r>
      <w:r w:rsidR="00BC2C2E">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if needed. He/she should additionally assess the benefit of the continuation of the current TB treatment in the light of the whole clinical picture: weighing treatment continuation benefits vs. the risks (including </w:t>
      </w:r>
      <w:r w:rsidR="00C155A3" w:rsidRPr="009D1960">
        <w:rPr>
          <w:rFonts w:asciiTheme="minorHAnsi" w:hAnsiTheme="minorHAnsi" w:cstheme="minorHAnsi"/>
          <w:color w:val="000000" w:themeColor="text1"/>
        </w:rPr>
        <w:t>S</w:t>
      </w:r>
      <w:r w:rsidRPr="009D1960">
        <w:rPr>
          <w:rFonts w:asciiTheme="minorHAnsi" w:hAnsiTheme="minorHAnsi" w:cstheme="minorHAnsi"/>
          <w:color w:val="000000" w:themeColor="text1"/>
        </w:rPr>
        <w:t xml:space="preserve">AEs, pregnancy exposure, abnormal lab results, etc). Specific clinical management suggestions are available in </w:t>
      </w:r>
      <w:r w:rsidR="00C75B99" w:rsidRPr="009D1960">
        <w:rPr>
          <w:rFonts w:asciiTheme="minorHAnsi" w:hAnsiTheme="minorHAnsi" w:cstheme="minorHAnsi"/>
          <w:color w:val="000000" w:themeColor="text1"/>
        </w:rPr>
        <w:t>Section</w:t>
      </w:r>
      <w:r w:rsidR="00DA19C9" w:rsidRPr="009D1960">
        <w:rPr>
          <w:rFonts w:asciiTheme="minorHAnsi" w:hAnsiTheme="minorHAnsi" w:cstheme="minorHAnsi"/>
          <w:color w:val="000000" w:themeColor="text1"/>
        </w:rPr>
        <w:t xml:space="preserve"> </w:t>
      </w:r>
      <w:r w:rsidR="00DA19C9" w:rsidRPr="009D1960">
        <w:rPr>
          <w:rFonts w:asciiTheme="minorHAnsi" w:hAnsiTheme="minorHAnsi" w:cstheme="minorHAnsi"/>
          <w:color w:val="000000" w:themeColor="text1"/>
        </w:rPr>
        <w:fldChar w:fldCharType="begin"/>
      </w:r>
      <w:r w:rsidR="00DA19C9" w:rsidRPr="009D1960">
        <w:rPr>
          <w:rFonts w:asciiTheme="minorHAnsi" w:hAnsiTheme="minorHAnsi" w:cstheme="minorHAnsi"/>
          <w:color w:val="000000" w:themeColor="text1"/>
        </w:rPr>
        <w:instrText xml:space="preserve"> REF _Ref426034645 \r \h </w:instrText>
      </w:r>
      <w:r w:rsidR="009D1960">
        <w:rPr>
          <w:rFonts w:asciiTheme="minorHAnsi" w:hAnsiTheme="minorHAnsi" w:cstheme="minorHAnsi"/>
          <w:color w:val="000000" w:themeColor="text1"/>
        </w:rPr>
        <w:instrText xml:space="preserve"> \* MERGEFORMAT </w:instrText>
      </w:r>
      <w:r w:rsidR="00DA19C9" w:rsidRPr="009D1960">
        <w:rPr>
          <w:rFonts w:asciiTheme="minorHAnsi" w:hAnsiTheme="minorHAnsi" w:cstheme="minorHAnsi"/>
          <w:color w:val="000000" w:themeColor="text1"/>
        </w:rPr>
      </w:r>
      <w:r w:rsidR="00DA19C9" w:rsidRPr="009D1960">
        <w:rPr>
          <w:rFonts w:asciiTheme="minorHAnsi" w:hAnsiTheme="minorHAnsi" w:cstheme="minorHAnsi"/>
          <w:color w:val="000000" w:themeColor="text1"/>
        </w:rPr>
        <w:fldChar w:fldCharType="separate"/>
      </w:r>
      <w:r w:rsidR="00C21E58" w:rsidRPr="009D1960">
        <w:rPr>
          <w:rFonts w:asciiTheme="minorHAnsi" w:hAnsiTheme="minorHAnsi" w:cstheme="minorHAnsi"/>
          <w:color w:val="000000" w:themeColor="text1"/>
        </w:rPr>
        <w:t>7.3</w:t>
      </w:r>
      <w:r w:rsidR="00DA19C9" w:rsidRPr="009D1960">
        <w:rPr>
          <w:rFonts w:asciiTheme="minorHAnsi" w:hAnsiTheme="minorHAnsi" w:cstheme="minorHAnsi"/>
          <w:color w:val="000000" w:themeColor="text1"/>
        </w:rPr>
        <w:fldChar w:fldCharType="end"/>
      </w:r>
      <w:r w:rsidRPr="009D1960">
        <w:rPr>
          <w:rFonts w:asciiTheme="minorHAnsi" w:hAnsiTheme="minorHAnsi" w:cstheme="minorHAnsi"/>
          <w:color w:val="000000" w:themeColor="text1"/>
        </w:rPr>
        <w:t>.</w:t>
      </w:r>
      <w:r w:rsidR="00C75B99" w:rsidRPr="009D1960">
        <w:rPr>
          <w:rFonts w:asciiTheme="minorHAnsi" w:hAnsiTheme="minorHAnsi" w:cstheme="minorHAnsi"/>
          <w:color w:val="000000" w:themeColor="text1"/>
        </w:rPr>
        <w:t xml:space="preserve"> </w:t>
      </w:r>
    </w:p>
    <w:p w14:paraId="056C2DBF" w14:textId="65C2C1A6" w:rsidR="001C7A69" w:rsidRPr="009D1960" w:rsidRDefault="00DA19C9" w:rsidP="00003170">
      <w:pPr>
        <w:pStyle w:val="Heading2"/>
        <w:rPr>
          <w:rFonts w:asciiTheme="minorHAnsi" w:hAnsiTheme="minorHAnsi" w:cstheme="minorHAnsi"/>
        </w:rPr>
      </w:pPr>
      <w:bookmarkStart w:id="194" w:name="_Toc12792970"/>
      <w:bookmarkStart w:id="195" w:name="_Toc12952381"/>
      <w:bookmarkStart w:id="196" w:name="_Toc13486730"/>
      <w:r w:rsidRPr="009D1960">
        <w:rPr>
          <w:rFonts w:asciiTheme="minorHAnsi" w:hAnsiTheme="minorHAnsi" w:cstheme="minorHAnsi"/>
        </w:rPr>
        <w:t>Gradin</w:t>
      </w:r>
      <w:r w:rsidR="001C7A69" w:rsidRPr="009D1960">
        <w:rPr>
          <w:rFonts w:asciiTheme="minorHAnsi" w:hAnsiTheme="minorHAnsi" w:cstheme="minorHAnsi"/>
        </w:rPr>
        <w:t>g</w:t>
      </w:r>
      <w:r w:rsidRPr="009D1960">
        <w:rPr>
          <w:rFonts w:asciiTheme="minorHAnsi" w:hAnsiTheme="minorHAnsi" w:cstheme="minorHAnsi"/>
        </w:rPr>
        <w:t xml:space="preserve"> SAEs and assigning causality</w:t>
      </w:r>
      <w:bookmarkEnd w:id="194"/>
      <w:bookmarkEnd w:id="195"/>
      <w:bookmarkEnd w:id="196"/>
    </w:p>
    <w:p w14:paraId="62C03E29" w14:textId="7D2284FF" w:rsidR="001C7A69" w:rsidRPr="009D1960" w:rsidRDefault="00EB2CD4" w:rsidP="001C7A69">
      <w:pPr>
        <w:rPr>
          <w:rFonts w:asciiTheme="minorHAnsi" w:hAnsiTheme="minorHAnsi" w:cstheme="minorHAnsi"/>
          <w:color w:val="000000" w:themeColor="text1"/>
          <w:lang w:val="en-GB" w:eastAsia="fr-CH"/>
        </w:rPr>
      </w:pPr>
      <w:r w:rsidRPr="009D1960">
        <w:rPr>
          <w:rFonts w:asciiTheme="minorHAnsi" w:hAnsiTheme="minorHAnsi" w:cstheme="minorHAnsi"/>
          <w:color w:val="000000" w:themeColor="text1"/>
        </w:rPr>
        <w:t>SAEs are commonly graded</w:t>
      </w:r>
      <w:r w:rsidR="00C155A3" w:rsidRPr="009D1960">
        <w:rPr>
          <w:rFonts w:asciiTheme="minorHAnsi" w:hAnsiTheme="minorHAnsi" w:cstheme="minorHAnsi"/>
          <w:color w:val="000000" w:themeColor="text1"/>
        </w:rPr>
        <w:t xml:space="preserve"> based on</w:t>
      </w:r>
      <w:r w:rsidR="001C7A69" w:rsidRPr="009D1960">
        <w:rPr>
          <w:rFonts w:asciiTheme="minorHAnsi" w:hAnsiTheme="minorHAnsi" w:cstheme="minorHAnsi"/>
          <w:color w:val="000000" w:themeColor="text1"/>
        </w:rPr>
        <w:t xml:space="preserve"> severit</w:t>
      </w:r>
      <w:r w:rsidR="00C155A3" w:rsidRPr="009D1960">
        <w:rPr>
          <w:rFonts w:asciiTheme="minorHAnsi" w:hAnsiTheme="minorHAnsi" w:cstheme="minorHAnsi"/>
          <w:color w:val="000000" w:themeColor="text1"/>
        </w:rPr>
        <w:t xml:space="preserve">y. This guide recommends using the </w:t>
      </w:r>
      <w:r w:rsidR="001C7A69" w:rsidRPr="009D1960">
        <w:rPr>
          <w:rFonts w:asciiTheme="minorHAnsi" w:hAnsiTheme="minorHAnsi" w:cstheme="minorHAnsi"/>
          <w:color w:val="000000" w:themeColor="text1"/>
          <w:lang w:val="en-GB" w:eastAsia="fr-CH"/>
        </w:rPr>
        <w:t>Severity Grading Scale</w:t>
      </w:r>
      <w:r w:rsidR="00C155A3" w:rsidRPr="009D1960">
        <w:rPr>
          <w:rFonts w:asciiTheme="minorHAnsi" w:hAnsiTheme="minorHAnsi" w:cstheme="minorHAnsi"/>
          <w:color w:val="000000" w:themeColor="text1"/>
          <w:lang w:val="en-GB" w:eastAsia="fr-CH"/>
        </w:rPr>
        <w:t xml:space="preserve"> </w:t>
      </w:r>
      <w:r w:rsidR="00C155A3" w:rsidRPr="008C04AA">
        <w:rPr>
          <w:rFonts w:asciiTheme="minorHAnsi" w:hAnsiTheme="minorHAnsi" w:cstheme="minorHAnsi"/>
          <w:color w:val="000000" w:themeColor="text1"/>
          <w:lang w:val="en-GB" w:eastAsia="fr-CH"/>
        </w:rPr>
        <w:t xml:space="preserve">described in </w:t>
      </w:r>
      <w:r w:rsidR="008C04AA" w:rsidRPr="008C04AA">
        <w:rPr>
          <w:rFonts w:asciiTheme="minorHAnsi" w:hAnsiTheme="minorHAnsi" w:cstheme="minorHAnsi"/>
          <w:color w:val="000000" w:themeColor="text1"/>
          <w:lang w:val="en-GB" w:eastAsia="fr-CH"/>
        </w:rPr>
        <w:fldChar w:fldCharType="begin"/>
      </w:r>
      <w:r w:rsidR="008C04AA" w:rsidRPr="008C04AA">
        <w:rPr>
          <w:rFonts w:asciiTheme="minorHAnsi" w:hAnsiTheme="minorHAnsi" w:cstheme="minorHAnsi"/>
          <w:color w:val="000000" w:themeColor="text1"/>
          <w:lang w:val="en-GB" w:eastAsia="fr-CH"/>
        </w:rPr>
        <w:instrText xml:space="preserve"> REF _Ref12971484 \h </w:instrText>
      </w:r>
      <w:r w:rsidR="008C04AA">
        <w:rPr>
          <w:rFonts w:asciiTheme="minorHAnsi" w:hAnsiTheme="minorHAnsi" w:cstheme="minorHAnsi"/>
          <w:color w:val="000000" w:themeColor="text1"/>
          <w:lang w:val="en-GB" w:eastAsia="fr-CH"/>
        </w:rPr>
        <w:instrText xml:space="preserve"> \* MERGEFORMAT </w:instrText>
      </w:r>
      <w:r w:rsidR="008C04AA" w:rsidRPr="008C04AA">
        <w:rPr>
          <w:rFonts w:asciiTheme="minorHAnsi" w:hAnsiTheme="minorHAnsi" w:cstheme="minorHAnsi"/>
          <w:color w:val="000000" w:themeColor="text1"/>
          <w:lang w:val="en-GB" w:eastAsia="fr-CH"/>
        </w:rPr>
      </w:r>
      <w:r w:rsidR="008C04AA" w:rsidRPr="008C04AA">
        <w:rPr>
          <w:rFonts w:asciiTheme="minorHAnsi" w:hAnsiTheme="minorHAnsi" w:cstheme="minorHAnsi"/>
          <w:color w:val="000000" w:themeColor="text1"/>
          <w:lang w:val="en-GB" w:eastAsia="fr-CH"/>
        </w:rPr>
        <w:fldChar w:fldCharType="separate"/>
      </w:r>
      <w:r w:rsidR="008C04AA" w:rsidRPr="008C04AA">
        <w:rPr>
          <w:rFonts w:asciiTheme="minorHAnsi" w:hAnsiTheme="minorHAnsi" w:cstheme="minorHAnsi"/>
        </w:rPr>
        <w:t xml:space="preserve">Table 14 </w:t>
      </w:r>
      <w:r w:rsidR="008C04AA" w:rsidRPr="008C04AA">
        <w:rPr>
          <w:rStyle w:val="IntenseEmphasis"/>
          <w:rFonts w:asciiTheme="minorHAnsi" w:hAnsiTheme="minorHAnsi" w:cstheme="minorHAnsi"/>
          <w:b w:val="0"/>
          <w:bCs w:val="0"/>
          <w:i w:val="0"/>
          <w:color w:val="000000" w:themeColor="text1"/>
        </w:rPr>
        <w:t>-</w:t>
      </w:r>
      <w:r w:rsidR="008C04AA" w:rsidRPr="008C04AA">
        <w:rPr>
          <w:rFonts w:asciiTheme="minorHAnsi" w:hAnsiTheme="minorHAnsi" w:cstheme="minorHAnsi"/>
          <w:color w:val="000000" w:themeColor="text1"/>
          <w:lang w:val="en-GB" w:eastAsia="fr-CH"/>
        </w:rPr>
        <w:fldChar w:fldCharType="end"/>
      </w:r>
      <w:r w:rsidR="008C04AA" w:rsidRPr="008C04AA">
        <w:rPr>
          <w:rFonts w:asciiTheme="minorHAnsi" w:hAnsiTheme="minorHAnsi" w:cstheme="minorHAnsi"/>
          <w:color w:val="000000" w:themeColor="text1"/>
          <w:lang w:val="en-GB" w:eastAsia="fr-CH"/>
        </w:rPr>
        <w:fldChar w:fldCharType="begin"/>
      </w:r>
      <w:r w:rsidR="008C04AA" w:rsidRPr="008C04AA">
        <w:rPr>
          <w:rFonts w:asciiTheme="minorHAnsi" w:hAnsiTheme="minorHAnsi" w:cstheme="minorHAnsi"/>
          <w:color w:val="000000" w:themeColor="text1"/>
          <w:lang w:val="en-GB" w:eastAsia="fr-CH"/>
        </w:rPr>
        <w:instrText xml:space="preserve"> REF _Ref12971516 \h </w:instrText>
      </w:r>
      <w:r w:rsidR="008C04AA">
        <w:rPr>
          <w:rFonts w:asciiTheme="minorHAnsi" w:hAnsiTheme="minorHAnsi" w:cstheme="minorHAnsi"/>
          <w:color w:val="000000" w:themeColor="text1"/>
          <w:lang w:val="en-GB" w:eastAsia="fr-CH"/>
        </w:rPr>
        <w:instrText xml:space="preserve"> \* MERGEFORMAT </w:instrText>
      </w:r>
      <w:r w:rsidR="008C04AA" w:rsidRPr="008C04AA">
        <w:rPr>
          <w:rFonts w:asciiTheme="minorHAnsi" w:hAnsiTheme="minorHAnsi" w:cstheme="minorHAnsi"/>
          <w:color w:val="000000" w:themeColor="text1"/>
          <w:lang w:val="en-GB" w:eastAsia="fr-CH"/>
        </w:rPr>
      </w:r>
      <w:r w:rsidR="008C04AA" w:rsidRPr="008C04AA">
        <w:rPr>
          <w:rFonts w:asciiTheme="minorHAnsi" w:hAnsiTheme="minorHAnsi" w:cstheme="minorHAnsi"/>
          <w:color w:val="000000" w:themeColor="text1"/>
          <w:lang w:val="en-GB" w:eastAsia="fr-CH"/>
        </w:rPr>
        <w:fldChar w:fldCharType="separate"/>
      </w:r>
      <w:r w:rsidR="008C04AA" w:rsidRPr="008C04AA">
        <w:rPr>
          <w:rFonts w:asciiTheme="minorHAnsi" w:hAnsiTheme="minorHAnsi" w:cstheme="minorHAnsi"/>
        </w:rPr>
        <w:t xml:space="preserve">Table 22 </w:t>
      </w:r>
      <w:r w:rsidR="008C04AA" w:rsidRPr="008C04AA">
        <w:rPr>
          <w:rFonts w:asciiTheme="minorHAnsi" w:hAnsiTheme="minorHAnsi" w:cstheme="minorHAnsi"/>
          <w:color w:val="000000" w:themeColor="text1"/>
          <w:lang w:val="en-GB" w:eastAsia="fr-CH"/>
        </w:rPr>
        <w:fldChar w:fldCharType="end"/>
      </w:r>
      <w:r w:rsidR="001C7A69" w:rsidRPr="008C04AA">
        <w:rPr>
          <w:rFonts w:asciiTheme="minorHAnsi" w:hAnsiTheme="minorHAnsi" w:cstheme="minorHAnsi"/>
          <w:color w:val="000000" w:themeColor="text1"/>
          <w:lang w:val="en-GB" w:eastAsia="fr-CH"/>
        </w:rPr>
        <w:t xml:space="preserve"> (</w:t>
      </w:r>
      <w:r w:rsidR="001C7A69" w:rsidRPr="009D1960">
        <w:rPr>
          <w:rFonts w:asciiTheme="minorHAnsi" w:hAnsiTheme="minorHAnsi" w:cstheme="minorHAnsi"/>
          <w:color w:val="000000" w:themeColor="text1"/>
          <w:lang w:val="en-GB" w:eastAsia="fr-CH"/>
        </w:rPr>
        <w:t>grades 1-4</w:t>
      </w:r>
      <w:r w:rsidR="001C7A69" w:rsidRPr="009D1960">
        <w:rPr>
          <w:rStyle w:val="FootnoteReference"/>
          <w:rFonts w:asciiTheme="minorHAnsi" w:hAnsiTheme="minorHAnsi" w:cstheme="minorHAnsi"/>
          <w:color w:val="000000" w:themeColor="text1"/>
          <w:lang w:val="en-GB" w:eastAsia="fr-CH"/>
        </w:rPr>
        <w:footnoteReference w:id="34"/>
      </w:r>
      <w:r w:rsidR="001C7A69" w:rsidRPr="009D1960">
        <w:rPr>
          <w:rFonts w:asciiTheme="minorHAnsi" w:hAnsiTheme="minorHAnsi" w:cstheme="minorHAnsi"/>
          <w:color w:val="000000" w:themeColor="text1"/>
          <w:lang w:val="en-GB" w:eastAsia="fr-CH"/>
        </w:rPr>
        <w:t>). For those AEs not described in the Severity Grading Scale, the general definition of clinical severity should apply</w:t>
      </w:r>
      <w:r w:rsidR="00C155A3" w:rsidRPr="009D1960">
        <w:rPr>
          <w:rFonts w:asciiTheme="minorHAnsi" w:hAnsiTheme="minorHAnsi" w:cstheme="minorHAnsi"/>
          <w:color w:val="000000" w:themeColor="text1"/>
          <w:lang w:val="en-GB" w:eastAsia="fr-CH"/>
        </w:rPr>
        <w:t xml:space="preserve">, as </w:t>
      </w:r>
      <w:r w:rsidR="00C155A3" w:rsidRPr="00D46373">
        <w:rPr>
          <w:rFonts w:asciiTheme="minorHAnsi" w:hAnsiTheme="minorHAnsi" w:cstheme="minorHAnsi"/>
          <w:color w:val="000000" w:themeColor="text1"/>
          <w:lang w:val="en-GB" w:eastAsia="fr-CH"/>
        </w:rPr>
        <w:t xml:space="preserve">described </w:t>
      </w:r>
      <w:r w:rsidR="00577A78">
        <w:rPr>
          <w:rFonts w:asciiTheme="minorHAnsi" w:hAnsiTheme="minorHAnsi" w:cstheme="minorHAnsi"/>
          <w:color w:val="000000" w:themeColor="text1"/>
          <w:lang w:val="en-GB" w:eastAsia="fr-CH"/>
        </w:rPr>
        <w:t>bel</w:t>
      </w:r>
      <w:r w:rsidR="00577A78" w:rsidRPr="00151CB3">
        <w:rPr>
          <w:rFonts w:asciiTheme="minorHAnsi" w:hAnsiTheme="minorHAnsi" w:cstheme="minorHAnsi"/>
          <w:color w:val="000000" w:themeColor="text1"/>
          <w:lang w:val="en-GB" w:eastAsia="fr-CH"/>
        </w:rPr>
        <w:t>ow</w:t>
      </w:r>
      <w:r w:rsidR="00577A78">
        <w:rPr>
          <w:rFonts w:asciiTheme="minorHAnsi" w:hAnsiTheme="minorHAnsi" w:cstheme="minorHAnsi"/>
          <w:color w:val="000000" w:themeColor="text1"/>
          <w:lang w:val="en-GB" w:eastAsia="fr-CH"/>
        </w:rPr>
        <w:t xml:space="preserve">. </w:t>
      </w:r>
      <w:r w:rsidR="00864842" w:rsidRPr="009D1960">
        <w:rPr>
          <w:rFonts w:asciiTheme="minorHAnsi" w:hAnsiTheme="minorHAnsi" w:cstheme="minorHAnsi"/>
          <w:color w:val="000000" w:themeColor="text1"/>
          <w:lang w:val="en-GB" w:eastAsia="fr-CH"/>
        </w:rPr>
        <w:t>Grading AEs is not only used for reporting</w:t>
      </w:r>
      <w:r w:rsidR="00474E93">
        <w:rPr>
          <w:rFonts w:asciiTheme="minorHAnsi" w:hAnsiTheme="minorHAnsi" w:cstheme="minorHAnsi"/>
          <w:color w:val="000000" w:themeColor="text1"/>
          <w:lang w:val="en-GB" w:eastAsia="fr-CH"/>
        </w:rPr>
        <w:t>,</w:t>
      </w:r>
      <w:r w:rsidR="00864842" w:rsidRPr="009D1960">
        <w:rPr>
          <w:rFonts w:asciiTheme="minorHAnsi" w:hAnsiTheme="minorHAnsi" w:cstheme="minorHAnsi"/>
          <w:color w:val="000000" w:themeColor="text1"/>
          <w:lang w:val="en-GB" w:eastAsia="fr-CH"/>
        </w:rPr>
        <w:t xml:space="preserve"> but can be helpful in determining the action needed for managing the AE.  </w:t>
      </w:r>
    </w:p>
    <w:p w14:paraId="041D8E1B" w14:textId="3E39A933" w:rsidR="001C7A69" w:rsidRPr="00165CBA" w:rsidRDefault="001C7A69" w:rsidP="001D4F63">
      <w:pPr>
        <w:pStyle w:val="Heading3"/>
        <w:rPr>
          <w:rStyle w:val="IntenseEmphasis"/>
          <w:rFonts w:asciiTheme="minorHAnsi" w:hAnsiTheme="minorHAnsi"/>
          <w:b/>
          <w:bCs/>
          <w:i/>
          <w:iCs w:val="0"/>
          <w:color w:val="000000" w:themeColor="text1"/>
        </w:rPr>
      </w:pPr>
      <w:bookmarkStart w:id="197" w:name="_Ref12743449"/>
      <w:bookmarkStart w:id="198" w:name="_Toc12885976"/>
      <w:bookmarkStart w:id="199" w:name="_Toc12886223"/>
      <w:bookmarkStart w:id="200" w:name="_Ref13050385"/>
      <w:bookmarkStart w:id="201" w:name="_Ref13066393"/>
      <w:bookmarkStart w:id="202" w:name="_Toc13486770"/>
      <w:r w:rsidRPr="00165CBA">
        <w:rPr>
          <w:rStyle w:val="IntenseEmphasis"/>
          <w:rFonts w:asciiTheme="minorHAnsi" w:hAnsiTheme="minorHAnsi"/>
          <w:b/>
          <w:bCs/>
          <w:i/>
          <w:iCs w:val="0"/>
          <w:color w:val="000000" w:themeColor="text1"/>
        </w:rPr>
        <w:t>Tabl</w:t>
      </w:r>
      <w:bookmarkStart w:id="203" w:name="tab1"/>
      <w:bookmarkEnd w:id="203"/>
      <w:r w:rsidRPr="00165CBA">
        <w:rPr>
          <w:rStyle w:val="IntenseEmphasis"/>
          <w:rFonts w:asciiTheme="minorHAnsi" w:hAnsiTheme="minorHAnsi"/>
          <w:b/>
          <w:bCs/>
          <w:i/>
          <w:iCs w:val="0"/>
          <w:color w:val="000000" w:themeColor="text1"/>
        </w:rPr>
        <w:t xml:space="preserve">e </w:t>
      </w:r>
      <w:bookmarkEnd w:id="197"/>
      <w:r w:rsidR="002C4FED" w:rsidRPr="00165CBA">
        <w:rPr>
          <w:rFonts w:asciiTheme="minorHAnsi" w:hAnsiTheme="minorHAnsi"/>
        </w:rPr>
        <w:t>1</w:t>
      </w:r>
      <w:r w:rsidR="003F19E7" w:rsidRPr="00165CBA">
        <w:rPr>
          <w:rFonts w:asciiTheme="minorHAnsi" w:hAnsiTheme="minorHAnsi"/>
        </w:rPr>
        <w:t>2</w:t>
      </w:r>
      <w:r w:rsidRPr="00165CBA">
        <w:rPr>
          <w:rStyle w:val="IntenseEmphasis"/>
          <w:rFonts w:asciiTheme="minorHAnsi" w:hAnsiTheme="minorHAnsi"/>
          <w:b/>
          <w:bCs/>
          <w:i/>
          <w:iCs w:val="0"/>
          <w:color w:val="000000" w:themeColor="text1"/>
        </w:rPr>
        <w:t xml:space="preserve"> General definition of severity</w:t>
      </w:r>
      <w:bookmarkEnd w:id="198"/>
      <w:bookmarkEnd w:id="199"/>
      <w:bookmarkEnd w:id="200"/>
      <w:bookmarkEnd w:id="201"/>
      <w:bookmarkEnd w:id="2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1" w:type="dxa"/>
          <w:left w:w="101" w:type="dxa"/>
          <w:bottom w:w="101" w:type="dxa"/>
          <w:right w:w="101" w:type="dxa"/>
        </w:tblCellMar>
        <w:tblLook w:val="00A0" w:firstRow="1" w:lastRow="0" w:firstColumn="1" w:lastColumn="0" w:noHBand="0" w:noVBand="0"/>
      </w:tblPr>
      <w:tblGrid>
        <w:gridCol w:w="2255"/>
        <w:gridCol w:w="2254"/>
        <w:gridCol w:w="2254"/>
        <w:gridCol w:w="2254"/>
      </w:tblGrid>
      <w:tr w:rsidR="001C7A69" w:rsidRPr="00B85017" w14:paraId="046D6624" w14:textId="77777777" w:rsidTr="00093E2C">
        <w:trPr>
          <w:trHeight w:val="70"/>
        </w:trPr>
        <w:tc>
          <w:tcPr>
            <w:tcW w:w="1250" w:type="pct"/>
            <w:shd w:val="clear" w:color="auto" w:fill="235868"/>
          </w:tcPr>
          <w:p w14:paraId="7CE141CD" w14:textId="77777777" w:rsidR="001C7A69" w:rsidRPr="00DA4C80" w:rsidRDefault="001C7A69" w:rsidP="00E20A53">
            <w:pPr>
              <w:spacing w:before="20" w:after="20"/>
              <w:jc w:val="center"/>
              <w:rPr>
                <w:rFonts w:asciiTheme="minorHAnsi" w:hAnsiTheme="minorHAnsi"/>
                <w:b/>
                <w:bCs/>
                <w:color w:val="FFFFFF" w:themeColor="background1"/>
                <w:sz w:val="20"/>
                <w:szCs w:val="20"/>
                <w:lang w:val="en-GB" w:eastAsia="fr-CH"/>
              </w:rPr>
            </w:pPr>
            <w:r w:rsidRPr="00DA4C80">
              <w:rPr>
                <w:rFonts w:asciiTheme="minorHAnsi" w:hAnsiTheme="minorHAnsi"/>
                <w:b/>
                <w:bCs/>
                <w:color w:val="FFFFFF" w:themeColor="background1"/>
                <w:sz w:val="20"/>
                <w:szCs w:val="20"/>
                <w:lang w:val="en-GB" w:eastAsia="fr-CH"/>
              </w:rPr>
              <w:t>Grade 1 Mild</w:t>
            </w:r>
          </w:p>
        </w:tc>
        <w:tc>
          <w:tcPr>
            <w:tcW w:w="1250" w:type="pct"/>
            <w:shd w:val="clear" w:color="auto" w:fill="235868"/>
          </w:tcPr>
          <w:p w14:paraId="68A644D0" w14:textId="77777777" w:rsidR="001C7A69" w:rsidRPr="00DA4C80" w:rsidRDefault="001C7A69" w:rsidP="00E20A53">
            <w:pPr>
              <w:spacing w:before="20" w:after="20"/>
              <w:jc w:val="center"/>
              <w:rPr>
                <w:rFonts w:asciiTheme="minorHAnsi" w:hAnsiTheme="minorHAnsi"/>
                <w:b/>
                <w:bCs/>
                <w:color w:val="FFFFFF" w:themeColor="background1"/>
                <w:sz w:val="20"/>
                <w:szCs w:val="20"/>
                <w:lang w:val="en-GB" w:eastAsia="fr-CH"/>
              </w:rPr>
            </w:pPr>
            <w:r w:rsidRPr="00DA4C80">
              <w:rPr>
                <w:rFonts w:asciiTheme="minorHAnsi" w:hAnsiTheme="minorHAnsi"/>
                <w:b/>
                <w:bCs/>
                <w:color w:val="FFFFFF" w:themeColor="background1"/>
                <w:sz w:val="20"/>
                <w:szCs w:val="20"/>
                <w:lang w:val="en-GB" w:eastAsia="fr-CH"/>
              </w:rPr>
              <w:t>Grade 2 Moderate</w:t>
            </w:r>
          </w:p>
        </w:tc>
        <w:tc>
          <w:tcPr>
            <w:tcW w:w="1250" w:type="pct"/>
            <w:shd w:val="clear" w:color="auto" w:fill="235868"/>
          </w:tcPr>
          <w:p w14:paraId="4DAADCC4" w14:textId="77777777" w:rsidR="001C7A69" w:rsidRPr="00DA4C80" w:rsidRDefault="001C7A69" w:rsidP="00E20A53">
            <w:pPr>
              <w:spacing w:before="20" w:after="20"/>
              <w:jc w:val="center"/>
              <w:rPr>
                <w:rFonts w:asciiTheme="minorHAnsi" w:hAnsiTheme="minorHAnsi"/>
                <w:b/>
                <w:bCs/>
                <w:color w:val="FFFFFF" w:themeColor="background1"/>
                <w:sz w:val="20"/>
                <w:szCs w:val="20"/>
                <w:lang w:val="en-GB" w:eastAsia="fr-CH"/>
              </w:rPr>
            </w:pPr>
            <w:r w:rsidRPr="00DA4C80">
              <w:rPr>
                <w:rFonts w:asciiTheme="minorHAnsi" w:hAnsiTheme="minorHAnsi"/>
                <w:b/>
                <w:bCs/>
                <w:color w:val="FFFFFF" w:themeColor="background1"/>
                <w:sz w:val="20"/>
                <w:szCs w:val="20"/>
                <w:lang w:val="en-GB" w:eastAsia="fr-CH"/>
              </w:rPr>
              <w:t>Grade 3 Severe</w:t>
            </w:r>
          </w:p>
        </w:tc>
        <w:tc>
          <w:tcPr>
            <w:tcW w:w="1250" w:type="pct"/>
            <w:shd w:val="clear" w:color="auto" w:fill="235868"/>
          </w:tcPr>
          <w:p w14:paraId="2EE4390D" w14:textId="77777777" w:rsidR="001C7A69" w:rsidRPr="00DA4C80" w:rsidRDefault="001C7A69" w:rsidP="00E20A53">
            <w:pPr>
              <w:spacing w:before="20" w:after="20"/>
              <w:jc w:val="center"/>
              <w:rPr>
                <w:rFonts w:asciiTheme="minorHAnsi" w:hAnsiTheme="minorHAnsi"/>
                <w:b/>
                <w:bCs/>
                <w:color w:val="FFFFFF" w:themeColor="background1"/>
                <w:sz w:val="20"/>
                <w:szCs w:val="20"/>
                <w:lang w:val="en-GB" w:eastAsia="fr-CH"/>
              </w:rPr>
            </w:pPr>
            <w:r w:rsidRPr="00DA4C80">
              <w:rPr>
                <w:rFonts w:asciiTheme="minorHAnsi" w:hAnsiTheme="minorHAnsi"/>
                <w:b/>
                <w:bCs/>
                <w:color w:val="FFFFFF" w:themeColor="background1"/>
                <w:sz w:val="20"/>
                <w:szCs w:val="20"/>
                <w:lang w:val="en-GB" w:eastAsia="fr-CH"/>
              </w:rPr>
              <w:t>Grade 4 Life-threatening</w:t>
            </w:r>
          </w:p>
        </w:tc>
      </w:tr>
      <w:tr w:rsidR="001C7A69" w:rsidRPr="00B85017" w14:paraId="6DD84952" w14:textId="77777777" w:rsidTr="000A384C">
        <w:tc>
          <w:tcPr>
            <w:tcW w:w="1250" w:type="pct"/>
          </w:tcPr>
          <w:p w14:paraId="73F43251" w14:textId="77777777" w:rsidR="001C7A69" w:rsidRPr="00DA4C80" w:rsidRDefault="001C7A69" w:rsidP="000A384C">
            <w:pPr>
              <w:spacing w:before="20" w:after="20"/>
              <w:jc w:val="left"/>
              <w:rPr>
                <w:rFonts w:asciiTheme="minorHAnsi" w:hAnsiTheme="minorHAnsi"/>
                <w:color w:val="000000" w:themeColor="text1"/>
                <w:sz w:val="20"/>
                <w:szCs w:val="20"/>
                <w:lang w:val="en-GB" w:eastAsia="fr-CH"/>
              </w:rPr>
            </w:pPr>
            <w:r w:rsidRPr="00DA4C80">
              <w:rPr>
                <w:rFonts w:asciiTheme="minorHAnsi" w:hAnsiTheme="minorHAnsi"/>
                <w:color w:val="000000" w:themeColor="text1"/>
                <w:sz w:val="20"/>
                <w:szCs w:val="20"/>
                <w:lang w:val="en-GB" w:eastAsia="fr-CH"/>
              </w:rPr>
              <w:lastRenderedPageBreak/>
              <w:t>Transient or mild discomfort (&lt;48 hours); no medical intervention/therapy required.</w:t>
            </w:r>
          </w:p>
        </w:tc>
        <w:tc>
          <w:tcPr>
            <w:tcW w:w="1250" w:type="pct"/>
          </w:tcPr>
          <w:p w14:paraId="7A3B32F3" w14:textId="7AE73BAA" w:rsidR="001C7A69" w:rsidRPr="00DA4C80" w:rsidRDefault="001C7A69" w:rsidP="000A384C">
            <w:pPr>
              <w:spacing w:before="20" w:after="20"/>
              <w:jc w:val="left"/>
              <w:rPr>
                <w:rFonts w:asciiTheme="minorHAnsi" w:hAnsiTheme="minorHAnsi"/>
                <w:color w:val="000000" w:themeColor="text1"/>
                <w:sz w:val="20"/>
                <w:szCs w:val="20"/>
                <w:lang w:val="en-GB" w:eastAsia="fr-CH"/>
              </w:rPr>
            </w:pPr>
            <w:r w:rsidRPr="00DA4C80">
              <w:rPr>
                <w:rFonts w:asciiTheme="minorHAnsi" w:hAnsiTheme="minorHAnsi"/>
                <w:color w:val="000000" w:themeColor="text1"/>
                <w:sz w:val="20"/>
                <w:szCs w:val="20"/>
                <w:lang w:val="en-GB" w:eastAsia="fr-CH"/>
              </w:rPr>
              <w:t>Mild to moderate limitation in activity</w:t>
            </w:r>
            <w:r w:rsidRPr="00DA4C80">
              <w:rPr>
                <w:rFonts w:asciiTheme="minorHAnsi" w:hAnsiTheme="minorHAnsi"/>
                <w:color w:val="000000" w:themeColor="text1"/>
                <w:sz w:val="20"/>
                <w:szCs w:val="20"/>
                <w:vertAlign w:val="superscript"/>
                <w:lang w:val="en-GB" w:eastAsia="fr-CH"/>
              </w:rPr>
              <w:t>*</w:t>
            </w:r>
            <w:r w:rsidRPr="00DA4C80">
              <w:rPr>
                <w:rFonts w:asciiTheme="minorHAnsi" w:hAnsiTheme="minorHAnsi"/>
                <w:color w:val="000000" w:themeColor="text1"/>
                <w:sz w:val="20"/>
                <w:szCs w:val="20"/>
                <w:lang w:val="en-GB" w:eastAsia="fr-CH"/>
              </w:rPr>
              <w:t xml:space="preserve"> -some assistance may be needed; minimal</w:t>
            </w:r>
            <w:r w:rsidR="001D4882" w:rsidRPr="00DA4C80">
              <w:rPr>
                <w:rFonts w:asciiTheme="minorHAnsi" w:hAnsiTheme="minorHAnsi"/>
                <w:color w:val="000000" w:themeColor="text1"/>
                <w:sz w:val="20"/>
                <w:szCs w:val="20"/>
                <w:lang w:val="en-GB" w:eastAsia="fr-CH"/>
              </w:rPr>
              <w:t xml:space="preserve"> or no</w:t>
            </w:r>
            <w:r w:rsidRPr="00DA4C80">
              <w:rPr>
                <w:rFonts w:asciiTheme="minorHAnsi" w:hAnsiTheme="minorHAnsi"/>
                <w:color w:val="000000" w:themeColor="text1"/>
                <w:sz w:val="20"/>
                <w:szCs w:val="20"/>
                <w:lang w:val="en-GB" w:eastAsia="fr-CH"/>
              </w:rPr>
              <w:t xml:space="preserve"> medical intervention/ therapy required.</w:t>
            </w:r>
          </w:p>
        </w:tc>
        <w:tc>
          <w:tcPr>
            <w:tcW w:w="1250" w:type="pct"/>
          </w:tcPr>
          <w:p w14:paraId="4C1E9946" w14:textId="234B0D46" w:rsidR="001C7A69" w:rsidRPr="00DA4C80" w:rsidRDefault="001C7A69" w:rsidP="000A384C">
            <w:pPr>
              <w:spacing w:before="20" w:after="20"/>
              <w:jc w:val="left"/>
              <w:rPr>
                <w:rFonts w:asciiTheme="minorHAnsi" w:hAnsiTheme="minorHAnsi"/>
                <w:color w:val="000000" w:themeColor="text1"/>
                <w:sz w:val="20"/>
                <w:szCs w:val="20"/>
                <w:lang w:val="en-GB" w:eastAsia="fr-CH"/>
              </w:rPr>
            </w:pPr>
            <w:r w:rsidRPr="00DA4C80">
              <w:rPr>
                <w:rFonts w:asciiTheme="minorHAnsi" w:hAnsiTheme="minorHAnsi"/>
                <w:color w:val="000000" w:themeColor="text1"/>
                <w:sz w:val="20"/>
                <w:szCs w:val="20"/>
                <w:lang w:val="en-GB" w:eastAsia="fr-CH"/>
              </w:rPr>
              <w:t>Marked limitation in activity</w:t>
            </w:r>
            <w:r w:rsidRPr="00DA4C80">
              <w:rPr>
                <w:rFonts w:asciiTheme="minorHAnsi" w:hAnsiTheme="minorHAnsi"/>
                <w:color w:val="000000" w:themeColor="text1"/>
                <w:sz w:val="20"/>
                <w:szCs w:val="20"/>
                <w:vertAlign w:val="superscript"/>
                <w:lang w:val="en-GB" w:eastAsia="fr-CH"/>
              </w:rPr>
              <w:t>*</w:t>
            </w:r>
            <w:r w:rsidRPr="00DA4C80">
              <w:rPr>
                <w:rFonts w:asciiTheme="minorHAnsi" w:hAnsiTheme="minorHAnsi"/>
                <w:color w:val="000000" w:themeColor="text1"/>
                <w:sz w:val="20"/>
                <w:szCs w:val="20"/>
                <w:lang w:val="en-GB" w:eastAsia="fr-CH"/>
              </w:rPr>
              <w:t>, some assistance usually required; medical intervention/therapy required, hospitalization</w:t>
            </w:r>
            <w:r w:rsidR="00AE59F5" w:rsidRPr="00DA4C80">
              <w:rPr>
                <w:rFonts w:asciiTheme="minorHAnsi" w:hAnsiTheme="minorHAnsi"/>
                <w:color w:val="000000" w:themeColor="text1"/>
                <w:sz w:val="20"/>
                <w:szCs w:val="20"/>
                <w:lang w:val="en-GB" w:eastAsia="fr-CH"/>
              </w:rPr>
              <w:t>(</w:t>
            </w:r>
            <w:r w:rsidRPr="00DA4C80">
              <w:rPr>
                <w:rFonts w:asciiTheme="minorHAnsi" w:hAnsiTheme="minorHAnsi"/>
                <w:color w:val="000000" w:themeColor="text1"/>
                <w:sz w:val="20"/>
                <w:szCs w:val="20"/>
                <w:lang w:val="en-GB" w:eastAsia="fr-CH"/>
              </w:rPr>
              <w:t>s</w:t>
            </w:r>
            <w:r w:rsidR="00AE59F5" w:rsidRPr="00DA4C80">
              <w:rPr>
                <w:rFonts w:asciiTheme="minorHAnsi" w:hAnsiTheme="minorHAnsi"/>
                <w:color w:val="000000" w:themeColor="text1"/>
                <w:sz w:val="20"/>
                <w:szCs w:val="20"/>
                <w:lang w:val="en-GB" w:eastAsia="fr-CH"/>
              </w:rPr>
              <w:t>)</w:t>
            </w:r>
            <w:r w:rsidRPr="00DA4C80">
              <w:rPr>
                <w:rFonts w:asciiTheme="minorHAnsi" w:hAnsiTheme="minorHAnsi"/>
                <w:color w:val="000000" w:themeColor="text1"/>
                <w:sz w:val="20"/>
                <w:szCs w:val="20"/>
                <w:lang w:val="en-GB" w:eastAsia="fr-CH"/>
              </w:rPr>
              <w:t xml:space="preserve"> possible.</w:t>
            </w:r>
          </w:p>
        </w:tc>
        <w:tc>
          <w:tcPr>
            <w:tcW w:w="1250" w:type="pct"/>
          </w:tcPr>
          <w:p w14:paraId="4CEAFC27" w14:textId="77777777" w:rsidR="001C7A69" w:rsidRPr="00DA4C80" w:rsidRDefault="001C7A69" w:rsidP="000A384C">
            <w:pPr>
              <w:spacing w:before="20" w:after="20"/>
              <w:jc w:val="left"/>
              <w:rPr>
                <w:rFonts w:asciiTheme="minorHAnsi" w:hAnsiTheme="minorHAnsi"/>
                <w:color w:val="000000" w:themeColor="text1"/>
                <w:sz w:val="20"/>
                <w:szCs w:val="20"/>
                <w:lang w:val="en-GB" w:eastAsia="fr-CH"/>
              </w:rPr>
            </w:pPr>
            <w:r w:rsidRPr="00DA4C80">
              <w:rPr>
                <w:rFonts w:asciiTheme="minorHAnsi" w:hAnsiTheme="minorHAnsi"/>
                <w:color w:val="000000" w:themeColor="text1"/>
                <w:sz w:val="20"/>
                <w:szCs w:val="20"/>
                <w:lang w:val="en-GB" w:eastAsia="fr-CH"/>
              </w:rPr>
              <w:t>Extreme limitation in activity</w:t>
            </w:r>
            <w:r w:rsidRPr="00DA4C80">
              <w:rPr>
                <w:rFonts w:asciiTheme="minorHAnsi" w:hAnsiTheme="minorHAnsi"/>
                <w:color w:val="000000" w:themeColor="text1"/>
                <w:sz w:val="20"/>
                <w:szCs w:val="20"/>
                <w:vertAlign w:val="superscript"/>
                <w:lang w:val="en-GB" w:eastAsia="fr-CH"/>
              </w:rPr>
              <w:t>*</w:t>
            </w:r>
            <w:r w:rsidRPr="00DA4C80">
              <w:rPr>
                <w:rFonts w:asciiTheme="minorHAnsi" w:hAnsiTheme="minorHAnsi"/>
                <w:color w:val="000000" w:themeColor="text1"/>
                <w:sz w:val="20"/>
                <w:szCs w:val="20"/>
                <w:lang w:val="en-GB" w:eastAsia="fr-CH"/>
              </w:rPr>
              <w:t>, significant assistance required; significant medical intervention/therapy required, hospitalization or hospice care probable.</w:t>
            </w:r>
          </w:p>
        </w:tc>
      </w:tr>
      <w:tr w:rsidR="001C7A69" w:rsidRPr="00B85017" w14:paraId="136B2C03" w14:textId="77777777" w:rsidTr="000A384C">
        <w:tc>
          <w:tcPr>
            <w:tcW w:w="5000" w:type="pct"/>
            <w:gridSpan w:val="4"/>
            <w:tcBorders>
              <w:top w:val="single" w:sz="4" w:space="0" w:color="auto"/>
              <w:left w:val="nil"/>
              <w:bottom w:val="nil"/>
              <w:right w:val="nil"/>
            </w:tcBorders>
          </w:tcPr>
          <w:p w14:paraId="1D81B0DF" w14:textId="58C2EEE6" w:rsidR="001C7A69" w:rsidRPr="00FA71A8" w:rsidRDefault="001C7A69" w:rsidP="000A384C">
            <w:pPr>
              <w:spacing w:before="20" w:after="20"/>
              <w:rPr>
                <w:rFonts w:asciiTheme="minorHAnsi" w:hAnsiTheme="minorHAnsi"/>
                <w:color w:val="000000" w:themeColor="text1"/>
                <w:sz w:val="20"/>
                <w:szCs w:val="20"/>
                <w:lang w:val="en-GB" w:eastAsia="fr-CH"/>
              </w:rPr>
            </w:pPr>
            <w:r w:rsidRPr="00FA71A8">
              <w:rPr>
                <w:rFonts w:asciiTheme="minorHAnsi" w:hAnsiTheme="minorHAnsi"/>
                <w:color w:val="000000" w:themeColor="text1"/>
                <w:sz w:val="16"/>
                <w:szCs w:val="16"/>
                <w:lang w:val="en-GB" w:eastAsia="fr-CH"/>
              </w:rPr>
              <w:t>*The term ‘activity’ covers basic self-care functions such as bathing, dressing, toileting, transfer/movement, continence</w:t>
            </w:r>
            <w:r w:rsidR="00BD44A7" w:rsidRPr="00FA71A8">
              <w:rPr>
                <w:rFonts w:asciiTheme="minorHAnsi" w:hAnsiTheme="minorHAnsi"/>
                <w:color w:val="000000" w:themeColor="text1"/>
                <w:sz w:val="16"/>
                <w:szCs w:val="16"/>
                <w:lang w:val="en-GB" w:eastAsia="fr-CH"/>
              </w:rPr>
              <w:t xml:space="preserve">, </w:t>
            </w:r>
            <w:r w:rsidRPr="00FA71A8">
              <w:rPr>
                <w:rFonts w:asciiTheme="minorHAnsi" w:hAnsiTheme="minorHAnsi"/>
                <w:color w:val="000000" w:themeColor="text1"/>
                <w:sz w:val="16"/>
                <w:szCs w:val="16"/>
                <w:lang w:val="en-GB" w:eastAsia="fr-CH"/>
              </w:rPr>
              <w:t>and feeding; but also usual social and functional activities or adaptive tasks and desirable activities, such as going to work, shopping, cooking, use of transportation, pursuing a hobby, etc.</w:t>
            </w:r>
          </w:p>
        </w:tc>
      </w:tr>
    </w:tbl>
    <w:p w14:paraId="11843021" w14:textId="3CF28427" w:rsidR="001C7A69" w:rsidRDefault="008F6724" w:rsidP="001C7A69">
      <w:pPr>
        <w:rPr>
          <w:rFonts w:asciiTheme="minorHAnsi" w:hAnsiTheme="minorHAnsi" w:cstheme="minorHAnsi"/>
          <w:color w:val="000000" w:themeColor="text1"/>
          <w:lang w:val="en-GB" w:eastAsia="fr-CH"/>
        </w:rPr>
      </w:pPr>
      <w:r>
        <w:rPr>
          <w:rFonts w:asciiTheme="minorHAnsi" w:hAnsiTheme="minorHAnsi" w:cstheme="minorHAnsi"/>
          <w:color w:val="000000" w:themeColor="text1"/>
          <w:lang w:val="en-GB" w:eastAsia="fr-CH"/>
        </w:rPr>
        <w:t>Reported</w:t>
      </w:r>
      <w:r w:rsidR="001C7A69" w:rsidRPr="009D1960">
        <w:rPr>
          <w:rFonts w:asciiTheme="minorHAnsi" w:hAnsiTheme="minorHAnsi" w:cstheme="minorHAnsi"/>
          <w:color w:val="000000" w:themeColor="text1"/>
          <w:lang w:val="en-GB" w:eastAsia="fr-CH"/>
        </w:rPr>
        <w:t xml:space="preserve"> </w:t>
      </w:r>
      <w:r w:rsidR="00EE2E28">
        <w:rPr>
          <w:rFonts w:asciiTheme="minorHAnsi" w:hAnsiTheme="minorHAnsi" w:cstheme="minorHAnsi"/>
          <w:color w:val="000000" w:themeColor="text1"/>
          <w:lang w:val="en-GB" w:eastAsia="fr-CH"/>
        </w:rPr>
        <w:t>S</w:t>
      </w:r>
      <w:r w:rsidR="001C7A69" w:rsidRPr="009D1960">
        <w:rPr>
          <w:rFonts w:asciiTheme="minorHAnsi" w:hAnsiTheme="minorHAnsi" w:cstheme="minorHAnsi"/>
          <w:color w:val="000000" w:themeColor="text1"/>
          <w:lang w:val="en-GB" w:eastAsia="fr-CH"/>
        </w:rPr>
        <w:t>AEs should additionally be evaluated to determine their</w:t>
      </w:r>
      <w:r w:rsidR="001C7A69" w:rsidRPr="009D1960">
        <w:rPr>
          <w:rFonts w:asciiTheme="minorHAnsi" w:hAnsiTheme="minorHAnsi" w:cstheme="minorHAnsi"/>
          <w:b/>
          <w:bCs/>
          <w:color w:val="000000" w:themeColor="text1"/>
          <w:lang w:val="en-GB" w:eastAsia="fr-CH"/>
        </w:rPr>
        <w:t xml:space="preserve"> causal relationship with MDR</w:t>
      </w:r>
      <w:r w:rsidR="00AE59F5">
        <w:rPr>
          <w:rFonts w:asciiTheme="minorHAnsi" w:hAnsiTheme="minorHAnsi" w:cstheme="minorHAnsi"/>
          <w:b/>
          <w:bCs/>
          <w:color w:val="000000" w:themeColor="text1"/>
          <w:lang w:val="en-GB" w:eastAsia="fr-CH"/>
        </w:rPr>
        <w:t>-</w:t>
      </w:r>
      <w:r w:rsidR="001C7A69" w:rsidRPr="009D1960">
        <w:rPr>
          <w:rFonts w:asciiTheme="minorHAnsi" w:hAnsiTheme="minorHAnsi" w:cstheme="minorHAnsi"/>
          <w:b/>
          <w:bCs/>
          <w:color w:val="000000" w:themeColor="text1"/>
          <w:lang w:val="en-GB" w:eastAsia="fr-CH"/>
        </w:rPr>
        <w:t>TB treatment</w:t>
      </w:r>
      <w:r w:rsidR="001C7A69" w:rsidRPr="009D1960">
        <w:rPr>
          <w:rFonts w:asciiTheme="minorHAnsi" w:hAnsiTheme="minorHAnsi" w:cstheme="minorHAnsi"/>
          <w:color w:val="000000" w:themeColor="text1"/>
          <w:lang w:val="en-GB" w:eastAsia="fr-CH"/>
        </w:rPr>
        <w:t xml:space="preserve"> (including MDR</w:t>
      </w:r>
      <w:r w:rsidR="00AE59F5">
        <w:rPr>
          <w:rFonts w:asciiTheme="minorHAnsi" w:hAnsiTheme="minorHAnsi" w:cstheme="minorHAnsi"/>
          <w:color w:val="000000" w:themeColor="text1"/>
          <w:lang w:val="en-GB" w:eastAsia="fr-CH"/>
        </w:rPr>
        <w:t>-</w:t>
      </w:r>
      <w:r w:rsidR="001C7A69" w:rsidRPr="009D1960">
        <w:rPr>
          <w:rFonts w:asciiTheme="minorHAnsi" w:hAnsiTheme="minorHAnsi" w:cstheme="minorHAnsi"/>
          <w:color w:val="000000" w:themeColor="text1"/>
          <w:lang w:val="en-GB" w:eastAsia="fr-CH"/>
        </w:rPr>
        <w:t xml:space="preserve">TB drugs and other drugs as appropriate), using the standard terms as displayed in the table below. This evaluation should take into account all other possible causal factors </w:t>
      </w:r>
      <w:r w:rsidR="00370E49">
        <w:rPr>
          <w:rFonts w:asciiTheme="minorHAnsi" w:hAnsiTheme="minorHAnsi" w:cstheme="minorHAnsi"/>
          <w:color w:val="000000" w:themeColor="text1"/>
          <w:lang w:val="en-GB" w:eastAsia="fr-CH"/>
        </w:rPr>
        <w:t xml:space="preserve">such as </w:t>
      </w:r>
      <w:r w:rsidR="001C7A69" w:rsidRPr="009D1960">
        <w:rPr>
          <w:rFonts w:asciiTheme="minorHAnsi" w:hAnsiTheme="minorHAnsi" w:cstheme="minorHAnsi"/>
          <w:color w:val="000000" w:themeColor="text1"/>
          <w:lang w:val="en-GB" w:eastAsia="fr-CH"/>
        </w:rPr>
        <w:t>medical history, risk factors, past drug use, concomitant procedures, TB progressio</w:t>
      </w:r>
      <w:r w:rsidR="00370E49">
        <w:rPr>
          <w:rFonts w:asciiTheme="minorHAnsi" w:hAnsiTheme="minorHAnsi" w:cstheme="minorHAnsi"/>
          <w:color w:val="000000" w:themeColor="text1"/>
          <w:lang w:val="en-GB" w:eastAsia="fr-CH"/>
        </w:rPr>
        <w:t>n, etc.</w:t>
      </w:r>
    </w:p>
    <w:p w14:paraId="7A7FDBE4" w14:textId="77777777" w:rsidR="00D6496E" w:rsidRPr="009D1960" w:rsidRDefault="00D6496E" w:rsidP="001C7A69">
      <w:pPr>
        <w:rPr>
          <w:rFonts w:asciiTheme="minorHAnsi" w:hAnsiTheme="minorHAnsi" w:cstheme="minorHAnsi"/>
          <w:color w:val="000000" w:themeColor="text1"/>
          <w:lang w:val="en-GB" w:eastAsia="fr-CH"/>
        </w:rPr>
      </w:pPr>
    </w:p>
    <w:p w14:paraId="17372EF1" w14:textId="7CCD670A" w:rsidR="001C7A69" w:rsidRPr="009071D3" w:rsidRDefault="001C7A69" w:rsidP="002C4FED">
      <w:pPr>
        <w:pStyle w:val="Heading3"/>
        <w:rPr>
          <w:rStyle w:val="IntenseEmphasis"/>
          <w:rFonts w:asciiTheme="minorHAnsi" w:hAnsiTheme="minorHAnsi"/>
          <w:b/>
          <w:bCs/>
          <w:i/>
          <w:color w:val="000000" w:themeColor="text1"/>
        </w:rPr>
      </w:pPr>
      <w:bookmarkStart w:id="204" w:name="_Toc12885977"/>
      <w:bookmarkStart w:id="205" w:name="_Toc12886224"/>
      <w:bookmarkStart w:id="206" w:name="_Toc13486771"/>
      <w:r w:rsidRPr="009071D3">
        <w:rPr>
          <w:rStyle w:val="IntenseEmphasis"/>
          <w:rFonts w:asciiTheme="minorHAnsi" w:hAnsiTheme="minorHAnsi"/>
          <w:b/>
          <w:bCs/>
          <w:i/>
          <w:color w:val="000000" w:themeColor="text1"/>
        </w:rPr>
        <w:t>T</w:t>
      </w:r>
      <w:bookmarkStart w:id="207" w:name="tab2"/>
      <w:bookmarkEnd w:id="207"/>
      <w:r w:rsidRPr="009071D3">
        <w:rPr>
          <w:rStyle w:val="IntenseEmphasis"/>
          <w:rFonts w:asciiTheme="minorHAnsi" w:hAnsiTheme="minorHAnsi"/>
          <w:b/>
          <w:bCs/>
          <w:i/>
          <w:color w:val="000000" w:themeColor="text1"/>
        </w:rPr>
        <w:t xml:space="preserve">able </w:t>
      </w:r>
      <w:r w:rsidR="002C4FED" w:rsidRPr="009071D3">
        <w:rPr>
          <w:rStyle w:val="IntenseEmphasis"/>
          <w:rFonts w:asciiTheme="minorHAnsi" w:hAnsiTheme="minorHAnsi"/>
          <w:b/>
          <w:bCs/>
          <w:i/>
          <w:color w:val="000000" w:themeColor="text1"/>
        </w:rPr>
        <w:t>1</w:t>
      </w:r>
      <w:r w:rsidR="003F19E7" w:rsidRPr="009071D3">
        <w:rPr>
          <w:rStyle w:val="IntenseEmphasis"/>
          <w:rFonts w:asciiTheme="minorHAnsi" w:hAnsiTheme="minorHAnsi"/>
          <w:b/>
          <w:bCs/>
          <w:i/>
          <w:color w:val="000000" w:themeColor="text1"/>
        </w:rPr>
        <w:t>3</w:t>
      </w:r>
      <w:r w:rsidRPr="009071D3">
        <w:rPr>
          <w:rStyle w:val="IntenseEmphasis"/>
          <w:rFonts w:asciiTheme="minorHAnsi" w:hAnsiTheme="minorHAnsi"/>
          <w:b/>
          <w:bCs/>
          <w:i/>
          <w:color w:val="000000" w:themeColor="text1"/>
        </w:rPr>
        <w:t xml:space="preserve"> Causality categories definition</w:t>
      </w:r>
      <w:bookmarkEnd w:id="204"/>
      <w:bookmarkEnd w:id="205"/>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4"/>
        <w:gridCol w:w="7533"/>
      </w:tblGrid>
      <w:tr w:rsidR="001C7A69" w:rsidRPr="00B85017" w14:paraId="797523DD" w14:textId="77777777" w:rsidTr="00093E2C">
        <w:trPr>
          <w:trHeight w:val="64"/>
          <w:tblHeader/>
        </w:trPr>
        <w:tc>
          <w:tcPr>
            <w:tcW w:w="823" w:type="pct"/>
            <w:shd w:val="clear" w:color="auto" w:fill="235868"/>
            <w:vAlign w:val="center"/>
          </w:tcPr>
          <w:p w14:paraId="3B109BEF" w14:textId="37F95A67" w:rsidR="001C7A69" w:rsidRPr="00906659" w:rsidRDefault="001C7A69" w:rsidP="00E20A53">
            <w:pPr>
              <w:spacing w:before="80" w:after="80"/>
              <w:jc w:val="center"/>
              <w:rPr>
                <w:rFonts w:asciiTheme="minorHAnsi" w:hAnsiTheme="minorHAnsi"/>
                <w:b/>
                <w:bCs/>
                <w:color w:val="FFFFFF" w:themeColor="background1"/>
                <w:sz w:val="20"/>
                <w:szCs w:val="20"/>
                <w:lang w:val="en-GB" w:eastAsia="en-GB"/>
              </w:rPr>
            </w:pPr>
            <w:r w:rsidRPr="00906659">
              <w:rPr>
                <w:rFonts w:asciiTheme="minorHAnsi" w:hAnsiTheme="minorHAnsi"/>
                <w:b/>
                <w:bCs/>
                <w:color w:val="FFFFFF" w:themeColor="background1"/>
                <w:sz w:val="20"/>
                <w:szCs w:val="20"/>
                <w:lang w:val="en-GB" w:eastAsia="en-GB"/>
              </w:rPr>
              <w:t xml:space="preserve">Causality </w:t>
            </w:r>
            <w:r w:rsidR="00906659">
              <w:rPr>
                <w:rFonts w:asciiTheme="minorHAnsi" w:hAnsiTheme="minorHAnsi"/>
                <w:b/>
                <w:bCs/>
                <w:color w:val="FFFFFF" w:themeColor="background1"/>
                <w:sz w:val="20"/>
                <w:szCs w:val="20"/>
                <w:lang w:val="en-GB" w:eastAsia="en-GB"/>
              </w:rPr>
              <w:t>C</w:t>
            </w:r>
            <w:r w:rsidRPr="00906659">
              <w:rPr>
                <w:rFonts w:asciiTheme="minorHAnsi" w:hAnsiTheme="minorHAnsi"/>
                <w:b/>
                <w:bCs/>
                <w:color w:val="FFFFFF" w:themeColor="background1"/>
                <w:sz w:val="20"/>
                <w:szCs w:val="20"/>
                <w:lang w:val="en-GB" w:eastAsia="en-GB"/>
              </w:rPr>
              <w:t>ategory</w:t>
            </w:r>
          </w:p>
        </w:tc>
        <w:tc>
          <w:tcPr>
            <w:tcW w:w="4177" w:type="pct"/>
            <w:shd w:val="clear" w:color="auto" w:fill="235868"/>
            <w:vAlign w:val="center"/>
          </w:tcPr>
          <w:p w14:paraId="073AE523" w14:textId="77777777" w:rsidR="001C7A69" w:rsidRPr="00906659" w:rsidRDefault="001C7A69" w:rsidP="00E20A53">
            <w:pPr>
              <w:spacing w:before="80" w:after="80"/>
              <w:jc w:val="center"/>
              <w:rPr>
                <w:rFonts w:asciiTheme="minorHAnsi" w:hAnsiTheme="minorHAnsi"/>
                <w:b/>
                <w:bCs/>
                <w:color w:val="FFFFFF" w:themeColor="background1"/>
                <w:sz w:val="20"/>
                <w:szCs w:val="20"/>
                <w:lang w:val="en-GB" w:eastAsia="en-GB"/>
              </w:rPr>
            </w:pPr>
            <w:r w:rsidRPr="00906659">
              <w:rPr>
                <w:rFonts w:asciiTheme="minorHAnsi" w:hAnsiTheme="minorHAnsi"/>
                <w:b/>
                <w:bCs/>
                <w:color w:val="FFFFFF" w:themeColor="background1"/>
                <w:sz w:val="20"/>
                <w:szCs w:val="20"/>
                <w:lang w:val="en-GB" w:eastAsia="en-GB"/>
              </w:rPr>
              <w:t>Description</w:t>
            </w:r>
          </w:p>
        </w:tc>
      </w:tr>
      <w:tr w:rsidR="001C7A69" w:rsidRPr="00B85017" w14:paraId="27C91294" w14:textId="77777777" w:rsidTr="000A384C">
        <w:trPr>
          <w:trHeight w:val="1480"/>
        </w:trPr>
        <w:tc>
          <w:tcPr>
            <w:tcW w:w="823" w:type="pct"/>
            <w:vMerge w:val="restart"/>
            <w:shd w:val="clear" w:color="auto" w:fill="FFFFFF" w:themeFill="background1"/>
            <w:vAlign w:val="center"/>
          </w:tcPr>
          <w:p w14:paraId="1DEDBF50" w14:textId="77777777" w:rsidR="001C7A69" w:rsidRPr="00906659" w:rsidRDefault="001C7A69" w:rsidP="000A384C">
            <w:pPr>
              <w:spacing w:before="80" w:after="80"/>
              <w:jc w:val="left"/>
              <w:rPr>
                <w:rFonts w:asciiTheme="minorHAnsi" w:hAnsiTheme="minorHAnsi"/>
                <w:b/>
                <w:bCs/>
                <w:color w:val="000000" w:themeColor="text1"/>
                <w:sz w:val="20"/>
                <w:szCs w:val="20"/>
                <w:lang w:val="en-GB" w:eastAsia="en-GB"/>
              </w:rPr>
            </w:pPr>
            <w:r w:rsidRPr="00906659">
              <w:rPr>
                <w:rFonts w:asciiTheme="minorHAnsi" w:hAnsiTheme="minorHAnsi"/>
                <w:b/>
                <w:bCs/>
                <w:color w:val="000000" w:themeColor="text1"/>
                <w:sz w:val="20"/>
                <w:szCs w:val="20"/>
                <w:lang w:val="en-GB" w:eastAsia="en-GB"/>
              </w:rPr>
              <w:t>Related</w:t>
            </w:r>
          </w:p>
        </w:tc>
        <w:tc>
          <w:tcPr>
            <w:tcW w:w="4177" w:type="pct"/>
            <w:tcBorders>
              <w:bottom w:val="nil"/>
            </w:tcBorders>
            <w:shd w:val="clear" w:color="auto" w:fill="FFFFFF" w:themeFill="background1"/>
            <w:vAlign w:val="center"/>
          </w:tcPr>
          <w:p w14:paraId="44D11470" w14:textId="6A569186" w:rsidR="001C7A69" w:rsidRPr="00906659" w:rsidRDefault="001C7A69" w:rsidP="000A384C">
            <w:pPr>
              <w:spacing w:before="80" w:after="80"/>
              <w:jc w:val="left"/>
              <w:rPr>
                <w:rFonts w:asciiTheme="minorHAnsi" w:hAnsiTheme="minorHAnsi"/>
                <w:color w:val="000000" w:themeColor="text1"/>
                <w:sz w:val="20"/>
                <w:szCs w:val="20"/>
                <w:lang w:val="en-GB" w:eastAsia="en-GB"/>
              </w:rPr>
            </w:pPr>
            <w:r w:rsidRPr="00906659">
              <w:rPr>
                <w:rFonts w:asciiTheme="minorHAnsi" w:hAnsiTheme="minorHAnsi"/>
                <w:color w:val="000000" w:themeColor="text1"/>
                <w:sz w:val="20"/>
                <w:szCs w:val="20"/>
                <w:lang w:val="en-GB" w:eastAsia="en-GB"/>
              </w:rPr>
              <w:t>There is a reasonable possibility that the AE may be related to the drug(s). Elements in favor of a reasonable causal relationship include:</w:t>
            </w:r>
          </w:p>
          <w:p w14:paraId="2409E541" w14:textId="49FAC0C4" w:rsidR="001C7A69" w:rsidRPr="00906659" w:rsidRDefault="001C7A69" w:rsidP="000A384C">
            <w:pPr>
              <w:numPr>
                <w:ilvl w:val="0"/>
                <w:numId w:val="2"/>
              </w:numPr>
              <w:spacing w:before="80" w:after="80"/>
              <w:ind w:left="714" w:hanging="357"/>
              <w:jc w:val="left"/>
              <w:rPr>
                <w:rFonts w:asciiTheme="minorHAnsi" w:hAnsiTheme="minorHAnsi"/>
                <w:color w:val="000000" w:themeColor="text1"/>
                <w:sz w:val="20"/>
                <w:szCs w:val="20"/>
                <w:lang w:val="en-GB" w:eastAsia="en-GB"/>
              </w:rPr>
            </w:pPr>
            <w:r w:rsidRPr="00906659">
              <w:rPr>
                <w:rFonts w:asciiTheme="minorHAnsi" w:hAnsiTheme="minorHAnsi"/>
                <w:color w:val="000000" w:themeColor="text1"/>
                <w:sz w:val="20"/>
                <w:szCs w:val="20"/>
                <w:lang w:val="en-GB" w:eastAsia="en-GB"/>
              </w:rPr>
              <w:t>A fav</w:t>
            </w:r>
            <w:r w:rsidR="00251A84">
              <w:rPr>
                <w:rFonts w:asciiTheme="minorHAnsi" w:hAnsiTheme="minorHAnsi"/>
                <w:color w:val="000000" w:themeColor="text1"/>
                <w:sz w:val="20"/>
                <w:szCs w:val="20"/>
                <w:lang w:val="en-GB" w:eastAsia="en-GB"/>
              </w:rPr>
              <w:t>o</w:t>
            </w:r>
            <w:r w:rsidRPr="00906659">
              <w:rPr>
                <w:rFonts w:asciiTheme="minorHAnsi" w:hAnsiTheme="minorHAnsi"/>
                <w:color w:val="000000" w:themeColor="text1"/>
                <w:sz w:val="20"/>
                <w:szCs w:val="20"/>
                <w:lang w:val="en-GB" w:eastAsia="en-GB"/>
              </w:rPr>
              <w:t>rable temporal relationship,</w:t>
            </w:r>
          </w:p>
          <w:p w14:paraId="2AACBCEA" w14:textId="28621276" w:rsidR="001C7A69" w:rsidRPr="00906659" w:rsidRDefault="001C7A69" w:rsidP="000A384C">
            <w:pPr>
              <w:numPr>
                <w:ilvl w:val="0"/>
                <w:numId w:val="2"/>
              </w:numPr>
              <w:spacing w:before="80" w:after="80"/>
              <w:ind w:left="714" w:hanging="357"/>
              <w:jc w:val="left"/>
              <w:rPr>
                <w:rFonts w:asciiTheme="minorHAnsi" w:hAnsiTheme="minorHAnsi"/>
                <w:color w:val="000000" w:themeColor="text1"/>
                <w:sz w:val="20"/>
                <w:szCs w:val="20"/>
                <w:lang w:val="en-GB" w:eastAsia="en-GB"/>
              </w:rPr>
            </w:pPr>
            <w:r w:rsidRPr="00906659">
              <w:rPr>
                <w:rFonts w:asciiTheme="minorHAnsi" w:hAnsiTheme="minorHAnsi"/>
                <w:color w:val="000000" w:themeColor="text1"/>
                <w:sz w:val="20"/>
                <w:szCs w:val="20"/>
                <w:lang w:val="en-GB" w:eastAsia="en-GB"/>
              </w:rPr>
              <w:t>A positive de</w:t>
            </w:r>
            <w:r w:rsidR="00AF3AC5" w:rsidRPr="00906659">
              <w:rPr>
                <w:rFonts w:asciiTheme="minorHAnsi" w:hAnsiTheme="minorHAnsi"/>
                <w:color w:val="000000" w:themeColor="text1"/>
                <w:sz w:val="20"/>
                <w:szCs w:val="20"/>
                <w:lang w:val="en-GB" w:eastAsia="en-GB"/>
              </w:rPr>
              <w:t>-</w:t>
            </w:r>
            <w:r w:rsidRPr="00906659">
              <w:rPr>
                <w:rFonts w:asciiTheme="minorHAnsi" w:hAnsiTheme="minorHAnsi"/>
                <w:color w:val="000000" w:themeColor="text1"/>
                <w:sz w:val="20"/>
                <w:szCs w:val="20"/>
                <w:lang w:val="en-GB" w:eastAsia="en-GB"/>
              </w:rPr>
              <w:t>challenge and/or re</w:t>
            </w:r>
            <w:r w:rsidR="00AF3AC5" w:rsidRPr="00906659">
              <w:rPr>
                <w:rFonts w:asciiTheme="minorHAnsi" w:hAnsiTheme="minorHAnsi"/>
                <w:color w:val="000000" w:themeColor="text1"/>
                <w:sz w:val="20"/>
                <w:szCs w:val="20"/>
                <w:lang w:val="en-GB" w:eastAsia="en-GB"/>
              </w:rPr>
              <w:t>-</w:t>
            </w:r>
            <w:r w:rsidRPr="00906659">
              <w:rPr>
                <w:rFonts w:asciiTheme="minorHAnsi" w:hAnsiTheme="minorHAnsi"/>
                <w:color w:val="000000" w:themeColor="text1"/>
                <w:sz w:val="20"/>
                <w:szCs w:val="20"/>
                <w:lang w:val="en-GB" w:eastAsia="en-GB"/>
              </w:rPr>
              <w:t>challenge,</w:t>
            </w:r>
          </w:p>
          <w:p w14:paraId="3FD82FBB" w14:textId="77777777" w:rsidR="001C7A69" w:rsidRPr="00906659" w:rsidRDefault="001C7A69" w:rsidP="000A384C">
            <w:pPr>
              <w:numPr>
                <w:ilvl w:val="0"/>
                <w:numId w:val="2"/>
              </w:numPr>
              <w:spacing w:before="80" w:after="80"/>
              <w:ind w:left="714" w:hanging="357"/>
              <w:jc w:val="left"/>
              <w:rPr>
                <w:rFonts w:asciiTheme="minorHAnsi" w:hAnsiTheme="minorHAnsi"/>
                <w:color w:val="000000" w:themeColor="text1"/>
                <w:sz w:val="20"/>
                <w:szCs w:val="20"/>
                <w:lang w:val="en-GB" w:eastAsia="en-GB"/>
              </w:rPr>
            </w:pPr>
            <w:r w:rsidRPr="00906659">
              <w:rPr>
                <w:rFonts w:asciiTheme="minorHAnsi" w:hAnsiTheme="minorHAnsi"/>
                <w:color w:val="000000" w:themeColor="text1"/>
                <w:sz w:val="20"/>
                <w:szCs w:val="20"/>
                <w:lang w:val="en-GB" w:eastAsia="en-GB"/>
              </w:rPr>
              <w:t>A plausible pharmacological/biological mechanism of action (whether proven or potential),</w:t>
            </w:r>
          </w:p>
          <w:p w14:paraId="63ABE0CA" w14:textId="77777777" w:rsidR="001C7A69" w:rsidRPr="00906659" w:rsidRDefault="001C7A69" w:rsidP="000A384C">
            <w:pPr>
              <w:numPr>
                <w:ilvl w:val="0"/>
                <w:numId w:val="2"/>
              </w:numPr>
              <w:spacing w:before="80" w:after="80"/>
              <w:ind w:left="714" w:hanging="357"/>
              <w:jc w:val="left"/>
              <w:rPr>
                <w:rFonts w:asciiTheme="minorHAnsi" w:hAnsiTheme="minorHAnsi"/>
                <w:color w:val="000000" w:themeColor="text1"/>
                <w:sz w:val="20"/>
                <w:szCs w:val="20"/>
                <w:lang w:val="en-GB" w:eastAsia="en-GB"/>
              </w:rPr>
            </w:pPr>
            <w:r w:rsidRPr="00906659">
              <w:rPr>
                <w:rFonts w:asciiTheme="minorHAnsi" w:hAnsiTheme="minorHAnsi"/>
                <w:color w:val="000000" w:themeColor="text1"/>
                <w:sz w:val="20"/>
                <w:szCs w:val="20"/>
                <w:lang w:val="en-GB" w:eastAsia="en-GB"/>
              </w:rPr>
              <w:t>Previous knowledge of similar reaction with the drug(s), or</w:t>
            </w:r>
          </w:p>
          <w:p w14:paraId="53DB86A4" w14:textId="77777777" w:rsidR="001C7A69" w:rsidRPr="00906659" w:rsidRDefault="001C7A69" w:rsidP="000A384C">
            <w:pPr>
              <w:numPr>
                <w:ilvl w:val="0"/>
                <w:numId w:val="2"/>
              </w:numPr>
              <w:spacing w:before="80" w:after="80"/>
              <w:ind w:left="714" w:hanging="357"/>
              <w:jc w:val="left"/>
              <w:rPr>
                <w:rFonts w:asciiTheme="minorHAnsi" w:hAnsiTheme="minorHAnsi"/>
                <w:color w:val="000000" w:themeColor="text1"/>
                <w:sz w:val="20"/>
                <w:szCs w:val="20"/>
                <w:lang w:val="en-GB" w:eastAsia="en-GB"/>
              </w:rPr>
            </w:pPr>
            <w:r w:rsidRPr="00906659">
              <w:rPr>
                <w:rFonts w:asciiTheme="minorHAnsi" w:hAnsiTheme="minorHAnsi"/>
                <w:color w:val="000000" w:themeColor="text1"/>
                <w:sz w:val="20"/>
                <w:szCs w:val="20"/>
                <w:lang w:val="en-GB" w:eastAsia="en-GB"/>
              </w:rPr>
              <w:t>No other evident cause (e.g. previous disease, other drugs).</w:t>
            </w:r>
          </w:p>
        </w:tc>
      </w:tr>
      <w:tr w:rsidR="001C7A69" w:rsidRPr="00B85017" w14:paraId="528A64C3" w14:textId="77777777" w:rsidTr="000A384C">
        <w:trPr>
          <w:trHeight w:val="187"/>
        </w:trPr>
        <w:tc>
          <w:tcPr>
            <w:tcW w:w="823" w:type="pct"/>
            <w:vMerge/>
            <w:shd w:val="clear" w:color="auto" w:fill="FFFFFF" w:themeFill="background1"/>
            <w:vAlign w:val="center"/>
          </w:tcPr>
          <w:p w14:paraId="67DA78CD" w14:textId="77777777" w:rsidR="001C7A69" w:rsidRPr="00906659" w:rsidRDefault="001C7A69" w:rsidP="000A384C">
            <w:pPr>
              <w:spacing w:before="80" w:after="80"/>
              <w:jc w:val="left"/>
              <w:rPr>
                <w:rFonts w:asciiTheme="minorHAnsi" w:hAnsiTheme="minorHAnsi"/>
                <w:color w:val="000000" w:themeColor="text1"/>
                <w:sz w:val="20"/>
                <w:szCs w:val="18"/>
                <w:lang w:val="en-GB" w:eastAsia="en-GB"/>
              </w:rPr>
            </w:pPr>
          </w:p>
        </w:tc>
        <w:tc>
          <w:tcPr>
            <w:tcW w:w="4177" w:type="pct"/>
            <w:tcBorders>
              <w:top w:val="nil"/>
            </w:tcBorders>
            <w:shd w:val="clear" w:color="auto" w:fill="FFFFFF" w:themeFill="background1"/>
            <w:vAlign w:val="center"/>
          </w:tcPr>
          <w:p w14:paraId="435943CA" w14:textId="77777777" w:rsidR="001C7A69" w:rsidRPr="00906659" w:rsidRDefault="001C7A69" w:rsidP="000A384C">
            <w:pPr>
              <w:spacing w:before="80" w:after="80"/>
              <w:jc w:val="left"/>
              <w:rPr>
                <w:rFonts w:asciiTheme="minorHAnsi" w:hAnsiTheme="minorHAnsi"/>
                <w:color w:val="000000" w:themeColor="text1"/>
                <w:sz w:val="20"/>
                <w:szCs w:val="20"/>
                <w:lang w:val="en-GB" w:eastAsia="en-GB"/>
              </w:rPr>
            </w:pPr>
            <w:r w:rsidRPr="00906659">
              <w:rPr>
                <w:rFonts w:asciiTheme="minorHAnsi" w:hAnsiTheme="minorHAnsi"/>
                <w:color w:val="000000" w:themeColor="text1"/>
                <w:sz w:val="20"/>
                <w:szCs w:val="20"/>
                <w:lang w:val="en-GB" w:eastAsia="en-GB"/>
              </w:rPr>
              <w:t>There is insufficient information to evaluate the causal relationship between the AE and the exposure. Conservatively, the AE should be considered related to the drug(s) until a proper assessment is feasible (i.e. upon follow-up).</w:t>
            </w:r>
          </w:p>
        </w:tc>
      </w:tr>
      <w:tr w:rsidR="001C7A69" w:rsidRPr="00B85017" w14:paraId="3BC41378" w14:textId="77777777" w:rsidTr="000A384C">
        <w:tc>
          <w:tcPr>
            <w:tcW w:w="823" w:type="pct"/>
            <w:shd w:val="clear" w:color="auto" w:fill="FFFFFF" w:themeFill="background1"/>
            <w:vAlign w:val="center"/>
          </w:tcPr>
          <w:p w14:paraId="22487884" w14:textId="77777777" w:rsidR="001C7A69" w:rsidRPr="00906659" w:rsidRDefault="001C7A69" w:rsidP="000A384C">
            <w:pPr>
              <w:spacing w:before="80" w:after="80"/>
              <w:jc w:val="left"/>
              <w:rPr>
                <w:rFonts w:asciiTheme="minorHAnsi" w:hAnsiTheme="minorHAnsi"/>
                <w:color w:val="000000" w:themeColor="text1"/>
                <w:sz w:val="20"/>
                <w:szCs w:val="20"/>
                <w:lang w:val="en-GB" w:eastAsia="en-GB"/>
              </w:rPr>
            </w:pPr>
            <w:r w:rsidRPr="00906659">
              <w:rPr>
                <w:rFonts w:asciiTheme="minorHAnsi" w:hAnsiTheme="minorHAnsi"/>
                <w:b/>
                <w:bCs/>
                <w:color w:val="000000" w:themeColor="text1"/>
                <w:sz w:val="20"/>
                <w:szCs w:val="20"/>
                <w:lang w:val="en-GB" w:eastAsia="en-GB"/>
              </w:rPr>
              <w:t>Not related</w:t>
            </w:r>
          </w:p>
        </w:tc>
        <w:tc>
          <w:tcPr>
            <w:tcW w:w="4177" w:type="pct"/>
            <w:shd w:val="clear" w:color="auto" w:fill="FFFFFF" w:themeFill="background1"/>
            <w:vAlign w:val="center"/>
          </w:tcPr>
          <w:p w14:paraId="5144141A" w14:textId="77777777" w:rsidR="001C7A69" w:rsidRPr="00906659" w:rsidRDefault="001C7A69" w:rsidP="000A384C">
            <w:pPr>
              <w:spacing w:before="80" w:after="80"/>
              <w:jc w:val="left"/>
              <w:rPr>
                <w:rFonts w:asciiTheme="minorHAnsi" w:hAnsiTheme="minorHAnsi"/>
                <w:color w:val="000000" w:themeColor="text1"/>
                <w:sz w:val="20"/>
                <w:szCs w:val="20"/>
                <w:lang w:val="en-GB" w:eastAsia="en-GB"/>
              </w:rPr>
            </w:pPr>
            <w:r w:rsidRPr="00906659">
              <w:rPr>
                <w:rFonts w:asciiTheme="minorHAnsi" w:hAnsiTheme="minorHAnsi"/>
                <w:color w:val="000000" w:themeColor="text1"/>
                <w:sz w:val="20"/>
                <w:szCs w:val="20"/>
                <w:lang w:val="en-GB" w:eastAsia="en-GB"/>
              </w:rPr>
              <w:t>There is no reasonable possibility that the AE is related to the drug(s). This implies that there is a plausible alternative cause for the AE that better explains the occurrence of the AE or that highly confounds the causal relationship between the drug(s) and the AE.</w:t>
            </w:r>
          </w:p>
        </w:tc>
      </w:tr>
    </w:tbl>
    <w:p w14:paraId="6C2BBD41" w14:textId="59684641" w:rsidR="001C7A69" w:rsidRDefault="001C7A69" w:rsidP="001C7A69">
      <w:pPr>
        <w:rPr>
          <w:color w:val="000000" w:themeColor="text1"/>
        </w:rPr>
      </w:pPr>
    </w:p>
    <w:p w14:paraId="105C1FD5" w14:textId="393DD74A" w:rsidR="00A33027" w:rsidRDefault="00A33027" w:rsidP="001C7A69">
      <w:pPr>
        <w:rPr>
          <w:color w:val="000000" w:themeColor="text1"/>
        </w:rPr>
      </w:pPr>
    </w:p>
    <w:p w14:paraId="14791278" w14:textId="77777777" w:rsidR="00A33027" w:rsidRDefault="00A33027" w:rsidP="001C7A69">
      <w:pPr>
        <w:rPr>
          <w:color w:val="000000" w:themeColor="text1"/>
        </w:rPr>
      </w:pPr>
    </w:p>
    <w:p w14:paraId="1AF37AA0" w14:textId="77777777" w:rsidR="00457B11" w:rsidRPr="00B85017" w:rsidRDefault="00457B11" w:rsidP="001C7A69">
      <w:pPr>
        <w:rPr>
          <w:color w:val="000000" w:themeColor="text1"/>
        </w:rPr>
      </w:pPr>
    </w:p>
    <w:p w14:paraId="65085E92" w14:textId="77777777" w:rsidR="001C7A69" w:rsidRPr="00003170" w:rsidRDefault="001C7A69" w:rsidP="00003170">
      <w:pPr>
        <w:pStyle w:val="Heading2"/>
      </w:pPr>
      <w:bookmarkStart w:id="208" w:name="_Ref426034645"/>
      <w:bookmarkStart w:id="209" w:name="_Toc12792971"/>
      <w:bookmarkStart w:id="210" w:name="_Toc12952382"/>
      <w:bookmarkStart w:id="211" w:name="_Toc13486731"/>
      <w:r w:rsidRPr="00003170">
        <w:t>Clinical management of adverse events of interest</w:t>
      </w:r>
      <w:bookmarkEnd w:id="208"/>
      <w:bookmarkEnd w:id="209"/>
      <w:bookmarkEnd w:id="210"/>
      <w:bookmarkEnd w:id="211"/>
    </w:p>
    <w:p w14:paraId="0D20FFE7" w14:textId="77777777" w:rsidR="001C7A69" w:rsidRPr="00603302" w:rsidRDefault="001C7A69" w:rsidP="00603302">
      <w:pPr>
        <w:rPr>
          <w:rFonts w:asciiTheme="minorHAnsi" w:hAnsiTheme="minorHAnsi"/>
          <w:b/>
          <w:bCs/>
          <w:i/>
          <w:iCs/>
        </w:rPr>
      </w:pPr>
      <w:bookmarkStart w:id="212" w:name="h.1mrcu09" w:colFirst="0" w:colLast="0"/>
      <w:bookmarkStart w:id="213" w:name="_Toc12792972"/>
      <w:bookmarkStart w:id="214" w:name="_Toc12887209"/>
      <w:bookmarkStart w:id="215" w:name="_Toc12962682"/>
      <w:bookmarkStart w:id="216" w:name="_Toc12966910"/>
      <w:bookmarkEnd w:id="212"/>
      <w:r w:rsidRPr="00603302">
        <w:rPr>
          <w:rFonts w:asciiTheme="minorHAnsi" w:hAnsiTheme="minorHAnsi"/>
          <w:b/>
          <w:bCs/>
          <w:i/>
          <w:iCs/>
        </w:rPr>
        <w:t>Peripheral neuropathy</w:t>
      </w:r>
      <w:bookmarkEnd w:id="213"/>
      <w:bookmarkEnd w:id="214"/>
      <w:bookmarkEnd w:id="215"/>
      <w:bookmarkEnd w:id="216"/>
    </w:p>
    <w:p w14:paraId="4605F3DF" w14:textId="1623AAF9" w:rsidR="001C7A69" w:rsidRPr="009D1960" w:rsidRDefault="001C7A69" w:rsidP="001C7A69">
      <w:pPr>
        <w:jc w:val="left"/>
        <w:rPr>
          <w:rFonts w:asciiTheme="minorHAnsi" w:hAnsiTheme="minorHAnsi" w:cstheme="minorHAnsi"/>
          <w:b/>
          <w:bCs/>
          <w:color w:val="000000" w:themeColor="text1"/>
        </w:rPr>
      </w:pPr>
      <w:r w:rsidRPr="009D1960">
        <w:rPr>
          <w:rFonts w:asciiTheme="minorHAnsi" w:hAnsiTheme="minorHAnsi" w:cstheme="minorHAnsi"/>
          <w:b/>
          <w:bCs/>
          <w:color w:val="000000" w:themeColor="text1"/>
        </w:rPr>
        <w:lastRenderedPageBreak/>
        <w:t>Possible anti-TB drug causes: Lzd, Cs/Trd, H, S, Km, Cm, H, FQ, Pto/Eto, E</w:t>
      </w:r>
    </w:p>
    <w:p w14:paraId="6D697944" w14:textId="7162D0B8" w:rsidR="001C7A69" w:rsidRPr="009D1960" w:rsidRDefault="001C7A69" w:rsidP="001C7A69">
      <w:pPr>
        <w:jc w:val="left"/>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other causes: d4T, ddI</w:t>
      </w:r>
    </w:p>
    <w:p w14:paraId="025E1BF2" w14:textId="4D00B5AA"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Peripheral neuropathy is a common adverse e</w:t>
      </w:r>
      <w:r w:rsidR="004D6C29">
        <w:rPr>
          <w:rFonts w:asciiTheme="minorHAnsi" w:hAnsiTheme="minorHAnsi" w:cstheme="minorHAnsi"/>
          <w:color w:val="000000" w:themeColor="text1"/>
        </w:rPr>
        <w:t>vent</w:t>
      </w:r>
      <w:r w:rsidRPr="009D1960">
        <w:rPr>
          <w:rFonts w:asciiTheme="minorHAnsi" w:hAnsiTheme="minorHAnsi" w:cstheme="minorHAnsi"/>
          <w:color w:val="000000" w:themeColor="text1"/>
        </w:rPr>
        <w:t xml:space="preserve"> of MDR-TB treatment caused by drug toxicity to the nerves of the peripheral nervous system.</w:t>
      </w:r>
    </w:p>
    <w:p w14:paraId="6F62B84D" w14:textId="2EBC3220" w:rsidR="001C7A69" w:rsidRPr="009D1960" w:rsidRDefault="001C7A69" w:rsidP="001C7A69">
      <w:pPr>
        <w:pStyle w:val="ListBullet"/>
        <w:rPr>
          <w:rFonts w:asciiTheme="minorHAnsi" w:hAnsiTheme="minorHAnsi" w:cstheme="minorHAnsi"/>
          <w:color w:val="000000" w:themeColor="text1"/>
          <w:lang w:eastAsia="it-IT"/>
        </w:rPr>
      </w:pPr>
      <w:r w:rsidRPr="009D1960">
        <w:rPr>
          <w:rFonts w:asciiTheme="minorHAnsi" w:hAnsiTheme="minorHAnsi" w:cstheme="minorHAnsi"/>
          <w:color w:val="000000" w:themeColor="text1"/>
          <w:lang w:eastAsia="it-IT"/>
        </w:rPr>
        <w:t>All patients taking isoniazid should receive 50 mg of pyridoxine daily; all patients taking Cs/Trd should receive 50</w:t>
      </w:r>
      <w:r w:rsidR="00C14AA7">
        <w:rPr>
          <w:rFonts w:asciiTheme="minorHAnsi" w:hAnsiTheme="minorHAnsi" w:cstheme="minorHAnsi"/>
          <w:color w:val="000000" w:themeColor="text1"/>
          <w:lang w:eastAsia="it-IT"/>
        </w:rPr>
        <w:t xml:space="preserve"> to 100 mg</w:t>
      </w:r>
      <w:r w:rsidRPr="009D1960">
        <w:rPr>
          <w:rFonts w:asciiTheme="minorHAnsi" w:hAnsiTheme="minorHAnsi" w:cstheme="minorHAnsi"/>
          <w:color w:val="000000" w:themeColor="text1"/>
          <w:lang w:eastAsia="it-IT"/>
        </w:rPr>
        <w:t xml:space="preserve"> of pyridoxine</w:t>
      </w:r>
      <w:r w:rsidR="00C14AA7">
        <w:rPr>
          <w:rFonts w:asciiTheme="minorHAnsi" w:hAnsiTheme="minorHAnsi" w:cstheme="minorHAnsi"/>
          <w:color w:val="000000" w:themeColor="text1"/>
          <w:lang w:eastAsia="it-IT"/>
        </w:rPr>
        <w:t xml:space="preserve"> (doses greater than 100 mg of pyridoxine may cause peripheral </w:t>
      </w:r>
      <w:r w:rsidR="00053B50">
        <w:rPr>
          <w:rFonts w:asciiTheme="minorHAnsi" w:hAnsiTheme="minorHAnsi" w:cstheme="minorHAnsi"/>
          <w:color w:val="000000" w:themeColor="text1"/>
          <w:lang w:eastAsia="it-IT"/>
        </w:rPr>
        <w:t xml:space="preserve">neuropathy </w:t>
      </w:r>
      <w:r w:rsidR="00C14AA7">
        <w:rPr>
          <w:rFonts w:asciiTheme="minorHAnsi" w:hAnsiTheme="minorHAnsi" w:cstheme="minorHAnsi"/>
          <w:color w:val="000000" w:themeColor="text1"/>
          <w:lang w:eastAsia="it-IT"/>
        </w:rPr>
        <w:t>and ther</w:t>
      </w:r>
      <w:r w:rsidR="00053B50">
        <w:rPr>
          <w:rFonts w:asciiTheme="minorHAnsi" w:hAnsiTheme="minorHAnsi" w:cstheme="minorHAnsi"/>
          <w:color w:val="000000" w:themeColor="text1"/>
          <w:lang w:eastAsia="it-IT"/>
        </w:rPr>
        <w:t xml:space="preserve">efore </w:t>
      </w:r>
      <w:r w:rsidR="00C14AA7">
        <w:rPr>
          <w:rFonts w:asciiTheme="minorHAnsi" w:hAnsiTheme="minorHAnsi" w:cstheme="minorHAnsi"/>
          <w:color w:val="000000" w:themeColor="text1"/>
          <w:lang w:eastAsia="it-IT"/>
        </w:rPr>
        <w:t xml:space="preserve">lower doses than previously recommended </w:t>
      </w:r>
      <w:r w:rsidR="00053B50">
        <w:rPr>
          <w:rFonts w:asciiTheme="minorHAnsi" w:hAnsiTheme="minorHAnsi" w:cstheme="minorHAnsi"/>
          <w:color w:val="000000" w:themeColor="text1"/>
          <w:lang w:eastAsia="it-IT"/>
        </w:rPr>
        <w:t xml:space="preserve">are </w:t>
      </w:r>
      <w:r w:rsidR="006A2DCB">
        <w:rPr>
          <w:rFonts w:asciiTheme="minorHAnsi" w:hAnsiTheme="minorHAnsi" w:cstheme="minorHAnsi"/>
          <w:color w:val="000000" w:themeColor="text1"/>
          <w:lang w:eastAsia="it-IT"/>
        </w:rPr>
        <w:t>now the norm)</w:t>
      </w:r>
      <w:r w:rsidRPr="009D1960">
        <w:rPr>
          <w:rFonts w:asciiTheme="minorHAnsi" w:hAnsiTheme="minorHAnsi" w:cstheme="minorHAnsi"/>
          <w:color w:val="000000" w:themeColor="text1"/>
          <w:lang w:eastAsia="it-IT"/>
        </w:rPr>
        <w:t>.</w:t>
      </w:r>
    </w:p>
    <w:p w14:paraId="39455451"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Peripheral neuropathy is extremely common in patients taking linezolid. In one clinical trial of linezolid, 55% of the patients experienced clinically significant peripheral neuropathy.</w:t>
      </w:r>
    </w:p>
    <w:p w14:paraId="33C07906" w14:textId="29D81C94"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Skin punch biopsies, nerve conduction studies</w:t>
      </w:r>
      <w:r w:rsidR="00A97F6F">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or other specialized tests are the gold standard but are not necessary for a diagnosis.</w:t>
      </w:r>
    </w:p>
    <w:p w14:paraId="79EFAD99"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According to the ACTG Brief Peripheral Neuropathy Screen (BPNS), a patient can be diagnosed with peripheral neuropathy if he/she reports typical symptoms (numbness, tingling, burning, pain) plus decreased vibration sense in the big toes or decreased ankle tendon reflexes.</w:t>
      </w:r>
    </w:p>
    <w:p w14:paraId="7AE3BF4A" w14:textId="1DE0288F" w:rsidR="001C7A69"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When assessing the patient's symptoms with the BPNS (See Step 1 of the BPNS description), assess whether his/her symptom is suggestive of neuropathic pain. Although difficult to define and variable for each individual, neuropathic pain is often described as "burning", "electric", "tingling", and "shooting" in nature. It can vary from a constant pain to intermittent sharp shooting pains. As described, the pain is most often present without associated stimulation, but can be exacerbated by stimuli.</w:t>
      </w:r>
    </w:p>
    <w:p w14:paraId="3B80AF7F" w14:textId="5ED17B18" w:rsidR="0078015F" w:rsidRPr="009D1960" w:rsidRDefault="0078015F" w:rsidP="001C7A69">
      <w:pPr>
        <w:pStyle w:val="ListBullet"/>
        <w:rPr>
          <w:rFonts w:asciiTheme="minorHAnsi" w:hAnsiTheme="minorHAnsi" w:cstheme="minorHAnsi"/>
          <w:color w:val="000000" w:themeColor="text1"/>
        </w:rPr>
      </w:pPr>
      <w:r>
        <w:t xml:space="preserve">Peripheral neuropathy can be difficult to assess in young children.  Symptoms of peripheral neuropathy in young children may include crying when walking or using hands, rubbing or slapping of hands and feet, crying when putting on sock and/or shoes, and difficult walking, grasping, or handling toys.  Younger children should have monofilament or pin testing of their </w:t>
      </w:r>
      <w:r w:rsidR="00645627">
        <w:t>h</w:t>
      </w:r>
      <w:r>
        <w:t>ands and feet at each visit and reflexes should be assessed as well.</w:t>
      </w:r>
    </w:p>
    <w:p w14:paraId="0E2E6BB4" w14:textId="4E74961A"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 xml:space="preserve">After a diagnosis of peripheral neuropathy, the subjective sensory neuropathy score from the BPNS (See Step 1 of the BPNS description) should be used for </w:t>
      </w:r>
      <w:r w:rsidRPr="00681D2B">
        <w:rPr>
          <w:rFonts w:asciiTheme="minorHAnsi" w:hAnsiTheme="minorHAnsi" w:cstheme="minorHAnsi"/>
          <w:color w:val="000000" w:themeColor="text1"/>
        </w:rPr>
        <w:t xml:space="preserve">grading ( </w:t>
      </w:r>
      <w:r w:rsidR="00681D2B" w:rsidRPr="00681D2B">
        <w:rPr>
          <w:rFonts w:asciiTheme="minorHAnsi" w:hAnsiTheme="minorHAnsi" w:cstheme="minorHAnsi"/>
          <w:color w:val="000000" w:themeColor="text1"/>
        </w:rPr>
        <w:fldChar w:fldCharType="begin"/>
      </w:r>
      <w:r w:rsidR="00681D2B" w:rsidRPr="00681D2B">
        <w:rPr>
          <w:rFonts w:asciiTheme="minorHAnsi" w:hAnsiTheme="minorHAnsi" w:cstheme="minorHAnsi"/>
          <w:color w:val="000000" w:themeColor="text1"/>
        </w:rPr>
        <w:instrText xml:space="preserve"> REF _Ref12970960 \h  \* MERGEFORMAT </w:instrText>
      </w:r>
      <w:r w:rsidR="00681D2B" w:rsidRPr="00681D2B">
        <w:rPr>
          <w:rFonts w:asciiTheme="minorHAnsi" w:hAnsiTheme="minorHAnsi" w:cstheme="minorHAnsi"/>
          <w:color w:val="000000" w:themeColor="text1"/>
        </w:rPr>
      </w:r>
      <w:r w:rsidR="00681D2B" w:rsidRPr="00681D2B">
        <w:rPr>
          <w:rFonts w:asciiTheme="minorHAnsi" w:hAnsiTheme="minorHAnsi" w:cstheme="minorHAnsi"/>
          <w:color w:val="000000" w:themeColor="text1"/>
        </w:rPr>
        <w:fldChar w:fldCharType="separate"/>
      </w:r>
      <w:r w:rsidR="00681D2B" w:rsidRPr="00681D2B">
        <w:rPr>
          <w:rFonts w:asciiTheme="minorHAnsi" w:hAnsiTheme="minorHAnsi" w:cstheme="minorHAnsi"/>
        </w:rPr>
        <w:t xml:space="preserve">Table 14 </w:t>
      </w:r>
      <w:r w:rsidR="00681D2B" w:rsidRPr="00681D2B">
        <w:rPr>
          <w:rFonts w:asciiTheme="minorHAnsi" w:hAnsiTheme="minorHAnsi" w:cstheme="minorHAnsi"/>
          <w:color w:val="000000" w:themeColor="text1"/>
        </w:rPr>
        <w:fldChar w:fldCharType="end"/>
      </w:r>
      <w:r w:rsidRPr="00681D2B">
        <w:rPr>
          <w:rFonts w:asciiTheme="minorHAnsi" w:hAnsiTheme="minorHAnsi" w:cstheme="minorHAnsi"/>
          <w:color w:val="000000" w:themeColor="text1"/>
        </w:rPr>
        <w:t>).</w:t>
      </w:r>
      <w:r w:rsidRPr="009D1960">
        <w:rPr>
          <w:rFonts w:asciiTheme="minorHAnsi" w:eastAsia="Times New Roman" w:hAnsiTheme="minorHAnsi" w:cstheme="minorHAnsi"/>
          <w:color w:val="000000" w:themeColor="text1"/>
        </w:rPr>
        <w:t xml:space="preserve"> </w:t>
      </w:r>
    </w:p>
    <w:p w14:paraId="25E68892" w14:textId="0E23AD87" w:rsidR="001C7A69" w:rsidRPr="00FF591D" w:rsidRDefault="001C7A69" w:rsidP="002C4FED">
      <w:pPr>
        <w:pStyle w:val="Heading3"/>
        <w:rPr>
          <w:rStyle w:val="IntenseEmphasis"/>
          <w:rFonts w:asciiTheme="minorHAnsi" w:hAnsiTheme="minorHAnsi"/>
          <w:b/>
          <w:bCs/>
          <w:i/>
          <w:color w:val="000000" w:themeColor="text1"/>
        </w:rPr>
      </w:pPr>
      <w:bookmarkStart w:id="217" w:name="h.46r0co2" w:colFirst="0" w:colLast="0"/>
      <w:bookmarkStart w:id="218" w:name="_Toc12885978"/>
      <w:bookmarkStart w:id="219" w:name="_Toc12886225"/>
      <w:bookmarkStart w:id="220" w:name="_Ref12970960"/>
      <w:bookmarkStart w:id="221" w:name="_Ref12971484"/>
      <w:bookmarkStart w:id="222" w:name="_Toc13486772"/>
      <w:bookmarkEnd w:id="217"/>
      <w:r w:rsidRPr="00FF591D">
        <w:rPr>
          <w:rFonts w:asciiTheme="minorHAnsi" w:hAnsiTheme="minorHAnsi"/>
        </w:rPr>
        <w:t xml:space="preserve">Table </w:t>
      </w:r>
      <w:r w:rsidR="002C4FED" w:rsidRPr="00FF591D">
        <w:rPr>
          <w:rFonts w:asciiTheme="minorHAnsi" w:hAnsiTheme="minorHAnsi"/>
        </w:rPr>
        <w:t>1</w:t>
      </w:r>
      <w:r w:rsidR="003F19E7" w:rsidRPr="00FF591D">
        <w:rPr>
          <w:rFonts w:asciiTheme="minorHAnsi" w:hAnsiTheme="minorHAnsi"/>
        </w:rPr>
        <w:t>4</w:t>
      </w:r>
      <w:r w:rsidRPr="00FF591D">
        <w:rPr>
          <w:rFonts w:asciiTheme="minorHAnsi" w:hAnsiTheme="minorHAnsi"/>
        </w:rPr>
        <w:t xml:space="preserve"> </w:t>
      </w:r>
      <w:r w:rsidRPr="00FF591D">
        <w:rPr>
          <w:rStyle w:val="IntenseEmphasis"/>
          <w:rFonts w:asciiTheme="minorHAnsi" w:hAnsiTheme="minorHAnsi"/>
          <w:b/>
          <w:bCs/>
          <w:i/>
          <w:color w:val="000000" w:themeColor="text1"/>
        </w:rPr>
        <w:t>Clinical management of peripheral neuropathy according to severity grading</w:t>
      </w:r>
      <w:bookmarkEnd w:id="218"/>
      <w:bookmarkEnd w:id="219"/>
      <w:bookmarkEnd w:id="220"/>
      <w:bookmarkEnd w:id="221"/>
      <w:bookmarkEnd w:id="22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1251"/>
        <w:gridCol w:w="1939"/>
        <w:gridCol w:w="2030"/>
        <w:gridCol w:w="1851"/>
        <w:gridCol w:w="1941"/>
      </w:tblGrid>
      <w:tr w:rsidR="001C7A69" w:rsidRPr="00FF591D" w14:paraId="1BC00A48" w14:textId="77777777" w:rsidTr="00093E2C">
        <w:trPr>
          <w:trHeight w:val="25"/>
          <w:tblHeader/>
        </w:trPr>
        <w:tc>
          <w:tcPr>
            <w:tcW w:w="694" w:type="pct"/>
            <w:tcBorders>
              <w:top w:val="single" w:sz="4" w:space="0" w:color="auto"/>
              <w:left w:val="single" w:sz="4" w:space="0" w:color="auto"/>
              <w:right w:val="single" w:sz="8" w:space="0" w:color="000000" w:themeColor="text1"/>
            </w:tcBorders>
            <w:shd w:val="clear" w:color="auto" w:fill="235868"/>
            <w:tcMar>
              <w:top w:w="100" w:type="dxa"/>
              <w:left w:w="100" w:type="dxa"/>
              <w:bottom w:w="100" w:type="dxa"/>
              <w:right w:w="100" w:type="dxa"/>
            </w:tcMar>
          </w:tcPr>
          <w:p w14:paraId="18121B03" w14:textId="77777777" w:rsidR="001C7A69" w:rsidRPr="00FF591D" w:rsidRDefault="001C7A69" w:rsidP="00E20A53">
            <w:pPr>
              <w:pStyle w:val="Tabletext"/>
              <w:jc w:val="center"/>
              <w:rPr>
                <w:rFonts w:asciiTheme="minorHAnsi" w:hAnsiTheme="minorHAnsi"/>
                <w:b/>
                <w:bCs/>
                <w:color w:val="FFFFFF" w:themeColor="background1"/>
              </w:rPr>
            </w:pPr>
            <w:r w:rsidRPr="00FF591D">
              <w:rPr>
                <w:rFonts w:asciiTheme="minorHAnsi" w:hAnsiTheme="minorHAnsi"/>
                <w:b/>
                <w:bCs/>
                <w:color w:val="FFFFFF" w:themeColor="background1"/>
              </w:rPr>
              <w:t>Severity grade*</w:t>
            </w:r>
          </w:p>
        </w:tc>
        <w:tc>
          <w:tcPr>
            <w:tcW w:w="1076" w:type="pct"/>
            <w:tcBorders>
              <w:right w:val="single" w:sz="8" w:space="0" w:color="000000" w:themeColor="text1"/>
            </w:tcBorders>
            <w:shd w:val="clear" w:color="auto" w:fill="235868"/>
            <w:tcMar>
              <w:top w:w="100" w:type="dxa"/>
              <w:left w:w="100" w:type="dxa"/>
              <w:bottom w:w="100" w:type="dxa"/>
              <w:right w:w="100" w:type="dxa"/>
            </w:tcMar>
          </w:tcPr>
          <w:p w14:paraId="09A310FE" w14:textId="77777777" w:rsidR="001C7A69" w:rsidRPr="00FF591D" w:rsidRDefault="001C7A69" w:rsidP="00E20A53">
            <w:pPr>
              <w:pStyle w:val="Tabletext"/>
              <w:jc w:val="center"/>
              <w:rPr>
                <w:rFonts w:asciiTheme="minorHAnsi" w:hAnsiTheme="minorHAnsi"/>
                <w:b/>
                <w:bCs/>
                <w:color w:val="FFFFFF" w:themeColor="background1"/>
              </w:rPr>
            </w:pPr>
            <w:r w:rsidRPr="00FF591D">
              <w:rPr>
                <w:rFonts w:asciiTheme="minorHAnsi" w:hAnsiTheme="minorHAnsi"/>
                <w:b/>
                <w:bCs/>
                <w:color w:val="FFFFFF" w:themeColor="background1"/>
              </w:rPr>
              <w:t>Grade 1 Mild</w:t>
            </w:r>
          </w:p>
        </w:tc>
        <w:tc>
          <w:tcPr>
            <w:tcW w:w="1126" w:type="pct"/>
            <w:tcBorders>
              <w:right w:val="single" w:sz="8" w:space="0" w:color="000000" w:themeColor="text1"/>
            </w:tcBorders>
            <w:shd w:val="clear" w:color="auto" w:fill="235868"/>
            <w:tcMar>
              <w:top w:w="100" w:type="dxa"/>
              <w:left w:w="100" w:type="dxa"/>
              <w:bottom w:w="100" w:type="dxa"/>
              <w:right w:w="100" w:type="dxa"/>
            </w:tcMar>
          </w:tcPr>
          <w:p w14:paraId="4FCF9E04" w14:textId="77777777" w:rsidR="001C7A69" w:rsidRPr="00FF591D" w:rsidRDefault="001C7A69" w:rsidP="00E20A53">
            <w:pPr>
              <w:pStyle w:val="Tabletext"/>
              <w:jc w:val="center"/>
              <w:rPr>
                <w:rFonts w:asciiTheme="minorHAnsi" w:hAnsiTheme="minorHAnsi"/>
                <w:b/>
                <w:bCs/>
                <w:color w:val="FFFFFF" w:themeColor="background1"/>
              </w:rPr>
            </w:pPr>
            <w:r w:rsidRPr="00FF591D">
              <w:rPr>
                <w:rFonts w:asciiTheme="minorHAnsi" w:hAnsiTheme="minorHAnsi"/>
                <w:b/>
                <w:bCs/>
                <w:color w:val="FFFFFF" w:themeColor="background1"/>
              </w:rPr>
              <w:t>Grade 2 Moderate</w:t>
            </w:r>
          </w:p>
        </w:tc>
        <w:tc>
          <w:tcPr>
            <w:tcW w:w="1027" w:type="pct"/>
            <w:tcBorders>
              <w:right w:val="single" w:sz="8" w:space="0" w:color="000000" w:themeColor="text1"/>
            </w:tcBorders>
            <w:shd w:val="clear" w:color="auto" w:fill="235868"/>
            <w:tcMar>
              <w:top w:w="100" w:type="dxa"/>
              <w:left w:w="100" w:type="dxa"/>
              <w:bottom w:w="100" w:type="dxa"/>
              <w:right w:w="100" w:type="dxa"/>
            </w:tcMar>
          </w:tcPr>
          <w:p w14:paraId="6AEDCCB4" w14:textId="77777777" w:rsidR="001C7A69" w:rsidRPr="00FF591D" w:rsidRDefault="001C7A69" w:rsidP="00E20A53">
            <w:pPr>
              <w:pStyle w:val="Tabletext"/>
              <w:jc w:val="center"/>
              <w:rPr>
                <w:rFonts w:asciiTheme="minorHAnsi" w:hAnsiTheme="minorHAnsi"/>
                <w:b/>
                <w:bCs/>
                <w:color w:val="FFFFFF" w:themeColor="background1"/>
              </w:rPr>
            </w:pPr>
            <w:r w:rsidRPr="00FF591D">
              <w:rPr>
                <w:rFonts w:asciiTheme="minorHAnsi" w:hAnsiTheme="minorHAnsi"/>
                <w:b/>
                <w:bCs/>
                <w:color w:val="FFFFFF" w:themeColor="background1"/>
              </w:rPr>
              <w:t>Grade 3 Severe</w:t>
            </w:r>
          </w:p>
        </w:tc>
        <w:tc>
          <w:tcPr>
            <w:tcW w:w="1077" w:type="pct"/>
            <w:tcBorders>
              <w:right w:val="single" w:sz="8" w:space="0" w:color="000000" w:themeColor="text1"/>
            </w:tcBorders>
            <w:shd w:val="clear" w:color="auto" w:fill="235868"/>
            <w:tcMar>
              <w:top w:w="100" w:type="dxa"/>
              <w:left w:w="100" w:type="dxa"/>
              <w:bottom w:w="100" w:type="dxa"/>
              <w:right w:w="100" w:type="dxa"/>
            </w:tcMar>
          </w:tcPr>
          <w:p w14:paraId="3FD2F9A5" w14:textId="77777777" w:rsidR="001C7A69" w:rsidRPr="00FF591D" w:rsidRDefault="001C7A69" w:rsidP="00E20A53">
            <w:pPr>
              <w:pStyle w:val="Tabletext"/>
              <w:jc w:val="center"/>
              <w:rPr>
                <w:rFonts w:asciiTheme="minorHAnsi" w:hAnsiTheme="minorHAnsi"/>
                <w:b/>
                <w:bCs/>
                <w:color w:val="FFFFFF" w:themeColor="background1"/>
              </w:rPr>
            </w:pPr>
            <w:r w:rsidRPr="00FF591D">
              <w:rPr>
                <w:rFonts w:asciiTheme="minorHAnsi" w:hAnsiTheme="minorHAnsi"/>
                <w:b/>
                <w:bCs/>
                <w:color w:val="FFFFFF" w:themeColor="background1"/>
              </w:rPr>
              <w:t>Grade 4 Life-threatening</w:t>
            </w:r>
          </w:p>
        </w:tc>
      </w:tr>
      <w:tr w:rsidR="001C7A69" w:rsidRPr="00FF591D" w14:paraId="763D66DD" w14:textId="77777777" w:rsidTr="000A384C">
        <w:tc>
          <w:tcPr>
            <w:tcW w:w="694" w:type="pct"/>
            <w:tcBorders>
              <w:left w:val="single" w:sz="4" w:space="0" w:color="auto"/>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1572FBE" w14:textId="136DFEF8" w:rsidR="001C7A69" w:rsidRPr="00FF591D" w:rsidRDefault="001C7A69" w:rsidP="000A384C">
            <w:pPr>
              <w:pStyle w:val="Tabletext"/>
              <w:rPr>
                <w:rFonts w:asciiTheme="minorHAnsi" w:hAnsiTheme="minorHAnsi"/>
                <w:color w:val="000000" w:themeColor="text1"/>
              </w:rPr>
            </w:pPr>
            <w:r w:rsidRPr="00FF591D">
              <w:rPr>
                <w:rFonts w:asciiTheme="minorHAnsi" w:hAnsiTheme="minorHAnsi"/>
                <w:color w:val="000000" w:themeColor="text1"/>
              </w:rPr>
              <w:t>Paresthesia (</w:t>
            </w:r>
            <w:r w:rsidR="00325363">
              <w:rPr>
                <w:rFonts w:asciiTheme="minorHAnsi" w:hAnsiTheme="minorHAnsi"/>
                <w:color w:val="000000" w:themeColor="text1"/>
              </w:rPr>
              <w:t>b</w:t>
            </w:r>
            <w:r w:rsidRPr="00FF591D">
              <w:rPr>
                <w:rFonts w:asciiTheme="minorHAnsi" w:hAnsiTheme="minorHAnsi"/>
                <w:color w:val="000000" w:themeColor="text1"/>
              </w:rPr>
              <w:t xml:space="preserve">urning, </w:t>
            </w:r>
            <w:r w:rsidR="00325363">
              <w:rPr>
                <w:rFonts w:asciiTheme="minorHAnsi" w:hAnsiTheme="minorHAnsi"/>
                <w:color w:val="000000" w:themeColor="text1"/>
              </w:rPr>
              <w:t>t</w:t>
            </w:r>
            <w:r w:rsidRPr="00FF591D">
              <w:rPr>
                <w:rFonts w:asciiTheme="minorHAnsi" w:hAnsiTheme="minorHAnsi"/>
                <w:color w:val="000000" w:themeColor="text1"/>
              </w:rPr>
              <w:t>ingling, etc.)</w:t>
            </w:r>
          </w:p>
        </w:tc>
        <w:tc>
          <w:tcPr>
            <w:tcW w:w="1076"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8CF5FB7" w14:textId="77777777" w:rsidR="001C7A69" w:rsidRPr="00FF591D" w:rsidRDefault="001C7A69" w:rsidP="000A384C">
            <w:pPr>
              <w:pStyle w:val="Tabletext"/>
              <w:rPr>
                <w:rFonts w:asciiTheme="minorHAnsi" w:hAnsiTheme="minorHAnsi"/>
                <w:color w:val="000000" w:themeColor="text1"/>
              </w:rPr>
            </w:pPr>
            <w:r w:rsidRPr="00FF591D">
              <w:rPr>
                <w:rFonts w:asciiTheme="minorHAnsi" w:hAnsiTheme="minorHAnsi"/>
                <w:color w:val="000000" w:themeColor="text1"/>
              </w:rPr>
              <w:t>Mild discomfort; no treatment required; and/or BPNS subjective sensory neuropathy score 1-3 on any side.</w:t>
            </w:r>
          </w:p>
        </w:tc>
        <w:tc>
          <w:tcPr>
            <w:tcW w:w="1126"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697EB90" w14:textId="77777777" w:rsidR="001C7A69" w:rsidRPr="00FF591D" w:rsidRDefault="001C7A69" w:rsidP="000A384C">
            <w:pPr>
              <w:pStyle w:val="Tabletext"/>
              <w:rPr>
                <w:rFonts w:asciiTheme="minorHAnsi" w:hAnsiTheme="minorHAnsi"/>
                <w:color w:val="000000" w:themeColor="text1"/>
              </w:rPr>
            </w:pPr>
            <w:r w:rsidRPr="00FF591D">
              <w:rPr>
                <w:rFonts w:asciiTheme="minorHAnsi" w:hAnsiTheme="minorHAnsi"/>
                <w:color w:val="000000" w:themeColor="text1"/>
              </w:rPr>
              <w:t>Moderate discomfort; non-narcotic analgesia required; and/or BPNS subjective sensory neuropathy score 4-6 on any side.</w:t>
            </w:r>
          </w:p>
        </w:tc>
        <w:tc>
          <w:tcPr>
            <w:tcW w:w="1027"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D34C55C" w14:textId="77777777" w:rsidR="001C7A69" w:rsidRPr="00FF591D" w:rsidRDefault="001C7A69" w:rsidP="000A384C">
            <w:pPr>
              <w:pStyle w:val="Tabletext"/>
              <w:rPr>
                <w:rFonts w:asciiTheme="minorHAnsi" w:hAnsiTheme="minorHAnsi"/>
                <w:color w:val="000000" w:themeColor="text1"/>
              </w:rPr>
            </w:pPr>
            <w:r w:rsidRPr="00FF591D">
              <w:rPr>
                <w:rFonts w:asciiTheme="minorHAnsi" w:hAnsiTheme="minorHAnsi"/>
                <w:color w:val="000000" w:themeColor="text1"/>
              </w:rPr>
              <w:t>Severe discomfort; or narcotic analgesia required with symptomatic improvement; and/or BPNS subjective sensory neuropathy score 7-10 on any side.</w:t>
            </w:r>
          </w:p>
        </w:tc>
        <w:tc>
          <w:tcPr>
            <w:tcW w:w="1077"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C843049" w14:textId="77777777" w:rsidR="001C7A69" w:rsidRPr="00FF591D" w:rsidRDefault="001C7A69" w:rsidP="000A384C">
            <w:pPr>
              <w:pStyle w:val="Tabletext"/>
              <w:rPr>
                <w:rFonts w:asciiTheme="minorHAnsi" w:hAnsiTheme="minorHAnsi"/>
                <w:color w:val="000000" w:themeColor="text1"/>
              </w:rPr>
            </w:pPr>
            <w:r w:rsidRPr="00FF591D">
              <w:rPr>
                <w:rFonts w:asciiTheme="minorHAnsi" w:hAnsiTheme="minorHAnsi"/>
                <w:color w:val="000000" w:themeColor="text1"/>
              </w:rPr>
              <w:t>Incapacitating; or not responsive to narcotic analgesia</w:t>
            </w:r>
          </w:p>
        </w:tc>
      </w:tr>
      <w:tr w:rsidR="001C7A69" w:rsidRPr="00B85017" w14:paraId="25AF2FF4" w14:textId="77777777" w:rsidTr="000A384C">
        <w:tc>
          <w:tcPr>
            <w:tcW w:w="694" w:type="pct"/>
            <w:tcBorders>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CA0205A" w14:textId="77777777" w:rsidR="001C7A69" w:rsidRPr="005814BE" w:rsidRDefault="001C7A69" w:rsidP="000A384C">
            <w:pPr>
              <w:pStyle w:val="Tabletext"/>
              <w:rPr>
                <w:rFonts w:asciiTheme="minorHAnsi" w:hAnsiTheme="minorHAnsi"/>
                <w:color w:val="000000" w:themeColor="text1"/>
              </w:rPr>
            </w:pPr>
            <w:r w:rsidRPr="005814BE">
              <w:rPr>
                <w:rFonts w:asciiTheme="minorHAnsi" w:hAnsiTheme="minorHAnsi"/>
                <w:color w:val="000000" w:themeColor="text1"/>
              </w:rPr>
              <w:t>Action</w:t>
            </w:r>
          </w:p>
        </w:tc>
        <w:tc>
          <w:tcPr>
            <w:tcW w:w="1076"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605DE1C" w14:textId="77777777" w:rsidR="001C7A69" w:rsidRPr="005814BE" w:rsidRDefault="001C7A69" w:rsidP="000A384C">
            <w:pPr>
              <w:pStyle w:val="Tabletext"/>
              <w:rPr>
                <w:rFonts w:asciiTheme="minorHAnsi" w:hAnsiTheme="minorHAnsi"/>
                <w:color w:val="000000" w:themeColor="text1"/>
              </w:rPr>
            </w:pPr>
            <w:r w:rsidRPr="005814BE">
              <w:rPr>
                <w:rFonts w:asciiTheme="minorHAnsi" w:hAnsiTheme="minorHAnsi"/>
                <w:color w:val="000000" w:themeColor="text1"/>
              </w:rPr>
              <w:t>Stop Cs/Trd, high-</w:t>
            </w:r>
            <w:r w:rsidRPr="005814BE">
              <w:rPr>
                <w:rFonts w:asciiTheme="minorHAnsi" w:hAnsiTheme="minorHAnsi"/>
                <w:color w:val="000000" w:themeColor="text1"/>
              </w:rPr>
              <w:lastRenderedPageBreak/>
              <w:t>dose H, and Lzd. If symptoms improve, consider restarting these drugs. Consider restarting Lzd at a lower dose (300mg daily or 600 mg thrice weekly).</w:t>
            </w:r>
          </w:p>
          <w:p w14:paraId="7A26A199" w14:textId="77777777" w:rsidR="001C7A69" w:rsidRPr="005814BE" w:rsidRDefault="001C7A69" w:rsidP="000A384C">
            <w:pPr>
              <w:pStyle w:val="Tabletext"/>
              <w:rPr>
                <w:rFonts w:asciiTheme="minorHAnsi" w:hAnsiTheme="minorHAnsi"/>
                <w:color w:val="000000" w:themeColor="text1"/>
              </w:rPr>
            </w:pPr>
          </w:p>
          <w:p w14:paraId="37126B16" w14:textId="77777777" w:rsidR="001C7A69" w:rsidRPr="005814BE" w:rsidRDefault="001C7A69" w:rsidP="000A384C">
            <w:pPr>
              <w:pStyle w:val="Tabletext"/>
              <w:rPr>
                <w:rFonts w:asciiTheme="minorHAnsi" w:hAnsiTheme="minorHAnsi"/>
                <w:color w:val="000000" w:themeColor="text1"/>
              </w:rPr>
            </w:pPr>
            <w:r w:rsidRPr="005814BE">
              <w:rPr>
                <w:rFonts w:asciiTheme="minorHAnsi" w:hAnsiTheme="minorHAnsi"/>
                <w:color w:val="000000" w:themeColor="text1"/>
              </w:rPr>
              <w:t>If Cs/Trd or high-dose H are not essential to the regimen, consider suspending these drugs.</w:t>
            </w:r>
          </w:p>
        </w:tc>
        <w:tc>
          <w:tcPr>
            <w:tcW w:w="1126"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8A2F23F" w14:textId="77777777" w:rsidR="001C7A69" w:rsidRDefault="001C7A69" w:rsidP="000A384C">
            <w:pPr>
              <w:pStyle w:val="Tabletext"/>
              <w:rPr>
                <w:rFonts w:asciiTheme="minorHAnsi" w:hAnsiTheme="minorHAnsi"/>
                <w:color w:val="000000" w:themeColor="text1"/>
              </w:rPr>
            </w:pPr>
            <w:r w:rsidRPr="005814BE">
              <w:rPr>
                <w:rFonts w:asciiTheme="minorHAnsi" w:hAnsiTheme="minorHAnsi"/>
                <w:color w:val="000000" w:themeColor="text1"/>
              </w:rPr>
              <w:lastRenderedPageBreak/>
              <w:t>Stop Cs/Trd, high-</w:t>
            </w:r>
            <w:r w:rsidRPr="005814BE">
              <w:rPr>
                <w:rFonts w:asciiTheme="minorHAnsi" w:hAnsiTheme="minorHAnsi"/>
                <w:color w:val="000000" w:themeColor="text1"/>
              </w:rPr>
              <w:lastRenderedPageBreak/>
              <w:t>dose H, and Lzd. If symptoms improve, and if the drugs are essential to the regimen, consider restarting Cs/Trd or high-dose H. Do not reintroduce Lzd.</w:t>
            </w:r>
          </w:p>
          <w:p w14:paraId="731B393E" w14:textId="77777777" w:rsidR="0030479E" w:rsidRPr="005814BE" w:rsidRDefault="0030479E" w:rsidP="000A384C">
            <w:pPr>
              <w:pStyle w:val="Tabletext"/>
              <w:rPr>
                <w:rFonts w:asciiTheme="minorHAnsi" w:hAnsiTheme="minorHAnsi"/>
                <w:color w:val="000000" w:themeColor="text1"/>
              </w:rPr>
            </w:pPr>
          </w:p>
          <w:p w14:paraId="7E34511F" w14:textId="77777777" w:rsidR="001C7A69" w:rsidRPr="005814BE" w:rsidRDefault="001C7A69" w:rsidP="000A384C">
            <w:pPr>
              <w:pStyle w:val="Tabletext"/>
              <w:rPr>
                <w:rFonts w:asciiTheme="minorHAnsi" w:hAnsiTheme="minorHAnsi"/>
                <w:color w:val="000000" w:themeColor="text1"/>
              </w:rPr>
            </w:pPr>
            <w:r w:rsidRPr="005814BE">
              <w:rPr>
                <w:rFonts w:asciiTheme="minorHAnsi" w:hAnsiTheme="minorHAnsi"/>
                <w:color w:val="000000" w:themeColor="text1"/>
              </w:rPr>
              <w:t>Provide symptomatic relief as described below.</w:t>
            </w:r>
          </w:p>
        </w:tc>
        <w:tc>
          <w:tcPr>
            <w:tcW w:w="102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819043A" w14:textId="77777777" w:rsidR="001C7A69" w:rsidRPr="005814BE" w:rsidRDefault="001C7A69" w:rsidP="000A384C">
            <w:pPr>
              <w:pStyle w:val="Tabletext"/>
              <w:rPr>
                <w:rFonts w:asciiTheme="minorHAnsi" w:hAnsiTheme="minorHAnsi"/>
                <w:color w:val="000000" w:themeColor="text1"/>
              </w:rPr>
            </w:pPr>
            <w:r w:rsidRPr="005814BE">
              <w:rPr>
                <w:rFonts w:asciiTheme="minorHAnsi" w:hAnsiTheme="minorHAnsi"/>
                <w:color w:val="000000" w:themeColor="text1"/>
              </w:rPr>
              <w:lastRenderedPageBreak/>
              <w:t>Same as Grade 2.</w:t>
            </w:r>
          </w:p>
        </w:tc>
        <w:tc>
          <w:tcPr>
            <w:tcW w:w="107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2C4098D" w14:textId="77777777" w:rsidR="001C7A69" w:rsidRPr="005814BE" w:rsidRDefault="001C7A69" w:rsidP="000A384C">
            <w:pPr>
              <w:pStyle w:val="Tabletext"/>
              <w:rPr>
                <w:rFonts w:asciiTheme="minorHAnsi" w:hAnsiTheme="minorHAnsi"/>
                <w:color w:val="000000" w:themeColor="text1"/>
              </w:rPr>
            </w:pPr>
            <w:r w:rsidRPr="005814BE">
              <w:rPr>
                <w:rFonts w:asciiTheme="minorHAnsi" w:hAnsiTheme="minorHAnsi"/>
                <w:color w:val="000000" w:themeColor="text1"/>
              </w:rPr>
              <w:t>Same as Grade 2.</w:t>
            </w:r>
          </w:p>
        </w:tc>
      </w:tr>
      <w:tr w:rsidR="001C7A69" w:rsidRPr="00B85017" w14:paraId="4D86BAF1" w14:textId="77777777" w:rsidTr="000A384C">
        <w:tc>
          <w:tcPr>
            <w:tcW w:w="5000" w:type="pct"/>
            <w:gridSpan w:val="5"/>
            <w:tcBorders>
              <w:left w:val="nil"/>
              <w:bottom w:val="nil"/>
              <w:right w:val="nil"/>
            </w:tcBorders>
            <w:shd w:val="clear" w:color="auto" w:fill="FFFFFF" w:themeFill="background1"/>
            <w:tcMar>
              <w:top w:w="100" w:type="dxa"/>
              <w:left w:w="100" w:type="dxa"/>
              <w:bottom w:w="100" w:type="dxa"/>
              <w:right w:w="100" w:type="dxa"/>
            </w:tcMar>
          </w:tcPr>
          <w:p w14:paraId="4CCF734A" w14:textId="77777777" w:rsidR="001C7A69" w:rsidRPr="0030479E" w:rsidRDefault="001C7A69" w:rsidP="000A384C">
            <w:pPr>
              <w:pStyle w:val="Tabletext"/>
              <w:rPr>
                <w:rFonts w:asciiTheme="minorHAnsi" w:hAnsiTheme="minorHAnsi"/>
                <w:color w:val="000000" w:themeColor="text1"/>
                <w:sz w:val="16"/>
                <w:szCs w:val="20"/>
              </w:rPr>
            </w:pPr>
            <w:r w:rsidRPr="0030479E">
              <w:rPr>
                <w:rFonts w:asciiTheme="minorHAnsi" w:hAnsiTheme="minorHAnsi"/>
                <w:color w:val="000000" w:themeColor="text1"/>
                <w:sz w:val="16"/>
                <w:szCs w:val="20"/>
              </w:rPr>
              <w:t>* Reference: NIAID Division of Microbiology and Infectious Diseases, severity scale, Nov-2007.</w:t>
            </w:r>
          </w:p>
        </w:tc>
      </w:tr>
    </w:tbl>
    <w:p w14:paraId="44BEA051" w14:textId="77777777"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Suggested management strategy:</w:t>
      </w:r>
    </w:p>
    <w:p w14:paraId="60192B6D" w14:textId="6F106976"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 xml:space="preserve">Many patients experience improvement when </w:t>
      </w:r>
      <w:r w:rsidR="005729A8">
        <w:rPr>
          <w:rFonts w:asciiTheme="minorHAnsi" w:hAnsiTheme="minorHAnsi" w:cstheme="minorHAnsi"/>
          <w:color w:val="000000" w:themeColor="text1"/>
        </w:rPr>
        <w:t xml:space="preserve">the </w:t>
      </w:r>
      <w:r w:rsidRPr="009D1960">
        <w:rPr>
          <w:rFonts w:asciiTheme="minorHAnsi" w:hAnsiTheme="minorHAnsi" w:cstheme="minorHAnsi"/>
          <w:color w:val="000000" w:themeColor="text1"/>
        </w:rPr>
        <w:t>offending drugs are suspended, especially if the symptoms are mild.</w:t>
      </w:r>
    </w:p>
    <w:p w14:paraId="40A3D2EF" w14:textId="77777777" w:rsidR="001C7A69" w:rsidRPr="009D1960" w:rsidRDefault="001C7A69" w:rsidP="001C7A69">
      <w:pPr>
        <w:pStyle w:val="ListBullet"/>
        <w:rPr>
          <w:rFonts w:asciiTheme="minorHAnsi" w:hAnsiTheme="minorHAnsi" w:cstheme="minorHAnsi"/>
          <w:color w:val="000000" w:themeColor="text1"/>
          <w:lang w:eastAsia="it-IT"/>
        </w:rPr>
      </w:pPr>
      <w:r w:rsidRPr="009D1960">
        <w:rPr>
          <w:rFonts w:asciiTheme="minorHAnsi" w:hAnsiTheme="minorHAnsi" w:cstheme="minorHAnsi"/>
          <w:color w:val="000000" w:themeColor="text1"/>
        </w:rPr>
        <w:t>The neuropathy associated with linezolid is common after prolonged use and often extremely painful and irreversible. For this reason, linezolid should be immediately stopped and not reintroduced when symptomatic neuropathy develops (grade 2 or above). Consider additional anti-TB drugs to reinforce the regimen.</w:t>
      </w:r>
    </w:p>
    <w:p w14:paraId="67DFE899" w14:textId="63AAD4F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In HIV co</w:t>
      </w:r>
      <w:r w:rsidR="005729A8">
        <w:rPr>
          <w:rFonts w:asciiTheme="minorHAnsi" w:hAnsiTheme="minorHAnsi" w:cstheme="minorHAnsi"/>
          <w:color w:val="000000" w:themeColor="text1"/>
        </w:rPr>
        <w:t>-</w:t>
      </w:r>
      <w:r w:rsidRPr="009D1960">
        <w:rPr>
          <w:rFonts w:asciiTheme="minorHAnsi" w:hAnsiTheme="minorHAnsi" w:cstheme="minorHAnsi"/>
          <w:color w:val="000000" w:themeColor="text1"/>
        </w:rPr>
        <w:t>infected patients, avoid use of d4T or ddI in combination with cycloserine/terizidone or linezolid because of an increased risk of peripheral neuropathy.</w:t>
      </w:r>
    </w:p>
    <w:p w14:paraId="13EB2441"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Symptomatic relief:</w:t>
      </w:r>
    </w:p>
    <w:p w14:paraId="3EDA8FF4"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Non-steroidal anti-inflammatory drugs or acetaminophen may help alleviate symptoms.</w:t>
      </w:r>
    </w:p>
    <w:p w14:paraId="61D16246" w14:textId="73B1CFCA"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 xml:space="preserve">Tricyclic antidepressants have </w:t>
      </w:r>
      <w:r w:rsidR="00437F5C">
        <w:rPr>
          <w:rFonts w:asciiTheme="minorHAnsi" w:hAnsiTheme="minorHAnsi" w:cstheme="minorHAnsi"/>
          <w:color w:val="000000" w:themeColor="text1"/>
        </w:rPr>
        <w:t xml:space="preserve">traditionally been used </w:t>
      </w:r>
      <w:r w:rsidR="007373BC">
        <w:rPr>
          <w:rFonts w:asciiTheme="minorHAnsi" w:hAnsiTheme="minorHAnsi" w:cstheme="minorHAnsi"/>
          <w:color w:val="000000" w:themeColor="text1"/>
        </w:rPr>
        <w:t xml:space="preserve">to treat </w:t>
      </w:r>
      <w:r w:rsidR="00A53156">
        <w:rPr>
          <w:rFonts w:asciiTheme="minorHAnsi" w:hAnsiTheme="minorHAnsi" w:cstheme="minorHAnsi"/>
          <w:color w:val="000000" w:themeColor="text1"/>
        </w:rPr>
        <w:t>neuropathic pain</w:t>
      </w:r>
      <w:r w:rsidR="00221433">
        <w:rPr>
          <w:rFonts w:asciiTheme="minorHAnsi" w:hAnsiTheme="minorHAnsi" w:cstheme="minorHAnsi"/>
          <w:color w:val="000000" w:themeColor="text1"/>
        </w:rPr>
        <w:t>; however,</w:t>
      </w:r>
      <w:r w:rsidR="00A53156">
        <w:rPr>
          <w:rFonts w:asciiTheme="minorHAnsi" w:hAnsiTheme="minorHAnsi" w:cstheme="minorHAnsi"/>
          <w:color w:val="000000" w:themeColor="text1"/>
        </w:rPr>
        <w:t xml:space="preserve"> </w:t>
      </w:r>
      <w:r w:rsidR="00221433">
        <w:rPr>
          <w:rFonts w:asciiTheme="minorHAnsi" w:hAnsiTheme="minorHAnsi" w:cstheme="minorHAnsi"/>
          <w:color w:val="000000" w:themeColor="text1"/>
        </w:rPr>
        <w:t>due to the</w:t>
      </w:r>
      <w:r w:rsidR="007907AC">
        <w:rPr>
          <w:rFonts w:asciiTheme="minorHAnsi" w:hAnsiTheme="minorHAnsi" w:cstheme="minorHAnsi"/>
          <w:color w:val="000000" w:themeColor="text1"/>
        </w:rPr>
        <w:t>ir QT prolonging characteristics (and because the</w:t>
      </w:r>
      <w:r w:rsidR="002155D8">
        <w:rPr>
          <w:rFonts w:asciiTheme="minorHAnsi" w:hAnsiTheme="minorHAnsi" w:cstheme="minorHAnsi"/>
          <w:color w:val="000000" w:themeColor="text1"/>
        </w:rPr>
        <w:t>y</w:t>
      </w:r>
      <w:r w:rsidR="007907AC">
        <w:rPr>
          <w:rFonts w:asciiTheme="minorHAnsi" w:hAnsiTheme="minorHAnsi" w:cstheme="minorHAnsi"/>
          <w:color w:val="000000" w:themeColor="text1"/>
        </w:rPr>
        <w:t xml:space="preserve"> </w:t>
      </w:r>
      <w:r w:rsidR="002155D8">
        <w:rPr>
          <w:rFonts w:asciiTheme="minorHAnsi" w:hAnsiTheme="minorHAnsi" w:cstheme="minorHAnsi"/>
          <w:color w:val="000000" w:themeColor="text1"/>
        </w:rPr>
        <w:t xml:space="preserve">may increase the risk of </w:t>
      </w:r>
      <w:r w:rsidR="002155D8" w:rsidRPr="002155D8">
        <w:rPr>
          <w:rFonts w:asciiTheme="minorHAnsi" w:hAnsiTheme="minorHAnsi" w:cstheme="minorHAnsi"/>
          <w:color w:val="000000" w:themeColor="text1"/>
        </w:rPr>
        <w:t>arrhythmias</w:t>
      </w:r>
      <w:r w:rsidR="002155D8">
        <w:rPr>
          <w:rFonts w:asciiTheme="minorHAnsi" w:hAnsiTheme="minorHAnsi" w:cstheme="minorHAnsi"/>
          <w:color w:val="000000" w:themeColor="text1"/>
        </w:rPr>
        <w:t>)</w:t>
      </w:r>
      <w:r w:rsidR="00A250DC">
        <w:rPr>
          <w:rFonts w:asciiTheme="minorHAnsi" w:hAnsiTheme="minorHAnsi" w:cstheme="minorHAnsi"/>
          <w:color w:val="000000" w:themeColor="text1"/>
        </w:rPr>
        <w:t xml:space="preserve"> </w:t>
      </w:r>
      <w:r w:rsidR="002155D8">
        <w:rPr>
          <w:rFonts w:asciiTheme="minorHAnsi" w:hAnsiTheme="minorHAnsi" w:cstheme="minorHAnsi"/>
          <w:color w:val="000000" w:themeColor="text1"/>
        </w:rPr>
        <w:t xml:space="preserve">are best avoided </w:t>
      </w:r>
      <w:r w:rsidR="00586D42">
        <w:rPr>
          <w:rFonts w:asciiTheme="minorHAnsi" w:hAnsiTheme="minorHAnsi" w:cstheme="minorHAnsi"/>
          <w:color w:val="000000" w:themeColor="text1"/>
        </w:rPr>
        <w:t>when using</w:t>
      </w:r>
      <w:r w:rsidR="00A250DC">
        <w:rPr>
          <w:rFonts w:asciiTheme="minorHAnsi" w:hAnsiTheme="minorHAnsi" w:cstheme="minorHAnsi"/>
          <w:color w:val="000000" w:themeColor="text1"/>
        </w:rPr>
        <w:t xml:space="preserve"> all-oral regimens</w:t>
      </w:r>
      <w:r w:rsidR="00586D42">
        <w:rPr>
          <w:rFonts w:asciiTheme="minorHAnsi" w:hAnsiTheme="minorHAnsi" w:cstheme="minorHAnsi"/>
          <w:color w:val="000000" w:themeColor="text1"/>
        </w:rPr>
        <w:t xml:space="preserve"> that contain drugs that may also prolong the interval</w:t>
      </w:r>
      <w:r w:rsidR="008273F3">
        <w:rPr>
          <w:rFonts w:asciiTheme="minorHAnsi" w:hAnsiTheme="minorHAnsi" w:cstheme="minorHAnsi"/>
          <w:color w:val="000000" w:themeColor="text1"/>
        </w:rPr>
        <w:t xml:space="preserve">. Tricyclic antidepressants should also be avoided </w:t>
      </w:r>
      <w:r w:rsidR="00FB3436">
        <w:rPr>
          <w:rFonts w:asciiTheme="minorHAnsi" w:hAnsiTheme="minorHAnsi" w:cstheme="minorHAnsi"/>
          <w:color w:val="000000" w:themeColor="text1"/>
        </w:rPr>
        <w:t xml:space="preserve">in patients taking linezolid to </w:t>
      </w:r>
      <w:r w:rsidRPr="009D1960">
        <w:rPr>
          <w:rFonts w:asciiTheme="minorHAnsi" w:hAnsiTheme="minorHAnsi" w:cstheme="minorHAnsi"/>
          <w:color w:val="000000" w:themeColor="text1"/>
        </w:rPr>
        <w:t>avoided due to potential risk of serotonergic syndrome.</w:t>
      </w:r>
    </w:p>
    <w:p w14:paraId="38B40114" w14:textId="77777777" w:rsidR="001C7A69" w:rsidRPr="009D1960" w:rsidRDefault="001C7A69" w:rsidP="001C7A69">
      <w:pPr>
        <w:pStyle w:val="ListBullet2"/>
        <w:rPr>
          <w:rFonts w:asciiTheme="minorHAnsi" w:hAnsiTheme="minorHAnsi" w:cstheme="minorHAnsi"/>
          <w:color w:val="000000" w:themeColor="text1"/>
        </w:rPr>
      </w:pPr>
      <w:bookmarkStart w:id="223" w:name="h.2lwamvv" w:colFirst="0" w:colLast="0"/>
      <w:bookmarkEnd w:id="223"/>
      <w:r w:rsidRPr="009D1960">
        <w:rPr>
          <w:rFonts w:asciiTheme="minorHAnsi" w:hAnsiTheme="minorHAnsi" w:cstheme="minorHAnsi"/>
          <w:color w:val="000000" w:themeColor="text1"/>
        </w:rPr>
        <w:t>Carbamazepine may also be effective in relieving pain and other symptoms of peripheral neuropathy. Carbamazepine is a strong inducer of CYP3A4 and should not be used with bedaquiline or delamanid.</w:t>
      </w:r>
    </w:p>
    <w:p w14:paraId="252B38E7" w14:textId="77777777" w:rsidR="00A74ED2" w:rsidRDefault="00A74ED2" w:rsidP="001C7A69">
      <w:pPr>
        <w:spacing w:before="240"/>
        <w:jc w:val="left"/>
        <w:rPr>
          <w:rFonts w:asciiTheme="minorHAnsi" w:hAnsiTheme="minorHAnsi" w:cstheme="minorHAnsi"/>
          <w:b/>
          <w:bCs/>
          <w:color w:val="000000" w:themeColor="text1"/>
        </w:rPr>
      </w:pPr>
      <w:bookmarkStart w:id="224" w:name="h.111kx3o" w:colFirst="0" w:colLast="0"/>
      <w:bookmarkEnd w:id="224"/>
    </w:p>
    <w:p w14:paraId="6C9A3A73" w14:textId="77777777" w:rsidR="001C7A69" w:rsidRPr="009D1960" w:rsidRDefault="001C7A69" w:rsidP="001C7A69">
      <w:pPr>
        <w:spacing w:before="240"/>
        <w:jc w:val="left"/>
        <w:rPr>
          <w:rFonts w:asciiTheme="minorHAnsi" w:hAnsiTheme="minorHAnsi" w:cstheme="minorHAnsi"/>
          <w:b/>
          <w:bCs/>
          <w:color w:val="000000" w:themeColor="text1"/>
        </w:rPr>
      </w:pPr>
      <w:r w:rsidRPr="009D1960">
        <w:rPr>
          <w:rFonts w:asciiTheme="minorHAnsi" w:hAnsiTheme="minorHAnsi" w:cstheme="minorHAnsi"/>
          <w:b/>
          <w:bCs/>
          <w:color w:val="000000" w:themeColor="text1"/>
        </w:rPr>
        <w:t>ACTG Brief Peripheral Neuropathy Screen (BPNS):</w:t>
      </w:r>
    </w:p>
    <w:p w14:paraId="73C133FA" w14:textId="77777777" w:rsidR="001C7A69" w:rsidRPr="009D1960" w:rsidRDefault="001C7A69" w:rsidP="001C7A69">
      <w:pPr>
        <w:pStyle w:val="Tabletext"/>
        <w:rPr>
          <w:rFonts w:asciiTheme="minorHAnsi" w:hAnsiTheme="minorHAnsi" w:cstheme="minorHAnsi"/>
          <w:b/>
          <w:bCs/>
          <w:color w:val="000000" w:themeColor="text1"/>
        </w:rPr>
      </w:pPr>
      <w:r w:rsidRPr="009D1960">
        <w:rPr>
          <w:rFonts w:asciiTheme="minorHAnsi" w:hAnsiTheme="minorHAnsi" w:cstheme="minorHAnsi"/>
          <w:b/>
          <w:bCs/>
          <w:color w:val="000000" w:themeColor="text1"/>
        </w:rPr>
        <w:t>Step 1. Grade Subjective Symptoms</w:t>
      </w:r>
    </w:p>
    <w:p w14:paraId="55F3F4BB" w14:textId="48E2C6B9" w:rsidR="001C7A69" w:rsidRDefault="001C7A69" w:rsidP="001C7A69">
      <w:pPr>
        <w:spacing w:after="240"/>
        <w:rPr>
          <w:rFonts w:asciiTheme="minorHAnsi" w:hAnsiTheme="minorHAnsi" w:cstheme="minorHAnsi"/>
          <w:color w:val="000000" w:themeColor="text1"/>
        </w:rPr>
      </w:pPr>
      <w:r w:rsidRPr="009D1960">
        <w:rPr>
          <w:rFonts w:asciiTheme="minorHAnsi" w:hAnsiTheme="minorHAnsi" w:cstheme="minorHAnsi"/>
          <w:color w:val="000000" w:themeColor="text1"/>
        </w:rPr>
        <w:lastRenderedPageBreak/>
        <w:t xml:space="preserve">Ask the </w:t>
      </w:r>
      <w:r w:rsidR="000E6223">
        <w:rPr>
          <w:rFonts w:asciiTheme="minorHAnsi" w:hAnsiTheme="minorHAnsi" w:cstheme="minorHAnsi"/>
          <w:color w:val="000000" w:themeColor="text1"/>
        </w:rPr>
        <w:t>patient</w:t>
      </w:r>
      <w:r w:rsidRPr="009D1960">
        <w:rPr>
          <w:rFonts w:asciiTheme="minorHAnsi" w:hAnsiTheme="minorHAnsi" w:cstheme="minorHAnsi"/>
          <w:color w:val="000000" w:themeColor="text1"/>
        </w:rPr>
        <w:t xml:space="preserve"> to rate the severity of each symptom on a scale from </w:t>
      </w:r>
      <w:r w:rsidR="006A6A2F">
        <w:rPr>
          <w:rFonts w:asciiTheme="minorHAnsi" w:hAnsiTheme="minorHAnsi" w:cstheme="minorHAnsi"/>
          <w:color w:val="000000" w:themeColor="text1"/>
        </w:rPr>
        <w:t>0</w:t>
      </w:r>
      <w:r w:rsidRPr="009D1960">
        <w:rPr>
          <w:rFonts w:asciiTheme="minorHAnsi" w:hAnsiTheme="minorHAnsi" w:cstheme="minorHAnsi"/>
          <w:color w:val="000000" w:themeColor="text1"/>
        </w:rPr>
        <w:t xml:space="preserve">1 (mild) to 10 (most severe) for </w:t>
      </w:r>
      <w:r w:rsidR="00A74ED2">
        <w:rPr>
          <w:rFonts w:asciiTheme="minorHAnsi" w:hAnsiTheme="minorHAnsi" w:cstheme="minorHAnsi"/>
          <w:color w:val="000000" w:themeColor="text1"/>
        </w:rPr>
        <w:t xml:space="preserve">both </w:t>
      </w:r>
      <w:r w:rsidRPr="009D1960">
        <w:rPr>
          <w:rFonts w:asciiTheme="minorHAnsi" w:hAnsiTheme="minorHAnsi" w:cstheme="minorHAnsi"/>
          <w:color w:val="000000" w:themeColor="text1"/>
        </w:rPr>
        <w:t xml:space="preserve">right and left feet and legs. Enter the score for each symptom in the columns marked </w:t>
      </w:r>
      <w:r w:rsidR="00A74ED2">
        <w:rPr>
          <w:rFonts w:asciiTheme="minorHAnsi" w:hAnsiTheme="minorHAnsi" w:cstheme="minorHAnsi"/>
          <w:color w:val="000000" w:themeColor="text1"/>
        </w:rPr>
        <w:t>“</w:t>
      </w:r>
      <w:r w:rsidRPr="009D1960">
        <w:rPr>
          <w:rFonts w:asciiTheme="minorHAnsi" w:hAnsiTheme="minorHAnsi" w:cstheme="minorHAnsi"/>
          <w:color w:val="000000" w:themeColor="text1"/>
        </w:rPr>
        <w:t>R</w:t>
      </w:r>
      <w:r w:rsidR="00A74ED2">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(right lower limb) and </w:t>
      </w:r>
      <w:r w:rsidR="00A74ED2">
        <w:rPr>
          <w:rFonts w:asciiTheme="minorHAnsi" w:hAnsiTheme="minorHAnsi" w:cstheme="minorHAnsi"/>
          <w:color w:val="000000" w:themeColor="text1"/>
        </w:rPr>
        <w:t>“</w:t>
      </w:r>
      <w:r w:rsidRPr="009D1960">
        <w:rPr>
          <w:rFonts w:asciiTheme="minorHAnsi" w:hAnsiTheme="minorHAnsi" w:cstheme="minorHAnsi"/>
          <w:color w:val="000000" w:themeColor="text1"/>
        </w:rPr>
        <w:t>L</w:t>
      </w:r>
      <w:r w:rsidR="00A74ED2">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(left lower limb).</w:t>
      </w:r>
    </w:p>
    <w:p w14:paraId="06EE803A" w14:textId="77777777" w:rsidR="00A74ED2" w:rsidRPr="009D1960" w:rsidRDefault="00A74ED2" w:rsidP="001C7A69">
      <w:pPr>
        <w:spacing w:after="240"/>
        <w:rPr>
          <w:rFonts w:asciiTheme="minorHAnsi" w:hAnsiTheme="minorHAnsi" w:cstheme="minorHAnsi"/>
          <w:color w:val="000000" w:themeColor="text1"/>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Pr>
      <w:tblGrid>
        <w:gridCol w:w="964"/>
        <w:gridCol w:w="746"/>
        <w:gridCol w:w="804"/>
        <w:gridCol w:w="804"/>
        <w:gridCol w:w="804"/>
        <w:gridCol w:w="804"/>
        <w:gridCol w:w="804"/>
        <w:gridCol w:w="804"/>
        <w:gridCol w:w="804"/>
        <w:gridCol w:w="804"/>
        <w:gridCol w:w="875"/>
      </w:tblGrid>
      <w:tr w:rsidR="001C7A69" w:rsidRPr="00A74ED2" w14:paraId="1EA77278" w14:textId="77777777" w:rsidTr="00093E2C">
        <w:tc>
          <w:tcPr>
            <w:tcW w:w="534" w:type="pct"/>
            <w:shd w:val="clear" w:color="auto" w:fill="235868"/>
            <w:vAlign w:val="center"/>
          </w:tcPr>
          <w:p w14:paraId="0B008DF7" w14:textId="77777777" w:rsidR="001C7A69" w:rsidRPr="00A74ED2" w:rsidRDefault="001C7A69" w:rsidP="000A384C">
            <w:pPr>
              <w:pStyle w:val="Tabletext"/>
              <w:jc w:val="center"/>
              <w:rPr>
                <w:rFonts w:asciiTheme="minorHAnsi" w:hAnsiTheme="minorHAnsi"/>
                <w:color w:val="FFFFFF" w:themeColor="background1"/>
              </w:rPr>
            </w:pPr>
            <w:r w:rsidRPr="00A74ED2">
              <w:rPr>
                <w:rFonts w:asciiTheme="minorHAnsi" w:hAnsiTheme="minorHAnsi"/>
                <w:color w:val="FFFFFF" w:themeColor="background1"/>
              </w:rPr>
              <w:t>Normal</w:t>
            </w:r>
          </w:p>
        </w:tc>
        <w:tc>
          <w:tcPr>
            <w:tcW w:w="4466" w:type="pct"/>
            <w:gridSpan w:val="10"/>
            <w:shd w:val="clear" w:color="auto" w:fill="235868"/>
            <w:vAlign w:val="center"/>
          </w:tcPr>
          <w:p w14:paraId="2F530304" w14:textId="77777777" w:rsidR="001C7A69" w:rsidRPr="00A74ED2" w:rsidRDefault="001C7A69" w:rsidP="000A384C">
            <w:pPr>
              <w:pStyle w:val="Tabletext"/>
              <w:jc w:val="center"/>
              <w:rPr>
                <w:rFonts w:asciiTheme="minorHAnsi" w:hAnsiTheme="minorHAnsi"/>
                <w:color w:val="FFFFFF" w:themeColor="background1"/>
              </w:rPr>
            </w:pPr>
            <w:r w:rsidRPr="00A74ED2">
              <w:rPr>
                <w:rFonts w:asciiTheme="minorHAnsi" w:hAnsiTheme="minorHAnsi"/>
                <w:color w:val="FFFFFF" w:themeColor="background1"/>
              </w:rPr>
              <w:t>Mild  ------------------------------------------------------------------------------------------  Severe</w:t>
            </w:r>
          </w:p>
        </w:tc>
      </w:tr>
      <w:tr w:rsidR="001C7A69" w:rsidRPr="00A74ED2" w14:paraId="785EA41D" w14:textId="77777777" w:rsidTr="000A384C">
        <w:tc>
          <w:tcPr>
            <w:tcW w:w="534" w:type="pct"/>
            <w:vAlign w:val="center"/>
          </w:tcPr>
          <w:p w14:paraId="18DF1A0C"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00</w:t>
            </w:r>
          </w:p>
        </w:tc>
        <w:tc>
          <w:tcPr>
            <w:tcW w:w="413" w:type="pct"/>
            <w:vAlign w:val="center"/>
          </w:tcPr>
          <w:p w14:paraId="41F6F788"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01</w:t>
            </w:r>
          </w:p>
        </w:tc>
        <w:tc>
          <w:tcPr>
            <w:tcW w:w="446" w:type="pct"/>
            <w:vAlign w:val="center"/>
          </w:tcPr>
          <w:p w14:paraId="3A82E696"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02</w:t>
            </w:r>
          </w:p>
        </w:tc>
        <w:tc>
          <w:tcPr>
            <w:tcW w:w="446" w:type="pct"/>
            <w:vAlign w:val="center"/>
          </w:tcPr>
          <w:p w14:paraId="4AD4DB96"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03</w:t>
            </w:r>
          </w:p>
        </w:tc>
        <w:tc>
          <w:tcPr>
            <w:tcW w:w="446" w:type="pct"/>
            <w:vAlign w:val="center"/>
          </w:tcPr>
          <w:p w14:paraId="62F8F430"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04</w:t>
            </w:r>
          </w:p>
        </w:tc>
        <w:tc>
          <w:tcPr>
            <w:tcW w:w="446" w:type="pct"/>
            <w:vAlign w:val="center"/>
          </w:tcPr>
          <w:p w14:paraId="03BCC875"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05</w:t>
            </w:r>
          </w:p>
        </w:tc>
        <w:tc>
          <w:tcPr>
            <w:tcW w:w="446" w:type="pct"/>
            <w:vAlign w:val="center"/>
          </w:tcPr>
          <w:p w14:paraId="7C62DD02"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06</w:t>
            </w:r>
          </w:p>
        </w:tc>
        <w:tc>
          <w:tcPr>
            <w:tcW w:w="446" w:type="pct"/>
            <w:vAlign w:val="center"/>
          </w:tcPr>
          <w:p w14:paraId="77C591E1"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07</w:t>
            </w:r>
          </w:p>
        </w:tc>
        <w:tc>
          <w:tcPr>
            <w:tcW w:w="446" w:type="pct"/>
            <w:vAlign w:val="center"/>
          </w:tcPr>
          <w:p w14:paraId="717A6430"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08</w:t>
            </w:r>
          </w:p>
        </w:tc>
        <w:tc>
          <w:tcPr>
            <w:tcW w:w="446" w:type="pct"/>
            <w:vAlign w:val="center"/>
          </w:tcPr>
          <w:p w14:paraId="7F628496"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09</w:t>
            </w:r>
          </w:p>
        </w:tc>
        <w:tc>
          <w:tcPr>
            <w:tcW w:w="485" w:type="pct"/>
            <w:vAlign w:val="center"/>
          </w:tcPr>
          <w:p w14:paraId="01857824"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10</w:t>
            </w:r>
          </w:p>
        </w:tc>
      </w:tr>
    </w:tbl>
    <w:p w14:paraId="61CADEBA" w14:textId="77777777" w:rsidR="001C7A69" w:rsidRPr="00A74ED2" w:rsidRDefault="001C7A69" w:rsidP="001C7A69">
      <w:pPr>
        <w:jc w:val="left"/>
        <w:rPr>
          <w:rFonts w:asciiTheme="minorHAnsi" w:hAnsiTheme="minorHAnsi"/>
          <w:color w:val="000000" w:themeColor="text1"/>
          <w:sz w:val="2"/>
        </w:rPr>
      </w:pPr>
    </w:p>
    <w:tbl>
      <w:tblPr>
        <w:tblW w:w="5000" w:type="pct"/>
        <w:tblCellMar>
          <w:left w:w="115" w:type="dxa"/>
          <w:right w:w="115" w:type="dxa"/>
        </w:tblCellMar>
        <w:tblLook w:val="0000" w:firstRow="0" w:lastRow="0" w:firstColumn="0" w:lastColumn="0" w:noHBand="0" w:noVBand="0"/>
      </w:tblPr>
      <w:tblGrid>
        <w:gridCol w:w="6996"/>
        <w:gridCol w:w="1051"/>
        <w:gridCol w:w="964"/>
      </w:tblGrid>
      <w:tr w:rsidR="001C7A69" w:rsidRPr="00A74ED2" w14:paraId="6ECA8D38" w14:textId="77777777" w:rsidTr="00093E2C">
        <w:tc>
          <w:tcPr>
            <w:tcW w:w="388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35868"/>
            <w:tcMar>
              <w:top w:w="80" w:type="dxa"/>
              <w:left w:w="80" w:type="dxa"/>
              <w:bottom w:w="80" w:type="dxa"/>
              <w:right w:w="80" w:type="dxa"/>
            </w:tcMar>
          </w:tcPr>
          <w:p w14:paraId="3ECF640E" w14:textId="77777777" w:rsidR="001C7A69" w:rsidRPr="00A74ED2" w:rsidRDefault="001C7A69" w:rsidP="000A384C">
            <w:pPr>
              <w:pStyle w:val="Tabletext"/>
              <w:rPr>
                <w:rFonts w:asciiTheme="minorHAnsi" w:hAnsiTheme="minorHAnsi"/>
                <w:color w:val="FFFFFF" w:themeColor="background1"/>
              </w:rPr>
            </w:pPr>
            <w:r w:rsidRPr="00A74ED2">
              <w:rPr>
                <w:rFonts w:asciiTheme="minorHAnsi" w:hAnsiTheme="minorHAnsi"/>
                <w:color w:val="FFFFFF" w:themeColor="background1"/>
              </w:rPr>
              <w:t>Symptoms</w:t>
            </w:r>
          </w:p>
        </w:tc>
        <w:tc>
          <w:tcPr>
            <w:tcW w:w="5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35868"/>
            <w:tcMar>
              <w:top w:w="80" w:type="dxa"/>
              <w:left w:w="80" w:type="dxa"/>
              <w:bottom w:w="80" w:type="dxa"/>
              <w:right w:w="80" w:type="dxa"/>
            </w:tcMar>
          </w:tcPr>
          <w:p w14:paraId="353E48CD" w14:textId="77777777" w:rsidR="001C7A69" w:rsidRPr="00A74ED2" w:rsidRDefault="001C7A69" w:rsidP="000A384C">
            <w:pPr>
              <w:pStyle w:val="Tabletext"/>
              <w:jc w:val="center"/>
              <w:rPr>
                <w:rFonts w:asciiTheme="minorHAnsi" w:hAnsiTheme="minorHAnsi"/>
                <w:color w:val="FFFFFF" w:themeColor="background1"/>
              </w:rPr>
            </w:pPr>
            <w:r w:rsidRPr="00A74ED2">
              <w:rPr>
                <w:rFonts w:asciiTheme="minorHAnsi" w:hAnsiTheme="minorHAnsi"/>
                <w:color w:val="FFFFFF" w:themeColor="background1"/>
              </w:rPr>
              <w:t>R</w:t>
            </w:r>
          </w:p>
        </w:tc>
        <w:tc>
          <w:tcPr>
            <w:tcW w:w="5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35868"/>
            <w:tcMar>
              <w:top w:w="80" w:type="dxa"/>
              <w:left w:w="80" w:type="dxa"/>
              <w:bottom w:w="80" w:type="dxa"/>
              <w:right w:w="80" w:type="dxa"/>
            </w:tcMar>
          </w:tcPr>
          <w:p w14:paraId="317BA08A" w14:textId="77777777" w:rsidR="001C7A69" w:rsidRPr="00A74ED2" w:rsidRDefault="001C7A69" w:rsidP="000A384C">
            <w:pPr>
              <w:pStyle w:val="Tabletext"/>
              <w:jc w:val="center"/>
              <w:rPr>
                <w:rFonts w:asciiTheme="minorHAnsi" w:hAnsiTheme="minorHAnsi"/>
                <w:color w:val="FFFFFF" w:themeColor="background1"/>
              </w:rPr>
            </w:pPr>
            <w:r w:rsidRPr="00A74ED2">
              <w:rPr>
                <w:rFonts w:asciiTheme="minorHAnsi" w:hAnsiTheme="minorHAnsi"/>
                <w:color w:val="FFFFFF" w:themeColor="background1"/>
              </w:rPr>
              <w:t>L</w:t>
            </w:r>
          </w:p>
        </w:tc>
      </w:tr>
      <w:tr w:rsidR="001C7A69" w:rsidRPr="00A74ED2" w14:paraId="20F99304" w14:textId="77777777" w:rsidTr="000A384C">
        <w:tc>
          <w:tcPr>
            <w:tcW w:w="388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6B989B4C" w14:textId="77777777" w:rsidR="001C7A69" w:rsidRPr="00A74ED2" w:rsidRDefault="001C7A69" w:rsidP="000A384C">
            <w:pPr>
              <w:pStyle w:val="Tabletext"/>
              <w:rPr>
                <w:rFonts w:asciiTheme="minorHAnsi" w:hAnsiTheme="minorHAnsi"/>
                <w:color w:val="000000" w:themeColor="text1"/>
              </w:rPr>
            </w:pPr>
            <w:r w:rsidRPr="00A74ED2">
              <w:rPr>
                <w:rFonts w:asciiTheme="minorHAnsi" w:hAnsiTheme="minorHAnsi"/>
                <w:color w:val="000000" w:themeColor="text1"/>
              </w:rPr>
              <w:t>a. Pain, aching, or burning in feet, legs</w:t>
            </w:r>
          </w:p>
        </w:tc>
        <w:tc>
          <w:tcPr>
            <w:tcW w:w="5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588A997C" w14:textId="77777777" w:rsidR="001C7A69" w:rsidRPr="00A74ED2" w:rsidRDefault="001C7A69" w:rsidP="000A384C">
            <w:pPr>
              <w:pStyle w:val="Tabletext"/>
              <w:rPr>
                <w:rFonts w:asciiTheme="minorHAnsi" w:hAnsiTheme="minorHAnsi"/>
                <w:color w:val="000000" w:themeColor="text1"/>
              </w:rPr>
            </w:pPr>
          </w:p>
        </w:tc>
        <w:tc>
          <w:tcPr>
            <w:tcW w:w="5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582F1305" w14:textId="77777777" w:rsidR="001C7A69" w:rsidRPr="00A74ED2" w:rsidRDefault="001C7A69" w:rsidP="000A384C">
            <w:pPr>
              <w:pStyle w:val="Tabletext"/>
              <w:rPr>
                <w:rFonts w:asciiTheme="minorHAnsi" w:hAnsiTheme="minorHAnsi"/>
                <w:color w:val="000000" w:themeColor="text1"/>
              </w:rPr>
            </w:pPr>
          </w:p>
        </w:tc>
      </w:tr>
      <w:tr w:rsidR="001C7A69" w:rsidRPr="00A74ED2" w14:paraId="6FB80D41" w14:textId="77777777" w:rsidTr="000A384C">
        <w:tc>
          <w:tcPr>
            <w:tcW w:w="388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2189BF05" w14:textId="77777777" w:rsidR="001C7A69" w:rsidRPr="00A74ED2" w:rsidRDefault="001C7A69" w:rsidP="000A384C">
            <w:pPr>
              <w:pStyle w:val="Tabletext"/>
              <w:rPr>
                <w:rFonts w:asciiTheme="minorHAnsi" w:hAnsiTheme="minorHAnsi"/>
                <w:color w:val="000000" w:themeColor="text1"/>
              </w:rPr>
            </w:pPr>
            <w:r w:rsidRPr="00A74ED2">
              <w:rPr>
                <w:rFonts w:asciiTheme="minorHAnsi" w:hAnsiTheme="minorHAnsi"/>
                <w:color w:val="000000" w:themeColor="text1"/>
              </w:rPr>
              <w:t>b. "Pins and needles" in feet, legs</w:t>
            </w:r>
          </w:p>
        </w:tc>
        <w:tc>
          <w:tcPr>
            <w:tcW w:w="5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3C71EFFE" w14:textId="77777777" w:rsidR="001C7A69" w:rsidRPr="00A74ED2" w:rsidRDefault="001C7A69" w:rsidP="000A384C">
            <w:pPr>
              <w:pStyle w:val="Tabletext"/>
              <w:rPr>
                <w:rFonts w:asciiTheme="minorHAnsi" w:hAnsiTheme="minorHAnsi"/>
                <w:color w:val="000000" w:themeColor="text1"/>
              </w:rPr>
            </w:pPr>
          </w:p>
        </w:tc>
        <w:tc>
          <w:tcPr>
            <w:tcW w:w="5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7A10C08E" w14:textId="77777777" w:rsidR="001C7A69" w:rsidRPr="00A74ED2" w:rsidRDefault="001C7A69" w:rsidP="000A384C">
            <w:pPr>
              <w:pStyle w:val="Tabletext"/>
              <w:rPr>
                <w:rFonts w:asciiTheme="minorHAnsi" w:hAnsiTheme="minorHAnsi"/>
                <w:color w:val="000000" w:themeColor="text1"/>
              </w:rPr>
            </w:pPr>
          </w:p>
        </w:tc>
      </w:tr>
      <w:tr w:rsidR="001C7A69" w:rsidRPr="00A74ED2" w14:paraId="0118DB72" w14:textId="77777777" w:rsidTr="000A384C">
        <w:tc>
          <w:tcPr>
            <w:tcW w:w="388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02E1789E" w14:textId="77777777" w:rsidR="001C7A69" w:rsidRPr="00A74ED2" w:rsidRDefault="001C7A69" w:rsidP="000A384C">
            <w:pPr>
              <w:pStyle w:val="Tabletext"/>
              <w:rPr>
                <w:rFonts w:asciiTheme="minorHAnsi" w:hAnsiTheme="minorHAnsi"/>
                <w:color w:val="000000" w:themeColor="text1"/>
              </w:rPr>
            </w:pPr>
            <w:r w:rsidRPr="00A74ED2">
              <w:rPr>
                <w:rFonts w:asciiTheme="minorHAnsi" w:hAnsiTheme="minorHAnsi"/>
                <w:color w:val="000000" w:themeColor="text1"/>
              </w:rPr>
              <w:t>c. Numbness (lack of feeling) in feet, legs</w:t>
            </w:r>
          </w:p>
        </w:tc>
        <w:tc>
          <w:tcPr>
            <w:tcW w:w="58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1EDCFE92" w14:textId="77777777" w:rsidR="001C7A69" w:rsidRPr="00A74ED2" w:rsidRDefault="001C7A69" w:rsidP="000A384C">
            <w:pPr>
              <w:pStyle w:val="Tabletext"/>
              <w:rPr>
                <w:rFonts w:asciiTheme="minorHAnsi" w:hAnsiTheme="minorHAnsi"/>
                <w:color w:val="000000" w:themeColor="text1"/>
              </w:rPr>
            </w:pPr>
          </w:p>
        </w:tc>
        <w:tc>
          <w:tcPr>
            <w:tcW w:w="5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80" w:type="dxa"/>
              <w:left w:w="80" w:type="dxa"/>
              <w:bottom w:w="80" w:type="dxa"/>
              <w:right w:w="80" w:type="dxa"/>
            </w:tcMar>
          </w:tcPr>
          <w:p w14:paraId="1F1EF139" w14:textId="77777777" w:rsidR="001C7A69" w:rsidRPr="00A74ED2" w:rsidRDefault="001C7A69" w:rsidP="000A384C">
            <w:pPr>
              <w:pStyle w:val="Tabletext"/>
              <w:rPr>
                <w:rFonts w:asciiTheme="minorHAnsi" w:hAnsiTheme="minorHAnsi"/>
                <w:color w:val="000000" w:themeColor="text1"/>
              </w:rPr>
            </w:pPr>
          </w:p>
        </w:tc>
      </w:tr>
    </w:tbl>
    <w:p w14:paraId="31A75FAF" w14:textId="77777777" w:rsidR="001C7A69" w:rsidRPr="00A74ED2" w:rsidRDefault="001C7A69" w:rsidP="001C7A69">
      <w:pPr>
        <w:pStyle w:val="Tabletext"/>
        <w:rPr>
          <w:rFonts w:asciiTheme="minorHAnsi" w:hAnsiTheme="minorHAnsi"/>
          <w:color w:val="000000" w:themeColor="text1"/>
        </w:rPr>
      </w:pPr>
    </w:p>
    <w:p w14:paraId="7D0E8A0C" w14:textId="77777777" w:rsidR="001C7A69" w:rsidRDefault="001C7A69" w:rsidP="001C7A69">
      <w:pPr>
        <w:pStyle w:val="Tabletext"/>
        <w:rPr>
          <w:rFonts w:asciiTheme="minorHAnsi" w:hAnsiTheme="minorHAnsi"/>
          <w:color w:val="000000" w:themeColor="text1"/>
        </w:rPr>
      </w:pPr>
      <w:r w:rsidRPr="00A74ED2">
        <w:rPr>
          <w:rFonts w:asciiTheme="minorHAnsi" w:hAnsiTheme="minorHAnsi"/>
          <w:color w:val="000000" w:themeColor="text1"/>
        </w:rPr>
        <w:t>Use the single highest severity score above to obtain a subjective sensory neuropathy score.</w:t>
      </w:r>
    </w:p>
    <w:p w14:paraId="63C0CB01" w14:textId="77777777" w:rsidR="006A6A2F" w:rsidRPr="00A74ED2" w:rsidRDefault="006A6A2F" w:rsidP="001C7A69">
      <w:pPr>
        <w:pStyle w:val="Tabletext"/>
        <w:rPr>
          <w:rFonts w:asciiTheme="minorHAnsi" w:hAnsiTheme="minorHAnsi"/>
          <w:color w:val="000000" w:themeColor="text1"/>
        </w:rPr>
      </w:pPr>
    </w:p>
    <w:tbl>
      <w:tblPr>
        <w:tblW w:w="389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Pr>
      <w:tblGrid>
        <w:gridCol w:w="3508"/>
        <w:gridCol w:w="3509"/>
      </w:tblGrid>
      <w:tr w:rsidR="001C7A69" w:rsidRPr="00A74ED2" w14:paraId="1D64183D" w14:textId="77777777" w:rsidTr="002C1688">
        <w:trPr>
          <w:jc w:val="center"/>
        </w:trPr>
        <w:tc>
          <w:tcPr>
            <w:tcW w:w="2500" w:type="pct"/>
            <w:shd w:val="clear" w:color="auto" w:fill="235868"/>
            <w:vAlign w:val="center"/>
          </w:tcPr>
          <w:p w14:paraId="31D2F305" w14:textId="77777777" w:rsidR="001C7A69" w:rsidRPr="00A74ED2" w:rsidRDefault="001C7A69" w:rsidP="000A384C">
            <w:pPr>
              <w:pStyle w:val="Tabletext"/>
              <w:rPr>
                <w:rFonts w:asciiTheme="minorHAnsi" w:hAnsiTheme="minorHAnsi"/>
                <w:color w:val="FFFFFF" w:themeColor="background1"/>
              </w:rPr>
            </w:pPr>
            <w:r w:rsidRPr="00A74ED2">
              <w:rPr>
                <w:rFonts w:asciiTheme="minorHAnsi" w:hAnsiTheme="minorHAnsi"/>
                <w:color w:val="FFFFFF" w:themeColor="background1"/>
              </w:rPr>
              <w:t>Subjective Sensory Neuropathy Score</w:t>
            </w:r>
          </w:p>
        </w:tc>
        <w:tc>
          <w:tcPr>
            <w:tcW w:w="2500" w:type="pct"/>
            <w:shd w:val="clear" w:color="auto" w:fill="235868"/>
            <w:vAlign w:val="center"/>
          </w:tcPr>
          <w:p w14:paraId="04C1E468" w14:textId="77777777" w:rsidR="001C7A69" w:rsidRPr="00A74ED2" w:rsidRDefault="001C7A69" w:rsidP="000A384C">
            <w:pPr>
              <w:pStyle w:val="Tabletext"/>
              <w:jc w:val="center"/>
              <w:rPr>
                <w:rFonts w:asciiTheme="minorHAnsi" w:hAnsiTheme="minorHAnsi"/>
                <w:color w:val="FFFFFF" w:themeColor="background1"/>
              </w:rPr>
            </w:pPr>
            <w:r w:rsidRPr="00A74ED2">
              <w:rPr>
                <w:rFonts w:asciiTheme="minorHAnsi" w:hAnsiTheme="minorHAnsi"/>
                <w:color w:val="FFFFFF" w:themeColor="background1"/>
              </w:rPr>
              <w:t>Severity grade</w:t>
            </w:r>
          </w:p>
        </w:tc>
      </w:tr>
      <w:tr w:rsidR="001C7A69" w:rsidRPr="00A74ED2" w14:paraId="786A604D" w14:textId="77777777" w:rsidTr="002C1688">
        <w:trPr>
          <w:jc w:val="center"/>
        </w:trPr>
        <w:tc>
          <w:tcPr>
            <w:tcW w:w="2500" w:type="pct"/>
            <w:vAlign w:val="center"/>
          </w:tcPr>
          <w:p w14:paraId="2402A751" w14:textId="77777777" w:rsidR="001C7A69" w:rsidRPr="00A74ED2" w:rsidRDefault="001C7A69" w:rsidP="000A384C">
            <w:pPr>
              <w:pStyle w:val="Tabletext"/>
              <w:rPr>
                <w:rFonts w:asciiTheme="minorHAnsi" w:hAnsiTheme="minorHAnsi"/>
                <w:color w:val="000000" w:themeColor="text1"/>
              </w:rPr>
            </w:pPr>
            <w:r w:rsidRPr="00A74ED2">
              <w:rPr>
                <w:rFonts w:asciiTheme="minorHAnsi" w:hAnsiTheme="minorHAnsi"/>
                <w:color w:val="000000" w:themeColor="text1"/>
              </w:rPr>
              <w:t>00</w:t>
            </w:r>
          </w:p>
        </w:tc>
        <w:tc>
          <w:tcPr>
            <w:tcW w:w="2500" w:type="pct"/>
            <w:vAlign w:val="center"/>
          </w:tcPr>
          <w:p w14:paraId="14D98906"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0</w:t>
            </w:r>
          </w:p>
        </w:tc>
      </w:tr>
      <w:tr w:rsidR="001C7A69" w:rsidRPr="00A74ED2" w14:paraId="773B3957" w14:textId="77777777" w:rsidTr="002C1688">
        <w:trPr>
          <w:jc w:val="center"/>
        </w:trPr>
        <w:tc>
          <w:tcPr>
            <w:tcW w:w="2500" w:type="pct"/>
            <w:vAlign w:val="center"/>
          </w:tcPr>
          <w:p w14:paraId="23FD61DC" w14:textId="77777777" w:rsidR="001C7A69" w:rsidRPr="00A74ED2" w:rsidRDefault="001C7A69" w:rsidP="000A384C">
            <w:pPr>
              <w:pStyle w:val="Tabletext"/>
              <w:rPr>
                <w:rFonts w:asciiTheme="minorHAnsi" w:hAnsiTheme="minorHAnsi"/>
                <w:color w:val="000000" w:themeColor="text1"/>
              </w:rPr>
            </w:pPr>
            <w:r w:rsidRPr="00A74ED2">
              <w:rPr>
                <w:rFonts w:asciiTheme="minorHAnsi" w:hAnsiTheme="minorHAnsi"/>
                <w:color w:val="000000" w:themeColor="text1"/>
              </w:rPr>
              <w:t>01 – 03</w:t>
            </w:r>
          </w:p>
        </w:tc>
        <w:tc>
          <w:tcPr>
            <w:tcW w:w="2500" w:type="pct"/>
            <w:vAlign w:val="center"/>
          </w:tcPr>
          <w:p w14:paraId="4AA00060"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1</w:t>
            </w:r>
          </w:p>
        </w:tc>
      </w:tr>
      <w:tr w:rsidR="001C7A69" w:rsidRPr="00A74ED2" w14:paraId="7C3229EB" w14:textId="77777777" w:rsidTr="002C1688">
        <w:trPr>
          <w:jc w:val="center"/>
        </w:trPr>
        <w:tc>
          <w:tcPr>
            <w:tcW w:w="2500" w:type="pct"/>
            <w:vAlign w:val="center"/>
          </w:tcPr>
          <w:p w14:paraId="3613AFF9" w14:textId="77777777" w:rsidR="001C7A69" w:rsidRPr="00A74ED2" w:rsidRDefault="001C7A69" w:rsidP="000A384C">
            <w:pPr>
              <w:pStyle w:val="Tabletext"/>
              <w:rPr>
                <w:rFonts w:asciiTheme="minorHAnsi" w:hAnsiTheme="minorHAnsi"/>
                <w:color w:val="000000" w:themeColor="text1"/>
              </w:rPr>
            </w:pPr>
            <w:r w:rsidRPr="00A74ED2">
              <w:rPr>
                <w:rFonts w:asciiTheme="minorHAnsi" w:hAnsiTheme="minorHAnsi"/>
                <w:color w:val="000000" w:themeColor="text1"/>
              </w:rPr>
              <w:t>04 – 06</w:t>
            </w:r>
          </w:p>
        </w:tc>
        <w:tc>
          <w:tcPr>
            <w:tcW w:w="2500" w:type="pct"/>
            <w:vAlign w:val="center"/>
          </w:tcPr>
          <w:p w14:paraId="2C52B68E"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2</w:t>
            </w:r>
          </w:p>
        </w:tc>
      </w:tr>
      <w:tr w:rsidR="001C7A69" w:rsidRPr="00A74ED2" w14:paraId="35019668" w14:textId="77777777" w:rsidTr="002C1688">
        <w:trPr>
          <w:jc w:val="center"/>
        </w:trPr>
        <w:tc>
          <w:tcPr>
            <w:tcW w:w="2500" w:type="pct"/>
            <w:vAlign w:val="center"/>
          </w:tcPr>
          <w:p w14:paraId="2B7F0F63" w14:textId="77777777" w:rsidR="001C7A69" w:rsidRPr="00A74ED2" w:rsidRDefault="001C7A69" w:rsidP="000A384C">
            <w:pPr>
              <w:pStyle w:val="Tabletext"/>
              <w:rPr>
                <w:rFonts w:asciiTheme="minorHAnsi" w:hAnsiTheme="minorHAnsi"/>
                <w:color w:val="000000" w:themeColor="text1"/>
              </w:rPr>
            </w:pPr>
            <w:r w:rsidRPr="00A74ED2">
              <w:rPr>
                <w:rFonts w:asciiTheme="minorHAnsi" w:hAnsiTheme="minorHAnsi"/>
                <w:color w:val="000000" w:themeColor="text1"/>
              </w:rPr>
              <w:t>07 – 10</w:t>
            </w:r>
          </w:p>
        </w:tc>
        <w:tc>
          <w:tcPr>
            <w:tcW w:w="2500" w:type="pct"/>
            <w:vAlign w:val="center"/>
          </w:tcPr>
          <w:p w14:paraId="447E1BE9" w14:textId="77777777" w:rsidR="001C7A69" w:rsidRPr="00A74ED2" w:rsidRDefault="001C7A69" w:rsidP="000A384C">
            <w:pPr>
              <w:pStyle w:val="Tabletext"/>
              <w:jc w:val="center"/>
              <w:rPr>
                <w:rFonts w:asciiTheme="minorHAnsi" w:hAnsiTheme="minorHAnsi"/>
                <w:color w:val="000000" w:themeColor="text1"/>
              </w:rPr>
            </w:pPr>
            <w:r w:rsidRPr="00A74ED2">
              <w:rPr>
                <w:rFonts w:asciiTheme="minorHAnsi" w:hAnsiTheme="minorHAnsi"/>
                <w:color w:val="000000" w:themeColor="text1"/>
              </w:rPr>
              <w:t>3</w:t>
            </w:r>
          </w:p>
        </w:tc>
      </w:tr>
    </w:tbl>
    <w:p w14:paraId="21ED62F6" w14:textId="77777777" w:rsidR="006A6A2F" w:rsidRDefault="006A6A2F" w:rsidP="001C7A69">
      <w:pPr>
        <w:rPr>
          <w:rFonts w:asciiTheme="minorHAnsi" w:hAnsiTheme="minorHAnsi" w:cstheme="minorHAnsi"/>
          <w:b/>
          <w:bCs/>
          <w:color w:val="000000" w:themeColor="text1"/>
        </w:rPr>
      </w:pPr>
    </w:p>
    <w:p w14:paraId="18F3E8AD" w14:textId="77777777"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Step 2. Evaluate Perception of Vibration</w:t>
      </w:r>
    </w:p>
    <w:p w14:paraId="603206F8" w14:textId="77777777"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Compress the ends of a 128-Hz tuning fork just hard enough that the sides touch. Place the vibrating tuning fork on a bony prominence on the subject's wrist or hand to be sure that he/she can recognize the vibration or "buzzing" quality of the tuning fork. Again, compress the ends of the tuning fork just hard enough that the sides touch. Immediately place the vibrating tuning fork gently but firmly on the top of the distal interphalangeal (DIP) joint of one great toe and begin counting the seconds. Instruct the subject to tell you when the "buzzing" stops. Repeat for the other great toe.  The diagram below illustrates where to place the tuning fork (adapted from International Working Group on the Diabetic Foot, Practical guidelines on the management and prevention of the diabetic, 2007).</w:t>
      </w:r>
    </w:p>
    <w:p w14:paraId="59FCC04D" w14:textId="1D7F7BA6" w:rsidR="001C7A69" w:rsidRPr="00B85017" w:rsidRDefault="001C7A69" w:rsidP="008E4087">
      <w:pPr>
        <w:jc w:val="center"/>
        <w:rPr>
          <w:color w:val="000000" w:themeColor="text1"/>
        </w:rPr>
      </w:pPr>
      <w:r>
        <w:rPr>
          <w:noProof/>
        </w:rPr>
        <w:drawing>
          <wp:inline distT="0" distB="0" distL="0" distR="0" wp14:anchorId="24AED8D6" wp14:editId="6F794B56">
            <wp:extent cx="1550185" cy="1945640"/>
            <wp:effectExtent l="0" t="0" r="0" b="10160"/>
            <wp:docPr id="305988046" name="Picture 1690839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0839787"/>
                    <pic:cNvPicPr/>
                  </pic:nvPicPr>
                  <pic:blipFill>
                    <a:blip r:embed="rId31">
                      <a:extLst>
                        <a:ext uri="{28A0092B-C50C-407E-A947-70E740481C1C}">
                          <a14:useLocalDpi xmlns:a14="http://schemas.microsoft.com/office/drawing/2010/main" val="0"/>
                        </a:ext>
                      </a:extLst>
                    </a:blip>
                    <a:stretch>
                      <a:fillRect/>
                    </a:stretch>
                  </pic:blipFill>
                  <pic:spPr>
                    <a:xfrm>
                      <a:off x="0" y="0"/>
                      <a:ext cx="1550185" cy="1945640"/>
                    </a:xfrm>
                    <a:prstGeom prst="rect">
                      <a:avLst/>
                    </a:prstGeom>
                  </pic:spPr>
                </pic:pic>
              </a:graphicData>
            </a:graphic>
          </wp:inline>
        </w:drawing>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Pr>
      <w:tblGrid>
        <w:gridCol w:w="4779"/>
        <w:gridCol w:w="2804"/>
        <w:gridCol w:w="1434"/>
      </w:tblGrid>
      <w:tr w:rsidR="001C7A69" w:rsidRPr="00B85017" w14:paraId="1286CD81" w14:textId="77777777" w:rsidTr="002C1688">
        <w:trPr>
          <w:jc w:val="center"/>
        </w:trPr>
        <w:tc>
          <w:tcPr>
            <w:tcW w:w="2650" w:type="pct"/>
            <w:shd w:val="clear" w:color="auto" w:fill="235868"/>
            <w:vAlign w:val="center"/>
          </w:tcPr>
          <w:p w14:paraId="506A351F" w14:textId="77777777" w:rsidR="001C7A69" w:rsidRPr="008E4087" w:rsidRDefault="001C7A69" w:rsidP="000A384C">
            <w:pPr>
              <w:pStyle w:val="Tabletext"/>
              <w:rPr>
                <w:rFonts w:asciiTheme="minorHAnsi" w:hAnsiTheme="minorHAnsi"/>
                <w:color w:val="FFFFFF" w:themeColor="background1"/>
              </w:rPr>
            </w:pPr>
            <w:r w:rsidRPr="008E4087">
              <w:rPr>
                <w:rFonts w:asciiTheme="minorHAnsi" w:hAnsiTheme="minorHAnsi"/>
                <w:color w:val="FFFFFF" w:themeColor="background1"/>
              </w:rPr>
              <w:lastRenderedPageBreak/>
              <w:t>Vibration perception</w:t>
            </w:r>
          </w:p>
        </w:tc>
        <w:tc>
          <w:tcPr>
            <w:tcW w:w="1555" w:type="pct"/>
            <w:shd w:val="clear" w:color="auto" w:fill="235868"/>
            <w:vAlign w:val="center"/>
          </w:tcPr>
          <w:p w14:paraId="1584B65D" w14:textId="77777777" w:rsidR="001C7A69" w:rsidRPr="008E4087" w:rsidRDefault="001C7A69" w:rsidP="000A384C">
            <w:pPr>
              <w:pStyle w:val="Tabletext"/>
              <w:jc w:val="center"/>
              <w:rPr>
                <w:rFonts w:asciiTheme="minorHAnsi" w:hAnsiTheme="minorHAnsi"/>
                <w:color w:val="FFFFFF" w:themeColor="background1"/>
              </w:rPr>
            </w:pPr>
            <w:r w:rsidRPr="008E4087">
              <w:rPr>
                <w:rFonts w:asciiTheme="minorHAnsi" w:hAnsiTheme="minorHAnsi"/>
                <w:color w:val="FFFFFF" w:themeColor="background1"/>
              </w:rPr>
              <w:t>Result</w:t>
            </w:r>
          </w:p>
        </w:tc>
        <w:tc>
          <w:tcPr>
            <w:tcW w:w="795" w:type="pct"/>
            <w:shd w:val="clear" w:color="auto" w:fill="235868"/>
            <w:vAlign w:val="center"/>
          </w:tcPr>
          <w:p w14:paraId="1F54C7EF" w14:textId="77777777" w:rsidR="001C7A69" w:rsidRPr="008E4087" w:rsidRDefault="001C7A69" w:rsidP="000A384C">
            <w:pPr>
              <w:pStyle w:val="Tabletext"/>
              <w:jc w:val="center"/>
              <w:rPr>
                <w:rFonts w:asciiTheme="minorHAnsi" w:hAnsiTheme="minorHAnsi"/>
                <w:color w:val="FFFFFF" w:themeColor="background1"/>
              </w:rPr>
            </w:pPr>
            <w:r w:rsidRPr="008E4087">
              <w:rPr>
                <w:rFonts w:asciiTheme="minorHAnsi" w:hAnsiTheme="minorHAnsi"/>
                <w:color w:val="FFFFFF" w:themeColor="background1"/>
              </w:rPr>
              <w:t>Score</w:t>
            </w:r>
          </w:p>
        </w:tc>
      </w:tr>
      <w:tr w:rsidR="001C7A69" w:rsidRPr="00B85017" w14:paraId="26D756B5" w14:textId="77777777" w:rsidTr="002C1688">
        <w:trPr>
          <w:jc w:val="center"/>
        </w:trPr>
        <w:tc>
          <w:tcPr>
            <w:tcW w:w="2650" w:type="pct"/>
            <w:vAlign w:val="center"/>
          </w:tcPr>
          <w:p w14:paraId="588691BF" w14:textId="77777777" w:rsidR="001C7A69" w:rsidRPr="008E4087" w:rsidRDefault="001C7A69" w:rsidP="000A384C">
            <w:pPr>
              <w:pStyle w:val="Tabletext"/>
              <w:rPr>
                <w:rFonts w:asciiTheme="minorHAnsi" w:hAnsiTheme="minorHAnsi"/>
                <w:color w:val="000000" w:themeColor="text1"/>
              </w:rPr>
            </w:pPr>
            <w:r w:rsidRPr="008E4087">
              <w:rPr>
                <w:rFonts w:asciiTheme="minorHAnsi" w:hAnsiTheme="minorHAnsi"/>
                <w:color w:val="000000" w:themeColor="text1"/>
              </w:rPr>
              <w:t>Felt &gt; 10 seconds</w:t>
            </w:r>
          </w:p>
        </w:tc>
        <w:tc>
          <w:tcPr>
            <w:tcW w:w="1555" w:type="pct"/>
            <w:vAlign w:val="center"/>
          </w:tcPr>
          <w:p w14:paraId="3D923BF5" w14:textId="77777777" w:rsidR="001C7A69" w:rsidRPr="008E4087" w:rsidRDefault="001C7A69" w:rsidP="000A384C">
            <w:pPr>
              <w:pStyle w:val="Tabletext"/>
              <w:jc w:val="center"/>
              <w:rPr>
                <w:rFonts w:asciiTheme="minorHAnsi" w:hAnsiTheme="minorHAnsi"/>
                <w:color w:val="000000" w:themeColor="text1"/>
              </w:rPr>
            </w:pPr>
            <w:r w:rsidRPr="008E4087">
              <w:rPr>
                <w:rFonts w:asciiTheme="minorHAnsi" w:hAnsiTheme="minorHAnsi"/>
                <w:color w:val="000000" w:themeColor="text1"/>
              </w:rPr>
              <w:t>Normal</w:t>
            </w:r>
          </w:p>
        </w:tc>
        <w:tc>
          <w:tcPr>
            <w:tcW w:w="795" w:type="pct"/>
            <w:vAlign w:val="center"/>
          </w:tcPr>
          <w:p w14:paraId="2E12EB3D" w14:textId="77777777" w:rsidR="001C7A69" w:rsidRPr="008E4087" w:rsidRDefault="001C7A69" w:rsidP="000A384C">
            <w:pPr>
              <w:pStyle w:val="Tabletext"/>
              <w:jc w:val="center"/>
              <w:rPr>
                <w:rFonts w:asciiTheme="minorHAnsi" w:hAnsiTheme="minorHAnsi"/>
                <w:color w:val="000000" w:themeColor="text1"/>
              </w:rPr>
            </w:pPr>
            <w:r w:rsidRPr="008E4087">
              <w:rPr>
                <w:rFonts w:asciiTheme="minorHAnsi" w:hAnsiTheme="minorHAnsi"/>
                <w:color w:val="000000" w:themeColor="text1"/>
              </w:rPr>
              <w:t>0</w:t>
            </w:r>
          </w:p>
        </w:tc>
      </w:tr>
      <w:tr w:rsidR="001C7A69" w:rsidRPr="00B85017" w14:paraId="6FCB90B3" w14:textId="77777777" w:rsidTr="002C1688">
        <w:trPr>
          <w:jc w:val="center"/>
        </w:trPr>
        <w:tc>
          <w:tcPr>
            <w:tcW w:w="2650" w:type="pct"/>
            <w:vAlign w:val="center"/>
          </w:tcPr>
          <w:p w14:paraId="2E262589" w14:textId="77777777" w:rsidR="001C7A69" w:rsidRPr="008E4087" w:rsidRDefault="001C7A69" w:rsidP="000A384C">
            <w:pPr>
              <w:pStyle w:val="Tabletext"/>
              <w:rPr>
                <w:rFonts w:asciiTheme="minorHAnsi" w:hAnsiTheme="minorHAnsi"/>
                <w:color w:val="000000" w:themeColor="text1"/>
              </w:rPr>
            </w:pPr>
            <w:r w:rsidRPr="008E4087">
              <w:rPr>
                <w:rFonts w:asciiTheme="minorHAnsi" w:hAnsiTheme="minorHAnsi"/>
                <w:color w:val="000000" w:themeColor="text1"/>
              </w:rPr>
              <w:t>Felt 6-10 seconds</w:t>
            </w:r>
          </w:p>
        </w:tc>
        <w:tc>
          <w:tcPr>
            <w:tcW w:w="1555" w:type="pct"/>
            <w:vAlign w:val="center"/>
          </w:tcPr>
          <w:p w14:paraId="087AD310" w14:textId="77777777" w:rsidR="001C7A69" w:rsidRPr="008E4087" w:rsidRDefault="001C7A69" w:rsidP="000A384C">
            <w:pPr>
              <w:pStyle w:val="Tabletext"/>
              <w:jc w:val="center"/>
              <w:rPr>
                <w:rFonts w:asciiTheme="minorHAnsi" w:hAnsiTheme="minorHAnsi"/>
                <w:color w:val="000000" w:themeColor="text1"/>
              </w:rPr>
            </w:pPr>
            <w:r w:rsidRPr="008E4087">
              <w:rPr>
                <w:rFonts w:asciiTheme="minorHAnsi" w:hAnsiTheme="minorHAnsi"/>
                <w:color w:val="000000" w:themeColor="text1"/>
              </w:rPr>
              <w:t>Mild loss</w:t>
            </w:r>
          </w:p>
        </w:tc>
        <w:tc>
          <w:tcPr>
            <w:tcW w:w="795" w:type="pct"/>
            <w:vAlign w:val="center"/>
          </w:tcPr>
          <w:p w14:paraId="6AFFBB91" w14:textId="77777777" w:rsidR="001C7A69" w:rsidRPr="008E4087" w:rsidRDefault="001C7A69" w:rsidP="000A384C">
            <w:pPr>
              <w:pStyle w:val="Tabletext"/>
              <w:jc w:val="center"/>
              <w:rPr>
                <w:rFonts w:asciiTheme="minorHAnsi" w:hAnsiTheme="minorHAnsi"/>
                <w:color w:val="000000" w:themeColor="text1"/>
              </w:rPr>
            </w:pPr>
            <w:r w:rsidRPr="008E4087">
              <w:rPr>
                <w:rFonts w:asciiTheme="minorHAnsi" w:hAnsiTheme="minorHAnsi"/>
                <w:color w:val="000000" w:themeColor="text1"/>
              </w:rPr>
              <w:t>1</w:t>
            </w:r>
          </w:p>
        </w:tc>
      </w:tr>
      <w:tr w:rsidR="001C7A69" w:rsidRPr="00B85017" w14:paraId="5A0E745F" w14:textId="77777777" w:rsidTr="002C1688">
        <w:trPr>
          <w:jc w:val="center"/>
        </w:trPr>
        <w:tc>
          <w:tcPr>
            <w:tcW w:w="2650" w:type="pct"/>
            <w:vAlign w:val="center"/>
          </w:tcPr>
          <w:p w14:paraId="6F7B19F0" w14:textId="77777777" w:rsidR="001C7A69" w:rsidRPr="008E4087" w:rsidRDefault="001C7A69" w:rsidP="000A384C">
            <w:pPr>
              <w:pStyle w:val="Tabletext"/>
              <w:rPr>
                <w:rFonts w:asciiTheme="minorHAnsi" w:hAnsiTheme="minorHAnsi"/>
                <w:color w:val="000000" w:themeColor="text1"/>
              </w:rPr>
            </w:pPr>
            <w:r w:rsidRPr="008E4087">
              <w:rPr>
                <w:rFonts w:asciiTheme="minorHAnsi" w:hAnsiTheme="minorHAnsi"/>
                <w:color w:val="000000" w:themeColor="text1"/>
              </w:rPr>
              <w:t>Felt &lt;5 seconds</w:t>
            </w:r>
          </w:p>
        </w:tc>
        <w:tc>
          <w:tcPr>
            <w:tcW w:w="1555" w:type="pct"/>
            <w:vAlign w:val="center"/>
          </w:tcPr>
          <w:p w14:paraId="609EF037" w14:textId="77777777" w:rsidR="001C7A69" w:rsidRPr="008E4087" w:rsidRDefault="001C7A69" w:rsidP="000A384C">
            <w:pPr>
              <w:pStyle w:val="Tabletext"/>
              <w:jc w:val="center"/>
              <w:rPr>
                <w:rFonts w:asciiTheme="minorHAnsi" w:hAnsiTheme="minorHAnsi"/>
                <w:color w:val="000000" w:themeColor="text1"/>
              </w:rPr>
            </w:pPr>
            <w:r w:rsidRPr="008E4087">
              <w:rPr>
                <w:rFonts w:asciiTheme="minorHAnsi" w:hAnsiTheme="minorHAnsi"/>
                <w:color w:val="000000" w:themeColor="text1"/>
              </w:rPr>
              <w:t>Moderate loss</w:t>
            </w:r>
          </w:p>
        </w:tc>
        <w:tc>
          <w:tcPr>
            <w:tcW w:w="795" w:type="pct"/>
            <w:vAlign w:val="center"/>
          </w:tcPr>
          <w:p w14:paraId="4C725AB3" w14:textId="77777777" w:rsidR="001C7A69" w:rsidRPr="008E4087" w:rsidRDefault="001C7A69" w:rsidP="000A384C">
            <w:pPr>
              <w:pStyle w:val="Tabletext"/>
              <w:jc w:val="center"/>
              <w:rPr>
                <w:rFonts w:asciiTheme="minorHAnsi" w:hAnsiTheme="minorHAnsi"/>
                <w:color w:val="000000" w:themeColor="text1"/>
              </w:rPr>
            </w:pPr>
            <w:r w:rsidRPr="008E4087">
              <w:rPr>
                <w:rFonts w:asciiTheme="minorHAnsi" w:hAnsiTheme="minorHAnsi"/>
                <w:color w:val="000000" w:themeColor="text1"/>
              </w:rPr>
              <w:t>2</w:t>
            </w:r>
          </w:p>
        </w:tc>
      </w:tr>
      <w:tr w:rsidR="001C7A69" w:rsidRPr="00B85017" w14:paraId="774C86D7" w14:textId="77777777" w:rsidTr="002C1688">
        <w:trPr>
          <w:jc w:val="center"/>
        </w:trPr>
        <w:tc>
          <w:tcPr>
            <w:tcW w:w="2650" w:type="pct"/>
            <w:vAlign w:val="center"/>
          </w:tcPr>
          <w:p w14:paraId="77933733" w14:textId="77777777" w:rsidR="001C7A69" w:rsidRPr="008E4087" w:rsidRDefault="001C7A69" w:rsidP="000A384C">
            <w:pPr>
              <w:pStyle w:val="Tabletext"/>
              <w:rPr>
                <w:rFonts w:asciiTheme="minorHAnsi" w:hAnsiTheme="minorHAnsi"/>
                <w:color w:val="000000" w:themeColor="text1"/>
              </w:rPr>
            </w:pPr>
            <w:r w:rsidRPr="008E4087">
              <w:rPr>
                <w:rFonts w:asciiTheme="minorHAnsi" w:hAnsiTheme="minorHAnsi"/>
                <w:color w:val="000000" w:themeColor="text1"/>
              </w:rPr>
              <w:t>Not felt</w:t>
            </w:r>
          </w:p>
        </w:tc>
        <w:tc>
          <w:tcPr>
            <w:tcW w:w="1555" w:type="pct"/>
            <w:vAlign w:val="center"/>
          </w:tcPr>
          <w:p w14:paraId="65B9A5CC" w14:textId="77777777" w:rsidR="001C7A69" w:rsidRPr="008E4087" w:rsidRDefault="001C7A69" w:rsidP="000A384C">
            <w:pPr>
              <w:pStyle w:val="Tabletext"/>
              <w:jc w:val="center"/>
              <w:rPr>
                <w:rFonts w:asciiTheme="minorHAnsi" w:hAnsiTheme="minorHAnsi"/>
                <w:color w:val="000000" w:themeColor="text1"/>
              </w:rPr>
            </w:pPr>
            <w:r w:rsidRPr="008E4087">
              <w:rPr>
                <w:rFonts w:asciiTheme="minorHAnsi" w:hAnsiTheme="minorHAnsi"/>
                <w:color w:val="000000" w:themeColor="text1"/>
              </w:rPr>
              <w:t>Severe loss</w:t>
            </w:r>
          </w:p>
        </w:tc>
        <w:tc>
          <w:tcPr>
            <w:tcW w:w="795" w:type="pct"/>
            <w:vAlign w:val="center"/>
          </w:tcPr>
          <w:p w14:paraId="1E1A7022" w14:textId="77777777" w:rsidR="001C7A69" w:rsidRPr="008E4087" w:rsidRDefault="001C7A69" w:rsidP="000A384C">
            <w:pPr>
              <w:pStyle w:val="Tabletext"/>
              <w:jc w:val="center"/>
              <w:rPr>
                <w:rFonts w:asciiTheme="minorHAnsi" w:hAnsiTheme="minorHAnsi"/>
                <w:color w:val="000000" w:themeColor="text1"/>
              </w:rPr>
            </w:pPr>
            <w:r w:rsidRPr="008E4087">
              <w:rPr>
                <w:rFonts w:asciiTheme="minorHAnsi" w:hAnsiTheme="minorHAnsi"/>
                <w:color w:val="000000" w:themeColor="text1"/>
              </w:rPr>
              <w:t>3</w:t>
            </w:r>
          </w:p>
        </w:tc>
      </w:tr>
    </w:tbl>
    <w:p w14:paraId="4DDDD2AD" w14:textId="77777777"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Step 3. Evaluate Deep Tendon Reflexes</w:t>
      </w:r>
    </w:p>
    <w:p w14:paraId="51E81854" w14:textId="4DA74CEA" w:rsidR="001C7A69" w:rsidRPr="009D1960" w:rsidRDefault="001C7A69" w:rsidP="001C7A69">
      <w:pPr>
        <w:spacing w:after="240"/>
        <w:rPr>
          <w:rFonts w:asciiTheme="minorHAnsi" w:hAnsiTheme="minorHAnsi" w:cstheme="minorHAnsi"/>
          <w:color w:val="000000" w:themeColor="text1"/>
        </w:rPr>
      </w:pPr>
      <w:r w:rsidRPr="009D1960">
        <w:rPr>
          <w:rFonts w:asciiTheme="minorHAnsi" w:hAnsiTheme="minorHAnsi" w:cstheme="minorHAnsi"/>
          <w:color w:val="000000" w:themeColor="text1"/>
        </w:rPr>
        <w:t xml:space="preserve">With the </w:t>
      </w:r>
      <w:r w:rsidR="004778A3">
        <w:rPr>
          <w:rFonts w:asciiTheme="minorHAnsi" w:hAnsiTheme="minorHAnsi" w:cstheme="minorHAnsi"/>
          <w:color w:val="000000" w:themeColor="text1"/>
        </w:rPr>
        <w:t>patient</w:t>
      </w:r>
      <w:r w:rsidRPr="009D1960">
        <w:rPr>
          <w:rFonts w:asciiTheme="minorHAnsi" w:hAnsiTheme="minorHAnsi" w:cstheme="minorHAnsi"/>
          <w:color w:val="000000" w:themeColor="text1"/>
        </w:rPr>
        <w:t xml:space="preserve"> seated, the examiner uses one hand to press upward on the ball of the foot, dorsiflexing the subject's ankle to 90 degrees. Using a reflex hammer, the examiner then strikes the Achilles tendon. The tendon reflex is felt by the examiner's hand as a plantar flexion of the foot, appearing after a slight delay from the time the Achilles tendon is struck. Use reinforcement by having the subject clenching his/her fist before classifying the reflex as absent.</w:t>
      </w:r>
    </w:p>
    <w:tbl>
      <w:tblPr>
        <w:tblW w:w="297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Pr>
      <w:tblGrid>
        <w:gridCol w:w="3427"/>
        <w:gridCol w:w="1933"/>
      </w:tblGrid>
      <w:tr w:rsidR="001C7A69" w:rsidRPr="00B85017" w14:paraId="0E3703B9" w14:textId="77777777" w:rsidTr="002C1688">
        <w:trPr>
          <w:tblHeader/>
          <w:jc w:val="center"/>
        </w:trPr>
        <w:tc>
          <w:tcPr>
            <w:tcW w:w="3197" w:type="pct"/>
            <w:shd w:val="clear" w:color="auto" w:fill="235868"/>
            <w:vAlign w:val="center"/>
          </w:tcPr>
          <w:p w14:paraId="4FFA346B" w14:textId="77777777" w:rsidR="001C7A69" w:rsidRPr="000760B3" w:rsidRDefault="001C7A69" w:rsidP="000A384C">
            <w:pPr>
              <w:pStyle w:val="Tabletext"/>
              <w:rPr>
                <w:rFonts w:asciiTheme="minorHAnsi" w:hAnsiTheme="minorHAnsi"/>
                <w:b/>
                <w:bCs/>
                <w:color w:val="FFFFFF" w:themeColor="background1"/>
              </w:rPr>
            </w:pPr>
            <w:r w:rsidRPr="000760B3">
              <w:rPr>
                <w:rFonts w:asciiTheme="minorHAnsi" w:hAnsiTheme="minorHAnsi"/>
                <w:b/>
                <w:bCs/>
                <w:color w:val="FFFFFF" w:themeColor="background1"/>
              </w:rPr>
              <w:t>Ankle reflexes</w:t>
            </w:r>
          </w:p>
        </w:tc>
        <w:tc>
          <w:tcPr>
            <w:tcW w:w="1803" w:type="pct"/>
            <w:shd w:val="clear" w:color="auto" w:fill="235868"/>
            <w:vAlign w:val="center"/>
          </w:tcPr>
          <w:p w14:paraId="4CB9C7E9" w14:textId="77777777" w:rsidR="001C7A69" w:rsidRPr="000760B3" w:rsidRDefault="001C7A69" w:rsidP="000A384C">
            <w:pPr>
              <w:pStyle w:val="Tabletext"/>
              <w:jc w:val="center"/>
              <w:rPr>
                <w:rFonts w:asciiTheme="minorHAnsi" w:hAnsiTheme="minorHAnsi"/>
                <w:b/>
                <w:bCs/>
                <w:color w:val="FFFFFF" w:themeColor="background1"/>
              </w:rPr>
            </w:pPr>
            <w:r w:rsidRPr="000760B3">
              <w:rPr>
                <w:rFonts w:asciiTheme="minorHAnsi" w:hAnsiTheme="minorHAnsi"/>
                <w:b/>
                <w:bCs/>
                <w:color w:val="FFFFFF" w:themeColor="background1"/>
              </w:rPr>
              <w:t>Score</w:t>
            </w:r>
          </w:p>
        </w:tc>
      </w:tr>
      <w:tr w:rsidR="001C7A69" w:rsidRPr="00B85017" w14:paraId="2EC03930" w14:textId="77777777" w:rsidTr="002C1688">
        <w:trPr>
          <w:jc w:val="center"/>
        </w:trPr>
        <w:tc>
          <w:tcPr>
            <w:tcW w:w="3197" w:type="pct"/>
            <w:vAlign w:val="center"/>
          </w:tcPr>
          <w:p w14:paraId="6F968E05" w14:textId="77777777" w:rsidR="001C7A69" w:rsidRPr="000760B3" w:rsidRDefault="001C7A69" w:rsidP="000A384C">
            <w:pPr>
              <w:pStyle w:val="Tabletext"/>
              <w:rPr>
                <w:rFonts w:asciiTheme="minorHAnsi" w:hAnsiTheme="minorHAnsi"/>
                <w:color w:val="000000" w:themeColor="text1"/>
              </w:rPr>
            </w:pPr>
            <w:r w:rsidRPr="000760B3">
              <w:rPr>
                <w:rFonts w:asciiTheme="minorHAnsi" w:hAnsiTheme="minorHAnsi"/>
                <w:color w:val="000000" w:themeColor="text1"/>
              </w:rPr>
              <w:t>Absent</w:t>
            </w:r>
          </w:p>
        </w:tc>
        <w:tc>
          <w:tcPr>
            <w:tcW w:w="1803" w:type="pct"/>
            <w:vAlign w:val="center"/>
          </w:tcPr>
          <w:p w14:paraId="7DD35065" w14:textId="77777777" w:rsidR="001C7A69" w:rsidRPr="000760B3" w:rsidRDefault="001C7A69" w:rsidP="000A384C">
            <w:pPr>
              <w:pStyle w:val="Tabletext"/>
              <w:jc w:val="center"/>
              <w:rPr>
                <w:rFonts w:asciiTheme="minorHAnsi" w:hAnsiTheme="minorHAnsi"/>
                <w:color w:val="000000" w:themeColor="text1"/>
              </w:rPr>
            </w:pPr>
            <w:r w:rsidRPr="000760B3">
              <w:rPr>
                <w:rFonts w:asciiTheme="minorHAnsi" w:hAnsiTheme="minorHAnsi"/>
                <w:color w:val="000000" w:themeColor="text1"/>
              </w:rPr>
              <w:t>0</w:t>
            </w:r>
          </w:p>
        </w:tc>
      </w:tr>
      <w:tr w:rsidR="001C7A69" w:rsidRPr="00B85017" w14:paraId="19C0DD00" w14:textId="77777777" w:rsidTr="002C1688">
        <w:trPr>
          <w:jc w:val="center"/>
        </w:trPr>
        <w:tc>
          <w:tcPr>
            <w:tcW w:w="3197" w:type="pct"/>
            <w:vAlign w:val="center"/>
          </w:tcPr>
          <w:p w14:paraId="1F5EC214" w14:textId="77777777" w:rsidR="001C7A69" w:rsidRPr="000760B3" w:rsidRDefault="001C7A69" w:rsidP="000A384C">
            <w:pPr>
              <w:pStyle w:val="Tabletext"/>
              <w:rPr>
                <w:rFonts w:asciiTheme="minorHAnsi" w:hAnsiTheme="minorHAnsi"/>
                <w:color w:val="000000" w:themeColor="text1"/>
              </w:rPr>
            </w:pPr>
            <w:r w:rsidRPr="000760B3">
              <w:rPr>
                <w:rFonts w:asciiTheme="minorHAnsi" w:hAnsiTheme="minorHAnsi"/>
                <w:color w:val="000000" w:themeColor="text1"/>
              </w:rPr>
              <w:t>Hypoactive</w:t>
            </w:r>
          </w:p>
        </w:tc>
        <w:tc>
          <w:tcPr>
            <w:tcW w:w="1803" w:type="pct"/>
            <w:vAlign w:val="center"/>
          </w:tcPr>
          <w:p w14:paraId="1148325D" w14:textId="77777777" w:rsidR="001C7A69" w:rsidRPr="000760B3" w:rsidRDefault="001C7A69" w:rsidP="000A384C">
            <w:pPr>
              <w:pStyle w:val="Tabletext"/>
              <w:jc w:val="center"/>
              <w:rPr>
                <w:rFonts w:asciiTheme="minorHAnsi" w:hAnsiTheme="minorHAnsi"/>
                <w:color w:val="000000" w:themeColor="text1"/>
              </w:rPr>
            </w:pPr>
            <w:r w:rsidRPr="000760B3">
              <w:rPr>
                <w:rFonts w:asciiTheme="minorHAnsi" w:hAnsiTheme="minorHAnsi"/>
                <w:color w:val="000000" w:themeColor="text1"/>
              </w:rPr>
              <w:t>1</w:t>
            </w:r>
          </w:p>
        </w:tc>
      </w:tr>
      <w:tr w:rsidR="001C7A69" w:rsidRPr="00B85017" w14:paraId="7E20607C" w14:textId="77777777" w:rsidTr="002C1688">
        <w:trPr>
          <w:jc w:val="center"/>
        </w:trPr>
        <w:tc>
          <w:tcPr>
            <w:tcW w:w="3197" w:type="pct"/>
            <w:vAlign w:val="center"/>
          </w:tcPr>
          <w:p w14:paraId="16EAF9DB" w14:textId="77777777" w:rsidR="001C7A69" w:rsidRPr="000760B3" w:rsidRDefault="001C7A69" w:rsidP="000A384C">
            <w:pPr>
              <w:pStyle w:val="Tabletext"/>
              <w:rPr>
                <w:rFonts w:asciiTheme="minorHAnsi" w:hAnsiTheme="minorHAnsi"/>
                <w:color w:val="000000" w:themeColor="text1"/>
              </w:rPr>
            </w:pPr>
            <w:r w:rsidRPr="000760B3">
              <w:rPr>
                <w:rFonts w:asciiTheme="minorHAnsi" w:hAnsiTheme="minorHAnsi"/>
                <w:color w:val="000000" w:themeColor="text1"/>
              </w:rPr>
              <w:t>Normal deep tendon reflexes</w:t>
            </w:r>
          </w:p>
        </w:tc>
        <w:tc>
          <w:tcPr>
            <w:tcW w:w="1803" w:type="pct"/>
            <w:vAlign w:val="center"/>
          </w:tcPr>
          <w:p w14:paraId="4F800A85" w14:textId="77777777" w:rsidR="001C7A69" w:rsidRPr="000760B3" w:rsidRDefault="001C7A69" w:rsidP="000A384C">
            <w:pPr>
              <w:pStyle w:val="Tabletext"/>
              <w:jc w:val="center"/>
              <w:rPr>
                <w:rFonts w:asciiTheme="minorHAnsi" w:hAnsiTheme="minorHAnsi"/>
                <w:color w:val="000000" w:themeColor="text1"/>
              </w:rPr>
            </w:pPr>
            <w:r w:rsidRPr="000760B3">
              <w:rPr>
                <w:rFonts w:asciiTheme="minorHAnsi" w:hAnsiTheme="minorHAnsi"/>
                <w:color w:val="000000" w:themeColor="text1"/>
              </w:rPr>
              <w:t>2</w:t>
            </w:r>
          </w:p>
        </w:tc>
      </w:tr>
      <w:tr w:rsidR="001C7A69" w:rsidRPr="00B85017" w14:paraId="55450418" w14:textId="77777777" w:rsidTr="002C1688">
        <w:trPr>
          <w:jc w:val="center"/>
        </w:trPr>
        <w:tc>
          <w:tcPr>
            <w:tcW w:w="3197" w:type="pct"/>
            <w:vAlign w:val="center"/>
          </w:tcPr>
          <w:p w14:paraId="3B2282E3" w14:textId="77777777" w:rsidR="001C7A69" w:rsidRPr="000760B3" w:rsidRDefault="001C7A69" w:rsidP="000A384C">
            <w:pPr>
              <w:pStyle w:val="Tabletext"/>
              <w:rPr>
                <w:rFonts w:asciiTheme="minorHAnsi" w:hAnsiTheme="minorHAnsi"/>
                <w:color w:val="000000" w:themeColor="text1"/>
              </w:rPr>
            </w:pPr>
            <w:r w:rsidRPr="000760B3">
              <w:rPr>
                <w:rFonts w:asciiTheme="minorHAnsi" w:hAnsiTheme="minorHAnsi"/>
                <w:color w:val="000000" w:themeColor="text1"/>
              </w:rPr>
              <w:t>Hyperactive</w:t>
            </w:r>
          </w:p>
        </w:tc>
        <w:tc>
          <w:tcPr>
            <w:tcW w:w="1803" w:type="pct"/>
            <w:vAlign w:val="center"/>
          </w:tcPr>
          <w:p w14:paraId="36041276" w14:textId="77777777" w:rsidR="001C7A69" w:rsidRPr="000760B3" w:rsidRDefault="001C7A69" w:rsidP="000A384C">
            <w:pPr>
              <w:pStyle w:val="Tabletext"/>
              <w:jc w:val="center"/>
              <w:rPr>
                <w:rFonts w:asciiTheme="minorHAnsi" w:hAnsiTheme="minorHAnsi"/>
                <w:color w:val="000000" w:themeColor="text1"/>
              </w:rPr>
            </w:pPr>
            <w:r w:rsidRPr="000760B3">
              <w:rPr>
                <w:rFonts w:asciiTheme="minorHAnsi" w:hAnsiTheme="minorHAnsi"/>
                <w:color w:val="000000" w:themeColor="text1"/>
              </w:rPr>
              <w:t>3</w:t>
            </w:r>
          </w:p>
        </w:tc>
      </w:tr>
      <w:tr w:rsidR="001C7A69" w:rsidRPr="00B85017" w14:paraId="5B31E998" w14:textId="77777777" w:rsidTr="002C1688">
        <w:trPr>
          <w:jc w:val="center"/>
        </w:trPr>
        <w:tc>
          <w:tcPr>
            <w:tcW w:w="3197" w:type="pct"/>
            <w:vAlign w:val="center"/>
          </w:tcPr>
          <w:p w14:paraId="53BAF4A5" w14:textId="77777777" w:rsidR="001C7A69" w:rsidRPr="000760B3" w:rsidRDefault="001C7A69" w:rsidP="000A384C">
            <w:pPr>
              <w:pStyle w:val="Tabletext"/>
              <w:rPr>
                <w:rFonts w:asciiTheme="minorHAnsi" w:hAnsiTheme="minorHAnsi"/>
                <w:color w:val="000000" w:themeColor="text1"/>
              </w:rPr>
            </w:pPr>
            <w:r w:rsidRPr="000760B3">
              <w:rPr>
                <w:rFonts w:asciiTheme="minorHAnsi" w:hAnsiTheme="minorHAnsi"/>
                <w:color w:val="000000" w:themeColor="text1"/>
              </w:rPr>
              <w:t>Clonus</w:t>
            </w:r>
          </w:p>
        </w:tc>
        <w:tc>
          <w:tcPr>
            <w:tcW w:w="1803" w:type="pct"/>
            <w:vAlign w:val="center"/>
          </w:tcPr>
          <w:p w14:paraId="4648354F" w14:textId="77777777" w:rsidR="001C7A69" w:rsidRPr="000760B3" w:rsidRDefault="001C7A69" w:rsidP="000A384C">
            <w:pPr>
              <w:pStyle w:val="Tabletext"/>
              <w:jc w:val="center"/>
              <w:rPr>
                <w:rFonts w:asciiTheme="minorHAnsi" w:hAnsiTheme="minorHAnsi"/>
                <w:color w:val="000000" w:themeColor="text1"/>
              </w:rPr>
            </w:pPr>
            <w:r w:rsidRPr="000760B3">
              <w:rPr>
                <w:rFonts w:asciiTheme="minorHAnsi" w:hAnsiTheme="minorHAnsi"/>
                <w:color w:val="000000" w:themeColor="text1"/>
              </w:rPr>
              <w:t>4</w:t>
            </w:r>
          </w:p>
        </w:tc>
      </w:tr>
    </w:tbl>
    <w:p w14:paraId="24DB5A84" w14:textId="6E586F31" w:rsidR="001C7A69" w:rsidRPr="009D1960" w:rsidRDefault="001C7A69" w:rsidP="001C7A69">
      <w:pPr>
        <w:spacing w:after="240"/>
        <w:rPr>
          <w:rFonts w:asciiTheme="minorHAnsi" w:hAnsiTheme="minorHAnsi" w:cstheme="minorHAnsi"/>
          <w:color w:val="000000" w:themeColor="text1"/>
        </w:rPr>
      </w:pPr>
      <w:r w:rsidRPr="009D1960">
        <w:rPr>
          <w:rFonts w:asciiTheme="minorHAnsi" w:hAnsiTheme="minorHAnsi" w:cstheme="minorHAnsi"/>
          <w:color w:val="000000" w:themeColor="text1"/>
        </w:rPr>
        <w:t>A diagnosis of peripheral neuropathy can be made with the combination of a subjective neuropathy grade greater than 0 and at least one bilateral objective finding (abnormal vibratory sense or abnormal</w:t>
      </w:r>
      <w:r w:rsidRPr="009D1960">
        <w:rPr>
          <w:rFonts w:asciiTheme="minorHAnsi" w:hAnsiTheme="minorHAnsi" w:cstheme="minorHAnsi"/>
          <w:color w:val="000000" w:themeColor="text1"/>
          <w:u w:val="single"/>
        </w:rPr>
        <w:t xml:space="preserve"> </w:t>
      </w:r>
      <w:r w:rsidRPr="009D1960">
        <w:rPr>
          <w:rFonts w:asciiTheme="minorHAnsi" w:hAnsiTheme="minorHAnsi" w:cstheme="minorHAnsi"/>
          <w:color w:val="000000" w:themeColor="text1"/>
        </w:rPr>
        <w:t xml:space="preserve">deep tendon ankle reflex). However, only the subjective sensory neuropathy score </w:t>
      </w:r>
      <w:r w:rsidR="000760B3">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BPNS step 1) is used for grading. </w:t>
      </w:r>
    </w:p>
    <w:p w14:paraId="0E2C3BD2" w14:textId="77777777" w:rsidR="001C7A69" w:rsidRPr="001B0135" w:rsidRDefault="001C7A69" w:rsidP="001B0135">
      <w:pPr>
        <w:rPr>
          <w:rFonts w:asciiTheme="minorHAnsi" w:hAnsiTheme="minorHAnsi"/>
          <w:b/>
          <w:bCs/>
          <w:i/>
          <w:iCs/>
        </w:rPr>
      </w:pPr>
      <w:bookmarkStart w:id="225" w:name="h.3l18frh" w:colFirst="0" w:colLast="0"/>
      <w:bookmarkStart w:id="226" w:name="_Toc12792973"/>
      <w:bookmarkStart w:id="227" w:name="_Toc12887211"/>
      <w:bookmarkStart w:id="228" w:name="_Toc12962684"/>
      <w:bookmarkStart w:id="229" w:name="_Toc12966912"/>
      <w:bookmarkEnd w:id="225"/>
      <w:r w:rsidRPr="001B0135">
        <w:rPr>
          <w:rFonts w:asciiTheme="minorHAnsi" w:hAnsiTheme="minorHAnsi"/>
          <w:b/>
          <w:bCs/>
          <w:i/>
          <w:iCs/>
        </w:rPr>
        <w:t>Myelosuppression (anemia, thrombocytopenia, or neutropenia)</w:t>
      </w:r>
      <w:bookmarkEnd w:id="226"/>
      <w:bookmarkEnd w:id="227"/>
      <w:bookmarkEnd w:id="228"/>
      <w:bookmarkEnd w:id="229"/>
    </w:p>
    <w:p w14:paraId="51FF8DCD" w14:textId="76EE20DF"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anti-TB drug causes: Lzd</w:t>
      </w:r>
    </w:p>
    <w:p w14:paraId="53EFD93F" w14:textId="286FF8EF"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other causes: AZT, cotrimoxazole</w:t>
      </w:r>
    </w:p>
    <w:p w14:paraId="336E35AE"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The mean corpuscular volume (MCV) may be helpful to assess whether anemia is normocytic versus microcytic versus macrocytic. Macrocytic anemia is more likely to be due to AZT, but AZT can also induce a normocytic anemia.</w:t>
      </w:r>
    </w:p>
    <w:p w14:paraId="260E2E5A" w14:textId="24D4C331"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 xml:space="preserve">If the patient has thrombocytopenia or neutropenia, this is more likely to be due to linezolid. AZT can do this, but it is </w:t>
      </w:r>
      <w:r w:rsidR="00AC6386">
        <w:rPr>
          <w:rFonts w:asciiTheme="minorHAnsi" w:hAnsiTheme="minorHAnsi" w:cstheme="minorHAnsi"/>
          <w:color w:val="000000" w:themeColor="text1"/>
        </w:rPr>
        <w:t>more rare</w:t>
      </w:r>
      <w:r w:rsidRPr="009D1960">
        <w:rPr>
          <w:rFonts w:asciiTheme="minorHAnsi" w:hAnsiTheme="minorHAnsi" w:cstheme="minorHAnsi"/>
          <w:color w:val="000000" w:themeColor="text1"/>
        </w:rPr>
        <w:t>.</w:t>
      </w:r>
    </w:p>
    <w:p w14:paraId="0914F9E2"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Myelosuppression is very common in patients receiving linezolid. In one clinical trial of linezolid, approximately 18% of patients taking linezolid experienced clinically significant myelosuppression.</w:t>
      </w:r>
    </w:p>
    <w:p w14:paraId="04C2F5A6"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Acute blood loss (occult GI bleeding from a peptic ulcer) can cause anemia.</w:t>
      </w:r>
    </w:p>
    <w:p w14:paraId="46568AAA"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Other causes of anemia (TB, iron-deficiency, etc.) are possible, but less likely to occur in the middle of treatment, especially if the patient is clinically improving.</w:t>
      </w:r>
    </w:p>
    <w:p w14:paraId="01127FCB" w14:textId="604BE6C6" w:rsidR="001C7A69" w:rsidRPr="007A29CB" w:rsidRDefault="001C7A69" w:rsidP="002C4FED">
      <w:pPr>
        <w:pStyle w:val="Heading3"/>
        <w:rPr>
          <w:rStyle w:val="IntenseEmphasis"/>
          <w:rFonts w:asciiTheme="minorHAnsi" w:hAnsiTheme="minorHAnsi"/>
          <w:b/>
          <w:bCs/>
          <w:i/>
          <w:color w:val="000000" w:themeColor="text1"/>
        </w:rPr>
      </w:pPr>
      <w:bookmarkStart w:id="230" w:name="h.206ipza" w:colFirst="0" w:colLast="0"/>
      <w:bookmarkStart w:id="231" w:name="_Toc12885979"/>
      <w:bookmarkStart w:id="232" w:name="_Toc12886226"/>
      <w:bookmarkStart w:id="233" w:name="_Ref12971741"/>
      <w:bookmarkStart w:id="234" w:name="_Toc13486773"/>
      <w:bookmarkEnd w:id="230"/>
      <w:r w:rsidRPr="007A29CB">
        <w:rPr>
          <w:rFonts w:asciiTheme="minorHAnsi" w:hAnsiTheme="minorHAnsi"/>
        </w:rPr>
        <w:t xml:space="preserve">Table </w:t>
      </w:r>
      <w:r w:rsidR="002C4FED" w:rsidRPr="007A29CB">
        <w:rPr>
          <w:rFonts w:asciiTheme="minorHAnsi" w:hAnsiTheme="minorHAnsi"/>
        </w:rPr>
        <w:t>1</w:t>
      </w:r>
      <w:r w:rsidR="003F19E7" w:rsidRPr="007A29CB">
        <w:rPr>
          <w:rFonts w:asciiTheme="minorHAnsi" w:hAnsiTheme="minorHAnsi"/>
        </w:rPr>
        <w:t>5</w:t>
      </w:r>
      <w:r w:rsidRPr="007A29CB">
        <w:rPr>
          <w:rFonts w:asciiTheme="minorHAnsi" w:hAnsiTheme="minorHAnsi"/>
        </w:rPr>
        <w:t xml:space="preserve"> </w:t>
      </w:r>
      <w:r w:rsidRPr="007A29CB">
        <w:rPr>
          <w:rStyle w:val="IntenseEmphasis"/>
          <w:rFonts w:asciiTheme="minorHAnsi" w:hAnsiTheme="minorHAnsi"/>
          <w:b/>
          <w:bCs/>
          <w:i/>
          <w:color w:val="000000" w:themeColor="text1"/>
        </w:rPr>
        <w:t>Clinical management of myelosuppression according to severity grading</w:t>
      </w:r>
      <w:bookmarkEnd w:id="231"/>
      <w:bookmarkEnd w:id="232"/>
      <w:bookmarkEnd w:id="233"/>
      <w:bookmarkEnd w:id="234"/>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1590"/>
        <w:gridCol w:w="1627"/>
        <w:gridCol w:w="2064"/>
        <w:gridCol w:w="2108"/>
        <w:gridCol w:w="1618"/>
      </w:tblGrid>
      <w:tr w:rsidR="001C7A69" w:rsidRPr="007A29CB" w14:paraId="264BD838" w14:textId="77777777" w:rsidTr="00093E2C">
        <w:trPr>
          <w:tblHeader/>
        </w:trPr>
        <w:tc>
          <w:tcPr>
            <w:tcW w:w="883" w:type="pct"/>
            <w:tcBorders>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3DBD2EAB" w14:textId="77777777" w:rsidR="001C7A69" w:rsidRPr="007A29CB" w:rsidRDefault="001C7A69" w:rsidP="000A384C">
            <w:pPr>
              <w:pStyle w:val="Tabletext"/>
              <w:rPr>
                <w:rFonts w:asciiTheme="minorHAnsi" w:hAnsiTheme="minorHAnsi"/>
                <w:b/>
                <w:bCs/>
                <w:color w:val="FFFFFF" w:themeColor="background1"/>
              </w:rPr>
            </w:pPr>
            <w:r w:rsidRPr="007A29CB">
              <w:rPr>
                <w:rFonts w:asciiTheme="minorHAnsi" w:hAnsiTheme="minorHAnsi"/>
                <w:b/>
                <w:bCs/>
                <w:color w:val="FFFFFF" w:themeColor="background1"/>
              </w:rPr>
              <w:t>Severity grade*</w:t>
            </w:r>
          </w:p>
        </w:tc>
        <w:tc>
          <w:tcPr>
            <w:tcW w:w="903"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DB41823" w14:textId="77777777" w:rsidR="001C7A69" w:rsidRPr="007A29CB" w:rsidRDefault="001C7A69" w:rsidP="000A384C">
            <w:pPr>
              <w:pStyle w:val="Tabletext"/>
              <w:rPr>
                <w:rFonts w:asciiTheme="minorHAnsi" w:hAnsiTheme="minorHAnsi"/>
                <w:b/>
                <w:bCs/>
                <w:color w:val="FFFFFF" w:themeColor="background1"/>
              </w:rPr>
            </w:pPr>
            <w:r w:rsidRPr="007A29CB">
              <w:rPr>
                <w:rFonts w:asciiTheme="minorHAnsi" w:hAnsiTheme="minorHAnsi"/>
                <w:b/>
                <w:bCs/>
                <w:color w:val="FFFFFF" w:themeColor="background1"/>
              </w:rPr>
              <w:t>Grade 1 Mild</w:t>
            </w:r>
          </w:p>
        </w:tc>
        <w:tc>
          <w:tcPr>
            <w:tcW w:w="1146"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210EB6A2" w14:textId="77777777" w:rsidR="001C7A69" w:rsidRPr="007A29CB" w:rsidRDefault="001C7A69" w:rsidP="000A384C">
            <w:pPr>
              <w:pStyle w:val="Tabletext"/>
              <w:rPr>
                <w:rFonts w:asciiTheme="minorHAnsi" w:hAnsiTheme="minorHAnsi"/>
                <w:b/>
                <w:bCs/>
                <w:color w:val="FFFFFF" w:themeColor="background1"/>
              </w:rPr>
            </w:pPr>
            <w:r w:rsidRPr="007A29CB">
              <w:rPr>
                <w:rFonts w:asciiTheme="minorHAnsi" w:hAnsiTheme="minorHAnsi"/>
                <w:b/>
                <w:bCs/>
                <w:color w:val="FFFFFF" w:themeColor="background1"/>
              </w:rPr>
              <w:t>Grade 2 Moderate</w:t>
            </w:r>
          </w:p>
        </w:tc>
        <w:tc>
          <w:tcPr>
            <w:tcW w:w="1170"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4C811601" w14:textId="77777777" w:rsidR="001C7A69" w:rsidRPr="007A29CB" w:rsidRDefault="001C7A69" w:rsidP="000A384C">
            <w:pPr>
              <w:pStyle w:val="Tabletext"/>
              <w:rPr>
                <w:rFonts w:asciiTheme="minorHAnsi" w:hAnsiTheme="minorHAnsi"/>
                <w:b/>
                <w:bCs/>
                <w:color w:val="FFFFFF" w:themeColor="background1"/>
              </w:rPr>
            </w:pPr>
            <w:r w:rsidRPr="007A29CB">
              <w:rPr>
                <w:rFonts w:asciiTheme="minorHAnsi" w:hAnsiTheme="minorHAnsi"/>
                <w:b/>
                <w:bCs/>
                <w:color w:val="FFFFFF" w:themeColor="background1"/>
              </w:rPr>
              <w:t>Grade 3 Severe</w:t>
            </w:r>
          </w:p>
        </w:tc>
        <w:tc>
          <w:tcPr>
            <w:tcW w:w="898"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0F360433" w14:textId="77777777" w:rsidR="001C7A69" w:rsidRPr="007A29CB" w:rsidRDefault="001C7A69" w:rsidP="000A384C">
            <w:pPr>
              <w:pStyle w:val="Tabletext"/>
              <w:rPr>
                <w:rFonts w:asciiTheme="minorHAnsi" w:hAnsiTheme="minorHAnsi"/>
                <w:b/>
                <w:bCs/>
                <w:color w:val="FFFFFF" w:themeColor="background1"/>
              </w:rPr>
            </w:pPr>
            <w:r w:rsidRPr="007A29CB">
              <w:rPr>
                <w:rFonts w:asciiTheme="minorHAnsi" w:hAnsiTheme="minorHAnsi"/>
                <w:b/>
                <w:bCs/>
                <w:color w:val="FFFFFF" w:themeColor="background1"/>
              </w:rPr>
              <w:t>Grade 4 Life-threatening</w:t>
            </w:r>
          </w:p>
        </w:tc>
      </w:tr>
      <w:tr w:rsidR="001C7A69" w:rsidRPr="007A29CB" w14:paraId="25B61D86" w14:textId="77777777" w:rsidTr="000A384C">
        <w:tc>
          <w:tcPr>
            <w:tcW w:w="883" w:type="pct"/>
            <w:tcBorders>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6B29EF4"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Anemia</w:t>
            </w:r>
          </w:p>
        </w:tc>
        <w:tc>
          <w:tcPr>
            <w:tcW w:w="903"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D88E2D6"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lang w:val="fr-CH" w:eastAsia="fr-CH"/>
              </w:rPr>
              <w:t>10.5 - 9.5 g/dL</w:t>
            </w:r>
          </w:p>
        </w:tc>
        <w:tc>
          <w:tcPr>
            <w:tcW w:w="1146"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77310AC"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lang w:val="fr-CH" w:eastAsia="fr-CH"/>
              </w:rPr>
              <w:t>9.4 - 8.0 g/dL</w:t>
            </w:r>
          </w:p>
        </w:tc>
        <w:tc>
          <w:tcPr>
            <w:tcW w:w="1170"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45363A9"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lang w:val="fr-CH" w:eastAsia="fr-CH"/>
              </w:rPr>
              <w:t>7.9 - 6.5 g/dL</w:t>
            </w:r>
          </w:p>
        </w:tc>
        <w:tc>
          <w:tcPr>
            <w:tcW w:w="898"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E2327AD"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lang w:val="fr-CH" w:eastAsia="fr-CH"/>
              </w:rPr>
              <w:t>&lt; 6.5 g/dL</w:t>
            </w:r>
          </w:p>
        </w:tc>
      </w:tr>
      <w:tr w:rsidR="001C7A69" w:rsidRPr="007A29CB" w14:paraId="41D1BCCA" w14:textId="77777777" w:rsidTr="000A384C">
        <w:tc>
          <w:tcPr>
            <w:tcW w:w="883" w:type="pct"/>
            <w:tcBorders>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69752F4"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lastRenderedPageBreak/>
              <w:t>Platelets decreased</w:t>
            </w:r>
          </w:p>
        </w:tc>
        <w:tc>
          <w:tcPr>
            <w:tcW w:w="903"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6563A1A"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99,999 - 75,000   /mm³</w:t>
            </w:r>
          </w:p>
        </w:tc>
        <w:tc>
          <w:tcPr>
            <w:tcW w:w="1146"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4FFBAA8"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74,999 - 50,000   /mm³</w:t>
            </w:r>
          </w:p>
        </w:tc>
        <w:tc>
          <w:tcPr>
            <w:tcW w:w="1170"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1A8963F"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49,999 - 20,000 /mm³</w:t>
            </w:r>
          </w:p>
        </w:tc>
        <w:tc>
          <w:tcPr>
            <w:tcW w:w="898"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B98D936"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&lt; 20,000 /mm³</w:t>
            </w:r>
          </w:p>
        </w:tc>
      </w:tr>
      <w:tr w:rsidR="001C7A69" w:rsidRPr="007A29CB" w14:paraId="5BE2A5D2" w14:textId="77777777" w:rsidTr="000A384C">
        <w:trPr>
          <w:trHeight w:val="25"/>
        </w:trPr>
        <w:tc>
          <w:tcPr>
            <w:tcW w:w="883" w:type="pct"/>
            <w:tcBorders>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64478DC"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White blood cells decreased</w:t>
            </w:r>
          </w:p>
        </w:tc>
        <w:tc>
          <w:tcPr>
            <w:tcW w:w="903"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BDD63D8" w14:textId="77777777" w:rsidR="001C7A69" w:rsidRPr="007A29CB" w:rsidRDefault="001C7A69" w:rsidP="000A384C">
            <w:pPr>
              <w:pStyle w:val="Tabletext"/>
              <w:rPr>
                <w:rFonts w:asciiTheme="minorHAnsi" w:hAnsiTheme="minorHAnsi"/>
                <w:color w:val="000000" w:themeColor="text1"/>
                <w:lang w:val="fr-CH" w:eastAsia="fr-CH"/>
              </w:rPr>
            </w:pPr>
            <w:r w:rsidRPr="007A29CB">
              <w:rPr>
                <w:rFonts w:asciiTheme="minorHAnsi" w:hAnsiTheme="minorHAnsi"/>
                <w:color w:val="000000" w:themeColor="text1"/>
                <w:lang w:val="fr-CH" w:eastAsia="fr-CH"/>
              </w:rPr>
              <w:t>&lt;LLN - 3,000/mm</w:t>
            </w:r>
            <w:r w:rsidRPr="007A29CB">
              <w:rPr>
                <w:rFonts w:asciiTheme="minorHAnsi" w:hAnsiTheme="minorHAnsi"/>
                <w:color w:val="000000" w:themeColor="text1"/>
                <w:vertAlign w:val="superscript"/>
                <w:lang w:val="fr-CH" w:eastAsia="fr-CH"/>
              </w:rPr>
              <w:t xml:space="preserve">3 </w:t>
            </w:r>
          </w:p>
        </w:tc>
        <w:tc>
          <w:tcPr>
            <w:tcW w:w="1146"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74C19BA" w14:textId="77777777" w:rsidR="001C7A69" w:rsidRPr="007A29CB" w:rsidRDefault="001C7A69" w:rsidP="000A384C">
            <w:pPr>
              <w:pStyle w:val="Tabletext"/>
              <w:rPr>
                <w:rFonts w:asciiTheme="minorHAnsi" w:hAnsiTheme="minorHAnsi"/>
                <w:color w:val="000000" w:themeColor="text1"/>
                <w:lang w:val="fr-CH" w:eastAsia="fr-CH"/>
              </w:rPr>
            </w:pPr>
            <w:r w:rsidRPr="007A29CB">
              <w:rPr>
                <w:rFonts w:asciiTheme="minorHAnsi" w:hAnsiTheme="minorHAnsi"/>
                <w:color w:val="000000" w:themeColor="text1"/>
                <w:lang w:val="fr-CH" w:eastAsia="fr-CH"/>
              </w:rPr>
              <w:t>&lt;3,000 - 2,000/mm</w:t>
            </w:r>
            <w:r w:rsidRPr="007A29CB">
              <w:rPr>
                <w:rFonts w:asciiTheme="minorHAnsi" w:hAnsiTheme="minorHAnsi"/>
                <w:color w:val="000000" w:themeColor="text1"/>
                <w:vertAlign w:val="superscript"/>
                <w:lang w:val="fr-CH" w:eastAsia="fr-CH"/>
              </w:rPr>
              <w:t>3</w:t>
            </w:r>
            <w:r w:rsidRPr="007A29CB">
              <w:rPr>
                <w:rFonts w:asciiTheme="minorHAnsi" w:hAnsiTheme="minorHAnsi"/>
                <w:color w:val="000000" w:themeColor="text1"/>
                <w:lang w:val="fr-CH" w:eastAsia="fr-CH"/>
              </w:rPr>
              <w:t xml:space="preserve"> </w:t>
            </w:r>
          </w:p>
        </w:tc>
        <w:tc>
          <w:tcPr>
            <w:tcW w:w="1170"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D83E09D" w14:textId="77777777" w:rsidR="001C7A69" w:rsidRPr="007A29CB" w:rsidRDefault="001C7A69" w:rsidP="000A384C">
            <w:pPr>
              <w:pStyle w:val="Tabletext"/>
              <w:rPr>
                <w:rFonts w:asciiTheme="minorHAnsi" w:hAnsiTheme="minorHAnsi"/>
                <w:color w:val="000000" w:themeColor="text1"/>
                <w:lang w:val="fr-CH" w:eastAsia="fr-CH"/>
              </w:rPr>
            </w:pPr>
            <w:r w:rsidRPr="007A29CB">
              <w:rPr>
                <w:rFonts w:asciiTheme="minorHAnsi" w:hAnsiTheme="minorHAnsi"/>
                <w:color w:val="000000" w:themeColor="text1"/>
                <w:lang w:val="fr-CH" w:eastAsia="fr-CH"/>
              </w:rPr>
              <w:t>&lt;2,000 - 1,000/mm</w:t>
            </w:r>
            <w:r w:rsidRPr="007A29CB">
              <w:rPr>
                <w:rFonts w:asciiTheme="minorHAnsi" w:hAnsiTheme="minorHAnsi"/>
                <w:color w:val="000000" w:themeColor="text1"/>
                <w:vertAlign w:val="superscript"/>
                <w:lang w:val="fr-CH" w:eastAsia="fr-CH"/>
              </w:rPr>
              <w:t>3</w:t>
            </w:r>
          </w:p>
        </w:tc>
        <w:tc>
          <w:tcPr>
            <w:tcW w:w="898"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74CE463" w14:textId="77777777" w:rsidR="001C7A69" w:rsidRPr="007A29CB" w:rsidRDefault="001C7A69" w:rsidP="000A384C">
            <w:pPr>
              <w:pStyle w:val="Tabletext"/>
              <w:rPr>
                <w:rFonts w:asciiTheme="minorHAnsi" w:hAnsiTheme="minorHAnsi"/>
                <w:color w:val="000000" w:themeColor="text1"/>
                <w:vertAlign w:val="superscript"/>
                <w:lang w:val="fr-CH" w:eastAsia="fr-CH"/>
              </w:rPr>
            </w:pPr>
            <w:r w:rsidRPr="007A29CB">
              <w:rPr>
                <w:rFonts w:asciiTheme="minorHAnsi" w:hAnsiTheme="minorHAnsi"/>
                <w:color w:val="000000" w:themeColor="text1"/>
                <w:lang w:val="fr-CH" w:eastAsia="fr-CH"/>
              </w:rPr>
              <w:t>&lt; 1,000 /mm</w:t>
            </w:r>
            <w:r w:rsidRPr="007A29CB">
              <w:rPr>
                <w:rFonts w:asciiTheme="minorHAnsi" w:hAnsiTheme="minorHAnsi"/>
                <w:color w:val="000000" w:themeColor="text1"/>
                <w:vertAlign w:val="superscript"/>
                <w:lang w:val="fr-CH" w:eastAsia="fr-CH"/>
              </w:rPr>
              <w:t>3</w:t>
            </w:r>
          </w:p>
        </w:tc>
      </w:tr>
      <w:tr w:rsidR="001C7A69" w:rsidRPr="007A29CB" w14:paraId="61425064" w14:textId="77777777" w:rsidTr="000A384C">
        <w:trPr>
          <w:trHeight w:val="25"/>
        </w:trPr>
        <w:tc>
          <w:tcPr>
            <w:tcW w:w="883" w:type="pct"/>
            <w:tcBorders>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1004CDF"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Absolute neutrophil count low</w:t>
            </w:r>
          </w:p>
        </w:tc>
        <w:tc>
          <w:tcPr>
            <w:tcW w:w="903"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391C9DA" w14:textId="19A99AA4"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lang w:val="fr-CH" w:eastAsia="fr-CH"/>
              </w:rPr>
              <w:t>1</w:t>
            </w:r>
            <w:r w:rsidR="004B3F47">
              <w:rPr>
                <w:rFonts w:asciiTheme="minorHAnsi" w:hAnsiTheme="minorHAnsi"/>
                <w:color w:val="000000" w:themeColor="text1"/>
                <w:lang w:val="fr-CH" w:eastAsia="fr-CH"/>
              </w:rPr>
              <w:t>,</w:t>
            </w:r>
            <w:r w:rsidRPr="007A29CB">
              <w:rPr>
                <w:rFonts w:asciiTheme="minorHAnsi" w:hAnsiTheme="minorHAnsi"/>
                <w:color w:val="000000" w:themeColor="text1"/>
                <w:lang w:val="fr-CH" w:eastAsia="fr-CH"/>
              </w:rPr>
              <w:t xml:space="preserve">500 </w:t>
            </w:r>
            <w:r w:rsidR="004B3F47">
              <w:rPr>
                <w:rFonts w:asciiTheme="minorHAnsi" w:hAnsiTheme="minorHAnsi"/>
                <w:color w:val="000000" w:themeColor="text1"/>
                <w:lang w:val="fr-CH" w:eastAsia="fr-CH"/>
              </w:rPr>
              <w:t>–</w:t>
            </w:r>
            <w:r w:rsidRPr="007A29CB">
              <w:rPr>
                <w:rFonts w:asciiTheme="minorHAnsi" w:hAnsiTheme="minorHAnsi"/>
                <w:color w:val="000000" w:themeColor="text1"/>
                <w:lang w:val="fr-CH" w:eastAsia="fr-CH"/>
              </w:rPr>
              <w:t xml:space="preserve"> 1</w:t>
            </w:r>
            <w:r w:rsidR="004B3F47">
              <w:rPr>
                <w:rFonts w:asciiTheme="minorHAnsi" w:hAnsiTheme="minorHAnsi"/>
                <w:color w:val="000000" w:themeColor="text1"/>
                <w:lang w:val="fr-CH" w:eastAsia="fr-CH"/>
              </w:rPr>
              <w:t>,</w:t>
            </w:r>
            <w:r w:rsidRPr="007A29CB">
              <w:rPr>
                <w:rFonts w:asciiTheme="minorHAnsi" w:hAnsiTheme="minorHAnsi"/>
                <w:color w:val="000000" w:themeColor="text1"/>
                <w:lang w:val="fr-CH" w:eastAsia="fr-CH"/>
              </w:rPr>
              <w:t>000/mm</w:t>
            </w:r>
            <w:r w:rsidRPr="007A29CB">
              <w:rPr>
                <w:rFonts w:asciiTheme="minorHAnsi" w:hAnsiTheme="minorHAnsi"/>
                <w:color w:val="000000" w:themeColor="text1"/>
                <w:vertAlign w:val="superscript"/>
                <w:lang w:val="fr-CH" w:eastAsia="fr-CH"/>
              </w:rPr>
              <w:t>3</w:t>
            </w:r>
          </w:p>
        </w:tc>
        <w:tc>
          <w:tcPr>
            <w:tcW w:w="1146"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AF96492"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lang w:val="fr-CH" w:eastAsia="fr-CH"/>
              </w:rPr>
              <w:t>999 - 750/mm</w:t>
            </w:r>
            <w:r w:rsidRPr="007A29CB">
              <w:rPr>
                <w:rFonts w:asciiTheme="minorHAnsi" w:hAnsiTheme="minorHAnsi"/>
                <w:color w:val="000000" w:themeColor="text1"/>
                <w:vertAlign w:val="superscript"/>
                <w:lang w:val="fr-CH" w:eastAsia="fr-CH"/>
              </w:rPr>
              <w:t>3</w:t>
            </w:r>
          </w:p>
        </w:tc>
        <w:tc>
          <w:tcPr>
            <w:tcW w:w="1170"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C940D9B"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lang w:val="fr-CH" w:eastAsia="fr-CH"/>
              </w:rPr>
              <w:t>749 - 500/mm</w:t>
            </w:r>
            <w:r w:rsidRPr="007A29CB">
              <w:rPr>
                <w:rFonts w:asciiTheme="minorHAnsi" w:hAnsiTheme="minorHAnsi"/>
                <w:color w:val="000000" w:themeColor="text1"/>
                <w:vertAlign w:val="superscript"/>
                <w:lang w:val="fr-CH" w:eastAsia="fr-CH"/>
              </w:rPr>
              <w:t>3</w:t>
            </w:r>
          </w:p>
        </w:tc>
        <w:tc>
          <w:tcPr>
            <w:tcW w:w="898"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6DAC19D"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lang w:val="fr-CH" w:eastAsia="fr-CH"/>
              </w:rPr>
              <w:t>&lt;500/mm</w:t>
            </w:r>
            <w:r w:rsidRPr="007A29CB">
              <w:rPr>
                <w:rFonts w:asciiTheme="minorHAnsi" w:hAnsiTheme="minorHAnsi"/>
                <w:color w:val="000000" w:themeColor="text1"/>
                <w:vertAlign w:val="superscript"/>
                <w:lang w:val="fr-CH" w:eastAsia="fr-CH"/>
              </w:rPr>
              <w:t>3</w:t>
            </w:r>
          </w:p>
        </w:tc>
      </w:tr>
      <w:tr w:rsidR="001C7A69" w:rsidRPr="007A29CB" w14:paraId="51AC1D67" w14:textId="77777777" w:rsidTr="000A384C">
        <w:trPr>
          <w:trHeight w:val="231"/>
        </w:trPr>
        <w:tc>
          <w:tcPr>
            <w:tcW w:w="883" w:type="pct"/>
            <w:tcBorders>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812FA8C" w14:textId="77777777"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Action</w:t>
            </w:r>
          </w:p>
        </w:tc>
        <w:tc>
          <w:tcPr>
            <w:tcW w:w="903"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B22AE1E" w14:textId="47DC49CD"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Monitor carefully and consider reduction of dose of Lzd (300mg daily or 600 mg thrice weekly).</w:t>
            </w:r>
          </w:p>
          <w:p w14:paraId="1C7E85E6" w14:textId="77777777" w:rsidR="001C7A69" w:rsidRPr="007A29CB" w:rsidRDefault="001C7A69" w:rsidP="000A384C">
            <w:pPr>
              <w:pStyle w:val="Tabletext"/>
              <w:rPr>
                <w:rFonts w:asciiTheme="minorHAnsi" w:hAnsiTheme="minorHAnsi"/>
                <w:color w:val="000000" w:themeColor="text1"/>
              </w:rPr>
            </w:pPr>
          </w:p>
          <w:p w14:paraId="3CE38998" w14:textId="77777777" w:rsidR="001C7A69" w:rsidRPr="007A29CB" w:rsidRDefault="001C7A69" w:rsidP="000A384C">
            <w:pPr>
              <w:pStyle w:val="Tabletext"/>
              <w:rPr>
                <w:rFonts w:asciiTheme="minorHAnsi" w:hAnsiTheme="minorHAnsi"/>
                <w:color w:val="000000" w:themeColor="text1"/>
              </w:rPr>
            </w:pPr>
          </w:p>
        </w:tc>
        <w:tc>
          <w:tcPr>
            <w:tcW w:w="1146"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D4828C9" w14:textId="77777777" w:rsidR="00CD0D16"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Monitor carefully and consider reduction of dose of Lzd (300mg daily or 600 mg thrice weekly)</w:t>
            </w:r>
            <w:r w:rsidR="00CD0D16">
              <w:rPr>
                <w:rFonts w:asciiTheme="minorHAnsi" w:hAnsiTheme="minorHAnsi"/>
                <w:color w:val="000000" w:themeColor="text1"/>
              </w:rPr>
              <w:t xml:space="preserve">. </w:t>
            </w:r>
          </w:p>
          <w:p w14:paraId="626DD043" w14:textId="77777777" w:rsidR="00CD0D16" w:rsidRPr="00E37ADD" w:rsidRDefault="00CD0D16" w:rsidP="000A384C">
            <w:pPr>
              <w:pStyle w:val="Tabletext"/>
              <w:rPr>
                <w:rFonts w:asciiTheme="minorHAnsi" w:hAnsiTheme="minorHAnsi"/>
                <w:color w:val="000000" w:themeColor="text1"/>
                <w:sz w:val="11"/>
                <w:szCs w:val="15"/>
              </w:rPr>
            </w:pPr>
          </w:p>
          <w:p w14:paraId="7B0974E9" w14:textId="1B0A3837" w:rsidR="00A7520A" w:rsidRDefault="00CD0D16" w:rsidP="000A384C">
            <w:pPr>
              <w:pStyle w:val="Tabletext"/>
              <w:rPr>
                <w:rFonts w:asciiTheme="minorHAnsi" w:hAnsiTheme="minorHAnsi"/>
                <w:color w:val="000000" w:themeColor="text1"/>
              </w:rPr>
            </w:pPr>
            <w:r>
              <w:rPr>
                <w:rFonts w:asciiTheme="minorHAnsi" w:hAnsiTheme="minorHAnsi"/>
                <w:color w:val="000000" w:themeColor="text1"/>
              </w:rPr>
              <w:t>For</w:t>
            </w:r>
            <w:r w:rsidR="001C7A69" w:rsidRPr="007A29CB">
              <w:rPr>
                <w:rFonts w:asciiTheme="minorHAnsi" w:hAnsiTheme="minorHAnsi"/>
                <w:color w:val="000000" w:themeColor="text1"/>
              </w:rPr>
              <w:t xml:space="preserve"> Grade 2 neutropenia, stop Lzd immediately. </w:t>
            </w:r>
          </w:p>
          <w:p w14:paraId="3889D634" w14:textId="77777777" w:rsidR="00A7520A" w:rsidRPr="00E37ADD" w:rsidRDefault="00A7520A" w:rsidP="000A384C">
            <w:pPr>
              <w:pStyle w:val="Tabletext"/>
              <w:rPr>
                <w:rFonts w:asciiTheme="minorHAnsi" w:hAnsiTheme="minorHAnsi"/>
                <w:color w:val="000000" w:themeColor="text1"/>
                <w:sz w:val="11"/>
                <w:szCs w:val="15"/>
              </w:rPr>
            </w:pPr>
          </w:p>
          <w:p w14:paraId="0022592D" w14:textId="7314E969" w:rsidR="001C7A69" w:rsidRPr="007A29CB" w:rsidRDefault="001C7A69" w:rsidP="000A384C">
            <w:pPr>
              <w:pStyle w:val="Tabletext"/>
              <w:rPr>
                <w:rFonts w:asciiTheme="minorHAnsi" w:hAnsiTheme="minorHAnsi"/>
                <w:color w:val="000000" w:themeColor="text1"/>
              </w:rPr>
            </w:pPr>
          </w:p>
        </w:tc>
        <w:tc>
          <w:tcPr>
            <w:tcW w:w="1170"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B1BB71A" w14:textId="77777777" w:rsidR="00A7520A"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 xml:space="preserve">Stop Lzd immediately. </w:t>
            </w:r>
          </w:p>
          <w:p w14:paraId="1C82EEFB" w14:textId="77777777" w:rsidR="00A7520A" w:rsidRPr="00E37ADD" w:rsidRDefault="00A7520A" w:rsidP="000A384C">
            <w:pPr>
              <w:pStyle w:val="Tabletext"/>
              <w:rPr>
                <w:rFonts w:asciiTheme="minorHAnsi" w:hAnsiTheme="minorHAnsi"/>
                <w:color w:val="000000" w:themeColor="text1"/>
                <w:sz w:val="13"/>
                <w:szCs w:val="16"/>
              </w:rPr>
            </w:pPr>
          </w:p>
          <w:p w14:paraId="79E49A6C" w14:textId="044B4CE5" w:rsidR="00EA22F4" w:rsidRDefault="00A7520A" w:rsidP="000A384C">
            <w:pPr>
              <w:pStyle w:val="Tabletext"/>
              <w:rPr>
                <w:rFonts w:asciiTheme="minorHAnsi" w:hAnsiTheme="minorHAnsi"/>
                <w:color w:val="000000" w:themeColor="text1"/>
              </w:rPr>
            </w:pPr>
            <w:r>
              <w:rPr>
                <w:rFonts w:asciiTheme="minorHAnsi" w:hAnsiTheme="minorHAnsi"/>
                <w:color w:val="000000" w:themeColor="text1"/>
              </w:rPr>
              <w:t>For</w:t>
            </w:r>
            <w:r w:rsidR="001C7A69" w:rsidRPr="007A29CB">
              <w:rPr>
                <w:rFonts w:asciiTheme="minorHAnsi" w:hAnsiTheme="minorHAnsi"/>
                <w:color w:val="000000" w:themeColor="text1"/>
              </w:rPr>
              <w:t xml:space="preserve"> Grade 3 anemia, consider </w:t>
            </w:r>
            <w:r w:rsidR="00FD5514">
              <w:rPr>
                <w:rFonts w:asciiTheme="minorHAnsi" w:hAnsiTheme="minorHAnsi" w:cstheme="minorHAnsi"/>
                <w:color w:val="000000" w:themeColor="text1"/>
              </w:rPr>
              <w:t>erythropoietin</w:t>
            </w:r>
            <w:r w:rsidR="00FD5514">
              <w:rPr>
                <w:rFonts w:asciiTheme="minorHAnsi" w:hAnsiTheme="minorHAnsi"/>
                <w:color w:val="000000" w:themeColor="text1"/>
              </w:rPr>
              <w:t xml:space="preserve"> (if available) </w:t>
            </w:r>
            <w:r w:rsidR="001C7A69" w:rsidRPr="007A29CB">
              <w:rPr>
                <w:rFonts w:asciiTheme="minorHAnsi" w:hAnsiTheme="minorHAnsi"/>
                <w:color w:val="000000" w:themeColor="text1"/>
              </w:rPr>
              <w:t xml:space="preserve">. </w:t>
            </w:r>
          </w:p>
          <w:p w14:paraId="2896063C" w14:textId="77777777" w:rsidR="00EA22F4" w:rsidRDefault="00EA22F4" w:rsidP="000A384C">
            <w:pPr>
              <w:pStyle w:val="Tabletext"/>
              <w:rPr>
                <w:rFonts w:asciiTheme="minorHAnsi" w:hAnsiTheme="minorHAnsi"/>
                <w:color w:val="000000" w:themeColor="text1"/>
              </w:rPr>
            </w:pPr>
          </w:p>
          <w:p w14:paraId="40C3B55E" w14:textId="34DA1B74"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 xml:space="preserve">Restart </w:t>
            </w:r>
            <w:r w:rsidR="00EA22F4">
              <w:rPr>
                <w:rFonts w:asciiTheme="minorHAnsi" w:hAnsiTheme="minorHAnsi"/>
                <w:color w:val="000000" w:themeColor="text1"/>
              </w:rPr>
              <w:t xml:space="preserve">Lzd </w:t>
            </w:r>
            <w:r w:rsidRPr="007A29CB">
              <w:rPr>
                <w:rFonts w:asciiTheme="minorHAnsi" w:hAnsiTheme="minorHAnsi"/>
                <w:color w:val="000000" w:themeColor="text1"/>
              </w:rPr>
              <w:t>at reduced dose once toxicity has decreased to Grade 1.</w:t>
            </w:r>
          </w:p>
        </w:tc>
        <w:tc>
          <w:tcPr>
            <w:tcW w:w="898"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F119C76" w14:textId="28513F40" w:rsidR="001C7A69" w:rsidRPr="007A29CB" w:rsidRDefault="001C7A69" w:rsidP="000A384C">
            <w:pPr>
              <w:pStyle w:val="Tabletext"/>
              <w:rPr>
                <w:rFonts w:asciiTheme="minorHAnsi" w:hAnsiTheme="minorHAnsi"/>
                <w:color w:val="000000" w:themeColor="text1"/>
              </w:rPr>
            </w:pPr>
            <w:r w:rsidRPr="007A29CB">
              <w:rPr>
                <w:rFonts w:asciiTheme="minorHAnsi" w:hAnsiTheme="minorHAnsi"/>
                <w:color w:val="000000" w:themeColor="text1"/>
              </w:rPr>
              <w:t>Stop Lzd immediately. Consider hemo</w:t>
            </w:r>
            <w:r w:rsidR="00A7520A">
              <w:rPr>
                <w:rFonts w:asciiTheme="minorHAnsi" w:hAnsiTheme="minorHAnsi"/>
                <w:color w:val="000000" w:themeColor="text1"/>
              </w:rPr>
              <w:t>-</w:t>
            </w:r>
            <w:r w:rsidRPr="007A29CB">
              <w:rPr>
                <w:rFonts w:asciiTheme="minorHAnsi" w:hAnsiTheme="minorHAnsi"/>
                <w:color w:val="000000" w:themeColor="text1"/>
              </w:rPr>
              <w:t>transfusion or EPO. Restart at reduced dose once toxicity has decreased to Grade 1.</w:t>
            </w:r>
          </w:p>
        </w:tc>
      </w:tr>
      <w:tr w:rsidR="001C7A69" w:rsidRPr="007A29CB" w14:paraId="7D73EBFD" w14:textId="77777777" w:rsidTr="000A384C">
        <w:trPr>
          <w:trHeight w:val="14"/>
        </w:trPr>
        <w:tc>
          <w:tcPr>
            <w:tcW w:w="5000" w:type="pct"/>
            <w:gridSpan w:val="5"/>
            <w:tcBorders>
              <w:left w:val="nil"/>
              <w:bottom w:val="nil"/>
              <w:right w:val="nil"/>
            </w:tcBorders>
            <w:shd w:val="clear" w:color="auto" w:fill="FFFFFF" w:themeFill="background1"/>
            <w:tcMar>
              <w:top w:w="100" w:type="dxa"/>
              <w:left w:w="100" w:type="dxa"/>
              <w:bottom w:w="100" w:type="dxa"/>
              <w:right w:w="100" w:type="dxa"/>
            </w:tcMar>
          </w:tcPr>
          <w:p w14:paraId="52F0DDA5" w14:textId="77777777" w:rsidR="001C7A69" w:rsidRPr="00A7520A" w:rsidRDefault="001C7A69" w:rsidP="000A384C">
            <w:pPr>
              <w:pStyle w:val="Tabletext"/>
              <w:rPr>
                <w:rFonts w:asciiTheme="minorHAnsi" w:hAnsiTheme="minorHAnsi"/>
                <w:color w:val="000000" w:themeColor="text1"/>
                <w:sz w:val="16"/>
                <w:szCs w:val="20"/>
              </w:rPr>
            </w:pPr>
            <w:r w:rsidRPr="00A7520A">
              <w:rPr>
                <w:rFonts w:asciiTheme="minorHAnsi" w:hAnsiTheme="minorHAnsi"/>
                <w:color w:val="000000" w:themeColor="text1"/>
                <w:sz w:val="16"/>
                <w:szCs w:val="20"/>
              </w:rPr>
              <w:t>Reference: NIAID Division of Microbiology and Infectious Diseases, severity scale, Nov-2007.</w:t>
            </w:r>
          </w:p>
        </w:tc>
      </w:tr>
    </w:tbl>
    <w:p w14:paraId="63313C13" w14:textId="77777777" w:rsidR="001C7A69" w:rsidRPr="007A29CB" w:rsidRDefault="001C7A69" w:rsidP="001C7A69">
      <w:pPr>
        <w:rPr>
          <w:rFonts w:asciiTheme="minorHAnsi" w:hAnsiTheme="minorHAnsi" w:cstheme="minorHAnsi"/>
          <w:b/>
          <w:bCs/>
          <w:color w:val="000000" w:themeColor="text1"/>
        </w:rPr>
      </w:pPr>
      <w:r w:rsidRPr="007A29CB">
        <w:rPr>
          <w:rFonts w:asciiTheme="minorHAnsi" w:hAnsiTheme="minorHAnsi" w:cstheme="minorHAnsi"/>
          <w:b/>
          <w:bCs/>
          <w:color w:val="000000" w:themeColor="text1"/>
        </w:rPr>
        <w:t>Suggested management strategy:</w:t>
      </w:r>
    </w:p>
    <w:p w14:paraId="72DA85C8" w14:textId="57D1A875" w:rsidR="001C7A69" w:rsidRDefault="001C7A69" w:rsidP="00CB2F8E">
      <w:pPr>
        <w:pStyle w:val="ListNumber"/>
        <w:numPr>
          <w:ilvl w:val="0"/>
          <w:numId w:val="16"/>
        </w:numPr>
        <w:rPr>
          <w:rFonts w:asciiTheme="minorHAnsi" w:hAnsiTheme="minorHAnsi" w:cstheme="minorHAnsi"/>
          <w:color w:val="000000" w:themeColor="text1"/>
        </w:rPr>
      </w:pPr>
      <w:r w:rsidRPr="007A29CB">
        <w:rPr>
          <w:rFonts w:asciiTheme="minorHAnsi" w:hAnsiTheme="minorHAnsi" w:cstheme="minorHAnsi"/>
          <w:color w:val="000000" w:themeColor="text1"/>
        </w:rPr>
        <w:t>Stop the causative drug immediately</w:t>
      </w:r>
      <w:r w:rsidR="00490201">
        <w:rPr>
          <w:rFonts w:asciiTheme="minorHAnsi" w:hAnsiTheme="minorHAnsi" w:cstheme="minorHAnsi"/>
          <w:color w:val="000000" w:themeColor="text1"/>
        </w:rPr>
        <w:t xml:space="preserve"> for Grades 3 </w:t>
      </w:r>
      <w:r w:rsidR="0017225C">
        <w:rPr>
          <w:rFonts w:asciiTheme="minorHAnsi" w:hAnsiTheme="minorHAnsi" w:cstheme="minorHAnsi"/>
          <w:color w:val="000000" w:themeColor="text1"/>
        </w:rPr>
        <w:t>or 4</w:t>
      </w:r>
      <w:r w:rsidR="00490201">
        <w:rPr>
          <w:rFonts w:asciiTheme="minorHAnsi" w:hAnsiTheme="minorHAnsi" w:cstheme="minorHAnsi"/>
          <w:color w:val="000000" w:themeColor="text1"/>
        </w:rPr>
        <w:t>; consider dose reduction for Grades 1</w:t>
      </w:r>
      <w:r w:rsidR="0017225C">
        <w:rPr>
          <w:rFonts w:asciiTheme="minorHAnsi" w:hAnsiTheme="minorHAnsi" w:cstheme="minorHAnsi"/>
          <w:color w:val="000000" w:themeColor="text1"/>
        </w:rPr>
        <w:t xml:space="preserve"> or 2.</w:t>
      </w:r>
    </w:p>
    <w:p w14:paraId="7FC3079B" w14:textId="07966128" w:rsidR="00435774" w:rsidRPr="007A29CB" w:rsidRDefault="00435774" w:rsidP="00CB2F8E">
      <w:pPr>
        <w:pStyle w:val="ListNumber"/>
        <w:numPr>
          <w:ilvl w:val="0"/>
          <w:numId w:val="16"/>
        </w:numPr>
        <w:rPr>
          <w:rFonts w:asciiTheme="minorHAnsi" w:hAnsiTheme="minorHAnsi" w:cstheme="minorHAnsi"/>
          <w:color w:val="000000" w:themeColor="text1"/>
        </w:rPr>
      </w:pPr>
      <w:r>
        <w:rPr>
          <w:rFonts w:asciiTheme="minorHAnsi" w:hAnsiTheme="minorHAnsi" w:cstheme="minorHAnsi"/>
          <w:color w:val="000000" w:themeColor="text1"/>
        </w:rPr>
        <w:t>If iron-deficiency an</w:t>
      </w:r>
      <w:r w:rsidR="008B66BC">
        <w:rPr>
          <w:rFonts w:asciiTheme="minorHAnsi" w:hAnsiTheme="minorHAnsi" w:cstheme="minorHAnsi"/>
          <w:color w:val="000000" w:themeColor="text1"/>
        </w:rPr>
        <w:t xml:space="preserve">emia is suspected to be contributing to the anemia </w:t>
      </w:r>
      <w:r w:rsidR="001F7E1B">
        <w:rPr>
          <w:rFonts w:asciiTheme="minorHAnsi" w:hAnsiTheme="minorHAnsi" w:cstheme="minorHAnsi"/>
          <w:color w:val="000000" w:themeColor="text1"/>
        </w:rPr>
        <w:t xml:space="preserve">where linezolid toxicity is involved, check iron stores and treat </w:t>
      </w:r>
      <w:r w:rsidR="00643687">
        <w:rPr>
          <w:rFonts w:asciiTheme="minorHAnsi" w:hAnsiTheme="minorHAnsi" w:cstheme="minorHAnsi"/>
          <w:color w:val="000000" w:themeColor="text1"/>
        </w:rPr>
        <w:t>if</w:t>
      </w:r>
      <w:r w:rsidR="00362A1F" w:rsidRPr="00362A1F">
        <w:rPr>
          <w:rFonts w:asciiTheme="minorHAnsi" w:hAnsiTheme="minorHAnsi" w:cstheme="minorHAnsi"/>
          <w:color w:val="000000" w:themeColor="text1"/>
        </w:rPr>
        <w:t xml:space="preserve"> </w:t>
      </w:r>
      <w:r w:rsidR="00362A1F">
        <w:rPr>
          <w:rFonts w:asciiTheme="minorHAnsi" w:hAnsiTheme="minorHAnsi" w:cstheme="minorHAnsi"/>
          <w:color w:val="000000" w:themeColor="text1"/>
        </w:rPr>
        <w:t>iron-deficiency is diagnosed</w:t>
      </w:r>
      <w:r w:rsidR="00643687">
        <w:rPr>
          <w:rFonts w:asciiTheme="minorHAnsi" w:hAnsiTheme="minorHAnsi" w:cstheme="minorHAnsi"/>
          <w:color w:val="000000" w:themeColor="text1"/>
        </w:rPr>
        <w:t>.  Empiric treatment with iron can be done</w:t>
      </w:r>
      <w:r w:rsidR="00634745">
        <w:rPr>
          <w:rFonts w:asciiTheme="minorHAnsi" w:hAnsiTheme="minorHAnsi" w:cstheme="minorHAnsi"/>
          <w:color w:val="000000" w:themeColor="text1"/>
        </w:rPr>
        <w:t xml:space="preserve"> if testing for iron-deficiency is not possible</w:t>
      </w:r>
      <w:r w:rsidR="00643687">
        <w:rPr>
          <w:rFonts w:asciiTheme="minorHAnsi" w:hAnsiTheme="minorHAnsi" w:cstheme="minorHAnsi"/>
          <w:color w:val="000000" w:themeColor="text1"/>
        </w:rPr>
        <w:t>.  Note</w:t>
      </w:r>
      <w:r w:rsidR="00CF209D">
        <w:rPr>
          <w:rFonts w:asciiTheme="minorHAnsi" w:hAnsiTheme="minorHAnsi" w:cstheme="minorHAnsi"/>
          <w:color w:val="000000" w:themeColor="text1"/>
        </w:rPr>
        <w:t xml:space="preserve">, oral iron may bind with the FQ and decrease </w:t>
      </w:r>
      <w:r w:rsidR="00B8526A">
        <w:rPr>
          <w:rFonts w:asciiTheme="minorHAnsi" w:hAnsiTheme="minorHAnsi" w:cstheme="minorHAnsi"/>
          <w:color w:val="000000" w:themeColor="text1"/>
        </w:rPr>
        <w:t xml:space="preserve">the </w:t>
      </w:r>
      <w:r w:rsidR="00CF209D">
        <w:rPr>
          <w:rFonts w:asciiTheme="minorHAnsi" w:hAnsiTheme="minorHAnsi" w:cstheme="minorHAnsi"/>
          <w:color w:val="000000" w:themeColor="text1"/>
        </w:rPr>
        <w:t>absorption of the FQ.  Dose iron</w:t>
      </w:r>
      <w:r w:rsidR="00634745">
        <w:rPr>
          <w:rFonts w:asciiTheme="minorHAnsi" w:hAnsiTheme="minorHAnsi" w:cstheme="minorHAnsi"/>
          <w:color w:val="000000" w:themeColor="text1"/>
        </w:rPr>
        <w:t xml:space="preserve"> </w:t>
      </w:r>
      <w:r w:rsidR="004F3EBB">
        <w:rPr>
          <w:rFonts w:asciiTheme="minorHAnsi" w:hAnsiTheme="minorHAnsi" w:cstheme="minorHAnsi"/>
          <w:color w:val="000000" w:themeColor="text1"/>
        </w:rPr>
        <w:t xml:space="preserve">at least 3 hours apart from the FQ.  </w:t>
      </w:r>
      <w:r w:rsidR="00CF209D">
        <w:rPr>
          <w:rFonts w:asciiTheme="minorHAnsi" w:hAnsiTheme="minorHAnsi" w:cstheme="minorHAnsi"/>
          <w:color w:val="000000" w:themeColor="text1"/>
        </w:rPr>
        <w:t xml:space="preserve"> </w:t>
      </w:r>
    </w:p>
    <w:p w14:paraId="444B448A" w14:textId="77777777" w:rsidR="001C7A69" w:rsidRPr="007A29CB" w:rsidRDefault="001C7A69" w:rsidP="00CB2F8E">
      <w:pPr>
        <w:pStyle w:val="ListNumber"/>
        <w:numPr>
          <w:ilvl w:val="0"/>
          <w:numId w:val="16"/>
        </w:numPr>
        <w:rPr>
          <w:rFonts w:asciiTheme="minorHAnsi" w:hAnsiTheme="minorHAnsi" w:cstheme="minorHAnsi"/>
          <w:color w:val="000000" w:themeColor="text1"/>
        </w:rPr>
      </w:pPr>
      <w:r w:rsidRPr="007A29CB">
        <w:rPr>
          <w:rFonts w:asciiTheme="minorHAnsi" w:hAnsiTheme="minorHAnsi" w:cstheme="minorHAnsi"/>
          <w:color w:val="000000" w:themeColor="text1"/>
        </w:rPr>
        <w:t>Monitor full blood counts regularly.</w:t>
      </w:r>
    </w:p>
    <w:p w14:paraId="169137C7" w14:textId="25307596" w:rsidR="001C7A69" w:rsidRPr="007A29CB" w:rsidRDefault="007902CC" w:rsidP="00CB2F8E">
      <w:pPr>
        <w:pStyle w:val="ListNumber"/>
        <w:numPr>
          <w:ilvl w:val="0"/>
          <w:numId w:val="16"/>
        </w:numPr>
        <w:rPr>
          <w:rFonts w:asciiTheme="minorHAnsi" w:hAnsiTheme="minorHAnsi" w:cstheme="minorHAnsi"/>
          <w:color w:val="000000" w:themeColor="text1"/>
        </w:rPr>
      </w:pPr>
      <w:r>
        <w:rPr>
          <w:rFonts w:asciiTheme="minorHAnsi" w:hAnsiTheme="minorHAnsi" w:cstheme="minorHAnsi"/>
          <w:color w:val="000000" w:themeColor="text1"/>
        </w:rPr>
        <w:t xml:space="preserve">If </w:t>
      </w:r>
      <w:r w:rsidR="00604617">
        <w:rPr>
          <w:rFonts w:asciiTheme="minorHAnsi" w:hAnsiTheme="minorHAnsi" w:cstheme="minorHAnsi"/>
          <w:color w:val="000000" w:themeColor="text1"/>
        </w:rPr>
        <w:t>erythropoietin</w:t>
      </w:r>
      <w:r>
        <w:rPr>
          <w:rFonts w:asciiTheme="minorHAnsi" w:hAnsiTheme="minorHAnsi" w:cstheme="minorHAnsi"/>
          <w:color w:val="000000" w:themeColor="text1"/>
        </w:rPr>
        <w:t xml:space="preserve"> is available, c</w:t>
      </w:r>
      <w:r w:rsidR="001C7A69" w:rsidRPr="007A29CB">
        <w:rPr>
          <w:rFonts w:asciiTheme="minorHAnsi" w:hAnsiTheme="minorHAnsi" w:cstheme="minorHAnsi"/>
          <w:color w:val="000000" w:themeColor="text1"/>
        </w:rPr>
        <w:t xml:space="preserve">onsider </w:t>
      </w:r>
      <w:r>
        <w:rPr>
          <w:rFonts w:asciiTheme="minorHAnsi" w:hAnsiTheme="minorHAnsi" w:cstheme="minorHAnsi"/>
          <w:color w:val="000000" w:themeColor="text1"/>
        </w:rPr>
        <w:t xml:space="preserve">using </w:t>
      </w:r>
      <w:r w:rsidR="001C7A69" w:rsidRPr="007A29CB">
        <w:rPr>
          <w:rFonts w:asciiTheme="minorHAnsi" w:hAnsiTheme="minorHAnsi" w:cstheme="minorHAnsi"/>
          <w:color w:val="000000" w:themeColor="text1"/>
        </w:rPr>
        <w:t>for anemia Grade</w:t>
      </w:r>
      <w:r w:rsidR="00A7520A">
        <w:rPr>
          <w:rFonts w:asciiTheme="minorHAnsi" w:hAnsiTheme="minorHAnsi" w:cstheme="minorHAnsi"/>
          <w:color w:val="000000" w:themeColor="text1"/>
        </w:rPr>
        <w:t>s</w:t>
      </w:r>
      <w:r w:rsidR="001C7A69" w:rsidRPr="007A29CB">
        <w:rPr>
          <w:rFonts w:asciiTheme="minorHAnsi" w:hAnsiTheme="minorHAnsi" w:cstheme="minorHAnsi"/>
          <w:color w:val="000000" w:themeColor="text1"/>
        </w:rPr>
        <w:t xml:space="preserve"> 3</w:t>
      </w:r>
      <w:r>
        <w:rPr>
          <w:rFonts w:asciiTheme="minorHAnsi" w:hAnsiTheme="minorHAnsi" w:cstheme="minorHAnsi"/>
          <w:color w:val="000000" w:themeColor="text1"/>
        </w:rPr>
        <w:t>. (</w:t>
      </w:r>
      <w:r w:rsidR="00604617">
        <w:rPr>
          <w:rFonts w:asciiTheme="minorHAnsi" w:hAnsiTheme="minorHAnsi" w:cstheme="minorHAnsi"/>
          <w:color w:val="000000" w:themeColor="text1"/>
        </w:rPr>
        <w:t xml:space="preserve">Most programs manage </w:t>
      </w:r>
      <w:r w:rsidR="00B21F8F">
        <w:rPr>
          <w:rFonts w:asciiTheme="minorHAnsi" w:hAnsiTheme="minorHAnsi" w:cstheme="minorHAnsi"/>
          <w:color w:val="000000" w:themeColor="text1"/>
        </w:rPr>
        <w:t xml:space="preserve">anemia secondary to </w:t>
      </w:r>
      <w:r w:rsidR="00604617">
        <w:rPr>
          <w:rFonts w:asciiTheme="minorHAnsi" w:hAnsiTheme="minorHAnsi" w:cstheme="minorHAnsi"/>
          <w:color w:val="000000" w:themeColor="text1"/>
        </w:rPr>
        <w:t xml:space="preserve">linezolid toxicity </w:t>
      </w:r>
      <w:r w:rsidR="00B21F8F">
        <w:rPr>
          <w:rFonts w:asciiTheme="minorHAnsi" w:hAnsiTheme="minorHAnsi" w:cstheme="minorHAnsi"/>
          <w:color w:val="000000" w:themeColor="text1"/>
        </w:rPr>
        <w:t>without erythropoietin</w:t>
      </w:r>
      <w:r w:rsidR="002A4971">
        <w:rPr>
          <w:rFonts w:asciiTheme="minorHAnsi" w:hAnsiTheme="minorHAnsi" w:cstheme="minorHAnsi"/>
          <w:color w:val="000000" w:themeColor="text1"/>
        </w:rPr>
        <w:t>, w</w:t>
      </w:r>
      <w:r w:rsidR="00791EE0">
        <w:rPr>
          <w:rFonts w:asciiTheme="minorHAnsi" w:hAnsiTheme="minorHAnsi" w:cstheme="minorHAnsi"/>
          <w:color w:val="000000" w:themeColor="text1"/>
        </w:rPr>
        <w:t>ith good</w:t>
      </w:r>
      <w:r w:rsidR="002A4971">
        <w:rPr>
          <w:rFonts w:asciiTheme="minorHAnsi" w:hAnsiTheme="minorHAnsi" w:cstheme="minorHAnsi"/>
          <w:color w:val="000000" w:themeColor="text1"/>
        </w:rPr>
        <w:t xml:space="preserve"> anti</w:t>
      </w:r>
      <w:r w:rsidR="00791EE0">
        <w:rPr>
          <w:rFonts w:asciiTheme="minorHAnsi" w:hAnsiTheme="minorHAnsi" w:cstheme="minorHAnsi"/>
          <w:color w:val="000000" w:themeColor="text1"/>
        </w:rPr>
        <w:t>dotal outcomes).</w:t>
      </w:r>
    </w:p>
    <w:p w14:paraId="5C15985F" w14:textId="18268C3F" w:rsidR="001C7A69" w:rsidRPr="007A29CB" w:rsidRDefault="001C7A69" w:rsidP="00CB2F8E">
      <w:pPr>
        <w:pStyle w:val="ListNumber"/>
        <w:numPr>
          <w:ilvl w:val="0"/>
          <w:numId w:val="16"/>
        </w:numPr>
        <w:rPr>
          <w:rFonts w:asciiTheme="minorHAnsi" w:hAnsiTheme="minorHAnsi" w:cstheme="minorHAnsi"/>
          <w:color w:val="000000" w:themeColor="text1"/>
        </w:rPr>
      </w:pPr>
      <w:r w:rsidRPr="007A29CB">
        <w:rPr>
          <w:rFonts w:asciiTheme="minorHAnsi" w:hAnsiTheme="minorHAnsi" w:cstheme="minorHAnsi"/>
          <w:color w:val="000000" w:themeColor="text1"/>
        </w:rPr>
        <w:t xml:space="preserve">Hospitalize the patient and consider transfusion </w:t>
      </w:r>
      <w:r w:rsidR="00AC10FF">
        <w:rPr>
          <w:rFonts w:asciiTheme="minorHAnsi" w:hAnsiTheme="minorHAnsi" w:cstheme="minorHAnsi"/>
          <w:color w:val="000000" w:themeColor="text1"/>
        </w:rPr>
        <w:t>(</w:t>
      </w:r>
      <w:r w:rsidRPr="007A29CB">
        <w:rPr>
          <w:rFonts w:asciiTheme="minorHAnsi" w:hAnsiTheme="minorHAnsi" w:cstheme="minorHAnsi"/>
          <w:color w:val="000000" w:themeColor="text1"/>
        </w:rPr>
        <w:t>or erythropoietin</w:t>
      </w:r>
      <w:r w:rsidR="00AC10FF">
        <w:rPr>
          <w:rFonts w:asciiTheme="minorHAnsi" w:hAnsiTheme="minorHAnsi" w:cstheme="minorHAnsi"/>
          <w:color w:val="000000" w:themeColor="text1"/>
        </w:rPr>
        <w:t>)</w:t>
      </w:r>
      <w:r w:rsidRPr="007A29CB">
        <w:rPr>
          <w:rFonts w:asciiTheme="minorHAnsi" w:hAnsiTheme="minorHAnsi" w:cstheme="minorHAnsi"/>
          <w:color w:val="000000" w:themeColor="text1"/>
        </w:rPr>
        <w:t xml:space="preserve"> if the myelosuppression is severe. </w:t>
      </w:r>
    </w:p>
    <w:p w14:paraId="43834E80" w14:textId="685FD7ED" w:rsidR="001C7A69" w:rsidRPr="007A29CB" w:rsidRDefault="001C7A69" w:rsidP="00CB2F8E">
      <w:pPr>
        <w:pStyle w:val="ListNumber"/>
        <w:numPr>
          <w:ilvl w:val="0"/>
          <w:numId w:val="16"/>
        </w:numPr>
        <w:rPr>
          <w:rFonts w:asciiTheme="minorHAnsi" w:hAnsiTheme="minorHAnsi" w:cstheme="minorHAnsi"/>
          <w:color w:val="000000" w:themeColor="text1"/>
        </w:rPr>
      </w:pPr>
      <w:r w:rsidRPr="007A29CB">
        <w:rPr>
          <w:rFonts w:asciiTheme="minorHAnsi" w:hAnsiTheme="minorHAnsi" w:cstheme="minorHAnsi"/>
          <w:color w:val="000000" w:themeColor="text1"/>
        </w:rPr>
        <w:t>Consider additional anti-TB drugs to reinforce the regimen</w:t>
      </w:r>
      <w:r w:rsidR="00AC10FF">
        <w:rPr>
          <w:rFonts w:asciiTheme="minorHAnsi" w:hAnsiTheme="minorHAnsi" w:cstheme="minorHAnsi"/>
          <w:color w:val="000000" w:themeColor="text1"/>
        </w:rPr>
        <w:t xml:space="preserve"> if linezo</w:t>
      </w:r>
      <w:r w:rsidR="00BA3EC8">
        <w:rPr>
          <w:rFonts w:asciiTheme="minorHAnsi" w:hAnsiTheme="minorHAnsi" w:cstheme="minorHAnsi"/>
          <w:color w:val="000000" w:themeColor="text1"/>
        </w:rPr>
        <w:t>lid is being permanently stopped</w:t>
      </w:r>
      <w:r w:rsidRPr="007A29CB">
        <w:rPr>
          <w:rFonts w:asciiTheme="minorHAnsi" w:hAnsiTheme="minorHAnsi" w:cstheme="minorHAnsi"/>
          <w:color w:val="000000" w:themeColor="text1"/>
        </w:rPr>
        <w:t>.</w:t>
      </w:r>
    </w:p>
    <w:p w14:paraId="1F67641C" w14:textId="77777777" w:rsidR="001C7A69" w:rsidRPr="00E37ADD" w:rsidRDefault="001C7A69" w:rsidP="001C7A69">
      <w:pPr>
        <w:rPr>
          <w:rFonts w:asciiTheme="minorHAnsi" w:hAnsiTheme="minorHAnsi" w:cstheme="minorHAnsi"/>
          <w:color w:val="000000" w:themeColor="text1"/>
          <w:sz w:val="11"/>
          <w:szCs w:val="11"/>
        </w:rPr>
      </w:pPr>
    </w:p>
    <w:p w14:paraId="5C785751" w14:textId="77777777" w:rsidR="001C7A69" w:rsidRPr="007A29CB" w:rsidRDefault="001C7A69" w:rsidP="00093E2C">
      <w:pPr>
        <w:pBdr>
          <w:top w:val="single" w:sz="4" w:space="1" w:color="auto"/>
          <w:left w:val="single" w:sz="4" w:space="4" w:color="auto"/>
          <w:bottom w:val="single" w:sz="4" w:space="1" w:color="auto"/>
          <w:right w:val="single" w:sz="4" w:space="4" w:color="auto"/>
        </w:pBdr>
        <w:shd w:val="clear" w:color="auto" w:fill="235868"/>
        <w:jc w:val="center"/>
        <w:rPr>
          <w:rFonts w:asciiTheme="minorHAnsi" w:hAnsiTheme="minorHAnsi"/>
          <w:b/>
          <w:bCs/>
          <w:i/>
          <w:iCs/>
          <w:color w:val="FFFFFF" w:themeColor="background1"/>
        </w:rPr>
      </w:pPr>
      <w:r w:rsidRPr="007A29CB">
        <w:rPr>
          <w:rFonts w:asciiTheme="minorHAnsi" w:hAnsiTheme="minorHAnsi"/>
          <w:b/>
          <w:bCs/>
          <w:i/>
          <w:iCs/>
          <w:color w:val="FFFFFF" w:themeColor="background1"/>
        </w:rPr>
        <w:t>Erythropoietin (EPO)</w:t>
      </w:r>
    </w:p>
    <w:p w14:paraId="0FBAB3C4" w14:textId="105BD3C7" w:rsidR="001C7A69" w:rsidRPr="007A29CB" w:rsidRDefault="001C7A69" w:rsidP="001C7A69">
      <w:pPr>
        <w:pBdr>
          <w:top w:val="single" w:sz="4" w:space="1" w:color="auto"/>
          <w:left w:val="single" w:sz="4" w:space="4" w:color="auto"/>
          <w:bottom w:val="single" w:sz="4" w:space="1" w:color="auto"/>
          <w:right w:val="single" w:sz="4" w:space="4" w:color="auto"/>
        </w:pBdr>
        <w:rPr>
          <w:rFonts w:asciiTheme="minorHAnsi" w:hAnsiTheme="minorHAnsi"/>
          <w:color w:val="000000" w:themeColor="text1"/>
        </w:rPr>
      </w:pPr>
      <w:r w:rsidRPr="007A29CB">
        <w:rPr>
          <w:rFonts w:asciiTheme="minorHAnsi" w:hAnsiTheme="minorHAnsi"/>
          <w:color w:val="000000" w:themeColor="text1"/>
        </w:rPr>
        <w:t xml:space="preserve">Treatment with </w:t>
      </w:r>
      <w:r w:rsidRPr="007A29CB">
        <w:rPr>
          <w:rFonts w:asciiTheme="minorHAnsi" w:hAnsiTheme="minorHAnsi" w:cs="Arial"/>
          <w:color w:val="000000" w:themeColor="text1"/>
        </w:rPr>
        <w:t xml:space="preserve">erythropoietin </w:t>
      </w:r>
      <w:r w:rsidRPr="007A29CB">
        <w:rPr>
          <w:rFonts w:asciiTheme="minorHAnsi" w:hAnsiTheme="minorHAnsi"/>
          <w:color w:val="000000" w:themeColor="text1"/>
        </w:rPr>
        <w:t>is not intended for patients who require immediate correction of anemia (Grade 4). In this case, blood transfusions should be considered.</w:t>
      </w:r>
      <w:r w:rsidRPr="007A29CB">
        <w:rPr>
          <w:rFonts w:asciiTheme="minorHAnsi" w:hAnsiTheme="minorHAnsi" w:cs="Arial"/>
          <w:color w:val="000000" w:themeColor="text1"/>
        </w:rPr>
        <w:t xml:space="preserve"> Whole blood count should be repeated weekly to assess the response to treatment. </w:t>
      </w:r>
      <w:r w:rsidRPr="007A29CB">
        <w:rPr>
          <w:rFonts w:asciiTheme="minorHAnsi" w:hAnsiTheme="minorHAnsi"/>
          <w:color w:val="000000" w:themeColor="text1"/>
        </w:rPr>
        <w:t xml:space="preserve">Blood pressure should be adequately controlled before initiation and monitored during therapy. </w:t>
      </w:r>
      <w:r w:rsidRPr="007A29CB">
        <w:rPr>
          <w:rFonts w:asciiTheme="minorHAnsi" w:hAnsiTheme="minorHAnsi" w:cs="Arial"/>
          <w:color w:val="000000" w:themeColor="text1"/>
        </w:rPr>
        <w:t xml:space="preserve">Erythropoietin treatment should in any case be </w:t>
      </w:r>
      <w:r w:rsidRPr="007A29CB">
        <w:rPr>
          <w:rFonts w:asciiTheme="minorHAnsi" w:hAnsiTheme="minorHAnsi" w:cs="Arial"/>
          <w:color w:val="000000" w:themeColor="text1"/>
        </w:rPr>
        <w:lastRenderedPageBreak/>
        <w:t xml:space="preserve">discontinued at </w:t>
      </w:r>
      <w:r w:rsidR="00E37ADD">
        <w:rPr>
          <w:rFonts w:asciiTheme="minorHAnsi" w:hAnsiTheme="minorHAnsi" w:cs="Arial"/>
          <w:color w:val="000000" w:themeColor="text1"/>
        </w:rPr>
        <w:t>h</w:t>
      </w:r>
      <w:r w:rsidRPr="007A29CB">
        <w:rPr>
          <w:rFonts w:asciiTheme="minorHAnsi" w:hAnsiTheme="minorHAnsi" w:cs="Arial"/>
          <w:color w:val="000000" w:themeColor="text1"/>
        </w:rPr>
        <w:t xml:space="preserve">emoglobin levels over 12 g/dL. </w:t>
      </w:r>
      <w:r w:rsidR="00CD78CD">
        <w:rPr>
          <w:rFonts w:asciiTheme="minorHAnsi" w:hAnsiTheme="minorHAnsi" w:cs="Arial"/>
          <w:color w:val="000000" w:themeColor="text1"/>
        </w:rPr>
        <w:t xml:space="preserve">Erythropoietin is not effective if there is significant iron deficiency present. </w:t>
      </w:r>
    </w:p>
    <w:p w14:paraId="088F2AEB" w14:textId="77777777" w:rsidR="001C7A69" w:rsidRPr="007A29CB" w:rsidRDefault="001C7A69" w:rsidP="00093E2C">
      <w:pPr>
        <w:pBdr>
          <w:top w:val="single" w:sz="4" w:space="1" w:color="auto"/>
          <w:left w:val="single" w:sz="4" w:space="4" w:color="auto"/>
          <w:bottom w:val="single" w:sz="4" w:space="1" w:color="auto"/>
          <w:right w:val="single" w:sz="4" w:space="4" w:color="auto"/>
        </w:pBdr>
        <w:shd w:val="clear" w:color="auto" w:fill="B6DDE9"/>
        <w:jc w:val="center"/>
        <w:rPr>
          <w:rFonts w:asciiTheme="minorHAnsi" w:hAnsiTheme="minorHAnsi"/>
          <w:i/>
          <w:iCs/>
          <w:color w:val="000000" w:themeColor="text1"/>
        </w:rPr>
      </w:pPr>
      <w:r w:rsidRPr="007A29CB">
        <w:rPr>
          <w:rFonts w:asciiTheme="minorHAnsi" w:hAnsiTheme="minorHAnsi"/>
          <w:i/>
          <w:iCs/>
          <w:color w:val="000000" w:themeColor="text1"/>
        </w:rPr>
        <w:t>Contraindications</w:t>
      </w:r>
    </w:p>
    <w:p w14:paraId="776E1C23" w14:textId="77777777" w:rsidR="001C7A69" w:rsidRPr="007A29CB" w:rsidRDefault="001C7A69" w:rsidP="001C7A69">
      <w:pPr>
        <w:pBdr>
          <w:top w:val="single" w:sz="4" w:space="1" w:color="auto"/>
          <w:left w:val="single" w:sz="4" w:space="4" w:color="auto"/>
          <w:bottom w:val="single" w:sz="4" w:space="1" w:color="auto"/>
          <w:right w:val="single" w:sz="4" w:space="4" w:color="auto"/>
        </w:pBdr>
        <w:rPr>
          <w:rFonts w:asciiTheme="minorHAnsi" w:hAnsiTheme="minorHAnsi"/>
          <w:color w:val="000000" w:themeColor="text1"/>
        </w:rPr>
      </w:pPr>
      <w:r w:rsidRPr="007A29CB">
        <w:rPr>
          <w:rFonts w:asciiTheme="minorHAnsi" w:hAnsiTheme="minorHAnsi"/>
          <w:color w:val="000000" w:themeColor="text1"/>
        </w:rPr>
        <w:t>Erythropoietin treatment should be administered with caution in the presence of:</w:t>
      </w:r>
    </w:p>
    <w:p w14:paraId="563A4F58" w14:textId="77777777" w:rsidR="001C7A69" w:rsidRPr="007A29CB" w:rsidRDefault="001C7A69" w:rsidP="00CB2F8E">
      <w:pPr>
        <w:pStyle w:val="ListParagraph"/>
        <w:numPr>
          <w:ilvl w:val="0"/>
          <w:numId w:val="9"/>
        </w:numPr>
        <w:pBdr>
          <w:top w:val="single" w:sz="4" w:space="1" w:color="auto"/>
          <w:left w:val="single" w:sz="4" w:space="4" w:color="auto"/>
          <w:bottom w:val="single" w:sz="4" w:space="1" w:color="auto"/>
          <w:right w:val="single" w:sz="4" w:space="4" w:color="auto"/>
        </w:pBdr>
        <w:rPr>
          <w:rFonts w:asciiTheme="minorHAnsi" w:hAnsiTheme="minorHAnsi"/>
          <w:color w:val="000000" w:themeColor="text1"/>
        </w:rPr>
      </w:pPr>
      <w:r w:rsidRPr="007A29CB">
        <w:rPr>
          <w:rFonts w:asciiTheme="minorHAnsi" w:hAnsiTheme="minorHAnsi"/>
          <w:color w:val="000000" w:themeColor="text1"/>
        </w:rPr>
        <w:t>Untreated, inadequately treated or poorly controlled hypertension</w:t>
      </w:r>
    </w:p>
    <w:p w14:paraId="1602BAB6" w14:textId="77777777" w:rsidR="001C7A69" w:rsidRPr="007A29CB" w:rsidRDefault="001C7A69" w:rsidP="00CB2F8E">
      <w:pPr>
        <w:pStyle w:val="ListParagraph"/>
        <w:numPr>
          <w:ilvl w:val="0"/>
          <w:numId w:val="9"/>
        </w:numPr>
        <w:pBdr>
          <w:top w:val="single" w:sz="4" w:space="1" w:color="auto"/>
          <w:left w:val="single" w:sz="4" w:space="4" w:color="auto"/>
          <w:bottom w:val="single" w:sz="4" w:space="1" w:color="auto"/>
          <w:right w:val="single" w:sz="4" w:space="4" w:color="auto"/>
        </w:pBdr>
        <w:rPr>
          <w:rFonts w:asciiTheme="minorHAnsi" w:hAnsiTheme="minorHAnsi"/>
          <w:color w:val="000000" w:themeColor="text1"/>
        </w:rPr>
      </w:pPr>
      <w:r w:rsidRPr="007A29CB">
        <w:rPr>
          <w:rFonts w:asciiTheme="minorHAnsi" w:hAnsiTheme="minorHAnsi"/>
          <w:color w:val="000000" w:themeColor="text1"/>
        </w:rPr>
        <w:t>Epilepsy</w:t>
      </w:r>
    </w:p>
    <w:p w14:paraId="01C1A67F" w14:textId="77777777" w:rsidR="001C7A69" w:rsidRPr="007A29CB" w:rsidRDefault="001C7A69" w:rsidP="00CB2F8E">
      <w:pPr>
        <w:pStyle w:val="ListParagraph"/>
        <w:numPr>
          <w:ilvl w:val="0"/>
          <w:numId w:val="9"/>
        </w:numPr>
        <w:pBdr>
          <w:top w:val="single" w:sz="4" w:space="1" w:color="auto"/>
          <w:left w:val="single" w:sz="4" w:space="4" w:color="auto"/>
          <w:bottom w:val="single" w:sz="4" w:space="1" w:color="auto"/>
          <w:right w:val="single" w:sz="4" w:space="4" w:color="auto"/>
        </w:pBdr>
        <w:rPr>
          <w:rFonts w:asciiTheme="minorHAnsi" w:hAnsiTheme="minorHAnsi"/>
          <w:color w:val="000000" w:themeColor="text1"/>
        </w:rPr>
      </w:pPr>
      <w:r w:rsidRPr="007A29CB">
        <w:rPr>
          <w:rFonts w:asciiTheme="minorHAnsi" w:hAnsiTheme="minorHAnsi"/>
          <w:color w:val="000000" w:themeColor="text1"/>
        </w:rPr>
        <w:t>Thrombocytosis</w:t>
      </w:r>
    </w:p>
    <w:p w14:paraId="7D1D0976" w14:textId="77777777" w:rsidR="001C7A69" w:rsidRPr="007A29CB" w:rsidRDefault="001C7A69" w:rsidP="00CB2F8E">
      <w:pPr>
        <w:pStyle w:val="ListParagraph"/>
        <w:numPr>
          <w:ilvl w:val="0"/>
          <w:numId w:val="9"/>
        </w:numPr>
        <w:pBdr>
          <w:top w:val="single" w:sz="4" w:space="1" w:color="auto"/>
          <w:left w:val="single" w:sz="4" w:space="4" w:color="auto"/>
          <w:bottom w:val="single" w:sz="4" w:space="1" w:color="auto"/>
          <w:right w:val="single" w:sz="4" w:space="4" w:color="auto"/>
        </w:pBdr>
        <w:rPr>
          <w:rFonts w:asciiTheme="minorHAnsi" w:hAnsiTheme="minorHAnsi"/>
          <w:color w:val="000000" w:themeColor="text1"/>
        </w:rPr>
      </w:pPr>
      <w:r w:rsidRPr="007A29CB">
        <w:rPr>
          <w:rFonts w:asciiTheme="minorHAnsi" w:hAnsiTheme="minorHAnsi"/>
          <w:color w:val="000000" w:themeColor="text1"/>
        </w:rPr>
        <w:t>Chronic liver failure</w:t>
      </w:r>
    </w:p>
    <w:p w14:paraId="5E00DDF7" w14:textId="77777777" w:rsidR="001C7A69" w:rsidRPr="007A29CB" w:rsidRDefault="001C7A69" w:rsidP="00CB2F8E">
      <w:pPr>
        <w:pStyle w:val="ListParagraph"/>
        <w:numPr>
          <w:ilvl w:val="0"/>
          <w:numId w:val="9"/>
        </w:numPr>
        <w:pBdr>
          <w:top w:val="single" w:sz="4" w:space="1" w:color="auto"/>
          <w:left w:val="single" w:sz="4" w:space="4" w:color="auto"/>
          <w:bottom w:val="single" w:sz="4" w:space="1" w:color="auto"/>
          <w:right w:val="single" w:sz="4" w:space="4" w:color="auto"/>
        </w:pBdr>
        <w:rPr>
          <w:rFonts w:asciiTheme="minorHAnsi" w:hAnsiTheme="minorHAnsi"/>
          <w:color w:val="000000" w:themeColor="text1"/>
        </w:rPr>
      </w:pPr>
      <w:r w:rsidRPr="007A29CB">
        <w:rPr>
          <w:rFonts w:asciiTheme="minorHAnsi" w:hAnsiTheme="minorHAnsi"/>
          <w:color w:val="000000" w:themeColor="text1"/>
        </w:rPr>
        <w:t>Hyperkalemia</w:t>
      </w:r>
    </w:p>
    <w:p w14:paraId="62504570" w14:textId="77777777" w:rsidR="001C7A69" w:rsidRPr="007A29CB" w:rsidRDefault="001C7A69" w:rsidP="00093E2C">
      <w:pPr>
        <w:pBdr>
          <w:top w:val="single" w:sz="4" w:space="1" w:color="auto"/>
          <w:left w:val="single" w:sz="4" w:space="4" w:color="auto"/>
          <w:bottom w:val="single" w:sz="4" w:space="1" w:color="auto"/>
          <w:right w:val="single" w:sz="4" w:space="4" w:color="auto"/>
        </w:pBdr>
        <w:shd w:val="clear" w:color="auto" w:fill="B6DDE9"/>
        <w:jc w:val="center"/>
        <w:rPr>
          <w:rFonts w:asciiTheme="minorHAnsi" w:hAnsiTheme="minorHAnsi"/>
          <w:i/>
          <w:iCs/>
          <w:color w:val="000000" w:themeColor="text1"/>
        </w:rPr>
      </w:pPr>
      <w:r w:rsidRPr="007A29CB">
        <w:rPr>
          <w:rFonts w:asciiTheme="minorHAnsi" w:hAnsiTheme="minorHAnsi"/>
          <w:i/>
          <w:iCs/>
          <w:color w:val="000000" w:themeColor="text1"/>
        </w:rPr>
        <w:t>Presentation</w:t>
      </w:r>
    </w:p>
    <w:p w14:paraId="3C84CB6E" w14:textId="04531C5E" w:rsidR="001C7A69" w:rsidRPr="007A29CB" w:rsidRDefault="001C7A69" w:rsidP="001C7A69">
      <w:pPr>
        <w:pBdr>
          <w:top w:val="single" w:sz="4" w:space="1" w:color="auto"/>
          <w:left w:val="single" w:sz="4" w:space="4" w:color="auto"/>
          <w:bottom w:val="single" w:sz="4" w:space="1" w:color="auto"/>
          <w:right w:val="single" w:sz="4" w:space="4" w:color="auto"/>
        </w:pBdr>
        <w:rPr>
          <w:rFonts w:asciiTheme="minorHAnsi" w:hAnsiTheme="minorHAnsi"/>
          <w:strike/>
          <w:color w:val="000000" w:themeColor="text1"/>
        </w:rPr>
      </w:pPr>
      <w:r w:rsidRPr="007A29CB">
        <w:rPr>
          <w:rFonts w:asciiTheme="minorHAnsi" w:hAnsiTheme="minorHAnsi" w:cs="Minion-Regular"/>
          <w:color w:val="000000" w:themeColor="text1"/>
        </w:rPr>
        <w:t>Epoetin alfa pre</w:t>
      </w:r>
      <w:r w:rsidR="004B3F47">
        <w:rPr>
          <w:rFonts w:asciiTheme="minorHAnsi" w:hAnsiTheme="minorHAnsi" w:cs="Minion-Regular"/>
          <w:color w:val="000000" w:themeColor="text1"/>
        </w:rPr>
        <w:t>-</w:t>
      </w:r>
      <w:r w:rsidRPr="007A29CB">
        <w:rPr>
          <w:rFonts w:asciiTheme="minorHAnsi" w:hAnsiTheme="minorHAnsi" w:cs="Minion-Regular"/>
          <w:color w:val="000000" w:themeColor="text1"/>
        </w:rPr>
        <w:t xml:space="preserve">filled syringes of </w:t>
      </w:r>
      <w:r w:rsidRPr="007A29CB">
        <w:rPr>
          <w:rFonts w:asciiTheme="minorHAnsi" w:hAnsiTheme="minorHAnsi"/>
          <w:color w:val="000000" w:themeColor="text1"/>
          <w:lang w:val="en-GB" w:eastAsia="fr-FR"/>
        </w:rPr>
        <w:t>10</w:t>
      </w:r>
      <w:r w:rsidR="004B3F47">
        <w:rPr>
          <w:rFonts w:asciiTheme="minorHAnsi" w:hAnsiTheme="minorHAnsi"/>
          <w:color w:val="000000" w:themeColor="text1"/>
          <w:lang w:val="en-GB" w:eastAsia="fr-FR"/>
        </w:rPr>
        <w:t>,</w:t>
      </w:r>
      <w:r w:rsidRPr="007A29CB">
        <w:rPr>
          <w:rFonts w:asciiTheme="minorHAnsi" w:hAnsiTheme="minorHAnsi"/>
          <w:color w:val="000000" w:themeColor="text1"/>
          <w:lang w:val="en-GB" w:eastAsia="fr-FR"/>
        </w:rPr>
        <w:t>000 UI or 40</w:t>
      </w:r>
      <w:r w:rsidR="004B3F47">
        <w:rPr>
          <w:rFonts w:asciiTheme="minorHAnsi" w:hAnsiTheme="minorHAnsi"/>
          <w:color w:val="000000" w:themeColor="text1"/>
          <w:lang w:val="en-GB" w:eastAsia="fr-FR"/>
        </w:rPr>
        <w:t>,</w:t>
      </w:r>
      <w:r w:rsidRPr="007A29CB">
        <w:rPr>
          <w:rFonts w:asciiTheme="minorHAnsi" w:hAnsiTheme="minorHAnsi"/>
          <w:color w:val="000000" w:themeColor="text1"/>
          <w:lang w:val="en-GB" w:eastAsia="fr-FR"/>
        </w:rPr>
        <w:t xml:space="preserve">000 IU/ml to be stored in cold chain </w:t>
      </w:r>
      <w:r w:rsidRPr="007A29CB">
        <w:rPr>
          <w:rFonts w:asciiTheme="minorHAnsi" w:hAnsiTheme="minorHAnsi"/>
          <w:color w:val="000000" w:themeColor="text1"/>
        </w:rPr>
        <w:t xml:space="preserve">(2°C to 8°C). </w:t>
      </w:r>
    </w:p>
    <w:p w14:paraId="4D7D0A76" w14:textId="77777777" w:rsidR="001C7A69" w:rsidRPr="007A29CB" w:rsidRDefault="001C7A69" w:rsidP="00093E2C">
      <w:pPr>
        <w:pBdr>
          <w:top w:val="single" w:sz="4" w:space="1" w:color="auto"/>
          <w:left w:val="single" w:sz="4" w:space="4" w:color="auto"/>
          <w:bottom w:val="single" w:sz="4" w:space="1" w:color="auto"/>
          <w:right w:val="single" w:sz="4" w:space="4" w:color="auto"/>
        </w:pBdr>
        <w:shd w:val="clear" w:color="auto" w:fill="B6DDE9"/>
        <w:jc w:val="center"/>
        <w:rPr>
          <w:rFonts w:asciiTheme="minorHAnsi" w:hAnsiTheme="minorHAnsi"/>
          <w:i/>
          <w:iCs/>
          <w:color w:val="000000" w:themeColor="text1"/>
        </w:rPr>
      </w:pPr>
      <w:r w:rsidRPr="007A29CB">
        <w:rPr>
          <w:rFonts w:asciiTheme="minorHAnsi" w:hAnsiTheme="minorHAnsi"/>
          <w:i/>
          <w:iCs/>
          <w:color w:val="000000" w:themeColor="text1"/>
        </w:rPr>
        <w:t>Dosing</w:t>
      </w:r>
    </w:p>
    <w:p w14:paraId="51071FFE" w14:textId="54E9F543" w:rsidR="001C7A69" w:rsidRPr="007A29CB" w:rsidRDefault="001C7A69" w:rsidP="001C7A69">
      <w:pPr>
        <w:pBdr>
          <w:top w:val="single" w:sz="4" w:space="1" w:color="auto"/>
          <w:left w:val="single" w:sz="4" w:space="4" w:color="auto"/>
          <w:bottom w:val="single" w:sz="4" w:space="1" w:color="auto"/>
          <w:right w:val="single" w:sz="4" w:space="4" w:color="auto"/>
        </w:pBdr>
        <w:rPr>
          <w:rFonts w:asciiTheme="minorHAnsi" w:hAnsiTheme="minorHAnsi"/>
          <w:color w:val="000000" w:themeColor="text1"/>
        </w:rPr>
      </w:pPr>
      <w:r w:rsidRPr="007A29CB">
        <w:rPr>
          <w:rFonts w:asciiTheme="minorHAnsi" w:hAnsiTheme="minorHAnsi" w:cs="Arial"/>
          <w:color w:val="000000" w:themeColor="text1"/>
        </w:rPr>
        <w:t xml:space="preserve">Epoetin alfa: </w:t>
      </w:r>
      <w:r w:rsidRPr="007A29CB">
        <w:rPr>
          <w:rFonts w:asciiTheme="minorHAnsi" w:hAnsiTheme="minorHAnsi" w:cs="Minion-Regular"/>
          <w:color w:val="000000" w:themeColor="text1"/>
        </w:rPr>
        <w:t>150 IU/</w:t>
      </w:r>
      <w:r w:rsidR="004B3F47">
        <w:rPr>
          <w:rFonts w:asciiTheme="minorHAnsi" w:hAnsiTheme="minorHAnsi" w:cs="Minion-Regular"/>
          <w:color w:val="000000" w:themeColor="text1"/>
        </w:rPr>
        <w:t>k</w:t>
      </w:r>
      <w:r w:rsidRPr="007A29CB">
        <w:rPr>
          <w:rFonts w:asciiTheme="minorHAnsi" w:hAnsiTheme="minorHAnsi" w:cs="Minion-Regular"/>
          <w:color w:val="000000" w:themeColor="text1"/>
        </w:rPr>
        <w:t>g three times a week or 450 IU/</w:t>
      </w:r>
      <w:r w:rsidR="004B3F47">
        <w:rPr>
          <w:rFonts w:asciiTheme="minorHAnsi" w:hAnsiTheme="minorHAnsi" w:cs="Minion-Regular"/>
          <w:color w:val="000000" w:themeColor="text1"/>
        </w:rPr>
        <w:t>k</w:t>
      </w:r>
      <w:r w:rsidRPr="007A29CB">
        <w:rPr>
          <w:rFonts w:asciiTheme="minorHAnsi" w:hAnsiTheme="minorHAnsi" w:cs="Minion-Regular"/>
          <w:color w:val="000000" w:themeColor="text1"/>
        </w:rPr>
        <w:t>g once a week</w:t>
      </w:r>
      <w:r w:rsidR="004B3F47">
        <w:rPr>
          <w:rFonts w:asciiTheme="minorHAnsi" w:hAnsiTheme="minorHAnsi" w:cs="Minion-Regular"/>
          <w:color w:val="000000" w:themeColor="text1"/>
        </w:rPr>
        <w:t>,</w:t>
      </w:r>
      <w:r w:rsidRPr="007A29CB">
        <w:rPr>
          <w:rFonts w:asciiTheme="minorHAnsi" w:hAnsiTheme="minorHAnsi"/>
          <w:color w:val="000000" w:themeColor="text1"/>
          <w:shd w:val="clear" w:color="auto" w:fill="FFFFFF"/>
        </w:rPr>
        <w:t xml:space="preserve"> subcutaneously or intravenously</w:t>
      </w:r>
      <w:r w:rsidRPr="007A29CB">
        <w:rPr>
          <w:rFonts w:asciiTheme="minorHAnsi" w:hAnsiTheme="minorHAnsi" w:cs="Minion-Regular"/>
          <w:color w:val="000000" w:themeColor="text1"/>
        </w:rPr>
        <w:t xml:space="preserve">.   </w:t>
      </w:r>
    </w:p>
    <w:p w14:paraId="196325EC" w14:textId="77777777" w:rsidR="001C7A69" w:rsidRPr="007A29CB" w:rsidRDefault="001C7A69" w:rsidP="001C7A69">
      <w:pPr>
        <w:rPr>
          <w:rFonts w:asciiTheme="minorHAnsi" w:hAnsiTheme="minorHAnsi"/>
          <w:color w:val="000000" w:themeColor="text1"/>
        </w:rPr>
      </w:pPr>
    </w:p>
    <w:p w14:paraId="0BB28FA0" w14:textId="77777777" w:rsidR="001C7A69" w:rsidRPr="004B3F47" w:rsidRDefault="001C7A69" w:rsidP="004B3F47">
      <w:pPr>
        <w:rPr>
          <w:rFonts w:asciiTheme="minorHAnsi" w:hAnsiTheme="minorHAnsi"/>
          <w:b/>
          <w:bCs/>
          <w:i/>
          <w:iCs/>
        </w:rPr>
      </w:pPr>
      <w:bookmarkStart w:id="235" w:name="h.4k668n3" w:colFirst="0" w:colLast="0"/>
      <w:bookmarkStart w:id="236" w:name="_Toc12792974"/>
      <w:bookmarkStart w:id="237" w:name="_Toc12887213"/>
      <w:bookmarkStart w:id="238" w:name="_Toc12962686"/>
      <w:bookmarkStart w:id="239" w:name="_Toc12966914"/>
      <w:bookmarkEnd w:id="235"/>
      <w:r w:rsidRPr="004B3F47">
        <w:rPr>
          <w:rFonts w:asciiTheme="minorHAnsi" w:hAnsiTheme="minorHAnsi"/>
          <w:b/>
          <w:bCs/>
          <w:i/>
          <w:iCs/>
        </w:rPr>
        <w:t>Prolonged QT interval</w:t>
      </w:r>
      <w:bookmarkEnd w:id="236"/>
      <w:bookmarkEnd w:id="237"/>
      <w:bookmarkEnd w:id="238"/>
      <w:bookmarkEnd w:id="239"/>
    </w:p>
    <w:p w14:paraId="5C3CAC23" w14:textId="6AADAE48" w:rsidR="001C7A69" w:rsidRPr="007A29CB" w:rsidRDefault="001C7A69" w:rsidP="001C7A69">
      <w:pPr>
        <w:rPr>
          <w:rFonts w:asciiTheme="minorHAnsi" w:hAnsiTheme="minorHAnsi" w:cstheme="minorHAnsi"/>
          <w:b/>
          <w:bCs/>
          <w:color w:val="000000" w:themeColor="text1"/>
        </w:rPr>
      </w:pPr>
      <w:r w:rsidRPr="007A29CB">
        <w:rPr>
          <w:rFonts w:asciiTheme="minorHAnsi" w:hAnsiTheme="minorHAnsi" w:cstheme="minorHAnsi"/>
          <w:b/>
          <w:bCs/>
          <w:color w:val="000000" w:themeColor="text1"/>
        </w:rPr>
        <w:t>Possible anti-TB drug causes: Cfz, Bdq, Mfx, Dlm, Lfx</w:t>
      </w:r>
    </w:p>
    <w:p w14:paraId="1EA4B1B4" w14:textId="40B1F27D" w:rsidR="001C7A69" w:rsidRPr="007A29CB" w:rsidRDefault="001C7A69" w:rsidP="001C7A69">
      <w:pPr>
        <w:rPr>
          <w:rFonts w:asciiTheme="minorHAnsi" w:hAnsiTheme="minorHAnsi" w:cstheme="minorHAnsi"/>
          <w:color w:val="000000" w:themeColor="text1"/>
        </w:rPr>
      </w:pPr>
      <w:r w:rsidRPr="007A29CB">
        <w:rPr>
          <w:rFonts w:asciiTheme="minorHAnsi" w:hAnsiTheme="minorHAnsi" w:cstheme="minorHAnsi"/>
          <w:b/>
          <w:bCs/>
          <w:color w:val="000000" w:themeColor="text1"/>
        </w:rPr>
        <w:t xml:space="preserve">Possible other causes: </w:t>
      </w:r>
      <w:r w:rsidRPr="00D6496E">
        <w:rPr>
          <w:rFonts w:asciiTheme="minorHAnsi" w:hAnsiTheme="minorHAnsi" w:cstheme="minorHAnsi"/>
          <w:b/>
          <w:bCs/>
          <w:color w:val="000000" w:themeColor="text1"/>
        </w:rPr>
        <w:t>Many other drugs can cause QT prolongation</w:t>
      </w:r>
      <w:r w:rsidR="00AD5F98" w:rsidRPr="00D6496E">
        <w:rPr>
          <w:rFonts w:asciiTheme="minorHAnsi" w:hAnsiTheme="minorHAnsi" w:cstheme="minorHAnsi"/>
          <w:b/>
          <w:bCs/>
          <w:color w:val="000000" w:themeColor="text1"/>
        </w:rPr>
        <w:t>. For example:</w:t>
      </w:r>
      <w:r w:rsidRPr="00D6496E">
        <w:rPr>
          <w:rFonts w:asciiTheme="minorHAnsi" w:hAnsiTheme="minorHAnsi" w:cstheme="minorHAnsi"/>
          <w:b/>
          <w:bCs/>
          <w:color w:val="000000" w:themeColor="text1"/>
        </w:rPr>
        <w:t xml:space="preserve"> erythromycin, clarithromycin, quinidine, ketoconazole, fluconazole, </w:t>
      </w:r>
      <w:r w:rsidR="00AA3BE2" w:rsidRPr="00D6496E">
        <w:rPr>
          <w:rFonts w:asciiTheme="minorHAnsi" w:hAnsiTheme="minorHAnsi" w:cstheme="minorHAnsi"/>
          <w:b/>
          <w:bCs/>
          <w:color w:val="000000" w:themeColor="text1"/>
        </w:rPr>
        <w:t xml:space="preserve">and </w:t>
      </w:r>
      <w:r w:rsidRPr="00D6496E">
        <w:rPr>
          <w:rFonts w:asciiTheme="minorHAnsi" w:hAnsiTheme="minorHAnsi" w:cstheme="minorHAnsi"/>
          <w:b/>
          <w:bCs/>
          <w:color w:val="000000" w:themeColor="text1"/>
        </w:rPr>
        <w:t>antipsychotics</w:t>
      </w:r>
      <w:r w:rsidR="00AA3BE2" w:rsidRPr="00D6496E">
        <w:rPr>
          <w:rFonts w:asciiTheme="minorHAnsi" w:hAnsiTheme="minorHAnsi" w:cstheme="minorHAnsi"/>
          <w:b/>
          <w:bCs/>
          <w:color w:val="000000" w:themeColor="text1"/>
        </w:rPr>
        <w:t xml:space="preserve"> – all</w:t>
      </w:r>
      <w:r w:rsidRPr="00D6496E">
        <w:rPr>
          <w:rFonts w:asciiTheme="minorHAnsi" w:hAnsiTheme="minorHAnsi" w:cstheme="minorHAnsi"/>
          <w:b/>
          <w:bCs/>
          <w:color w:val="000000" w:themeColor="text1"/>
        </w:rPr>
        <w:t xml:space="preserve"> have some risk including haloperidol, chlorpromazine</w:t>
      </w:r>
      <w:r w:rsidR="00AA3BE2" w:rsidRPr="00D6496E">
        <w:rPr>
          <w:rFonts w:asciiTheme="minorHAnsi" w:hAnsiTheme="minorHAnsi" w:cstheme="minorHAnsi"/>
          <w:b/>
          <w:bCs/>
          <w:color w:val="000000" w:themeColor="text1"/>
        </w:rPr>
        <w:t>,</w:t>
      </w:r>
      <w:r w:rsidRPr="00D6496E">
        <w:rPr>
          <w:rFonts w:asciiTheme="minorHAnsi" w:hAnsiTheme="minorHAnsi" w:cstheme="minorHAnsi"/>
          <w:b/>
          <w:bCs/>
          <w:color w:val="000000" w:themeColor="text1"/>
        </w:rPr>
        <w:t xml:space="preserve"> and risperidone</w:t>
      </w:r>
      <w:r w:rsidR="00AD5F98" w:rsidRPr="00D6496E">
        <w:rPr>
          <w:rFonts w:asciiTheme="minorHAnsi" w:hAnsiTheme="minorHAnsi" w:cstheme="minorHAnsi"/>
          <w:b/>
          <w:bCs/>
          <w:color w:val="000000" w:themeColor="text1"/>
        </w:rPr>
        <w:t>. M</w:t>
      </w:r>
      <w:r w:rsidRPr="00D6496E">
        <w:rPr>
          <w:rFonts w:asciiTheme="minorHAnsi" w:hAnsiTheme="minorHAnsi" w:cstheme="minorHAnsi"/>
          <w:b/>
          <w:bCs/>
          <w:color w:val="000000" w:themeColor="text1"/>
        </w:rPr>
        <w:t>any anti-nausea drugs (ondansetron/granisetron, domperidone), methadone, and some antiretrovirals</w:t>
      </w:r>
      <w:r w:rsidR="00AD5F98" w:rsidRPr="00D6496E">
        <w:rPr>
          <w:rFonts w:asciiTheme="minorHAnsi" w:hAnsiTheme="minorHAnsi" w:cstheme="minorHAnsi"/>
          <w:b/>
          <w:bCs/>
          <w:color w:val="000000" w:themeColor="text1"/>
        </w:rPr>
        <w:t>,</w:t>
      </w:r>
      <w:r w:rsidRPr="00D6496E">
        <w:rPr>
          <w:rFonts w:asciiTheme="minorHAnsi" w:hAnsiTheme="minorHAnsi" w:cstheme="minorHAnsi"/>
          <w:b/>
          <w:bCs/>
          <w:color w:val="000000" w:themeColor="text1"/>
        </w:rPr>
        <w:t xml:space="preserve"> </w:t>
      </w:r>
      <w:r w:rsidR="00AD5F98" w:rsidRPr="00D6496E">
        <w:rPr>
          <w:rFonts w:asciiTheme="minorHAnsi" w:hAnsiTheme="minorHAnsi" w:cstheme="minorHAnsi"/>
          <w:b/>
          <w:bCs/>
          <w:color w:val="000000" w:themeColor="text1"/>
        </w:rPr>
        <w:t xml:space="preserve">in addition to </w:t>
      </w:r>
      <w:r w:rsidRPr="00D6496E">
        <w:rPr>
          <w:rFonts w:asciiTheme="minorHAnsi" w:hAnsiTheme="minorHAnsi" w:cstheme="minorHAnsi"/>
          <w:b/>
          <w:bCs/>
          <w:color w:val="000000" w:themeColor="text1"/>
        </w:rPr>
        <w:t>genetic causes such as long QT syndrome</w:t>
      </w:r>
      <w:r w:rsidR="00AD5F98" w:rsidRPr="00D6496E">
        <w:rPr>
          <w:rFonts w:asciiTheme="minorHAnsi" w:hAnsiTheme="minorHAnsi" w:cstheme="minorHAnsi"/>
          <w:b/>
          <w:bCs/>
          <w:color w:val="000000" w:themeColor="text1"/>
        </w:rPr>
        <w:t xml:space="preserve"> and</w:t>
      </w:r>
      <w:r w:rsidRPr="00D6496E">
        <w:rPr>
          <w:rFonts w:asciiTheme="minorHAnsi" w:hAnsiTheme="minorHAnsi" w:cstheme="minorHAnsi"/>
          <w:b/>
          <w:bCs/>
          <w:color w:val="000000" w:themeColor="text1"/>
        </w:rPr>
        <w:t xml:space="preserve"> hypothyroidism</w:t>
      </w:r>
      <w:r w:rsidR="00AD5F98" w:rsidRPr="00D6496E">
        <w:rPr>
          <w:rFonts w:asciiTheme="minorHAnsi" w:hAnsiTheme="minorHAnsi" w:cstheme="minorHAnsi"/>
          <w:b/>
          <w:bCs/>
          <w:color w:val="000000" w:themeColor="text1"/>
        </w:rPr>
        <w:t xml:space="preserve"> can also cause QT prolongation.</w:t>
      </w:r>
    </w:p>
    <w:p w14:paraId="2F420AF4" w14:textId="77777777" w:rsidR="001C7A69" w:rsidRPr="007A29CB" w:rsidRDefault="001C7A69" w:rsidP="001C7A69">
      <w:pPr>
        <w:pStyle w:val="ListBullet"/>
        <w:rPr>
          <w:rFonts w:asciiTheme="minorHAnsi" w:hAnsiTheme="minorHAnsi" w:cstheme="minorHAnsi"/>
          <w:color w:val="000000" w:themeColor="text1"/>
        </w:rPr>
      </w:pPr>
      <w:r w:rsidRPr="007A29CB">
        <w:rPr>
          <w:rFonts w:asciiTheme="minorHAnsi" w:hAnsiTheme="minorHAnsi" w:cstheme="minorHAnsi"/>
          <w:color w:val="000000" w:themeColor="text1"/>
        </w:rPr>
        <w:t>Check an ECG if the patient has clinical symptoms (tachycardia, syncope, palpitations, or weakness or dizziness) of cardiotoxicity. Check the QT interval and rule out an arrhythmia.</w:t>
      </w:r>
    </w:p>
    <w:p w14:paraId="13AAEDD6" w14:textId="6F7517EF" w:rsidR="001C7A69" w:rsidRPr="007A29CB" w:rsidRDefault="001C7A69" w:rsidP="001C7A69">
      <w:pPr>
        <w:pStyle w:val="ListBullet"/>
        <w:rPr>
          <w:rFonts w:asciiTheme="minorHAnsi" w:hAnsiTheme="minorHAnsi" w:cstheme="minorHAnsi"/>
          <w:color w:val="000000" w:themeColor="text1"/>
        </w:rPr>
      </w:pPr>
      <w:r w:rsidRPr="007A29CB">
        <w:rPr>
          <w:rFonts w:asciiTheme="minorHAnsi" w:hAnsiTheme="minorHAnsi" w:cstheme="minorHAnsi"/>
          <w:color w:val="000000" w:themeColor="text1"/>
        </w:rPr>
        <w:t>The QTc will be calculated using the Fr</w:t>
      </w:r>
      <w:r w:rsidR="00DB0482">
        <w:rPr>
          <w:rFonts w:asciiTheme="minorHAnsi" w:hAnsiTheme="minorHAnsi" w:cstheme="minorHAnsi"/>
          <w:color w:val="000000" w:themeColor="text1"/>
        </w:rPr>
        <w:t>i</w:t>
      </w:r>
      <w:r w:rsidRPr="007A29CB">
        <w:rPr>
          <w:rFonts w:asciiTheme="minorHAnsi" w:hAnsiTheme="minorHAnsi" w:cstheme="minorHAnsi"/>
          <w:color w:val="000000" w:themeColor="text1"/>
        </w:rPr>
        <w:t>deric</w:t>
      </w:r>
      <w:r w:rsidR="00DB0482">
        <w:rPr>
          <w:rFonts w:asciiTheme="minorHAnsi" w:hAnsiTheme="minorHAnsi" w:cstheme="minorHAnsi"/>
          <w:color w:val="000000" w:themeColor="text1"/>
        </w:rPr>
        <w:t>i</w:t>
      </w:r>
      <w:r w:rsidRPr="007A29CB">
        <w:rPr>
          <w:rFonts w:asciiTheme="minorHAnsi" w:hAnsiTheme="minorHAnsi" w:cstheme="minorHAnsi"/>
          <w:color w:val="000000" w:themeColor="text1"/>
        </w:rPr>
        <w:t>a's formula which corrects for the heart rate and has been shown to be more accurate at slower or faster heart rates than other correction formula</w:t>
      </w:r>
      <w:r w:rsidR="005857C1">
        <w:rPr>
          <w:rFonts w:asciiTheme="minorHAnsi" w:hAnsiTheme="minorHAnsi" w:cstheme="minorHAnsi"/>
          <w:color w:val="000000" w:themeColor="text1"/>
        </w:rPr>
        <w:t>s</w:t>
      </w:r>
      <w:r w:rsidRPr="007A29CB">
        <w:rPr>
          <w:rFonts w:asciiTheme="minorHAnsi" w:hAnsiTheme="minorHAnsi" w:cstheme="minorHAnsi"/>
          <w:color w:val="000000" w:themeColor="text1"/>
        </w:rPr>
        <w:t>:</w:t>
      </w:r>
    </w:p>
    <w:p w14:paraId="1F72F141" w14:textId="77777777" w:rsidR="001C7A69" w:rsidRPr="007A29CB" w:rsidRDefault="001C7A69" w:rsidP="001C7A69">
      <w:pPr>
        <w:pStyle w:val="Tabletext"/>
        <w:rPr>
          <w:rFonts w:asciiTheme="minorHAnsi" w:hAnsiTheme="minorHAnsi"/>
          <w:color w:val="000000" w:themeColor="text1"/>
        </w:rPr>
      </w:pPr>
      <m:oMathPara>
        <m:oMath>
          <m:r>
            <m:rPr>
              <m:sty m:val="p"/>
            </m:rPr>
            <w:rPr>
              <w:rFonts w:ascii="Cambria Math" w:eastAsia="Times New Roman" w:hAnsi="Cambria Math"/>
              <w:color w:val="000000" w:themeColor="text1"/>
            </w:rPr>
            <m:t>QTcF</m:t>
          </m:r>
          <m:r>
            <w:rPr>
              <w:rFonts w:ascii="Cambria Math" w:eastAsia="Cambria" w:hAnsi="Cambria Math" w:cs="Cambria"/>
              <w:color w:val="000000" w:themeColor="text1"/>
            </w:rPr>
            <m:t xml:space="preserve">= </m:t>
          </m:r>
          <m:f>
            <m:fPr>
              <m:ctrlPr>
                <w:rPr>
                  <w:rFonts w:ascii="Cambria Math" w:eastAsia="Cambria" w:hAnsi="Cambria Math" w:cs="Cambria"/>
                  <w:color w:val="000000" w:themeColor="text1"/>
                </w:rPr>
              </m:ctrlPr>
            </m:fPr>
            <m:num>
              <m:r>
                <w:rPr>
                  <w:rFonts w:ascii="Cambria Math" w:eastAsia="Cambria" w:hAnsi="Cambria Math" w:cs="Cambria Math"/>
                  <w:color w:val="000000" w:themeColor="text1"/>
                </w:rPr>
                <m:t>QT</m:t>
              </m:r>
            </m:num>
            <m:den>
              <m:rad>
                <m:radPr>
                  <m:ctrlPr>
                    <w:rPr>
                      <w:rFonts w:ascii="Cambria Math" w:eastAsia="Cambria" w:hAnsi="Cambria Math" w:cs="Cambria"/>
                      <w:color w:val="000000" w:themeColor="text1"/>
                    </w:rPr>
                  </m:ctrlPr>
                </m:radPr>
                <m:deg>
                  <m:r>
                    <w:rPr>
                      <w:rFonts w:ascii="Cambria Math" w:eastAsia="Cambria" w:hAnsi="Cambria Math" w:cs="Cambria"/>
                      <w:color w:val="000000" w:themeColor="text1"/>
                    </w:rPr>
                    <m:t>3</m:t>
                  </m:r>
                </m:deg>
                <m:e>
                  <m:r>
                    <w:rPr>
                      <w:rFonts w:ascii="Cambria Math" w:eastAsia="Cambria" w:hAnsi="Cambria Math" w:cs="Cambria Math"/>
                      <w:color w:val="000000" w:themeColor="text1"/>
                    </w:rPr>
                    <m:t>RR</m:t>
                  </m:r>
                </m:e>
              </m:rad>
            </m:den>
          </m:f>
        </m:oMath>
      </m:oMathPara>
    </w:p>
    <w:p w14:paraId="179DFB2B" w14:textId="77777777" w:rsidR="001C7A69" w:rsidRPr="007A29CB" w:rsidRDefault="001C7A69" w:rsidP="00A626D3">
      <w:pPr>
        <w:jc w:val="left"/>
        <w:rPr>
          <w:rFonts w:asciiTheme="minorHAnsi" w:hAnsiTheme="minorHAnsi" w:cstheme="minorHAnsi"/>
          <w:color w:val="000000" w:themeColor="text1"/>
        </w:rPr>
      </w:pPr>
      <w:r w:rsidRPr="007A29CB">
        <w:rPr>
          <w:rFonts w:asciiTheme="minorHAnsi" w:hAnsiTheme="minorHAnsi" w:cstheme="minorHAnsi"/>
          <w:color w:val="000000" w:themeColor="text1"/>
        </w:rPr>
        <w:t>Where:</w:t>
      </w:r>
    </w:p>
    <w:p w14:paraId="22B96F13" w14:textId="77777777" w:rsidR="001C7A69" w:rsidRPr="007A29CB" w:rsidRDefault="001C7A69" w:rsidP="001C7A69">
      <w:pPr>
        <w:ind w:left="284"/>
        <w:rPr>
          <w:rFonts w:asciiTheme="minorHAnsi" w:hAnsiTheme="minorHAnsi" w:cstheme="minorHAnsi"/>
          <w:color w:val="000000" w:themeColor="text1"/>
        </w:rPr>
      </w:pPr>
      <w:r w:rsidRPr="007A29CB">
        <w:rPr>
          <w:rFonts w:asciiTheme="minorHAnsi" w:hAnsiTheme="minorHAnsi" w:cstheme="minorHAnsi"/>
          <w:color w:val="000000" w:themeColor="text1"/>
        </w:rPr>
        <w:t>QTcF = the corrected QT interval</w:t>
      </w:r>
    </w:p>
    <w:p w14:paraId="3EE6E632" w14:textId="77777777" w:rsidR="001C7A69" w:rsidRPr="007A29CB" w:rsidRDefault="001C7A69" w:rsidP="001C7A69">
      <w:pPr>
        <w:ind w:left="284"/>
        <w:rPr>
          <w:rFonts w:asciiTheme="minorHAnsi" w:hAnsiTheme="minorHAnsi" w:cstheme="minorHAnsi"/>
          <w:color w:val="000000" w:themeColor="text1"/>
        </w:rPr>
      </w:pPr>
      <w:r w:rsidRPr="007A29CB">
        <w:rPr>
          <w:rFonts w:asciiTheme="minorHAnsi" w:hAnsiTheme="minorHAnsi" w:cstheme="minorHAnsi"/>
          <w:color w:val="000000" w:themeColor="text1"/>
        </w:rPr>
        <w:t>QT = the time between the start of the QRS complex and the end of the T wave</w:t>
      </w:r>
    </w:p>
    <w:p w14:paraId="2567CFED" w14:textId="3B05CE9D" w:rsidR="00387B3E" w:rsidRDefault="001C7A69" w:rsidP="00737CF8">
      <w:pPr>
        <w:ind w:left="284"/>
        <w:rPr>
          <w:rFonts w:asciiTheme="minorHAnsi" w:hAnsiTheme="minorHAnsi" w:cstheme="minorHAnsi"/>
          <w:color w:val="000000" w:themeColor="text1"/>
        </w:rPr>
      </w:pPr>
      <w:r w:rsidRPr="007A29CB">
        <w:rPr>
          <w:rFonts w:asciiTheme="minorHAnsi" w:hAnsiTheme="minorHAnsi" w:cstheme="minorHAnsi"/>
          <w:color w:val="000000" w:themeColor="text1"/>
        </w:rPr>
        <w:t>RR = the time between the start of one QRS complex and the start of the next QRS complex</w:t>
      </w:r>
    </w:p>
    <w:p w14:paraId="1B72498C" w14:textId="77777777" w:rsidR="00387B3E" w:rsidRPr="007A29CB" w:rsidRDefault="00387B3E" w:rsidP="001C7A69">
      <w:pPr>
        <w:ind w:left="284"/>
        <w:rPr>
          <w:rFonts w:asciiTheme="minorHAnsi" w:hAnsiTheme="minorHAnsi" w:cstheme="minorHAnsi"/>
          <w:color w:val="000000" w:themeColor="text1"/>
        </w:rPr>
      </w:pPr>
    </w:p>
    <w:p w14:paraId="6D6B3115" w14:textId="2158E73C" w:rsidR="001C7A69" w:rsidRDefault="001C7A69" w:rsidP="001C7A69">
      <w:pPr>
        <w:pStyle w:val="Tabletext"/>
        <w:jc w:val="center"/>
        <w:rPr>
          <w:color w:val="000000" w:themeColor="text1"/>
        </w:rPr>
      </w:pPr>
      <w:r w:rsidRPr="00B85017">
        <w:rPr>
          <w:noProof/>
          <w:color w:val="000000" w:themeColor="text1"/>
          <w:lang w:val="fr-FR" w:eastAsia="fr-FR"/>
        </w:rPr>
        <w:lastRenderedPageBreak/>
        <w:drawing>
          <wp:inline distT="0" distB="0" distL="0" distR="0" wp14:anchorId="2C4D6863" wp14:editId="16EF114C">
            <wp:extent cx="2955366" cy="2895871"/>
            <wp:effectExtent l="12700" t="12700" r="16510" b="12700"/>
            <wp:docPr id="694454910" name="Picture 694454910" descr="SinusRhythmLabels.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BEBA8EAE-BF5A-486C-A8C5-ECC9F3942E4B}">
                          <a14:imgProps xmlns:a14="http://schemas.microsoft.com/office/drawing/2010/main">
                            <a14:imgLayer r:embed="rId3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999552" cy="2939167"/>
                    </a:xfrm>
                    <a:prstGeom prst="rect">
                      <a:avLst/>
                    </a:prstGeom>
                    <a:ln>
                      <a:solidFill>
                        <a:schemeClr val="tx1"/>
                      </a:solidFill>
                    </a:ln>
                  </pic:spPr>
                </pic:pic>
              </a:graphicData>
            </a:graphic>
          </wp:inline>
        </w:drawing>
      </w:r>
    </w:p>
    <w:p w14:paraId="089B6D0B" w14:textId="6AF5FFB7" w:rsidR="00737CF8" w:rsidRPr="00D0276C" w:rsidRDefault="00A626D3" w:rsidP="006762BE">
      <w:pPr>
        <w:pStyle w:val="Tabletext"/>
        <w:jc w:val="center"/>
        <w:rPr>
          <w:rFonts w:asciiTheme="minorHAnsi" w:hAnsiTheme="minorHAnsi"/>
          <w:b/>
          <w:bCs/>
          <w:color w:val="000000" w:themeColor="text1"/>
        </w:rPr>
      </w:pPr>
      <w:r w:rsidRPr="00D0276C">
        <w:rPr>
          <w:rFonts w:asciiTheme="minorHAnsi" w:hAnsiTheme="minorHAnsi"/>
          <w:b/>
          <w:bCs/>
          <w:color w:val="000000" w:themeColor="text1"/>
        </w:rPr>
        <w:t>Figure 1</w:t>
      </w:r>
    </w:p>
    <w:p w14:paraId="4446E2F2"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The ECG machine should be calibrated to ensure that the following voltage and speeds apply:</w:t>
      </w:r>
    </w:p>
    <w:p w14:paraId="6E7D428A" w14:textId="77777777" w:rsidR="001C7A69" w:rsidRPr="00B85017" w:rsidRDefault="001C7A69" w:rsidP="001C7A69">
      <w:pPr>
        <w:pStyle w:val="ListParagraph"/>
        <w:tabs>
          <w:tab w:val="left" w:pos="284"/>
        </w:tabs>
        <w:ind w:left="426"/>
        <w:rPr>
          <w:color w:val="000000" w:themeColor="text1"/>
        </w:rPr>
      </w:pPr>
    </w:p>
    <w:p w14:paraId="566EA629" w14:textId="77777777" w:rsidR="001C7A69" w:rsidRPr="00B85017" w:rsidRDefault="001C7A69" w:rsidP="001C7A69">
      <w:pPr>
        <w:pStyle w:val="Tabletext"/>
        <w:jc w:val="center"/>
        <w:rPr>
          <w:color w:val="000000" w:themeColor="text1"/>
        </w:rPr>
      </w:pPr>
      <w:r w:rsidRPr="00B85017">
        <w:rPr>
          <w:noProof/>
          <w:color w:val="000000" w:themeColor="text1"/>
          <w:lang w:val="fr-FR" w:eastAsia="fr-FR"/>
        </w:rPr>
        <w:drawing>
          <wp:inline distT="0" distB="0" distL="0" distR="0" wp14:anchorId="121A012E" wp14:editId="20319C0D">
            <wp:extent cx="4609463" cy="3270885"/>
            <wp:effectExtent l="12700" t="12700" r="13970" b="18415"/>
            <wp:docPr id="583444796" name="Picture 583444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extLst>
                        <a:ext uri="{BEBA8EAE-BF5A-486C-A8C5-ECC9F3942E4B}">
                          <a14:imgProps xmlns:a14="http://schemas.microsoft.com/office/drawing/2010/main">
                            <a14:imgLayer r:embed="rId3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609463" cy="3270885"/>
                    </a:xfrm>
                    <a:prstGeom prst="rect">
                      <a:avLst/>
                    </a:prstGeom>
                    <a:ln>
                      <a:solidFill>
                        <a:schemeClr val="tx1"/>
                      </a:solidFill>
                    </a:ln>
                  </pic:spPr>
                </pic:pic>
              </a:graphicData>
            </a:graphic>
          </wp:inline>
        </w:drawing>
      </w:r>
    </w:p>
    <w:p w14:paraId="6DE960D0" w14:textId="1743D4EA" w:rsidR="001C7A69" w:rsidRPr="00D0276C" w:rsidRDefault="00D0276C" w:rsidP="001C7A69">
      <w:pPr>
        <w:jc w:val="center"/>
        <w:rPr>
          <w:rFonts w:asciiTheme="minorHAnsi" w:hAnsiTheme="minorHAnsi"/>
          <w:b/>
          <w:color w:val="000000" w:themeColor="text1"/>
        </w:rPr>
      </w:pPr>
      <w:bookmarkStart w:id="240" w:name="h.2zbgiuw" w:colFirst="0" w:colLast="0"/>
      <w:bookmarkEnd w:id="240"/>
      <w:r w:rsidRPr="00D0276C">
        <w:rPr>
          <w:rFonts w:asciiTheme="minorHAnsi" w:hAnsiTheme="minorHAnsi"/>
          <w:b/>
          <w:color w:val="000000" w:themeColor="text1"/>
        </w:rPr>
        <w:t>Figure 2</w:t>
      </w:r>
    </w:p>
    <w:p w14:paraId="1687EC86" w14:textId="77777777" w:rsidR="00D0276C" w:rsidRDefault="00D0276C" w:rsidP="001C7A69">
      <w:pPr>
        <w:jc w:val="center"/>
        <w:rPr>
          <w:rFonts w:asciiTheme="minorHAnsi" w:hAnsiTheme="minorHAnsi" w:cstheme="minorHAnsi"/>
          <w:b/>
          <w:bCs/>
          <w:color w:val="000000" w:themeColor="text1"/>
        </w:rPr>
      </w:pPr>
    </w:p>
    <w:p w14:paraId="2D33F750" w14:textId="204BC9C2" w:rsidR="001C7A69" w:rsidRPr="002C1688" w:rsidRDefault="001C7A69" w:rsidP="001C7A69">
      <w:pPr>
        <w:jc w:val="center"/>
        <w:rPr>
          <w:rFonts w:asciiTheme="minorHAnsi" w:hAnsiTheme="minorHAnsi" w:cstheme="minorHAnsi"/>
          <w:b/>
          <w:bCs/>
          <w:color w:val="000000" w:themeColor="text1"/>
        </w:rPr>
      </w:pPr>
      <w:r w:rsidRPr="002C1688">
        <w:rPr>
          <w:rFonts w:asciiTheme="minorHAnsi" w:hAnsiTheme="minorHAnsi" w:cstheme="minorHAnsi"/>
          <w:b/>
          <w:bCs/>
          <w:color w:val="000000" w:themeColor="text1"/>
        </w:rPr>
        <w:t>Procedure for measuring RR and QT interval</w:t>
      </w:r>
    </w:p>
    <w:p w14:paraId="3DA37355"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Obtain the 12-lead ECG:</w:t>
      </w:r>
    </w:p>
    <w:p w14:paraId="428C515B"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lastRenderedPageBreak/>
        <w:t xml:space="preserve">Ensure that the 12-lead ECG is performed in a relaxed patient to avoid artifacts. Use the appropriate electrodes and clean the patient’s skin if necessary.   </w:t>
      </w:r>
    </w:p>
    <w:p w14:paraId="1C19E2DB"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Ensure the sweep speed is set to 25 mm/sec. This will allow for standard calibration and measurement of the QT interval.</w:t>
      </w:r>
    </w:p>
    <w:p w14:paraId="2820BA63"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Measure the RR and QT intervals manually (Figure 1 illustrates the intervals):</w:t>
      </w:r>
    </w:p>
    <w:p w14:paraId="0A9B1EBE"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The QT interval should be measured manually, preferably by using one of the limb leads that best shows the end of the T wave on a 12-lead ECG.</w:t>
      </w:r>
    </w:p>
    <w:p w14:paraId="7BF70A07" w14:textId="77777777"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Often, leads II or V5 may best show the end of the T wave. Try to measure the QT interval in these leads first.</w:t>
      </w:r>
    </w:p>
    <w:p w14:paraId="4F48B8C9" w14:textId="77777777"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If the end of the T wave is not well seen in leads II or V5, then the clinician should use their best judgment to assess which lead best shows the end of the T wave.</w:t>
      </w:r>
    </w:p>
    <w:p w14:paraId="33E5D5CE"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The QT interval should be measured from the beginning of the QRS complex to the end of the T wave.   </w:t>
      </w:r>
    </w:p>
    <w:p w14:paraId="13481110" w14:textId="77777777"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If the rhythm is irregular (i.e. atrial fibrillation), the QT interval should be averaged over 3 to 5 beats. Calculate the QTcF for each of the 3 to 5 beats, and then calculate the arithmetic average QTcF of the beats.</w:t>
      </w:r>
    </w:p>
    <w:p w14:paraId="4EC34264" w14:textId="77777777"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 xml:space="preserve">U waves possibly corresponding to the late repolarization of cells in the mid myocardium should be included in the measurement only if they are large enough to seem to merge with the T wave. The figure below illustrates how to determine the start of the Q wave and end of the T wave by drawing a baseline and a tangent line on the back side of the T wave. </w:t>
      </w:r>
    </w:p>
    <w:p w14:paraId="33D6DD48" w14:textId="5EE92A3A" w:rsidR="001C7A69" w:rsidRPr="009D1960" w:rsidRDefault="001C7A69" w:rsidP="001C7A69">
      <w:pPr>
        <w:pStyle w:val="ListBullet3"/>
        <w:rPr>
          <w:rFonts w:asciiTheme="minorHAnsi" w:hAnsiTheme="minorHAnsi" w:cstheme="minorHAnsi"/>
          <w:color w:val="000000" w:themeColor="text1"/>
        </w:rPr>
      </w:pPr>
      <w:r w:rsidRPr="009D1960">
        <w:rPr>
          <w:rFonts w:asciiTheme="minorHAnsi" w:hAnsiTheme="minorHAnsi" w:cstheme="minorHAnsi"/>
          <w:color w:val="000000" w:themeColor="text1"/>
        </w:rPr>
        <w:t xml:space="preserve">Each 1 mm (small) horizontal box corresponds to </w:t>
      </w:r>
      <w:r w:rsidRPr="009D1960">
        <w:rPr>
          <w:rFonts w:asciiTheme="minorHAnsi" w:hAnsiTheme="minorHAnsi" w:cstheme="minorHAnsi"/>
          <w:b/>
          <w:bCs/>
          <w:color w:val="000000" w:themeColor="text1"/>
        </w:rPr>
        <w:t>0.04</w:t>
      </w:r>
      <w:r w:rsidRPr="009D1960">
        <w:rPr>
          <w:rFonts w:asciiTheme="minorHAnsi" w:hAnsiTheme="minorHAnsi" w:cstheme="minorHAnsi"/>
          <w:color w:val="000000" w:themeColor="text1"/>
        </w:rPr>
        <w:t xml:space="preserve"> second (</w:t>
      </w:r>
      <w:r w:rsidRPr="009D1960">
        <w:rPr>
          <w:rFonts w:asciiTheme="minorHAnsi" w:hAnsiTheme="minorHAnsi" w:cstheme="minorHAnsi"/>
          <w:b/>
          <w:bCs/>
          <w:color w:val="000000" w:themeColor="text1"/>
        </w:rPr>
        <w:t>40 msec</w:t>
      </w:r>
      <w:r w:rsidRPr="009D1960">
        <w:rPr>
          <w:rFonts w:asciiTheme="minorHAnsi" w:hAnsiTheme="minorHAnsi" w:cstheme="minorHAnsi"/>
          <w:color w:val="000000" w:themeColor="text1"/>
        </w:rPr>
        <w:t xml:space="preserve">), with heavier lines forming larger boxes that include five small boxes and hence represent </w:t>
      </w:r>
      <w:r w:rsidRPr="009D1960">
        <w:rPr>
          <w:rFonts w:asciiTheme="minorHAnsi" w:hAnsiTheme="minorHAnsi" w:cstheme="minorHAnsi"/>
          <w:b/>
          <w:bCs/>
          <w:color w:val="000000" w:themeColor="text1"/>
        </w:rPr>
        <w:t>0.20</w:t>
      </w:r>
      <w:r w:rsidRPr="009D1960">
        <w:rPr>
          <w:rFonts w:asciiTheme="minorHAnsi" w:hAnsiTheme="minorHAnsi" w:cstheme="minorHAnsi"/>
          <w:color w:val="000000" w:themeColor="text1"/>
        </w:rPr>
        <w:t xml:space="preserve"> sec (</w:t>
      </w:r>
      <w:r w:rsidRPr="009D1960">
        <w:rPr>
          <w:rFonts w:asciiTheme="minorHAnsi" w:hAnsiTheme="minorHAnsi" w:cstheme="minorHAnsi"/>
          <w:b/>
          <w:bCs/>
          <w:color w:val="000000" w:themeColor="text1"/>
        </w:rPr>
        <w:t>200 msec</w:t>
      </w:r>
      <w:r w:rsidRPr="009D1960">
        <w:rPr>
          <w:rFonts w:asciiTheme="minorHAnsi" w:hAnsiTheme="minorHAnsi" w:cstheme="minorHAnsi"/>
          <w:color w:val="000000" w:themeColor="text1"/>
        </w:rPr>
        <w:t>) intervals.  Count the number of boxes that make up the QT interval and then multiply the number of boxes by 40 msec. </w:t>
      </w:r>
      <w:r w:rsidR="00103717">
        <w:rPr>
          <w:rFonts w:asciiTheme="minorHAnsi" w:hAnsiTheme="minorHAnsi" w:cstheme="minorHAnsi"/>
          <w:color w:val="000000" w:themeColor="text1"/>
        </w:rPr>
        <w:t>I</w:t>
      </w:r>
      <w:r w:rsidRPr="009D1960">
        <w:rPr>
          <w:rFonts w:asciiTheme="minorHAnsi" w:hAnsiTheme="minorHAnsi" w:cstheme="minorHAnsi"/>
          <w:color w:val="000000" w:themeColor="text1"/>
        </w:rPr>
        <w:t>f the start of the Q wave or the end of the T wave fall in the middle of the box, estimate it to the nearest ¼ of a box.  </w:t>
      </w:r>
    </w:p>
    <w:p w14:paraId="54F3DCA9" w14:textId="77777777" w:rsidR="001C7A69" w:rsidRPr="00B85017" w:rsidRDefault="001C7A69" w:rsidP="001C7A69">
      <w:pPr>
        <w:jc w:val="center"/>
        <w:rPr>
          <w:color w:val="000000" w:themeColor="text1"/>
        </w:rPr>
      </w:pPr>
      <w:r>
        <w:rPr>
          <w:noProof/>
        </w:rPr>
        <w:drawing>
          <wp:inline distT="0" distB="0" distL="0" distR="0" wp14:anchorId="052E7E7B" wp14:editId="0C44E94F">
            <wp:extent cx="4902199" cy="2362200"/>
            <wp:effectExtent l="0" t="0" r="0" b="0"/>
            <wp:docPr id="395215154" name="Picture 789972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9972380"/>
                    <pic:cNvPicPr/>
                  </pic:nvPicPr>
                  <pic:blipFill>
                    <a:blip r:embed="rId36">
                      <a:extLst>
                        <a:ext uri="{BEBA8EAE-BF5A-486C-A8C5-ECC9F3942E4B}">
                          <a14:imgProps xmlns:a14="http://schemas.microsoft.com/office/drawing/2010/main">
                            <a14:imgLayer r:embed="rId37">
                              <a14:imgEffect>
                                <a14:saturation sat="0"/>
                              </a14:imgEffect>
                            </a14:imgLayer>
                          </a14:imgProps>
                        </a:ext>
                      </a:extLst>
                    </a:blip>
                    <a:stretch>
                      <a:fillRect/>
                    </a:stretch>
                  </pic:blipFill>
                  <pic:spPr>
                    <a:xfrm>
                      <a:off x="0" y="0"/>
                      <a:ext cx="4902199" cy="2362200"/>
                    </a:xfrm>
                    <a:prstGeom prst="rect">
                      <a:avLst/>
                    </a:prstGeom>
                  </pic:spPr>
                </pic:pic>
              </a:graphicData>
            </a:graphic>
          </wp:inline>
        </w:drawing>
      </w:r>
    </w:p>
    <w:p w14:paraId="275E6C9B" w14:textId="46C012BC" w:rsidR="00103717" w:rsidRPr="005A36E1" w:rsidRDefault="005A36E1" w:rsidP="005A36E1">
      <w:pPr>
        <w:pStyle w:val="ListBullet"/>
        <w:numPr>
          <w:ilvl w:val="0"/>
          <w:numId w:val="0"/>
        </w:numPr>
        <w:ind w:left="360"/>
        <w:jc w:val="center"/>
        <w:rPr>
          <w:rFonts w:asciiTheme="minorHAnsi" w:hAnsiTheme="minorHAnsi" w:cstheme="minorHAnsi"/>
          <w:b/>
          <w:bCs/>
          <w:color w:val="000000" w:themeColor="text1"/>
        </w:rPr>
      </w:pPr>
      <w:r w:rsidRPr="005A36E1">
        <w:rPr>
          <w:rFonts w:asciiTheme="minorHAnsi" w:hAnsiTheme="minorHAnsi" w:cstheme="minorHAnsi"/>
          <w:b/>
          <w:bCs/>
          <w:color w:val="000000" w:themeColor="text1"/>
        </w:rPr>
        <w:t>Figure 3</w:t>
      </w:r>
    </w:p>
    <w:p w14:paraId="2A652081" w14:textId="3205E63C"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Correct the QT interval for the heart rate:</w:t>
      </w:r>
    </w:p>
    <w:p w14:paraId="049CB7EE"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lastRenderedPageBreak/>
        <w:t>For standardization, we will be using the Fridericia formula to correct for heart rate. The Fridericia formula performs better at lower and higher heart rates than other correction methods.</w:t>
      </w:r>
    </w:p>
    <w:p w14:paraId="0B48C862" w14:textId="4080E9F3"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The QTcF can also be determined by using a calculator and using the</w:t>
      </w:r>
      <w:r w:rsidR="003F7FCE" w:rsidRPr="007A29CB">
        <w:rPr>
          <w:rFonts w:asciiTheme="minorHAnsi" w:hAnsiTheme="minorHAnsi" w:cstheme="minorHAnsi"/>
          <w:color w:val="000000" w:themeColor="text1"/>
        </w:rPr>
        <w:t xml:space="preserve"> Fr</w:t>
      </w:r>
      <w:r w:rsidR="003F7FCE">
        <w:rPr>
          <w:rFonts w:asciiTheme="minorHAnsi" w:hAnsiTheme="minorHAnsi" w:cstheme="minorHAnsi"/>
          <w:color w:val="000000" w:themeColor="text1"/>
        </w:rPr>
        <w:t>i</w:t>
      </w:r>
      <w:r w:rsidR="003F7FCE" w:rsidRPr="007A29CB">
        <w:rPr>
          <w:rFonts w:asciiTheme="minorHAnsi" w:hAnsiTheme="minorHAnsi" w:cstheme="minorHAnsi"/>
          <w:color w:val="000000" w:themeColor="text1"/>
        </w:rPr>
        <w:t>deric</w:t>
      </w:r>
      <w:r w:rsidR="003F7FCE">
        <w:rPr>
          <w:rFonts w:asciiTheme="minorHAnsi" w:hAnsiTheme="minorHAnsi" w:cstheme="minorHAnsi"/>
          <w:color w:val="000000" w:themeColor="text1"/>
        </w:rPr>
        <w:t>i</w:t>
      </w:r>
      <w:r w:rsidR="003F7FCE" w:rsidRPr="007A29CB">
        <w:rPr>
          <w:rFonts w:asciiTheme="minorHAnsi" w:hAnsiTheme="minorHAnsi" w:cstheme="minorHAnsi"/>
          <w:color w:val="000000" w:themeColor="text1"/>
        </w:rPr>
        <w:t>a's formula</w:t>
      </w:r>
      <w:r w:rsidRPr="009D1960">
        <w:rPr>
          <w:rFonts w:asciiTheme="minorHAnsi" w:hAnsiTheme="minorHAnsi" w:cstheme="minorHAnsi"/>
          <w:color w:val="000000" w:themeColor="text1"/>
        </w:rPr>
        <w:t xml:space="preserve">; however, it is recommended for clinicians to use the other methods as it is less prone to error. One way is to use the QTcF nomogram below. </w:t>
      </w:r>
    </w:p>
    <w:p w14:paraId="023BFD72" w14:textId="0EB233D5"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Even simpler and quicker than the nomogram</w:t>
      </w:r>
      <w:r w:rsidR="00721E6A">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are several applications </w:t>
      </w:r>
      <w:r w:rsidR="00721E6A">
        <w:rPr>
          <w:rFonts w:asciiTheme="minorHAnsi" w:hAnsiTheme="minorHAnsi" w:cstheme="minorHAnsi"/>
          <w:color w:val="000000" w:themeColor="text1"/>
        </w:rPr>
        <w:t xml:space="preserve">(apps) </w:t>
      </w:r>
      <w:r w:rsidRPr="009D1960">
        <w:rPr>
          <w:rFonts w:asciiTheme="minorHAnsi" w:hAnsiTheme="minorHAnsi" w:cstheme="minorHAnsi"/>
          <w:color w:val="000000" w:themeColor="text1"/>
        </w:rPr>
        <w:t>available on mobile phones (e.g. Android, iPhone) that are designed to calculate the QTcF with a minimum of effort</w:t>
      </w:r>
      <w:r w:rsidR="00721E6A">
        <w:rPr>
          <w:rFonts w:asciiTheme="minorHAnsi" w:hAnsiTheme="minorHAnsi" w:cstheme="minorHAnsi"/>
          <w:color w:val="000000" w:themeColor="text1"/>
        </w:rPr>
        <w:t>. F</w:t>
      </w:r>
      <w:r w:rsidRPr="009D1960">
        <w:rPr>
          <w:rFonts w:asciiTheme="minorHAnsi" w:hAnsiTheme="minorHAnsi" w:cstheme="minorHAnsi"/>
          <w:color w:val="000000" w:themeColor="text1"/>
        </w:rPr>
        <w:t>or example</w:t>
      </w:r>
      <w:r w:rsidR="00721E6A">
        <w:rPr>
          <w:rFonts w:asciiTheme="minorHAnsi" w:hAnsiTheme="minorHAnsi" w:cstheme="minorHAnsi"/>
          <w:color w:val="000000" w:themeColor="text1"/>
        </w:rPr>
        <w:t xml:space="preserve"> - </w:t>
      </w:r>
      <w:r w:rsidRPr="009D1960">
        <w:rPr>
          <w:rFonts w:asciiTheme="minorHAnsi" w:hAnsiTheme="minorHAnsi" w:cstheme="minorHAnsi"/>
          <w:color w:val="000000" w:themeColor="text1"/>
        </w:rPr>
        <w:t xml:space="preserve"> the QTc Calculator for Android phones (Google Play). These apps require the user to enter the QT interval and the RR interval, after which the QTc will be calculated according to several formulas. The correct units should be selected (e.g. mm or msec), as well as the correct formula. </w:t>
      </w:r>
    </w:p>
    <w:p w14:paraId="5276A779"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Compare the corrected value measured manually with what the ECG machine produces (if the ECG machine has the function of automatically calculating the corrected QT interval).  If there is a difference of more than 20 ms repeat the manual measurement.  The manual measurement serves as the "gold standard".  </w:t>
      </w:r>
    </w:p>
    <w:p w14:paraId="2D03BB7B"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Record RR interval, heart rate, and the QTcF interval in the patient’s chart:</w:t>
      </w:r>
    </w:p>
    <w:p w14:paraId="033C2518"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The RR interval is measured in seconds.</w:t>
      </w:r>
    </w:p>
    <w:p w14:paraId="3567C12B" w14:textId="13CF1B20"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Record the heart rate from the ECG machine if it produces it automatically or determined it by measuring the RR interval and dividing into 60 (HR = 60/RR interval in second).</w:t>
      </w:r>
    </w:p>
    <w:p w14:paraId="686A51FB"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 xml:space="preserve">Record the QTcF interval as calculated by the instructions above. </w:t>
      </w:r>
    </w:p>
    <w:p w14:paraId="51D80657" w14:textId="77777777" w:rsidR="001C7A69" w:rsidRPr="00B85017" w:rsidRDefault="001C7A69" w:rsidP="001C7A69">
      <w:pPr>
        <w:rPr>
          <w:color w:val="000000" w:themeColor="text1"/>
        </w:rPr>
      </w:pPr>
    </w:p>
    <w:p w14:paraId="6778109E" w14:textId="77777777" w:rsidR="001C7A69" w:rsidRPr="009D1960" w:rsidRDefault="001C7A69" w:rsidP="001C7A69">
      <w:pPr>
        <w:jc w:val="center"/>
        <w:rPr>
          <w:rFonts w:asciiTheme="minorHAnsi" w:hAnsiTheme="minorHAnsi" w:cstheme="minorHAnsi"/>
          <w:b/>
          <w:bCs/>
          <w:color w:val="000000" w:themeColor="text1"/>
        </w:rPr>
      </w:pPr>
      <w:r w:rsidRPr="009D1960">
        <w:rPr>
          <w:rFonts w:asciiTheme="minorHAnsi" w:hAnsiTheme="minorHAnsi" w:cstheme="minorHAnsi"/>
          <w:b/>
          <w:bCs/>
          <w:color w:val="000000" w:themeColor="text1"/>
        </w:rPr>
        <w:t>How to use the QTcF Nomogram</w:t>
      </w:r>
    </w:p>
    <w:p w14:paraId="04227583" w14:textId="77777777" w:rsidR="001C7A69" w:rsidRPr="009D1960" w:rsidRDefault="001C7A69" w:rsidP="00CB2F8E">
      <w:pPr>
        <w:pStyle w:val="ListNumber"/>
        <w:numPr>
          <w:ilvl w:val="0"/>
          <w:numId w:val="11"/>
        </w:numPr>
        <w:rPr>
          <w:rFonts w:asciiTheme="minorHAnsi" w:hAnsiTheme="minorHAnsi" w:cstheme="minorHAnsi"/>
          <w:color w:val="000000" w:themeColor="text1"/>
        </w:rPr>
      </w:pPr>
      <w:r w:rsidRPr="009D1960">
        <w:rPr>
          <w:rFonts w:asciiTheme="minorHAnsi" w:hAnsiTheme="minorHAnsi" w:cstheme="minorHAnsi"/>
          <w:color w:val="000000" w:themeColor="text1"/>
        </w:rPr>
        <w:t>Identify the patient’s HR or RR interval on the top of the table.</w:t>
      </w:r>
    </w:p>
    <w:p w14:paraId="3902DC96" w14:textId="77777777"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Identify the measured QT (uncorrected) interval on the left of the table.</w:t>
      </w:r>
    </w:p>
    <w:p w14:paraId="3DD53099" w14:textId="43D22876" w:rsidR="001C7A69"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Find the corresponding calculated QTcF in the cell below the HR (or RR) and to the right of the QT interval. Record the calculated QTcF in the endTB ECG form.</w:t>
      </w:r>
    </w:p>
    <w:p w14:paraId="7067149A" w14:textId="77777777" w:rsidR="00447271" w:rsidRPr="009D1960" w:rsidRDefault="00447271" w:rsidP="00447271">
      <w:pPr>
        <w:pStyle w:val="ListNumber"/>
        <w:numPr>
          <w:ilvl w:val="0"/>
          <w:numId w:val="0"/>
        </w:numPr>
        <w:ind w:left="360" w:hanging="360"/>
        <w:rPr>
          <w:rFonts w:asciiTheme="minorHAnsi" w:hAnsiTheme="minorHAnsi" w:cstheme="minorHAnsi"/>
          <w:color w:val="000000" w:themeColor="text1"/>
        </w:rPr>
      </w:pPr>
    </w:p>
    <w:tbl>
      <w:tblPr>
        <w:tblW w:w="10286" w:type="dxa"/>
        <w:tblInd w:w="-288" w:type="dxa"/>
        <w:tblLook w:val="04A0" w:firstRow="1" w:lastRow="0" w:firstColumn="1" w:lastColumn="0" w:noHBand="0" w:noVBand="1"/>
      </w:tblPr>
      <w:tblGrid>
        <w:gridCol w:w="398"/>
        <w:gridCol w:w="450"/>
        <w:gridCol w:w="429"/>
        <w:gridCol w:w="429"/>
        <w:gridCol w:w="429"/>
        <w:gridCol w:w="429"/>
        <w:gridCol w:w="429"/>
        <w:gridCol w:w="429"/>
        <w:gridCol w:w="429"/>
        <w:gridCol w:w="429"/>
        <w:gridCol w:w="429"/>
        <w:gridCol w:w="429"/>
        <w:gridCol w:w="429"/>
        <w:gridCol w:w="429"/>
        <w:gridCol w:w="429"/>
        <w:gridCol w:w="429"/>
        <w:gridCol w:w="429"/>
        <w:gridCol w:w="429"/>
        <w:gridCol w:w="429"/>
        <w:gridCol w:w="429"/>
        <w:gridCol w:w="429"/>
        <w:gridCol w:w="429"/>
        <w:gridCol w:w="429"/>
        <w:gridCol w:w="429"/>
      </w:tblGrid>
      <w:tr w:rsidR="000574E2" w:rsidRPr="00B85017" w14:paraId="32E16877" w14:textId="77777777" w:rsidTr="00093E2C">
        <w:trPr>
          <w:trHeight w:val="199"/>
        </w:trPr>
        <w:tc>
          <w:tcPr>
            <w:tcW w:w="848" w:type="dxa"/>
            <w:gridSpan w:val="2"/>
            <w:tcBorders>
              <w:top w:val="single" w:sz="4" w:space="0" w:color="auto"/>
              <w:left w:val="single" w:sz="4" w:space="0" w:color="auto"/>
              <w:bottom w:val="single" w:sz="4" w:space="0" w:color="auto"/>
              <w:right w:val="single" w:sz="4" w:space="0" w:color="auto"/>
            </w:tcBorders>
            <w:shd w:val="clear" w:color="auto" w:fill="235868"/>
            <w:vAlign w:val="center"/>
            <w:hideMark/>
          </w:tcPr>
          <w:p w14:paraId="36B629B6"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Heart rate (beats per minute)</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056AF394"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45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730F1AAD"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50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257F5B9B"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55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21EA0D6C"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60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2B119FFC"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65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5E333F6A"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70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6F14C08A"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75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0A2B51B7"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80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3AEA9C64"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85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557E8A09"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90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72824FB6"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95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0C38EE29"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100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7F1543E0"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105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6DD9F649"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110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5DCA4FEB"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115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3568DEE3"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120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133B6F41"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125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6A27BA59"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130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1124C8D8"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135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4B39B825"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140</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005A4DB2"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145</w:t>
            </w:r>
          </w:p>
        </w:tc>
        <w:tc>
          <w:tcPr>
            <w:tcW w:w="429" w:type="dxa"/>
            <w:tcBorders>
              <w:top w:val="single" w:sz="4" w:space="0" w:color="auto"/>
              <w:left w:val="nil"/>
              <w:bottom w:val="single" w:sz="4" w:space="0" w:color="auto"/>
              <w:right w:val="single" w:sz="4" w:space="0" w:color="auto"/>
            </w:tcBorders>
            <w:shd w:val="clear" w:color="auto" w:fill="235868"/>
            <w:noWrap/>
            <w:vAlign w:val="center"/>
            <w:hideMark/>
          </w:tcPr>
          <w:p w14:paraId="23634882" w14:textId="77777777" w:rsidR="001C7A69" w:rsidRPr="00093E2C" w:rsidRDefault="001C7A69" w:rsidP="000A384C">
            <w:pPr>
              <w:spacing w:before="0" w:after="0"/>
              <w:jc w:val="right"/>
              <w:rPr>
                <w:rFonts w:ascii="Calibri" w:eastAsia="Times New Roman" w:hAnsi="Calibri"/>
                <w:b/>
                <w:bCs/>
                <w:color w:val="FFFFFF" w:themeColor="background1"/>
                <w:sz w:val="14"/>
                <w:szCs w:val="14"/>
                <w:lang w:eastAsia="ko-KR"/>
              </w:rPr>
            </w:pPr>
            <w:r w:rsidRPr="00093E2C">
              <w:rPr>
                <w:rFonts w:ascii="Calibri" w:eastAsia="Times New Roman" w:hAnsi="Calibri"/>
                <w:b/>
                <w:bCs/>
                <w:color w:val="FFFFFF" w:themeColor="background1"/>
                <w:sz w:val="14"/>
                <w:szCs w:val="14"/>
                <w:lang w:eastAsia="ko-KR"/>
              </w:rPr>
              <w:t>150</w:t>
            </w:r>
          </w:p>
        </w:tc>
      </w:tr>
      <w:tr w:rsidR="000574E2" w:rsidRPr="00B85017" w14:paraId="787A5054" w14:textId="77777777" w:rsidTr="00093E2C">
        <w:trPr>
          <w:trHeight w:val="199"/>
        </w:trPr>
        <w:tc>
          <w:tcPr>
            <w:tcW w:w="848" w:type="dxa"/>
            <w:gridSpan w:val="2"/>
            <w:tcBorders>
              <w:top w:val="single" w:sz="4" w:space="0" w:color="auto"/>
              <w:left w:val="single" w:sz="4" w:space="0" w:color="auto"/>
              <w:bottom w:val="single" w:sz="4" w:space="0" w:color="auto"/>
              <w:right w:val="single" w:sz="4" w:space="0" w:color="auto"/>
            </w:tcBorders>
            <w:shd w:val="clear" w:color="auto" w:fill="B6DDE9"/>
            <w:vAlign w:val="center"/>
            <w:hideMark/>
          </w:tcPr>
          <w:p w14:paraId="0C7158CD"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R-R interval (sec)</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73687375"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1.33</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0922382F"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1.20</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00D20D1D"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1.09</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154DC131"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1.00</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62F93C5B"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0.92</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0E8D664F"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0.86</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619AAE6D"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0.80</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0622819D"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0.75</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74D31ABB"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0.71</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61B568B3"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0.67</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077E831B"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0.63</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1B7861C0"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0.60</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744ACC67"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0.57</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74907A75"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0.55</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65B6E232"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0.52</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34109692"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0.50</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7B6D22EC"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0.48</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24E1A74E"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0.46</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7FDC20A4"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0.44</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3ADD3475"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0.43</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5332302A"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0.41</w:t>
            </w:r>
          </w:p>
        </w:tc>
        <w:tc>
          <w:tcPr>
            <w:tcW w:w="429" w:type="dxa"/>
            <w:tcBorders>
              <w:top w:val="nil"/>
              <w:left w:val="nil"/>
              <w:bottom w:val="single" w:sz="4" w:space="0" w:color="auto"/>
              <w:right w:val="single" w:sz="4" w:space="0" w:color="auto"/>
            </w:tcBorders>
            <w:shd w:val="clear" w:color="auto" w:fill="B6DDE9"/>
            <w:noWrap/>
            <w:tcMar>
              <w:left w:w="14" w:type="dxa"/>
              <w:right w:w="14" w:type="dxa"/>
            </w:tcMar>
            <w:vAlign w:val="center"/>
            <w:hideMark/>
          </w:tcPr>
          <w:p w14:paraId="476E95EC" w14:textId="77777777" w:rsidR="001C7A69" w:rsidRPr="00B85017" w:rsidRDefault="001C7A69" w:rsidP="000A384C">
            <w:pPr>
              <w:spacing w:before="0" w:after="0"/>
              <w:jc w:val="center"/>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0.40</w:t>
            </w:r>
          </w:p>
        </w:tc>
      </w:tr>
      <w:tr w:rsidR="00F75183" w:rsidRPr="00B85017" w14:paraId="0516DC13" w14:textId="77777777" w:rsidTr="000A384C">
        <w:trPr>
          <w:trHeight w:val="199"/>
        </w:trPr>
        <w:tc>
          <w:tcPr>
            <w:tcW w:w="39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07689F4E" w14:textId="77777777" w:rsidR="001C7A69" w:rsidRPr="00B85017" w:rsidRDefault="001C7A69" w:rsidP="000A384C">
            <w:pPr>
              <w:spacing w:before="0" w:after="0"/>
              <w:jc w:val="center"/>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QT interval (msec)</w:t>
            </w:r>
          </w:p>
        </w:tc>
        <w:tc>
          <w:tcPr>
            <w:tcW w:w="450" w:type="dxa"/>
            <w:tcBorders>
              <w:top w:val="nil"/>
              <w:left w:val="nil"/>
              <w:bottom w:val="single" w:sz="4" w:space="0" w:color="auto"/>
              <w:right w:val="single" w:sz="4" w:space="0" w:color="auto"/>
            </w:tcBorders>
            <w:shd w:val="clear" w:color="auto" w:fill="auto"/>
            <w:noWrap/>
            <w:vAlign w:val="center"/>
            <w:hideMark/>
          </w:tcPr>
          <w:p w14:paraId="53B41F51"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300</w:t>
            </w:r>
          </w:p>
        </w:tc>
        <w:tc>
          <w:tcPr>
            <w:tcW w:w="429" w:type="dxa"/>
            <w:tcBorders>
              <w:top w:val="nil"/>
              <w:left w:val="nil"/>
              <w:bottom w:val="single" w:sz="4" w:space="0" w:color="auto"/>
              <w:right w:val="single" w:sz="4" w:space="0" w:color="auto"/>
            </w:tcBorders>
            <w:shd w:val="clear" w:color="auto" w:fill="auto"/>
            <w:noWrap/>
            <w:vAlign w:val="center"/>
            <w:hideMark/>
          </w:tcPr>
          <w:p w14:paraId="4022582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273</w:t>
            </w:r>
          </w:p>
        </w:tc>
        <w:tc>
          <w:tcPr>
            <w:tcW w:w="429" w:type="dxa"/>
            <w:tcBorders>
              <w:top w:val="nil"/>
              <w:left w:val="nil"/>
              <w:bottom w:val="single" w:sz="4" w:space="0" w:color="auto"/>
              <w:right w:val="single" w:sz="4" w:space="0" w:color="auto"/>
            </w:tcBorders>
            <w:shd w:val="clear" w:color="auto" w:fill="auto"/>
            <w:noWrap/>
            <w:vAlign w:val="center"/>
            <w:hideMark/>
          </w:tcPr>
          <w:p w14:paraId="009D392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282</w:t>
            </w:r>
          </w:p>
        </w:tc>
        <w:tc>
          <w:tcPr>
            <w:tcW w:w="429" w:type="dxa"/>
            <w:tcBorders>
              <w:top w:val="nil"/>
              <w:left w:val="nil"/>
              <w:bottom w:val="single" w:sz="4" w:space="0" w:color="auto"/>
              <w:right w:val="single" w:sz="4" w:space="0" w:color="auto"/>
            </w:tcBorders>
            <w:shd w:val="clear" w:color="auto" w:fill="auto"/>
            <w:noWrap/>
            <w:vAlign w:val="center"/>
            <w:hideMark/>
          </w:tcPr>
          <w:p w14:paraId="2AA5296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291</w:t>
            </w:r>
          </w:p>
        </w:tc>
        <w:tc>
          <w:tcPr>
            <w:tcW w:w="429" w:type="dxa"/>
            <w:tcBorders>
              <w:top w:val="nil"/>
              <w:left w:val="nil"/>
              <w:bottom w:val="single" w:sz="4" w:space="0" w:color="auto"/>
              <w:right w:val="single" w:sz="4" w:space="0" w:color="auto"/>
            </w:tcBorders>
            <w:shd w:val="clear" w:color="auto" w:fill="auto"/>
            <w:noWrap/>
            <w:vAlign w:val="center"/>
            <w:hideMark/>
          </w:tcPr>
          <w:p w14:paraId="1D318D9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300</w:t>
            </w:r>
          </w:p>
        </w:tc>
        <w:tc>
          <w:tcPr>
            <w:tcW w:w="429" w:type="dxa"/>
            <w:tcBorders>
              <w:top w:val="nil"/>
              <w:left w:val="nil"/>
              <w:bottom w:val="single" w:sz="4" w:space="0" w:color="auto"/>
              <w:right w:val="single" w:sz="4" w:space="0" w:color="auto"/>
            </w:tcBorders>
            <w:shd w:val="clear" w:color="auto" w:fill="auto"/>
            <w:noWrap/>
            <w:vAlign w:val="center"/>
            <w:hideMark/>
          </w:tcPr>
          <w:p w14:paraId="11128C6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308</w:t>
            </w:r>
          </w:p>
        </w:tc>
        <w:tc>
          <w:tcPr>
            <w:tcW w:w="429" w:type="dxa"/>
            <w:tcBorders>
              <w:top w:val="nil"/>
              <w:left w:val="nil"/>
              <w:bottom w:val="single" w:sz="4" w:space="0" w:color="auto"/>
              <w:right w:val="single" w:sz="4" w:space="0" w:color="auto"/>
            </w:tcBorders>
            <w:shd w:val="clear" w:color="auto" w:fill="auto"/>
            <w:noWrap/>
            <w:vAlign w:val="center"/>
            <w:hideMark/>
          </w:tcPr>
          <w:p w14:paraId="0FA1FF4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316</w:t>
            </w:r>
          </w:p>
        </w:tc>
        <w:tc>
          <w:tcPr>
            <w:tcW w:w="429" w:type="dxa"/>
            <w:tcBorders>
              <w:top w:val="nil"/>
              <w:left w:val="nil"/>
              <w:bottom w:val="single" w:sz="4" w:space="0" w:color="auto"/>
              <w:right w:val="single" w:sz="4" w:space="0" w:color="auto"/>
            </w:tcBorders>
            <w:shd w:val="clear" w:color="auto" w:fill="auto"/>
            <w:noWrap/>
            <w:vAlign w:val="center"/>
            <w:hideMark/>
          </w:tcPr>
          <w:p w14:paraId="54CA7E6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323</w:t>
            </w:r>
          </w:p>
        </w:tc>
        <w:tc>
          <w:tcPr>
            <w:tcW w:w="429" w:type="dxa"/>
            <w:tcBorders>
              <w:top w:val="nil"/>
              <w:left w:val="nil"/>
              <w:bottom w:val="single" w:sz="4" w:space="0" w:color="auto"/>
              <w:right w:val="single" w:sz="4" w:space="0" w:color="auto"/>
            </w:tcBorders>
            <w:shd w:val="clear" w:color="auto" w:fill="auto"/>
            <w:noWrap/>
            <w:vAlign w:val="center"/>
            <w:hideMark/>
          </w:tcPr>
          <w:p w14:paraId="775F009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330</w:t>
            </w:r>
          </w:p>
        </w:tc>
        <w:tc>
          <w:tcPr>
            <w:tcW w:w="429" w:type="dxa"/>
            <w:tcBorders>
              <w:top w:val="nil"/>
              <w:left w:val="nil"/>
              <w:bottom w:val="single" w:sz="4" w:space="0" w:color="auto"/>
              <w:right w:val="single" w:sz="4" w:space="0" w:color="auto"/>
            </w:tcBorders>
            <w:shd w:val="clear" w:color="auto" w:fill="auto"/>
            <w:noWrap/>
            <w:vAlign w:val="center"/>
            <w:hideMark/>
          </w:tcPr>
          <w:p w14:paraId="12A60BE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337</w:t>
            </w:r>
          </w:p>
        </w:tc>
        <w:tc>
          <w:tcPr>
            <w:tcW w:w="429" w:type="dxa"/>
            <w:tcBorders>
              <w:top w:val="nil"/>
              <w:left w:val="nil"/>
              <w:bottom w:val="single" w:sz="4" w:space="0" w:color="auto"/>
              <w:right w:val="single" w:sz="4" w:space="0" w:color="auto"/>
            </w:tcBorders>
            <w:shd w:val="clear" w:color="auto" w:fill="auto"/>
            <w:noWrap/>
            <w:vAlign w:val="center"/>
            <w:hideMark/>
          </w:tcPr>
          <w:p w14:paraId="07226F9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343</w:t>
            </w:r>
          </w:p>
        </w:tc>
        <w:tc>
          <w:tcPr>
            <w:tcW w:w="429" w:type="dxa"/>
            <w:tcBorders>
              <w:top w:val="nil"/>
              <w:left w:val="nil"/>
              <w:bottom w:val="single" w:sz="4" w:space="0" w:color="auto"/>
              <w:right w:val="single" w:sz="4" w:space="0" w:color="auto"/>
            </w:tcBorders>
            <w:shd w:val="clear" w:color="auto" w:fill="auto"/>
            <w:noWrap/>
            <w:vAlign w:val="center"/>
            <w:hideMark/>
          </w:tcPr>
          <w:p w14:paraId="4F20885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350</w:t>
            </w:r>
          </w:p>
        </w:tc>
        <w:tc>
          <w:tcPr>
            <w:tcW w:w="429" w:type="dxa"/>
            <w:tcBorders>
              <w:top w:val="nil"/>
              <w:left w:val="nil"/>
              <w:bottom w:val="single" w:sz="4" w:space="0" w:color="auto"/>
              <w:right w:val="single" w:sz="4" w:space="0" w:color="auto"/>
            </w:tcBorders>
            <w:shd w:val="clear" w:color="auto" w:fill="auto"/>
            <w:noWrap/>
            <w:vAlign w:val="center"/>
            <w:hideMark/>
          </w:tcPr>
          <w:p w14:paraId="2E1B553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356</w:t>
            </w:r>
          </w:p>
        </w:tc>
        <w:tc>
          <w:tcPr>
            <w:tcW w:w="429" w:type="dxa"/>
            <w:tcBorders>
              <w:top w:val="nil"/>
              <w:left w:val="nil"/>
              <w:bottom w:val="single" w:sz="4" w:space="0" w:color="auto"/>
              <w:right w:val="single" w:sz="4" w:space="0" w:color="auto"/>
            </w:tcBorders>
            <w:shd w:val="clear" w:color="auto" w:fill="auto"/>
            <w:noWrap/>
            <w:vAlign w:val="center"/>
            <w:hideMark/>
          </w:tcPr>
          <w:p w14:paraId="699FD54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362</w:t>
            </w:r>
          </w:p>
        </w:tc>
        <w:tc>
          <w:tcPr>
            <w:tcW w:w="429" w:type="dxa"/>
            <w:tcBorders>
              <w:top w:val="nil"/>
              <w:left w:val="nil"/>
              <w:bottom w:val="single" w:sz="4" w:space="0" w:color="auto"/>
              <w:right w:val="single" w:sz="4" w:space="0" w:color="auto"/>
            </w:tcBorders>
            <w:shd w:val="clear" w:color="auto" w:fill="auto"/>
            <w:noWrap/>
            <w:vAlign w:val="center"/>
            <w:hideMark/>
          </w:tcPr>
          <w:p w14:paraId="33C5B92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367</w:t>
            </w:r>
          </w:p>
        </w:tc>
        <w:tc>
          <w:tcPr>
            <w:tcW w:w="429" w:type="dxa"/>
            <w:tcBorders>
              <w:top w:val="nil"/>
              <w:left w:val="nil"/>
              <w:bottom w:val="single" w:sz="4" w:space="0" w:color="auto"/>
              <w:right w:val="single" w:sz="4" w:space="0" w:color="auto"/>
            </w:tcBorders>
            <w:shd w:val="clear" w:color="auto" w:fill="auto"/>
            <w:noWrap/>
            <w:vAlign w:val="center"/>
            <w:hideMark/>
          </w:tcPr>
          <w:p w14:paraId="435D7F3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373</w:t>
            </w:r>
          </w:p>
        </w:tc>
        <w:tc>
          <w:tcPr>
            <w:tcW w:w="429" w:type="dxa"/>
            <w:tcBorders>
              <w:top w:val="nil"/>
              <w:left w:val="nil"/>
              <w:bottom w:val="single" w:sz="4" w:space="0" w:color="auto"/>
              <w:right w:val="single" w:sz="4" w:space="0" w:color="auto"/>
            </w:tcBorders>
            <w:shd w:val="clear" w:color="auto" w:fill="auto"/>
            <w:noWrap/>
            <w:vAlign w:val="center"/>
            <w:hideMark/>
          </w:tcPr>
          <w:p w14:paraId="74E522B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378</w:t>
            </w:r>
          </w:p>
        </w:tc>
        <w:tc>
          <w:tcPr>
            <w:tcW w:w="429" w:type="dxa"/>
            <w:tcBorders>
              <w:top w:val="nil"/>
              <w:left w:val="nil"/>
              <w:bottom w:val="single" w:sz="4" w:space="0" w:color="auto"/>
              <w:right w:val="single" w:sz="4" w:space="0" w:color="auto"/>
            </w:tcBorders>
            <w:shd w:val="clear" w:color="auto" w:fill="auto"/>
            <w:noWrap/>
            <w:vAlign w:val="center"/>
            <w:hideMark/>
          </w:tcPr>
          <w:p w14:paraId="15727F6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383</w:t>
            </w:r>
          </w:p>
        </w:tc>
        <w:tc>
          <w:tcPr>
            <w:tcW w:w="429" w:type="dxa"/>
            <w:tcBorders>
              <w:top w:val="nil"/>
              <w:left w:val="nil"/>
              <w:bottom w:val="single" w:sz="4" w:space="0" w:color="auto"/>
              <w:right w:val="single" w:sz="4" w:space="0" w:color="auto"/>
            </w:tcBorders>
            <w:shd w:val="clear" w:color="auto" w:fill="auto"/>
            <w:noWrap/>
            <w:vAlign w:val="center"/>
            <w:hideMark/>
          </w:tcPr>
          <w:p w14:paraId="648D9A7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388</w:t>
            </w:r>
          </w:p>
        </w:tc>
        <w:tc>
          <w:tcPr>
            <w:tcW w:w="429" w:type="dxa"/>
            <w:tcBorders>
              <w:top w:val="nil"/>
              <w:left w:val="nil"/>
              <w:bottom w:val="single" w:sz="4" w:space="0" w:color="auto"/>
              <w:right w:val="single" w:sz="4" w:space="0" w:color="auto"/>
            </w:tcBorders>
            <w:shd w:val="clear" w:color="auto" w:fill="auto"/>
            <w:noWrap/>
            <w:vAlign w:val="center"/>
            <w:hideMark/>
          </w:tcPr>
          <w:p w14:paraId="276B5BC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393</w:t>
            </w:r>
          </w:p>
        </w:tc>
        <w:tc>
          <w:tcPr>
            <w:tcW w:w="429" w:type="dxa"/>
            <w:tcBorders>
              <w:top w:val="nil"/>
              <w:left w:val="nil"/>
              <w:bottom w:val="single" w:sz="4" w:space="0" w:color="auto"/>
              <w:right w:val="single" w:sz="4" w:space="0" w:color="auto"/>
            </w:tcBorders>
            <w:shd w:val="clear" w:color="auto" w:fill="auto"/>
            <w:noWrap/>
            <w:vAlign w:val="center"/>
            <w:hideMark/>
          </w:tcPr>
          <w:p w14:paraId="5CAC18D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398</w:t>
            </w:r>
          </w:p>
        </w:tc>
        <w:tc>
          <w:tcPr>
            <w:tcW w:w="429" w:type="dxa"/>
            <w:tcBorders>
              <w:top w:val="nil"/>
              <w:left w:val="nil"/>
              <w:bottom w:val="single" w:sz="4" w:space="0" w:color="auto"/>
              <w:right w:val="single" w:sz="4" w:space="0" w:color="auto"/>
            </w:tcBorders>
            <w:shd w:val="clear" w:color="auto" w:fill="auto"/>
            <w:noWrap/>
            <w:vAlign w:val="center"/>
            <w:hideMark/>
          </w:tcPr>
          <w:p w14:paraId="5141B12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403</w:t>
            </w:r>
          </w:p>
        </w:tc>
        <w:tc>
          <w:tcPr>
            <w:tcW w:w="429" w:type="dxa"/>
            <w:tcBorders>
              <w:top w:val="nil"/>
              <w:left w:val="nil"/>
              <w:bottom w:val="single" w:sz="4" w:space="0" w:color="auto"/>
              <w:right w:val="single" w:sz="4" w:space="0" w:color="auto"/>
            </w:tcBorders>
            <w:shd w:val="clear" w:color="auto" w:fill="auto"/>
            <w:noWrap/>
            <w:vAlign w:val="center"/>
            <w:hideMark/>
          </w:tcPr>
          <w:p w14:paraId="6035A56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407</w:t>
            </w:r>
          </w:p>
        </w:tc>
      </w:tr>
      <w:tr w:rsidR="00F75183" w:rsidRPr="00B85017" w14:paraId="3727F96F"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59058A36"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44941421"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310</w:t>
            </w:r>
          </w:p>
        </w:tc>
        <w:tc>
          <w:tcPr>
            <w:tcW w:w="429" w:type="dxa"/>
            <w:tcBorders>
              <w:top w:val="nil"/>
              <w:left w:val="nil"/>
              <w:bottom w:val="single" w:sz="4" w:space="0" w:color="auto"/>
              <w:right w:val="single" w:sz="4" w:space="0" w:color="auto"/>
            </w:tcBorders>
            <w:shd w:val="clear" w:color="auto" w:fill="auto"/>
            <w:noWrap/>
            <w:vAlign w:val="center"/>
            <w:hideMark/>
          </w:tcPr>
          <w:p w14:paraId="7FD5200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282</w:t>
            </w:r>
          </w:p>
        </w:tc>
        <w:tc>
          <w:tcPr>
            <w:tcW w:w="429" w:type="dxa"/>
            <w:tcBorders>
              <w:top w:val="nil"/>
              <w:left w:val="nil"/>
              <w:bottom w:val="single" w:sz="4" w:space="0" w:color="auto"/>
              <w:right w:val="single" w:sz="4" w:space="0" w:color="auto"/>
            </w:tcBorders>
            <w:shd w:val="clear" w:color="auto" w:fill="auto"/>
            <w:noWrap/>
            <w:vAlign w:val="center"/>
            <w:hideMark/>
          </w:tcPr>
          <w:p w14:paraId="2E39EDC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292</w:t>
            </w:r>
          </w:p>
        </w:tc>
        <w:tc>
          <w:tcPr>
            <w:tcW w:w="429" w:type="dxa"/>
            <w:tcBorders>
              <w:top w:val="nil"/>
              <w:left w:val="nil"/>
              <w:bottom w:val="single" w:sz="4" w:space="0" w:color="auto"/>
              <w:right w:val="single" w:sz="4" w:space="0" w:color="auto"/>
            </w:tcBorders>
            <w:shd w:val="clear" w:color="auto" w:fill="auto"/>
            <w:noWrap/>
            <w:vAlign w:val="center"/>
            <w:hideMark/>
          </w:tcPr>
          <w:p w14:paraId="7F62D6D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301</w:t>
            </w:r>
          </w:p>
        </w:tc>
        <w:tc>
          <w:tcPr>
            <w:tcW w:w="429" w:type="dxa"/>
            <w:tcBorders>
              <w:top w:val="nil"/>
              <w:left w:val="nil"/>
              <w:bottom w:val="single" w:sz="4" w:space="0" w:color="auto"/>
              <w:right w:val="single" w:sz="4" w:space="0" w:color="auto"/>
            </w:tcBorders>
            <w:shd w:val="clear" w:color="auto" w:fill="auto"/>
            <w:noWrap/>
            <w:vAlign w:val="center"/>
            <w:hideMark/>
          </w:tcPr>
          <w:p w14:paraId="0DD9964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310</w:t>
            </w:r>
          </w:p>
        </w:tc>
        <w:tc>
          <w:tcPr>
            <w:tcW w:w="429" w:type="dxa"/>
            <w:tcBorders>
              <w:top w:val="nil"/>
              <w:left w:val="nil"/>
              <w:bottom w:val="single" w:sz="4" w:space="0" w:color="auto"/>
              <w:right w:val="single" w:sz="4" w:space="0" w:color="auto"/>
            </w:tcBorders>
            <w:shd w:val="clear" w:color="auto" w:fill="auto"/>
            <w:noWrap/>
            <w:vAlign w:val="center"/>
            <w:hideMark/>
          </w:tcPr>
          <w:p w14:paraId="6F67126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318</w:t>
            </w:r>
          </w:p>
        </w:tc>
        <w:tc>
          <w:tcPr>
            <w:tcW w:w="429" w:type="dxa"/>
            <w:tcBorders>
              <w:top w:val="nil"/>
              <w:left w:val="nil"/>
              <w:bottom w:val="single" w:sz="4" w:space="0" w:color="auto"/>
              <w:right w:val="single" w:sz="4" w:space="0" w:color="auto"/>
            </w:tcBorders>
            <w:shd w:val="clear" w:color="auto" w:fill="auto"/>
            <w:noWrap/>
            <w:vAlign w:val="center"/>
            <w:hideMark/>
          </w:tcPr>
          <w:p w14:paraId="603A203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326</w:t>
            </w:r>
          </w:p>
        </w:tc>
        <w:tc>
          <w:tcPr>
            <w:tcW w:w="429" w:type="dxa"/>
            <w:tcBorders>
              <w:top w:val="nil"/>
              <w:left w:val="nil"/>
              <w:bottom w:val="single" w:sz="4" w:space="0" w:color="auto"/>
              <w:right w:val="single" w:sz="4" w:space="0" w:color="auto"/>
            </w:tcBorders>
            <w:shd w:val="clear" w:color="auto" w:fill="auto"/>
            <w:noWrap/>
            <w:vAlign w:val="center"/>
            <w:hideMark/>
          </w:tcPr>
          <w:p w14:paraId="30F277F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334</w:t>
            </w:r>
          </w:p>
        </w:tc>
        <w:tc>
          <w:tcPr>
            <w:tcW w:w="429" w:type="dxa"/>
            <w:tcBorders>
              <w:top w:val="nil"/>
              <w:left w:val="nil"/>
              <w:bottom w:val="single" w:sz="4" w:space="0" w:color="auto"/>
              <w:right w:val="single" w:sz="4" w:space="0" w:color="auto"/>
            </w:tcBorders>
            <w:shd w:val="clear" w:color="auto" w:fill="auto"/>
            <w:noWrap/>
            <w:vAlign w:val="center"/>
            <w:hideMark/>
          </w:tcPr>
          <w:p w14:paraId="60F1B32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341</w:t>
            </w:r>
          </w:p>
        </w:tc>
        <w:tc>
          <w:tcPr>
            <w:tcW w:w="429" w:type="dxa"/>
            <w:tcBorders>
              <w:top w:val="nil"/>
              <w:left w:val="nil"/>
              <w:bottom w:val="single" w:sz="4" w:space="0" w:color="auto"/>
              <w:right w:val="single" w:sz="4" w:space="0" w:color="auto"/>
            </w:tcBorders>
            <w:shd w:val="clear" w:color="auto" w:fill="auto"/>
            <w:noWrap/>
            <w:vAlign w:val="center"/>
            <w:hideMark/>
          </w:tcPr>
          <w:p w14:paraId="33727FE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348</w:t>
            </w:r>
          </w:p>
        </w:tc>
        <w:tc>
          <w:tcPr>
            <w:tcW w:w="429" w:type="dxa"/>
            <w:tcBorders>
              <w:top w:val="nil"/>
              <w:left w:val="nil"/>
              <w:bottom w:val="single" w:sz="4" w:space="0" w:color="auto"/>
              <w:right w:val="single" w:sz="4" w:space="0" w:color="auto"/>
            </w:tcBorders>
            <w:shd w:val="clear" w:color="auto" w:fill="auto"/>
            <w:noWrap/>
            <w:vAlign w:val="center"/>
            <w:hideMark/>
          </w:tcPr>
          <w:p w14:paraId="4AA1F5F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355</w:t>
            </w:r>
          </w:p>
        </w:tc>
        <w:tc>
          <w:tcPr>
            <w:tcW w:w="429" w:type="dxa"/>
            <w:tcBorders>
              <w:top w:val="nil"/>
              <w:left w:val="nil"/>
              <w:bottom w:val="single" w:sz="4" w:space="0" w:color="auto"/>
              <w:right w:val="single" w:sz="4" w:space="0" w:color="auto"/>
            </w:tcBorders>
            <w:shd w:val="clear" w:color="auto" w:fill="auto"/>
            <w:noWrap/>
            <w:vAlign w:val="center"/>
            <w:hideMark/>
          </w:tcPr>
          <w:p w14:paraId="426518C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361</w:t>
            </w:r>
          </w:p>
        </w:tc>
        <w:tc>
          <w:tcPr>
            <w:tcW w:w="429" w:type="dxa"/>
            <w:tcBorders>
              <w:top w:val="nil"/>
              <w:left w:val="nil"/>
              <w:bottom w:val="single" w:sz="4" w:space="0" w:color="auto"/>
              <w:right w:val="single" w:sz="4" w:space="0" w:color="auto"/>
            </w:tcBorders>
            <w:shd w:val="clear" w:color="auto" w:fill="auto"/>
            <w:noWrap/>
            <w:vAlign w:val="center"/>
            <w:hideMark/>
          </w:tcPr>
          <w:p w14:paraId="3B73AE2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368</w:t>
            </w:r>
          </w:p>
        </w:tc>
        <w:tc>
          <w:tcPr>
            <w:tcW w:w="429" w:type="dxa"/>
            <w:tcBorders>
              <w:top w:val="nil"/>
              <w:left w:val="nil"/>
              <w:bottom w:val="single" w:sz="4" w:space="0" w:color="auto"/>
              <w:right w:val="single" w:sz="4" w:space="0" w:color="auto"/>
            </w:tcBorders>
            <w:shd w:val="clear" w:color="auto" w:fill="auto"/>
            <w:noWrap/>
            <w:vAlign w:val="center"/>
            <w:hideMark/>
          </w:tcPr>
          <w:p w14:paraId="5FEC182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374</w:t>
            </w:r>
          </w:p>
        </w:tc>
        <w:tc>
          <w:tcPr>
            <w:tcW w:w="429" w:type="dxa"/>
            <w:tcBorders>
              <w:top w:val="nil"/>
              <w:left w:val="nil"/>
              <w:bottom w:val="single" w:sz="4" w:space="0" w:color="auto"/>
              <w:right w:val="single" w:sz="4" w:space="0" w:color="auto"/>
            </w:tcBorders>
            <w:shd w:val="clear" w:color="auto" w:fill="auto"/>
            <w:noWrap/>
            <w:vAlign w:val="center"/>
            <w:hideMark/>
          </w:tcPr>
          <w:p w14:paraId="7F678D2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379</w:t>
            </w:r>
          </w:p>
        </w:tc>
        <w:tc>
          <w:tcPr>
            <w:tcW w:w="429" w:type="dxa"/>
            <w:tcBorders>
              <w:top w:val="nil"/>
              <w:left w:val="nil"/>
              <w:bottom w:val="single" w:sz="4" w:space="0" w:color="auto"/>
              <w:right w:val="single" w:sz="4" w:space="0" w:color="auto"/>
            </w:tcBorders>
            <w:shd w:val="clear" w:color="auto" w:fill="auto"/>
            <w:noWrap/>
            <w:vAlign w:val="center"/>
            <w:hideMark/>
          </w:tcPr>
          <w:p w14:paraId="429EC3B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385</w:t>
            </w:r>
          </w:p>
        </w:tc>
        <w:tc>
          <w:tcPr>
            <w:tcW w:w="429" w:type="dxa"/>
            <w:tcBorders>
              <w:top w:val="nil"/>
              <w:left w:val="nil"/>
              <w:bottom w:val="single" w:sz="4" w:space="0" w:color="auto"/>
              <w:right w:val="single" w:sz="4" w:space="0" w:color="auto"/>
            </w:tcBorders>
            <w:shd w:val="clear" w:color="auto" w:fill="auto"/>
            <w:noWrap/>
            <w:vAlign w:val="center"/>
            <w:hideMark/>
          </w:tcPr>
          <w:p w14:paraId="5FC8413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391</w:t>
            </w:r>
          </w:p>
        </w:tc>
        <w:tc>
          <w:tcPr>
            <w:tcW w:w="429" w:type="dxa"/>
            <w:tcBorders>
              <w:top w:val="nil"/>
              <w:left w:val="nil"/>
              <w:bottom w:val="single" w:sz="4" w:space="0" w:color="auto"/>
              <w:right w:val="single" w:sz="4" w:space="0" w:color="auto"/>
            </w:tcBorders>
            <w:shd w:val="clear" w:color="auto" w:fill="auto"/>
            <w:noWrap/>
            <w:vAlign w:val="center"/>
            <w:hideMark/>
          </w:tcPr>
          <w:p w14:paraId="207BAC9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396</w:t>
            </w:r>
          </w:p>
        </w:tc>
        <w:tc>
          <w:tcPr>
            <w:tcW w:w="429" w:type="dxa"/>
            <w:tcBorders>
              <w:top w:val="nil"/>
              <w:left w:val="nil"/>
              <w:bottom w:val="single" w:sz="4" w:space="0" w:color="auto"/>
              <w:right w:val="single" w:sz="4" w:space="0" w:color="auto"/>
            </w:tcBorders>
            <w:shd w:val="clear" w:color="auto" w:fill="auto"/>
            <w:noWrap/>
            <w:vAlign w:val="center"/>
            <w:hideMark/>
          </w:tcPr>
          <w:p w14:paraId="4399A24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401</w:t>
            </w:r>
          </w:p>
        </w:tc>
        <w:tc>
          <w:tcPr>
            <w:tcW w:w="429" w:type="dxa"/>
            <w:tcBorders>
              <w:top w:val="nil"/>
              <w:left w:val="nil"/>
              <w:bottom w:val="single" w:sz="4" w:space="0" w:color="auto"/>
              <w:right w:val="single" w:sz="4" w:space="0" w:color="auto"/>
            </w:tcBorders>
            <w:shd w:val="clear" w:color="auto" w:fill="auto"/>
            <w:noWrap/>
            <w:vAlign w:val="center"/>
            <w:hideMark/>
          </w:tcPr>
          <w:p w14:paraId="77F3742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406</w:t>
            </w:r>
          </w:p>
        </w:tc>
        <w:tc>
          <w:tcPr>
            <w:tcW w:w="429" w:type="dxa"/>
            <w:tcBorders>
              <w:top w:val="nil"/>
              <w:left w:val="nil"/>
              <w:bottom w:val="single" w:sz="4" w:space="0" w:color="auto"/>
              <w:right w:val="single" w:sz="4" w:space="0" w:color="auto"/>
            </w:tcBorders>
            <w:shd w:val="clear" w:color="auto" w:fill="auto"/>
            <w:noWrap/>
            <w:vAlign w:val="center"/>
            <w:hideMark/>
          </w:tcPr>
          <w:p w14:paraId="51BCE24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411</w:t>
            </w:r>
          </w:p>
        </w:tc>
        <w:tc>
          <w:tcPr>
            <w:tcW w:w="429" w:type="dxa"/>
            <w:tcBorders>
              <w:top w:val="nil"/>
              <w:left w:val="nil"/>
              <w:bottom w:val="single" w:sz="4" w:space="0" w:color="auto"/>
              <w:right w:val="single" w:sz="4" w:space="0" w:color="auto"/>
            </w:tcBorders>
            <w:shd w:val="clear" w:color="auto" w:fill="auto"/>
            <w:noWrap/>
            <w:vAlign w:val="center"/>
            <w:hideMark/>
          </w:tcPr>
          <w:p w14:paraId="56408D7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416</w:t>
            </w:r>
          </w:p>
        </w:tc>
        <w:tc>
          <w:tcPr>
            <w:tcW w:w="429" w:type="dxa"/>
            <w:tcBorders>
              <w:top w:val="nil"/>
              <w:left w:val="nil"/>
              <w:bottom w:val="single" w:sz="4" w:space="0" w:color="auto"/>
              <w:right w:val="single" w:sz="4" w:space="0" w:color="auto"/>
            </w:tcBorders>
            <w:shd w:val="clear" w:color="auto" w:fill="auto"/>
            <w:noWrap/>
            <w:vAlign w:val="center"/>
            <w:hideMark/>
          </w:tcPr>
          <w:p w14:paraId="0580BEE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421</w:t>
            </w:r>
          </w:p>
        </w:tc>
      </w:tr>
      <w:tr w:rsidR="00F75183" w:rsidRPr="00B85017" w14:paraId="611334AE"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1398F18A"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6D770948"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320</w:t>
            </w:r>
          </w:p>
        </w:tc>
        <w:tc>
          <w:tcPr>
            <w:tcW w:w="429" w:type="dxa"/>
            <w:tcBorders>
              <w:top w:val="nil"/>
              <w:left w:val="nil"/>
              <w:bottom w:val="single" w:sz="4" w:space="0" w:color="auto"/>
              <w:right w:val="single" w:sz="4" w:space="0" w:color="auto"/>
            </w:tcBorders>
            <w:shd w:val="clear" w:color="auto" w:fill="auto"/>
            <w:noWrap/>
            <w:vAlign w:val="center"/>
            <w:hideMark/>
          </w:tcPr>
          <w:p w14:paraId="0AABFA4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291</w:t>
            </w:r>
          </w:p>
        </w:tc>
        <w:tc>
          <w:tcPr>
            <w:tcW w:w="429" w:type="dxa"/>
            <w:tcBorders>
              <w:top w:val="nil"/>
              <w:left w:val="nil"/>
              <w:bottom w:val="single" w:sz="4" w:space="0" w:color="auto"/>
              <w:right w:val="single" w:sz="4" w:space="0" w:color="auto"/>
            </w:tcBorders>
            <w:shd w:val="clear" w:color="auto" w:fill="auto"/>
            <w:noWrap/>
            <w:vAlign w:val="center"/>
            <w:hideMark/>
          </w:tcPr>
          <w:p w14:paraId="02AE529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301</w:t>
            </w:r>
          </w:p>
        </w:tc>
        <w:tc>
          <w:tcPr>
            <w:tcW w:w="429" w:type="dxa"/>
            <w:tcBorders>
              <w:top w:val="nil"/>
              <w:left w:val="nil"/>
              <w:bottom w:val="single" w:sz="4" w:space="0" w:color="auto"/>
              <w:right w:val="single" w:sz="4" w:space="0" w:color="auto"/>
            </w:tcBorders>
            <w:shd w:val="clear" w:color="auto" w:fill="auto"/>
            <w:noWrap/>
            <w:vAlign w:val="center"/>
            <w:hideMark/>
          </w:tcPr>
          <w:p w14:paraId="74A30C9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311</w:t>
            </w:r>
          </w:p>
        </w:tc>
        <w:tc>
          <w:tcPr>
            <w:tcW w:w="429" w:type="dxa"/>
            <w:tcBorders>
              <w:top w:val="nil"/>
              <w:left w:val="nil"/>
              <w:bottom w:val="single" w:sz="4" w:space="0" w:color="auto"/>
              <w:right w:val="single" w:sz="4" w:space="0" w:color="auto"/>
            </w:tcBorders>
            <w:shd w:val="clear" w:color="auto" w:fill="auto"/>
            <w:noWrap/>
            <w:vAlign w:val="center"/>
            <w:hideMark/>
          </w:tcPr>
          <w:p w14:paraId="2E26333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320</w:t>
            </w:r>
          </w:p>
        </w:tc>
        <w:tc>
          <w:tcPr>
            <w:tcW w:w="429" w:type="dxa"/>
            <w:tcBorders>
              <w:top w:val="nil"/>
              <w:left w:val="nil"/>
              <w:bottom w:val="single" w:sz="4" w:space="0" w:color="auto"/>
              <w:right w:val="single" w:sz="4" w:space="0" w:color="auto"/>
            </w:tcBorders>
            <w:shd w:val="clear" w:color="auto" w:fill="auto"/>
            <w:noWrap/>
            <w:vAlign w:val="center"/>
            <w:hideMark/>
          </w:tcPr>
          <w:p w14:paraId="0A872D8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329</w:t>
            </w:r>
          </w:p>
        </w:tc>
        <w:tc>
          <w:tcPr>
            <w:tcW w:w="429" w:type="dxa"/>
            <w:tcBorders>
              <w:top w:val="nil"/>
              <w:left w:val="nil"/>
              <w:bottom w:val="single" w:sz="4" w:space="0" w:color="auto"/>
              <w:right w:val="single" w:sz="4" w:space="0" w:color="auto"/>
            </w:tcBorders>
            <w:shd w:val="clear" w:color="auto" w:fill="auto"/>
            <w:noWrap/>
            <w:vAlign w:val="center"/>
            <w:hideMark/>
          </w:tcPr>
          <w:p w14:paraId="7EEA738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337</w:t>
            </w:r>
          </w:p>
        </w:tc>
        <w:tc>
          <w:tcPr>
            <w:tcW w:w="429" w:type="dxa"/>
            <w:tcBorders>
              <w:top w:val="nil"/>
              <w:left w:val="nil"/>
              <w:bottom w:val="single" w:sz="4" w:space="0" w:color="auto"/>
              <w:right w:val="single" w:sz="4" w:space="0" w:color="auto"/>
            </w:tcBorders>
            <w:shd w:val="clear" w:color="auto" w:fill="auto"/>
            <w:noWrap/>
            <w:vAlign w:val="center"/>
            <w:hideMark/>
          </w:tcPr>
          <w:p w14:paraId="035DDF1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345</w:t>
            </w:r>
          </w:p>
        </w:tc>
        <w:tc>
          <w:tcPr>
            <w:tcW w:w="429" w:type="dxa"/>
            <w:tcBorders>
              <w:top w:val="nil"/>
              <w:left w:val="nil"/>
              <w:bottom w:val="single" w:sz="4" w:space="0" w:color="auto"/>
              <w:right w:val="single" w:sz="4" w:space="0" w:color="auto"/>
            </w:tcBorders>
            <w:shd w:val="clear" w:color="auto" w:fill="auto"/>
            <w:noWrap/>
            <w:vAlign w:val="center"/>
            <w:hideMark/>
          </w:tcPr>
          <w:p w14:paraId="4343B33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352</w:t>
            </w:r>
          </w:p>
        </w:tc>
        <w:tc>
          <w:tcPr>
            <w:tcW w:w="429" w:type="dxa"/>
            <w:tcBorders>
              <w:top w:val="nil"/>
              <w:left w:val="nil"/>
              <w:bottom w:val="single" w:sz="4" w:space="0" w:color="auto"/>
              <w:right w:val="single" w:sz="4" w:space="0" w:color="auto"/>
            </w:tcBorders>
            <w:shd w:val="clear" w:color="auto" w:fill="auto"/>
            <w:noWrap/>
            <w:vAlign w:val="center"/>
            <w:hideMark/>
          </w:tcPr>
          <w:p w14:paraId="173E501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359</w:t>
            </w:r>
          </w:p>
        </w:tc>
        <w:tc>
          <w:tcPr>
            <w:tcW w:w="429" w:type="dxa"/>
            <w:tcBorders>
              <w:top w:val="nil"/>
              <w:left w:val="nil"/>
              <w:bottom w:val="single" w:sz="4" w:space="0" w:color="auto"/>
              <w:right w:val="single" w:sz="4" w:space="0" w:color="auto"/>
            </w:tcBorders>
            <w:shd w:val="clear" w:color="auto" w:fill="auto"/>
            <w:noWrap/>
            <w:vAlign w:val="center"/>
            <w:hideMark/>
          </w:tcPr>
          <w:p w14:paraId="4C9374C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366</w:t>
            </w:r>
          </w:p>
        </w:tc>
        <w:tc>
          <w:tcPr>
            <w:tcW w:w="429" w:type="dxa"/>
            <w:tcBorders>
              <w:top w:val="nil"/>
              <w:left w:val="nil"/>
              <w:bottom w:val="single" w:sz="4" w:space="0" w:color="auto"/>
              <w:right w:val="single" w:sz="4" w:space="0" w:color="auto"/>
            </w:tcBorders>
            <w:shd w:val="clear" w:color="auto" w:fill="auto"/>
            <w:noWrap/>
            <w:vAlign w:val="center"/>
            <w:hideMark/>
          </w:tcPr>
          <w:p w14:paraId="4FF3916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373</w:t>
            </w:r>
          </w:p>
        </w:tc>
        <w:tc>
          <w:tcPr>
            <w:tcW w:w="429" w:type="dxa"/>
            <w:tcBorders>
              <w:top w:val="nil"/>
              <w:left w:val="nil"/>
              <w:bottom w:val="single" w:sz="4" w:space="0" w:color="auto"/>
              <w:right w:val="single" w:sz="4" w:space="0" w:color="auto"/>
            </w:tcBorders>
            <w:shd w:val="clear" w:color="auto" w:fill="auto"/>
            <w:noWrap/>
            <w:vAlign w:val="center"/>
            <w:hideMark/>
          </w:tcPr>
          <w:p w14:paraId="4E1E864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379</w:t>
            </w:r>
          </w:p>
        </w:tc>
        <w:tc>
          <w:tcPr>
            <w:tcW w:w="429" w:type="dxa"/>
            <w:tcBorders>
              <w:top w:val="nil"/>
              <w:left w:val="nil"/>
              <w:bottom w:val="single" w:sz="4" w:space="0" w:color="auto"/>
              <w:right w:val="single" w:sz="4" w:space="0" w:color="auto"/>
            </w:tcBorders>
            <w:shd w:val="clear" w:color="auto" w:fill="auto"/>
            <w:noWrap/>
            <w:vAlign w:val="center"/>
            <w:hideMark/>
          </w:tcPr>
          <w:p w14:paraId="0411DB1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386</w:t>
            </w:r>
          </w:p>
        </w:tc>
        <w:tc>
          <w:tcPr>
            <w:tcW w:w="429" w:type="dxa"/>
            <w:tcBorders>
              <w:top w:val="nil"/>
              <w:left w:val="nil"/>
              <w:bottom w:val="single" w:sz="4" w:space="0" w:color="auto"/>
              <w:right w:val="single" w:sz="4" w:space="0" w:color="auto"/>
            </w:tcBorders>
            <w:shd w:val="clear" w:color="auto" w:fill="auto"/>
            <w:noWrap/>
            <w:vAlign w:val="center"/>
            <w:hideMark/>
          </w:tcPr>
          <w:p w14:paraId="3C0EA28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392</w:t>
            </w:r>
          </w:p>
        </w:tc>
        <w:tc>
          <w:tcPr>
            <w:tcW w:w="429" w:type="dxa"/>
            <w:tcBorders>
              <w:top w:val="nil"/>
              <w:left w:val="nil"/>
              <w:bottom w:val="single" w:sz="4" w:space="0" w:color="auto"/>
              <w:right w:val="single" w:sz="4" w:space="0" w:color="auto"/>
            </w:tcBorders>
            <w:shd w:val="clear" w:color="auto" w:fill="auto"/>
            <w:noWrap/>
            <w:vAlign w:val="center"/>
            <w:hideMark/>
          </w:tcPr>
          <w:p w14:paraId="187EC09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397</w:t>
            </w:r>
          </w:p>
        </w:tc>
        <w:tc>
          <w:tcPr>
            <w:tcW w:w="429" w:type="dxa"/>
            <w:tcBorders>
              <w:top w:val="nil"/>
              <w:left w:val="nil"/>
              <w:bottom w:val="single" w:sz="4" w:space="0" w:color="auto"/>
              <w:right w:val="single" w:sz="4" w:space="0" w:color="auto"/>
            </w:tcBorders>
            <w:shd w:val="clear" w:color="auto" w:fill="auto"/>
            <w:noWrap/>
            <w:vAlign w:val="center"/>
            <w:hideMark/>
          </w:tcPr>
          <w:p w14:paraId="51AFDBC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403</w:t>
            </w:r>
          </w:p>
        </w:tc>
        <w:tc>
          <w:tcPr>
            <w:tcW w:w="429" w:type="dxa"/>
            <w:tcBorders>
              <w:top w:val="nil"/>
              <w:left w:val="nil"/>
              <w:bottom w:val="single" w:sz="4" w:space="0" w:color="auto"/>
              <w:right w:val="single" w:sz="4" w:space="0" w:color="auto"/>
            </w:tcBorders>
            <w:shd w:val="clear" w:color="auto" w:fill="auto"/>
            <w:noWrap/>
            <w:vAlign w:val="center"/>
            <w:hideMark/>
          </w:tcPr>
          <w:p w14:paraId="628FBA4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409</w:t>
            </w:r>
          </w:p>
        </w:tc>
        <w:tc>
          <w:tcPr>
            <w:tcW w:w="429" w:type="dxa"/>
            <w:tcBorders>
              <w:top w:val="nil"/>
              <w:left w:val="nil"/>
              <w:bottom w:val="single" w:sz="4" w:space="0" w:color="auto"/>
              <w:right w:val="single" w:sz="4" w:space="0" w:color="auto"/>
            </w:tcBorders>
            <w:shd w:val="clear" w:color="auto" w:fill="auto"/>
            <w:noWrap/>
            <w:vAlign w:val="center"/>
            <w:hideMark/>
          </w:tcPr>
          <w:p w14:paraId="3EEA5D8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414</w:t>
            </w:r>
          </w:p>
        </w:tc>
        <w:tc>
          <w:tcPr>
            <w:tcW w:w="429" w:type="dxa"/>
            <w:tcBorders>
              <w:top w:val="nil"/>
              <w:left w:val="nil"/>
              <w:bottom w:val="single" w:sz="4" w:space="0" w:color="auto"/>
              <w:right w:val="single" w:sz="4" w:space="0" w:color="auto"/>
            </w:tcBorders>
            <w:shd w:val="clear" w:color="auto" w:fill="auto"/>
            <w:noWrap/>
            <w:vAlign w:val="center"/>
            <w:hideMark/>
          </w:tcPr>
          <w:p w14:paraId="4014050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419</w:t>
            </w:r>
          </w:p>
        </w:tc>
        <w:tc>
          <w:tcPr>
            <w:tcW w:w="429" w:type="dxa"/>
            <w:tcBorders>
              <w:top w:val="nil"/>
              <w:left w:val="nil"/>
              <w:bottom w:val="single" w:sz="4" w:space="0" w:color="auto"/>
              <w:right w:val="single" w:sz="4" w:space="0" w:color="auto"/>
            </w:tcBorders>
            <w:shd w:val="clear" w:color="auto" w:fill="auto"/>
            <w:noWrap/>
            <w:vAlign w:val="center"/>
            <w:hideMark/>
          </w:tcPr>
          <w:p w14:paraId="5B119B5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424</w:t>
            </w:r>
          </w:p>
        </w:tc>
        <w:tc>
          <w:tcPr>
            <w:tcW w:w="429" w:type="dxa"/>
            <w:tcBorders>
              <w:top w:val="nil"/>
              <w:left w:val="nil"/>
              <w:bottom w:val="single" w:sz="4" w:space="0" w:color="auto"/>
              <w:right w:val="single" w:sz="4" w:space="0" w:color="auto"/>
            </w:tcBorders>
            <w:shd w:val="clear" w:color="auto" w:fill="auto"/>
            <w:noWrap/>
            <w:vAlign w:val="center"/>
            <w:hideMark/>
          </w:tcPr>
          <w:p w14:paraId="4D81ECA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429</w:t>
            </w:r>
          </w:p>
        </w:tc>
        <w:tc>
          <w:tcPr>
            <w:tcW w:w="429" w:type="dxa"/>
            <w:tcBorders>
              <w:top w:val="nil"/>
              <w:left w:val="nil"/>
              <w:bottom w:val="single" w:sz="4" w:space="0" w:color="auto"/>
              <w:right w:val="single" w:sz="4" w:space="0" w:color="auto"/>
            </w:tcBorders>
            <w:shd w:val="clear" w:color="auto" w:fill="auto"/>
            <w:noWrap/>
            <w:vAlign w:val="center"/>
            <w:hideMark/>
          </w:tcPr>
          <w:p w14:paraId="0C602FB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434</w:t>
            </w:r>
          </w:p>
        </w:tc>
      </w:tr>
      <w:tr w:rsidR="00F75183" w:rsidRPr="00B85017" w14:paraId="776B2F15"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38D8CFB4"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70A4F3B8"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330</w:t>
            </w:r>
          </w:p>
        </w:tc>
        <w:tc>
          <w:tcPr>
            <w:tcW w:w="429" w:type="dxa"/>
            <w:tcBorders>
              <w:top w:val="nil"/>
              <w:left w:val="nil"/>
              <w:bottom w:val="single" w:sz="4" w:space="0" w:color="auto"/>
              <w:right w:val="single" w:sz="4" w:space="0" w:color="auto"/>
            </w:tcBorders>
            <w:shd w:val="clear" w:color="auto" w:fill="auto"/>
            <w:noWrap/>
            <w:vAlign w:val="center"/>
            <w:hideMark/>
          </w:tcPr>
          <w:p w14:paraId="0326D70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300</w:t>
            </w:r>
          </w:p>
        </w:tc>
        <w:tc>
          <w:tcPr>
            <w:tcW w:w="429" w:type="dxa"/>
            <w:tcBorders>
              <w:top w:val="nil"/>
              <w:left w:val="nil"/>
              <w:bottom w:val="single" w:sz="4" w:space="0" w:color="auto"/>
              <w:right w:val="single" w:sz="4" w:space="0" w:color="auto"/>
            </w:tcBorders>
            <w:shd w:val="clear" w:color="auto" w:fill="auto"/>
            <w:noWrap/>
            <w:vAlign w:val="center"/>
            <w:hideMark/>
          </w:tcPr>
          <w:p w14:paraId="0414D54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311</w:t>
            </w:r>
          </w:p>
        </w:tc>
        <w:tc>
          <w:tcPr>
            <w:tcW w:w="429" w:type="dxa"/>
            <w:tcBorders>
              <w:top w:val="nil"/>
              <w:left w:val="nil"/>
              <w:bottom w:val="single" w:sz="4" w:space="0" w:color="auto"/>
              <w:right w:val="single" w:sz="4" w:space="0" w:color="auto"/>
            </w:tcBorders>
            <w:shd w:val="clear" w:color="auto" w:fill="auto"/>
            <w:noWrap/>
            <w:vAlign w:val="center"/>
            <w:hideMark/>
          </w:tcPr>
          <w:p w14:paraId="2E46F08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321</w:t>
            </w:r>
          </w:p>
        </w:tc>
        <w:tc>
          <w:tcPr>
            <w:tcW w:w="429" w:type="dxa"/>
            <w:tcBorders>
              <w:top w:val="nil"/>
              <w:left w:val="nil"/>
              <w:bottom w:val="single" w:sz="4" w:space="0" w:color="auto"/>
              <w:right w:val="single" w:sz="4" w:space="0" w:color="auto"/>
            </w:tcBorders>
            <w:shd w:val="clear" w:color="auto" w:fill="auto"/>
            <w:noWrap/>
            <w:vAlign w:val="center"/>
            <w:hideMark/>
          </w:tcPr>
          <w:p w14:paraId="7286D69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330</w:t>
            </w:r>
          </w:p>
        </w:tc>
        <w:tc>
          <w:tcPr>
            <w:tcW w:w="429" w:type="dxa"/>
            <w:tcBorders>
              <w:top w:val="nil"/>
              <w:left w:val="nil"/>
              <w:bottom w:val="single" w:sz="4" w:space="0" w:color="auto"/>
              <w:right w:val="single" w:sz="4" w:space="0" w:color="auto"/>
            </w:tcBorders>
            <w:shd w:val="clear" w:color="auto" w:fill="auto"/>
            <w:noWrap/>
            <w:vAlign w:val="center"/>
            <w:hideMark/>
          </w:tcPr>
          <w:p w14:paraId="39E3EC4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339</w:t>
            </w:r>
          </w:p>
        </w:tc>
        <w:tc>
          <w:tcPr>
            <w:tcW w:w="429" w:type="dxa"/>
            <w:tcBorders>
              <w:top w:val="nil"/>
              <w:left w:val="nil"/>
              <w:bottom w:val="single" w:sz="4" w:space="0" w:color="auto"/>
              <w:right w:val="single" w:sz="4" w:space="0" w:color="auto"/>
            </w:tcBorders>
            <w:shd w:val="clear" w:color="auto" w:fill="auto"/>
            <w:noWrap/>
            <w:vAlign w:val="center"/>
            <w:hideMark/>
          </w:tcPr>
          <w:p w14:paraId="77EB907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347</w:t>
            </w:r>
          </w:p>
        </w:tc>
        <w:tc>
          <w:tcPr>
            <w:tcW w:w="429" w:type="dxa"/>
            <w:tcBorders>
              <w:top w:val="nil"/>
              <w:left w:val="nil"/>
              <w:bottom w:val="single" w:sz="4" w:space="0" w:color="auto"/>
              <w:right w:val="single" w:sz="4" w:space="0" w:color="auto"/>
            </w:tcBorders>
            <w:shd w:val="clear" w:color="auto" w:fill="auto"/>
            <w:noWrap/>
            <w:vAlign w:val="center"/>
            <w:hideMark/>
          </w:tcPr>
          <w:p w14:paraId="2311318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355</w:t>
            </w:r>
          </w:p>
        </w:tc>
        <w:tc>
          <w:tcPr>
            <w:tcW w:w="429" w:type="dxa"/>
            <w:tcBorders>
              <w:top w:val="nil"/>
              <w:left w:val="nil"/>
              <w:bottom w:val="single" w:sz="4" w:space="0" w:color="auto"/>
              <w:right w:val="single" w:sz="4" w:space="0" w:color="auto"/>
            </w:tcBorders>
            <w:shd w:val="clear" w:color="auto" w:fill="auto"/>
            <w:noWrap/>
            <w:vAlign w:val="center"/>
            <w:hideMark/>
          </w:tcPr>
          <w:p w14:paraId="65A669F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363</w:t>
            </w:r>
          </w:p>
        </w:tc>
        <w:tc>
          <w:tcPr>
            <w:tcW w:w="429" w:type="dxa"/>
            <w:tcBorders>
              <w:top w:val="nil"/>
              <w:left w:val="nil"/>
              <w:bottom w:val="single" w:sz="4" w:space="0" w:color="auto"/>
              <w:right w:val="single" w:sz="4" w:space="0" w:color="auto"/>
            </w:tcBorders>
            <w:shd w:val="clear" w:color="auto" w:fill="auto"/>
            <w:noWrap/>
            <w:vAlign w:val="center"/>
            <w:hideMark/>
          </w:tcPr>
          <w:p w14:paraId="3C3B81E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371</w:t>
            </w:r>
          </w:p>
        </w:tc>
        <w:tc>
          <w:tcPr>
            <w:tcW w:w="429" w:type="dxa"/>
            <w:tcBorders>
              <w:top w:val="nil"/>
              <w:left w:val="nil"/>
              <w:bottom w:val="single" w:sz="4" w:space="0" w:color="auto"/>
              <w:right w:val="single" w:sz="4" w:space="0" w:color="auto"/>
            </w:tcBorders>
            <w:shd w:val="clear" w:color="auto" w:fill="auto"/>
            <w:noWrap/>
            <w:vAlign w:val="center"/>
            <w:hideMark/>
          </w:tcPr>
          <w:p w14:paraId="51F3EAC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378</w:t>
            </w:r>
          </w:p>
        </w:tc>
        <w:tc>
          <w:tcPr>
            <w:tcW w:w="429" w:type="dxa"/>
            <w:tcBorders>
              <w:top w:val="nil"/>
              <w:left w:val="nil"/>
              <w:bottom w:val="single" w:sz="4" w:space="0" w:color="auto"/>
              <w:right w:val="single" w:sz="4" w:space="0" w:color="auto"/>
            </w:tcBorders>
            <w:shd w:val="clear" w:color="auto" w:fill="auto"/>
            <w:noWrap/>
            <w:vAlign w:val="center"/>
            <w:hideMark/>
          </w:tcPr>
          <w:p w14:paraId="1582253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385</w:t>
            </w:r>
          </w:p>
        </w:tc>
        <w:tc>
          <w:tcPr>
            <w:tcW w:w="429" w:type="dxa"/>
            <w:tcBorders>
              <w:top w:val="nil"/>
              <w:left w:val="nil"/>
              <w:bottom w:val="single" w:sz="4" w:space="0" w:color="auto"/>
              <w:right w:val="single" w:sz="4" w:space="0" w:color="auto"/>
            </w:tcBorders>
            <w:shd w:val="clear" w:color="auto" w:fill="auto"/>
            <w:noWrap/>
            <w:vAlign w:val="center"/>
            <w:hideMark/>
          </w:tcPr>
          <w:p w14:paraId="3CDB6C4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391</w:t>
            </w:r>
          </w:p>
        </w:tc>
        <w:tc>
          <w:tcPr>
            <w:tcW w:w="429" w:type="dxa"/>
            <w:tcBorders>
              <w:top w:val="nil"/>
              <w:left w:val="nil"/>
              <w:bottom w:val="single" w:sz="4" w:space="0" w:color="auto"/>
              <w:right w:val="single" w:sz="4" w:space="0" w:color="auto"/>
            </w:tcBorders>
            <w:shd w:val="clear" w:color="auto" w:fill="auto"/>
            <w:noWrap/>
            <w:vAlign w:val="center"/>
            <w:hideMark/>
          </w:tcPr>
          <w:p w14:paraId="48D6A95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398</w:t>
            </w:r>
          </w:p>
        </w:tc>
        <w:tc>
          <w:tcPr>
            <w:tcW w:w="429" w:type="dxa"/>
            <w:tcBorders>
              <w:top w:val="nil"/>
              <w:left w:val="nil"/>
              <w:bottom w:val="single" w:sz="4" w:space="0" w:color="auto"/>
              <w:right w:val="single" w:sz="4" w:space="0" w:color="auto"/>
            </w:tcBorders>
            <w:shd w:val="clear" w:color="auto" w:fill="auto"/>
            <w:noWrap/>
            <w:vAlign w:val="center"/>
            <w:hideMark/>
          </w:tcPr>
          <w:p w14:paraId="6E2ACFC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404</w:t>
            </w:r>
          </w:p>
        </w:tc>
        <w:tc>
          <w:tcPr>
            <w:tcW w:w="429" w:type="dxa"/>
            <w:tcBorders>
              <w:top w:val="nil"/>
              <w:left w:val="nil"/>
              <w:bottom w:val="single" w:sz="4" w:space="0" w:color="auto"/>
              <w:right w:val="single" w:sz="4" w:space="0" w:color="auto"/>
            </w:tcBorders>
            <w:shd w:val="clear" w:color="auto" w:fill="auto"/>
            <w:noWrap/>
            <w:vAlign w:val="center"/>
            <w:hideMark/>
          </w:tcPr>
          <w:p w14:paraId="7B731F4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410</w:t>
            </w:r>
          </w:p>
        </w:tc>
        <w:tc>
          <w:tcPr>
            <w:tcW w:w="429" w:type="dxa"/>
            <w:tcBorders>
              <w:top w:val="nil"/>
              <w:left w:val="nil"/>
              <w:bottom w:val="single" w:sz="4" w:space="0" w:color="auto"/>
              <w:right w:val="single" w:sz="4" w:space="0" w:color="auto"/>
            </w:tcBorders>
            <w:shd w:val="clear" w:color="auto" w:fill="auto"/>
            <w:noWrap/>
            <w:vAlign w:val="center"/>
            <w:hideMark/>
          </w:tcPr>
          <w:p w14:paraId="0A84A46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416</w:t>
            </w:r>
          </w:p>
        </w:tc>
        <w:tc>
          <w:tcPr>
            <w:tcW w:w="429" w:type="dxa"/>
            <w:tcBorders>
              <w:top w:val="nil"/>
              <w:left w:val="nil"/>
              <w:bottom w:val="single" w:sz="4" w:space="0" w:color="auto"/>
              <w:right w:val="single" w:sz="4" w:space="0" w:color="auto"/>
            </w:tcBorders>
            <w:shd w:val="clear" w:color="auto" w:fill="auto"/>
            <w:noWrap/>
            <w:vAlign w:val="center"/>
            <w:hideMark/>
          </w:tcPr>
          <w:p w14:paraId="1DA44F7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421</w:t>
            </w:r>
          </w:p>
        </w:tc>
        <w:tc>
          <w:tcPr>
            <w:tcW w:w="429" w:type="dxa"/>
            <w:tcBorders>
              <w:top w:val="nil"/>
              <w:left w:val="nil"/>
              <w:bottom w:val="single" w:sz="4" w:space="0" w:color="auto"/>
              <w:right w:val="single" w:sz="4" w:space="0" w:color="auto"/>
            </w:tcBorders>
            <w:shd w:val="clear" w:color="auto" w:fill="auto"/>
            <w:noWrap/>
            <w:vAlign w:val="center"/>
            <w:hideMark/>
          </w:tcPr>
          <w:p w14:paraId="4388B98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427</w:t>
            </w:r>
          </w:p>
        </w:tc>
        <w:tc>
          <w:tcPr>
            <w:tcW w:w="429" w:type="dxa"/>
            <w:tcBorders>
              <w:top w:val="nil"/>
              <w:left w:val="nil"/>
              <w:bottom w:val="single" w:sz="4" w:space="0" w:color="auto"/>
              <w:right w:val="single" w:sz="4" w:space="0" w:color="auto"/>
            </w:tcBorders>
            <w:shd w:val="clear" w:color="auto" w:fill="auto"/>
            <w:noWrap/>
            <w:vAlign w:val="center"/>
            <w:hideMark/>
          </w:tcPr>
          <w:p w14:paraId="6F43611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432</w:t>
            </w:r>
          </w:p>
        </w:tc>
        <w:tc>
          <w:tcPr>
            <w:tcW w:w="429" w:type="dxa"/>
            <w:tcBorders>
              <w:top w:val="nil"/>
              <w:left w:val="nil"/>
              <w:bottom w:val="single" w:sz="4" w:space="0" w:color="auto"/>
              <w:right w:val="single" w:sz="4" w:space="0" w:color="auto"/>
            </w:tcBorders>
            <w:shd w:val="clear" w:color="auto" w:fill="auto"/>
            <w:noWrap/>
            <w:vAlign w:val="center"/>
            <w:hideMark/>
          </w:tcPr>
          <w:p w14:paraId="06EF92E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438</w:t>
            </w:r>
          </w:p>
        </w:tc>
        <w:tc>
          <w:tcPr>
            <w:tcW w:w="429" w:type="dxa"/>
            <w:tcBorders>
              <w:top w:val="nil"/>
              <w:left w:val="nil"/>
              <w:bottom w:val="single" w:sz="4" w:space="0" w:color="auto"/>
              <w:right w:val="single" w:sz="4" w:space="0" w:color="auto"/>
            </w:tcBorders>
            <w:shd w:val="clear" w:color="auto" w:fill="auto"/>
            <w:noWrap/>
            <w:vAlign w:val="center"/>
            <w:hideMark/>
          </w:tcPr>
          <w:p w14:paraId="2FE39DE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443</w:t>
            </w:r>
          </w:p>
        </w:tc>
        <w:tc>
          <w:tcPr>
            <w:tcW w:w="429" w:type="dxa"/>
            <w:tcBorders>
              <w:top w:val="nil"/>
              <w:left w:val="nil"/>
              <w:bottom w:val="single" w:sz="4" w:space="0" w:color="auto"/>
              <w:right w:val="single" w:sz="4" w:space="0" w:color="auto"/>
            </w:tcBorders>
            <w:shd w:val="clear" w:color="auto" w:fill="auto"/>
            <w:noWrap/>
            <w:vAlign w:val="center"/>
            <w:hideMark/>
          </w:tcPr>
          <w:p w14:paraId="4A2E908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448</w:t>
            </w:r>
          </w:p>
        </w:tc>
      </w:tr>
      <w:tr w:rsidR="00F75183" w:rsidRPr="00B85017" w14:paraId="28E90345"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65FA20A1"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47C29ED3"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340</w:t>
            </w:r>
          </w:p>
        </w:tc>
        <w:tc>
          <w:tcPr>
            <w:tcW w:w="429" w:type="dxa"/>
            <w:tcBorders>
              <w:top w:val="nil"/>
              <w:left w:val="nil"/>
              <w:bottom w:val="single" w:sz="4" w:space="0" w:color="auto"/>
              <w:right w:val="single" w:sz="4" w:space="0" w:color="auto"/>
            </w:tcBorders>
            <w:shd w:val="clear" w:color="auto" w:fill="auto"/>
            <w:noWrap/>
            <w:vAlign w:val="center"/>
            <w:hideMark/>
          </w:tcPr>
          <w:p w14:paraId="1053D26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309</w:t>
            </w:r>
          </w:p>
        </w:tc>
        <w:tc>
          <w:tcPr>
            <w:tcW w:w="429" w:type="dxa"/>
            <w:tcBorders>
              <w:top w:val="nil"/>
              <w:left w:val="nil"/>
              <w:bottom w:val="single" w:sz="4" w:space="0" w:color="auto"/>
              <w:right w:val="single" w:sz="4" w:space="0" w:color="auto"/>
            </w:tcBorders>
            <w:shd w:val="clear" w:color="auto" w:fill="auto"/>
            <w:noWrap/>
            <w:vAlign w:val="center"/>
            <w:hideMark/>
          </w:tcPr>
          <w:p w14:paraId="7ABC8E4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320</w:t>
            </w:r>
          </w:p>
        </w:tc>
        <w:tc>
          <w:tcPr>
            <w:tcW w:w="429" w:type="dxa"/>
            <w:tcBorders>
              <w:top w:val="nil"/>
              <w:left w:val="nil"/>
              <w:bottom w:val="single" w:sz="4" w:space="0" w:color="auto"/>
              <w:right w:val="single" w:sz="4" w:space="0" w:color="auto"/>
            </w:tcBorders>
            <w:shd w:val="clear" w:color="auto" w:fill="auto"/>
            <w:noWrap/>
            <w:vAlign w:val="center"/>
            <w:hideMark/>
          </w:tcPr>
          <w:p w14:paraId="2EAAAB6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330</w:t>
            </w:r>
          </w:p>
        </w:tc>
        <w:tc>
          <w:tcPr>
            <w:tcW w:w="429" w:type="dxa"/>
            <w:tcBorders>
              <w:top w:val="nil"/>
              <w:left w:val="nil"/>
              <w:bottom w:val="single" w:sz="4" w:space="0" w:color="auto"/>
              <w:right w:val="single" w:sz="4" w:space="0" w:color="auto"/>
            </w:tcBorders>
            <w:shd w:val="clear" w:color="auto" w:fill="auto"/>
            <w:noWrap/>
            <w:vAlign w:val="center"/>
            <w:hideMark/>
          </w:tcPr>
          <w:p w14:paraId="647E936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340</w:t>
            </w:r>
          </w:p>
        </w:tc>
        <w:tc>
          <w:tcPr>
            <w:tcW w:w="429" w:type="dxa"/>
            <w:tcBorders>
              <w:top w:val="nil"/>
              <w:left w:val="nil"/>
              <w:bottom w:val="single" w:sz="4" w:space="0" w:color="auto"/>
              <w:right w:val="single" w:sz="4" w:space="0" w:color="auto"/>
            </w:tcBorders>
            <w:shd w:val="clear" w:color="auto" w:fill="auto"/>
            <w:noWrap/>
            <w:vAlign w:val="center"/>
            <w:hideMark/>
          </w:tcPr>
          <w:p w14:paraId="66EA332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349</w:t>
            </w:r>
          </w:p>
        </w:tc>
        <w:tc>
          <w:tcPr>
            <w:tcW w:w="429" w:type="dxa"/>
            <w:tcBorders>
              <w:top w:val="nil"/>
              <w:left w:val="nil"/>
              <w:bottom w:val="single" w:sz="4" w:space="0" w:color="auto"/>
              <w:right w:val="single" w:sz="4" w:space="0" w:color="auto"/>
            </w:tcBorders>
            <w:shd w:val="clear" w:color="auto" w:fill="auto"/>
            <w:noWrap/>
            <w:vAlign w:val="center"/>
            <w:hideMark/>
          </w:tcPr>
          <w:p w14:paraId="41B963B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358</w:t>
            </w:r>
          </w:p>
        </w:tc>
        <w:tc>
          <w:tcPr>
            <w:tcW w:w="429" w:type="dxa"/>
            <w:tcBorders>
              <w:top w:val="nil"/>
              <w:left w:val="nil"/>
              <w:bottom w:val="single" w:sz="4" w:space="0" w:color="auto"/>
              <w:right w:val="single" w:sz="4" w:space="0" w:color="auto"/>
            </w:tcBorders>
            <w:shd w:val="clear" w:color="auto" w:fill="auto"/>
            <w:noWrap/>
            <w:vAlign w:val="center"/>
            <w:hideMark/>
          </w:tcPr>
          <w:p w14:paraId="003349B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366</w:t>
            </w:r>
          </w:p>
        </w:tc>
        <w:tc>
          <w:tcPr>
            <w:tcW w:w="429" w:type="dxa"/>
            <w:tcBorders>
              <w:top w:val="nil"/>
              <w:left w:val="nil"/>
              <w:bottom w:val="single" w:sz="4" w:space="0" w:color="auto"/>
              <w:right w:val="single" w:sz="4" w:space="0" w:color="auto"/>
            </w:tcBorders>
            <w:shd w:val="clear" w:color="auto" w:fill="auto"/>
            <w:noWrap/>
            <w:vAlign w:val="center"/>
            <w:hideMark/>
          </w:tcPr>
          <w:p w14:paraId="4A9E8F1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374</w:t>
            </w:r>
          </w:p>
        </w:tc>
        <w:tc>
          <w:tcPr>
            <w:tcW w:w="429" w:type="dxa"/>
            <w:tcBorders>
              <w:top w:val="nil"/>
              <w:left w:val="nil"/>
              <w:bottom w:val="single" w:sz="4" w:space="0" w:color="auto"/>
              <w:right w:val="single" w:sz="4" w:space="0" w:color="auto"/>
            </w:tcBorders>
            <w:shd w:val="clear" w:color="auto" w:fill="auto"/>
            <w:noWrap/>
            <w:vAlign w:val="center"/>
            <w:hideMark/>
          </w:tcPr>
          <w:p w14:paraId="3FE57C3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382</w:t>
            </w:r>
          </w:p>
        </w:tc>
        <w:tc>
          <w:tcPr>
            <w:tcW w:w="429" w:type="dxa"/>
            <w:tcBorders>
              <w:top w:val="nil"/>
              <w:left w:val="nil"/>
              <w:bottom w:val="single" w:sz="4" w:space="0" w:color="auto"/>
              <w:right w:val="single" w:sz="4" w:space="0" w:color="auto"/>
            </w:tcBorders>
            <w:shd w:val="clear" w:color="auto" w:fill="auto"/>
            <w:noWrap/>
            <w:vAlign w:val="center"/>
            <w:hideMark/>
          </w:tcPr>
          <w:p w14:paraId="61DB3E0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389</w:t>
            </w:r>
          </w:p>
        </w:tc>
        <w:tc>
          <w:tcPr>
            <w:tcW w:w="429" w:type="dxa"/>
            <w:tcBorders>
              <w:top w:val="nil"/>
              <w:left w:val="nil"/>
              <w:bottom w:val="single" w:sz="4" w:space="0" w:color="auto"/>
              <w:right w:val="single" w:sz="4" w:space="0" w:color="auto"/>
            </w:tcBorders>
            <w:shd w:val="clear" w:color="auto" w:fill="auto"/>
            <w:noWrap/>
            <w:vAlign w:val="center"/>
            <w:hideMark/>
          </w:tcPr>
          <w:p w14:paraId="32E813B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396</w:t>
            </w:r>
          </w:p>
        </w:tc>
        <w:tc>
          <w:tcPr>
            <w:tcW w:w="429" w:type="dxa"/>
            <w:tcBorders>
              <w:top w:val="nil"/>
              <w:left w:val="nil"/>
              <w:bottom w:val="single" w:sz="4" w:space="0" w:color="auto"/>
              <w:right w:val="single" w:sz="4" w:space="0" w:color="auto"/>
            </w:tcBorders>
            <w:shd w:val="clear" w:color="auto" w:fill="auto"/>
            <w:noWrap/>
            <w:vAlign w:val="center"/>
            <w:hideMark/>
          </w:tcPr>
          <w:p w14:paraId="0C487C7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403</w:t>
            </w:r>
          </w:p>
        </w:tc>
        <w:tc>
          <w:tcPr>
            <w:tcW w:w="429" w:type="dxa"/>
            <w:tcBorders>
              <w:top w:val="nil"/>
              <w:left w:val="nil"/>
              <w:bottom w:val="single" w:sz="4" w:space="0" w:color="auto"/>
              <w:right w:val="single" w:sz="4" w:space="0" w:color="auto"/>
            </w:tcBorders>
            <w:shd w:val="clear" w:color="auto" w:fill="auto"/>
            <w:noWrap/>
            <w:vAlign w:val="center"/>
            <w:hideMark/>
          </w:tcPr>
          <w:p w14:paraId="53DCA5A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410</w:t>
            </w:r>
          </w:p>
        </w:tc>
        <w:tc>
          <w:tcPr>
            <w:tcW w:w="429" w:type="dxa"/>
            <w:tcBorders>
              <w:top w:val="nil"/>
              <w:left w:val="nil"/>
              <w:bottom w:val="single" w:sz="4" w:space="0" w:color="auto"/>
              <w:right w:val="single" w:sz="4" w:space="0" w:color="auto"/>
            </w:tcBorders>
            <w:shd w:val="clear" w:color="auto" w:fill="auto"/>
            <w:noWrap/>
            <w:vAlign w:val="center"/>
            <w:hideMark/>
          </w:tcPr>
          <w:p w14:paraId="52CC7E4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416</w:t>
            </w:r>
          </w:p>
        </w:tc>
        <w:tc>
          <w:tcPr>
            <w:tcW w:w="429" w:type="dxa"/>
            <w:tcBorders>
              <w:top w:val="nil"/>
              <w:left w:val="nil"/>
              <w:bottom w:val="single" w:sz="4" w:space="0" w:color="auto"/>
              <w:right w:val="single" w:sz="4" w:space="0" w:color="auto"/>
            </w:tcBorders>
            <w:shd w:val="clear" w:color="auto" w:fill="auto"/>
            <w:noWrap/>
            <w:vAlign w:val="center"/>
            <w:hideMark/>
          </w:tcPr>
          <w:p w14:paraId="0A15CFA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422</w:t>
            </w:r>
          </w:p>
        </w:tc>
        <w:tc>
          <w:tcPr>
            <w:tcW w:w="429" w:type="dxa"/>
            <w:tcBorders>
              <w:top w:val="nil"/>
              <w:left w:val="nil"/>
              <w:bottom w:val="single" w:sz="4" w:space="0" w:color="auto"/>
              <w:right w:val="single" w:sz="4" w:space="0" w:color="auto"/>
            </w:tcBorders>
            <w:shd w:val="clear" w:color="auto" w:fill="auto"/>
            <w:noWrap/>
            <w:vAlign w:val="center"/>
            <w:hideMark/>
          </w:tcPr>
          <w:p w14:paraId="01CCDDD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428</w:t>
            </w:r>
          </w:p>
        </w:tc>
        <w:tc>
          <w:tcPr>
            <w:tcW w:w="429" w:type="dxa"/>
            <w:tcBorders>
              <w:top w:val="nil"/>
              <w:left w:val="nil"/>
              <w:bottom w:val="single" w:sz="4" w:space="0" w:color="auto"/>
              <w:right w:val="single" w:sz="4" w:space="0" w:color="auto"/>
            </w:tcBorders>
            <w:shd w:val="clear" w:color="auto" w:fill="auto"/>
            <w:noWrap/>
            <w:vAlign w:val="center"/>
            <w:hideMark/>
          </w:tcPr>
          <w:p w14:paraId="2B6656B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434</w:t>
            </w:r>
          </w:p>
        </w:tc>
        <w:tc>
          <w:tcPr>
            <w:tcW w:w="429" w:type="dxa"/>
            <w:tcBorders>
              <w:top w:val="nil"/>
              <w:left w:val="nil"/>
              <w:bottom w:val="single" w:sz="4" w:space="0" w:color="auto"/>
              <w:right w:val="single" w:sz="4" w:space="0" w:color="auto"/>
            </w:tcBorders>
            <w:shd w:val="clear" w:color="auto" w:fill="auto"/>
            <w:noWrap/>
            <w:vAlign w:val="center"/>
            <w:hideMark/>
          </w:tcPr>
          <w:p w14:paraId="1019A8B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440</w:t>
            </w:r>
          </w:p>
        </w:tc>
        <w:tc>
          <w:tcPr>
            <w:tcW w:w="429" w:type="dxa"/>
            <w:tcBorders>
              <w:top w:val="nil"/>
              <w:left w:val="nil"/>
              <w:bottom w:val="single" w:sz="4" w:space="0" w:color="auto"/>
              <w:right w:val="single" w:sz="4" w:space="0" w:color="auto"/>
            </w:tcBorders>
            <w:shd w:val="clear" w:color="auto" w:fill="auto"/>
            <w:noWrap/>
            <w:vAlign w:val="center"/>
            <w:hideMark/>
          </w:tcPr>
          <w:p w14:paraId="436B279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446</w:t>
            </w:r>
          </w:p>
        </w:tc>
        <w:tc>
          <w:tcPr>
            <w:tcW w:w="429" w:type="dxa"/>
            <w:tcBorders>
              <w:top w:val="nil"/>
              <w:left w:val="nil"/>
              <w:bottom w:val="single" w:sz="4" w:space="0" w:color="auto"/>
              <w:right w:val="single" w:sz="4" w:space="0" w:color="auto"/>
            </w:tcBorders>
            <w:shd w:val="clear" w:color="auto" w:fill="auto"/>
            <w:noWrap/>
            <w:vAlign w:val="center"/>
            <w:hideMark/>
          </w:tcPr>
          <w:p w14:paraId="00DB7A6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451</w:t>
            </w:r>
          </w:p>
        </w:tc>
        <w:tc>
          <w:tcPr>
            <w:tcW w:w="429" w:type="dxa"/>
            <w:tcBorders>
              <w:top w:val="nil"/>
              <w:left w:val="nil"/>
              <w:bottom w:val="single" w:sz="4" w:space="0" w:color="auto"/>
              <w:right w:val="single" w:sz="4" w:space="0" w:color="auto"/>
            </w:tcBorders>
            <w:shd w:val="clear" w:color="auto" w:fill="auto"/>
            <w:noWrap/>
            <w:vAlign w:val="center"/>
            <w:hideMark/>
          </w:tcPr>
          <w:p w14:paraId="7EF4202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456</w:t>
            </w:r>
          </w:p>
        </w:tc>
        <w:tc>
          <w:tcPr>
            <w:tcW w:w="429" w:type="dxa"/>
            <w:tcBorders>
              <w:top w:val="nil"/>
              <w:left w:val="nil"/>
              <w:bottom w:val="single" w:sz="4" w:space="0" w:color="auto"/>
              <w:right w:val="single" w:sz="4" w:space="0" w:color="auto"/>
            </w:tcBorders>
            <w:shd w:val="clear" w:color="auto" w:fill="auto"/>
            <w:noWrap/>
            <w:vAlign w:val="center"/>
            <w:hideMark/>
          </w:tcPr>
          <w:p w14:paraId="76835F3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461</w:t>
            </w:r>
          </w:p>
        </w:tc>
      </w:tr>
      <w:tr w:rsidR="00F75183" w:rsidRPr="00B85017" w14:paraId="13573F9F"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0E2F47C2"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46E0A136"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350</w:t>
            </w:r>
          </w:p>
        </w:tc>
        <w:tc>
          <w:tcPr>
            <w:tcW w:w="429" w:type="dxa"/>
            <w:tcBorders>
              <w:top w:val="nil"/>
              <w:left w:val="nil"/>
              <w:bottom w:val="single" w:sz="4" w:space="0" w:color="auto"/>
              <w:right w:val="single" w:sz="4" w:space="0" w:color="auto"/>
            </w:tcBorders>
            <w:shd w:val="clear" w:color="auto" w:fill="auto"/>
            <w:noWrap/>
            <w:vAlign w:val="center"/>
            <w:hideMark/>
          </w:tcPr>
          <w:p w14:paraId="3295764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318</w:t>
            </w:r>
          </w:p>
        </w:tc>
        <w:tc>
          <w:tcPr>
            <w:tcW w:w="429" w:type="dxa"/>
            <w:tcBorders>
              <w:top w:val="nil"/>
              <w:left w:val="nil"/>
              <w:bottom w:val="single" w:sz="4" w:space="0" w:color="auto"/>
              <w:right w:val="single" w:sz="4" w:space="0" w:color="auto"/>
            </w:tcBorders>
            <w:shd w:val="clear" w:color="auto" w:fill="auto"/>
            <w:noWrap/>
            <w:vAlign w:val="center"/>
            <w:hideMark/>
          </w:tcPr>
          <w:p w14:paraId="2AE642B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329</w:t>
            </w:r>
          </w:p>
        </w:tc>
        <w:tc>
          <w:tcPr>
            <w:tcW w:w="429" w:type="dxa"/>
            <w:tcBorders>
              <w:top w:val="nil"/>
              <w:left w:val="nil"/>
              <w:bottom w:val="single" w:sz="4" w:space="0" w:color="auto"/>
              <w:right w:val="single" w:sz="4" w:space="0" w:color="auto"/>
            </w:tcBorders>
            <w:shd w:val="clear" w:color="auto" w:fill="auto"/>
            <w:noWrap/>
            <w:vAlign w:val="center"/>
            <w:hideMark/>
          </w:tcPr>
          <w:p w14:paraId="5E9AAC5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340</w:t>
            </w:r>
          </w:p>
        </w:tc>
        <w:tc>
          <w:tcPr>
            <w:tcW w:w="429" w:type="dxa"/>
            <w:tcBorders>
              <w:top w:val="nil"/>
              <w:left w:val="nil"/>
              <w:bottom w:val="single" w:sz="4" w:space="0" w:color="auto"/>
              <w:right w:val="single" w:sz="4" w:space="0" w:color="auto"/>
            </w:tcBorders>
            <w:shd w:val="clear" w:color="auto" w:fill="auto"/>
            <w:noWrap/>
            <w:vAlign w:val="center"/>
            <w:hideMark/>
          </w:tcPr>
          <w:p w14:paraId="6ED360F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350</w:t>
            </w:r>
          </w:p>
        </w:tc>
        <w:tc>
          <w:tcPr>
            <w:tcW w:w="429" w:type="dxa"/>
            <w:tcBorders>
              <w:top w:val="nil"/>
              <w:left w:val="nil"/>
              <w:bottom w:val="single" w:sz="4" w:space="0" w:color="auto"/>
              <w:right w:val="single" w:sz="4" w:space="0" w:color="auto"/>
            </w:tcBorders>
            <w:shd w:val="clear" w:color="auto" w:fill="auto"/>
            <w:noWrap/>
            <w:vAlign w:val="center"/>
            <w:hideMark/>
          </w:tcPr>
          <w:p w14:paraId="3E3C0D9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359</w:t>
            </w:r>
          </w:p>
        </w:tc>
        <w:tc>
          <w:tcPr>
            <w:tcW w:w="429" w:type="dxa"/>
            <w:tcBorders>
              <w:top w:val="nil"/>
              <w:left w:val="nil"/>
              <w:bottom w:val="single" w:sz="4" w:space="0" w:color="auto"/>
              <w:right w:val="single" w:sz="4" w:space="0" w:color="auto"/>
            </w:tcBorders>
            <w:shd w:val="clear" w:color="auto" w:fill="auto"/>
            <w:noWrap/>
            <w:vAlign w:val="center"/>
            <w:hideMark/>
          </w:tcPr>
          <w:p w14:paraId="20E251A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368</w:t>
            </w:r>
          </w:p>
        </w:tc>
        <w:tc>
          <w:tcPr>
            <w:tcW w:w="429" w:type="dxa"/>
            <w:tcBorders>
              <w:top w:val="nil"/>
              <w:left w:val="nil"/>
              <w:bottom w:val="single" w:sz="4" w:space="0" w:color="auto"/>
              <w:right w:val="single" w:sz="4" w:space="0" w:color="auto"/>
            </w:tcBorders>
            <w:shd w:val="clear" w:color="auto" w:fill="auto"/>
            <w:noWrap/>
            <w:vAlign w:val="center"/>
            <w:hideMark/>
          </w:tcPr>
          <w:p w14:paraId="2563D19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377</w:t>
            </w:r>
          </w:p>
        </w:tc>
        <w:tc>
          <w:tcPr>
            <w:tcW w:w="429" w:type="dxa"/>
            <w:tcBorders>
              <w:top w:val="nil"/>
              <w:left w:val="nil"/>
              <w:bottom w:val="single" w:sz="4" w:space="0" w:color="auto"/>
              <w:right w:val="single" w:sz="4" w:space="0" w:color="auto"/>
            </w:tcBorders>
            <w:shd w:val="clear" w:color="auto" w:fill="auto"/>
            <w:noWrap/>
            <w:vAlign w:val="center"/>
            <w:hideMark/>
          </w:tcPr>
          <w:p w14:paraId="016D01E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385</w:t>
            </w:r>
          </w:p>
        </w:tc>
        <w:tc>
          <w:tcPr>
            <w:tcW w:w="429" w:type="dxa"/>
            <w:tcBorders>
              <w:top w:val="nil"/>
              <w:left w:val="nil"/>
              <w:bottom w:val="single" w:sz="4" w:space="0" w:color="auto"/>
              <w:right w:val="single" w:sz="4" w:space="0" w:color="auto"/>
            </w:tcBorders>
            <w:shd w:val="clear" w:color="auto" w:fill="auto"/>
            <w:noWrap/>
            <w:vAlign w:val="center"/>
            <w:hideMark/>
          </w:tcPr>
          <w:p w14:paraId="4DEE9F2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393</w:t>
            </w:r>
          </w:p>
        </w:tc>
        <w:tc>
          <w:tcPr>
            <w:tcW w:w="429" w:type="dxa"/>
            <w:tcBorders>
              <w:top w:val="nil"/>
              <w:left w:val="nil"/>
              <w:bottom w:val="single" w:sz="4" w:space="0" w:color="auto"/>
              <w:right w:val="single" w:sz="4" w:space="0" w:color="auto"/>
            </w:tcBorders>
            <w:shd w:val="clear" w:color="auto" w:fill="auto"/>
            <w:noWrap/>
            <w:vAlign w:val="center"/>
            <w:hideMark/>
          </w:tcPr>
          <w:p w14:paraId="565DA49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401</w:t>
            </w:r>
          </w:p>
        </w:tc>
        <w:tc>
          <w:tcPr>
            <w:tcW w:w="429" w:type="dxa"/>
            <w:tcBorders>
              <w:top w:val="nil"/>
              <w:left w:val="nil"/>
              <w:bottom w:val="single" w:sz="4" w:space="0" w:color="auto"/>
              <w:right w:val="single" w:sz="4" w:space="0" w:color="auto"/>
            </w:tcBorders>
            <w:shd w:val="clear" w:color="auto" w:fill="auto"/>
            <w:noWrap/>
            <w:vAlign w:val="center"/>
            <w:hideMark/>
          </w:tcPr>
          <w:p w14:paraId="61811ED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408</w:t>
            </w:r>
          </w:p>
        </w:tc>
        <w:tc>
          <w:tcPr>
            <w:tcW w:w="429" w:type="dxa"/>
            <w:tcBorders>
              <w:top w:val="nil"/>
              <w:left w:val="nil"/>
              <w:bottom w:val="single" w:sz="4" w:space="0" w:color="auto"/>
              <w:right w:val="single" w:sz="4" w:space="0" w:color="auto"/>
            </w:tcBorders>
            <w:shd w:val="clear" w:color="auto" w:fill="auto"/>
            <w:noWrap/>
            <w:vAlign w:val="center"/>
            <w:hideMark/>
          </w:tcPr>
          <w:p w14:paraId="3188BEA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415</w:t>
            </w:r>
          </w:p>
        </w:tc>
        <w:tc>
          <w:tcPr>
            <w:tcW w:w="429" w:type="dxa"/>
            <w:tcBorders>
              <w:top w:val="nil"/>
              <w:left w:val="nil"/>
              <w:bottom w:val="single" w:sz="4" w:space="0" w:color="auto"/>
              <w:right w:val="single" w:sz="4" w:space="0" w:color="auto"/>
            </w:tcBorders>
            <w:shd w:val="clear" w:color="auto" w:fill="auto"/>
            <w:noWrap/>
            <w:vAlign w:val="center"/>
            <w:hideMark/>
          </w:tcPr>
          <w:p w14:paraId="6605D38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422</w:t>
            </w:r>
          </w:p>
        </w:tc>
        <w:tc>
          <w:tcPr>
            <w:tcW w:w="429" w:type="dxa"/>
            <w:tcBorders>
              <w:top w:val="nil"/>
              <w:left w:val="nil"/>
              <w:bottom w:val="single" w:sz="4" w:space="0" w:color="auto"/>
              <w:right w:val="single" w:sz="4" w:space="0" w:color="auto"/>
            </w:tcBorders>
            <w:shd w:val="clear" w:color="auto" w:fill="auto"/>
            <w:noWrap/>
            <w:vAlign w:val="center"/>
            <w:hideMark/>
          </w:tcPr>
          <w:p w14:paraId="0890758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428</w:t>
            </w:r>
          </w:p>
        </w:tc>
        <w:tc>
          <w:tcPr>
            <w:tcW w:w="429" w:type="dxa"/>
            <w:tcBorders>
              <w:top w:val="nil"/>
              <w:left w:val="nil"/>
              <w:bottom w:val="single" w:sz="4" w:space="0" w:color="auto"/>
              <w:right w:val="single" w:sz="4" w:space="0" w:color="auto"/>
            </w:tcBorders>
            <w:shd w:val="clear" w:color="auto" w:fill="auto"/>
            <w:noWrap/>
            <w:vAlign w:val="center"/>
            <w:hideMark/>
          </w:tcPr>
          <w:p w14:paraId="28F9783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435</w:t>
            </w:r>
          </w:p>
        </w:tc>
        <w:tc>
          <w:tcPr>
            <w:tcW w:w="429" w:type="dxa"/>
            <w:tcBorders>
              <w:top w:val="nil"/>
              <w:left w:val="nil"/>
              <w:bottom w:val="single" w:sz="4" w:space="0" w:color="auto"/>
              <w:right w:val="single" w:sz="4" w:space="0" w:color="auto"/>
            </w:tcBorders>
            <w:shd w:val="clear" w:color="auto" w:fill="auto"/>
            <w:noWrap/>
            <w:vAlign w:val="center"/>
            <w:hideMark/>
          </w:tcPr>
          <w:p w14:paraId="058583F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441</w:t>
            </w:r>
          </w:p>
        </w:tc>
        <w:tc>
          <w:tcPr>
            <w:tcW w:w="429" w:type="dxa"/>
            <w:tcBorders>
              <w:top w:val="nil"/>
              <w:left w:val="nil"/>
              <w:bottom w:val="single" w:sz="4" w:space="0" w:color="auto"/>
              <w:right w:val="single" w:sz="4" w:space="0" w:color="auto"/>
            </w:tcBorders>
            <w:shd w:val="clear" w:color="auto" w:fill="auto"/>
            <w:noWrap/>
            <w:vAlign w:val="center"/>
            <w:hideMark/>
          </w:tcPr>
          <w:p w14:paraId="6E25489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447</w:t>
            </w:r>
          </w:p>
        </w:tc>
        <w:tc>
          <w:tcPr>
            <w:tcW w:w="429" w:type="dxa"/>
            <w:tcBorders>
              <w:top w:val="nil"/>
              <w:left w:val="nil"/>
              <w:bottom w:val="single" w:sz="4" w:space="0" w:color="auto"/>
              <w:right w:val="single" w:sz="4" w:space="0" w:color="auto"/>
            </w:tcBorders>
            <w:shd w:val="clear" w:color="auto" w:fill="auto"/>
            <w:noWrap/>
            <w:vAlign w:val="center"/>
            <w:hideMark/>
          </w:tcPr>
          <w:p w14:paraId="275FA8B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453</w:t>
            </w:r>
          </w:p>
        </w:tc>
        <w:tc>
          <w:tcPr>
            <w:tcW w:w="429" w:type="dxa"/>
            <w:tcBorders>
              <w:top w:val="nil"/>
              <w:left w:val="nil"/>
              <w:bottom w:val="single" w:sz="4" w:space="0" w:color="auto"/>
              <w:right w:val="single" w:sz="4" w:space="0" w:color="auto"/>
            </w:tcBorders>
            <w:shd w:val="clear" w:color="auto" w:fill="auto"/>
            <w:noWrap/>
            <w:vAlign w:val="center"/>
            <w:hideMark/>
          </w:tcPr>
          <w:p w14:paraId="1BD8741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459</w:t>
            </w:r>
          </w:p>
        </w:tc>
        <w:tc>
          <w:tcPr>
            <w:tcW w:w="429" w:type="dxa"/>
            <w:tcBorders>
              <w:top w:val="nil"/>
              <w:left w:val="nil"/>
              <w:bottom w:val="single" w:sz="4" w:space="0" w:color="auto"/>
              <w:right w:val="single" w:sz="4" w:space="0" w:color="auto"/>
            </w:tcBorders>
            <w:shd w:val="clear" w:color="auto" w:fill="auto"/>
            <w:noWrap/>
            <w:vAlign w:val="center"/>
            <w:hideMark/>
          </w:tcPr>
          <w:p w14:paraId="59EA304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464</w:t>
            </w:r>
          </w:p>
        </w:tc>
        <w:tc>
          <w:tcPr>
            <w:tcW w:w="429" w:type="dxa"/>
            <w:tcBorders>
              <w:top w:val="nil"/>
              <w:left w:val="nil"/>
              <w:bottom w:val="single" w:sz="4" w:space="0" w:color="auto"/>
              <w:right w:val="single" w:sz="4" w:space="0" w:color="auto"/>
            </w:tcBorders>
            <w:shd w:val="clear" w:color="auto" w:fill="auto"/>
            <w:noWrap/>
            <w:vAlign w:val="center"/>
            <w:hideMark/>
          </w:tcPr>
          <w:p w14:paraId="084B0E2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470</w:t>
            </w:r>
          </w:p>
        </w:tc>
        <w:tc>
          <w:tcPr>
            <w:tcW w:w="429" w:type="dxa"/>
            <w:tcBorders>
              <w:top w:val="nil"/>
              <w:left w:val="nil"/>
              <w:bottom w:val="single" w:sz="4" w:space="0" w:color="auto"/>
              <w:right w:val="single" w:sz="4" w:space="0" w:color="auto"/>
            </w:tcBorders>
            <w:shd w:val="clear" w:color="auto" w:fill="auto"/>
            <w:noWrap/>
            <w:vAlign w:val="center"/>
            <w:hideMark/>
          </w:tcPr>
          <w:p w14:paraId="426AB96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475</w:t>
            </w:r>
          </w:p>
        </w:tc>
      </w:tr>
      <w:tr w:rsidR="00F75183" w:rsidRPr="00B85017" w14:paraId="48A52E8D"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153067C5"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7D099C19"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360</w:t>
            </w:r>
          </w:p>
        </w:tc>
        <w:tc>
          <w:tcPr>
            <w:tcW w:w="429" w:type="dxa"/>
            <w:tcBorders>
              <w:top w:val="nil"/>
              <w:left w:val="nil"/>
              <w:bottom w:val="single" w:sz="4" w:space="0" w:color="auto"/>
              <w:right w:val="single" w:sz="4" w:space="0" w:color="auto"/>
            </w:tcBorders>
            <w:shd w:val="clear" w:color="auto" w:fill="auto"/>
            <w:noWrap/>
            <w:vAlign w:val="center"/>
            <w:hideMark/>
          </w:tcPr>
          <w:p w14:paraId="74B6596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327</w:t>
            </w:r>
          </w:p>
        </w:tc>
        <w:tc>
          <w:tcPr>
            <w:tcW w:w="429" w:type="dxa"/>
            <w:tcBorders>
              <w:top w:val="nil"/>
              <w:left w:val="nil"/>
              <w:bottom w:val="single" w:sz="4" w:space="0" w:color="auto"/>
              <w:right w:val="single" w:sz="4" w:space="0" w:color="auto"/>
            </w:tcBorders>
            <w:shd w:val="clear" w:color="auto" w:fill="auto"/>
            <w:noWrap/>
            <w:vAlign w:val="center"/>
            <w:hideMark/>
          </w:tcPr>
          <w:p w14:paraId="128FA01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339</w:t>
            </w:r>
          </w:p>
        </w:tc>
        <w:tc>
          <w:tcPr>
            <w:tcW w:w="429" w:type="dxa"/>
            <w:tcBorders>
              <w:top w:val="nil"/>
              <w:left w:val="nil"/>
              <w:bottom w:val="single" w:sz="4" w:space="0" w:color="auto"/>
              <w:right w:val="single" w:sz="4" w:space="0" w:color="auto"/>
            </w:tcBorders>
            <w:shd w:val="clear" w:color="auto" w:fill="auto"/>
            <w:noWrap/>
            <w:vAlign w:val="center"/>
            <w:hideMark/>
          </w:tcPr>
          <w:p w14:paraId="2AFDD26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350</w:t>
            </w:r>
          </w:p>
        </w:tc>
        <w:tc>
          <w:tcPr>
            <w:tcW w:w="429" w:type="dxa"/>
            <w:tcBorders>
              <w:top w:val="nil"/>
              <w:left w:val="nil"/>
              <w:bottom w:val="single" w:sz="4" w:space="0" w:color="auto"/>
              <w:right w:val="single" w:sz="4" w:space="0" w:color="auto"/>
            </w:tcBorders>
            <w:shd w:val="clear" w:color="auto" w:fill="auto"/>
            <w:noWrap/>
            <w:vAlign w:val="center"/>
            <w:hideMark/>
          </w:tcPr>
          <w:p w14:paraId="667D5B6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360</w:t>
            </w:r>
          </w:p>
        </w:tc>
        <w:tc>
          <w:tcPr>
            <w:tcW w:w="429" w:type="dxa"/>
            <w:tcBorders>
              <w:top w:val="nil"/>
              <w:left w:val="nil"/>
              <w:bottom w:val="single" w:sz="4" w:space="0" w:color="auto"/>
              <w:right w:val="single" w:sz="4" w:space="0" w:color="auto"/>
            </w:tcBorders>
            <w:shd w:val="clear" w:color="auto" w:fill="auto"/>
            <w:noWrap/>
            <w:vAlign w:val="center"/>
            <w:hideMark/>
          </w:tcPr>
          <w:p w14:paraId="72299CF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370</w:t>
            </w:r>
          </w:p>
        </w:tc>
        <w:tc>
          <w:tcPr>
            <w:tcW w:w="429" w:type="dxa"/>
            <w:tcBorders>
              <w:top w:val="nil"/>
              <w:left w:val="nil"/>
              <w:bottom w:val="single" w:sz="4" w:space="0" w:color="auto"/>
              <w:right w:val="single" w:sz="4" w:space="0" w:color="auto"/>
            </w:tcBorders>
            <w:shd w:val="clear" w:color="auto" w:fill="auto"/>
            <w:noWrap/>
            <w:vAlign w:val="center"/>
            <w:hideMark/>
          </w:tcPr>
          <w:p w14:paraId="4178BD2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379</w:t>
            </w:r>
          </w:p>
        </w:tc>
        <w:tc>
          <w:tcPr>
            <w:tcW w:w="429" w:type="dxa"/>
            <w:tcBorders>
              <w:top w:val="nil"/>
              <w:left w:val="nil"/>
              <w:bottom w:val="single" w:sz="4" w:space="0" w:color="auto"/>
              <w:right w:val="single" w:sz="4" w:space="0" w:color="auto"/>
            </w:tcBorders>
            <w:shd w:val="clear" w:color="auto" w:fill="auto"/>
            <w:noWrap/>
            <w:vAlign w:val="center"/>
            <w:hideMark/>
          </w:tcPr>
          <w:p w14:paraId="4FFD44D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388</w:t>
            </w:r>
          </w:p>
        </w:tc>
        <w:tc>
          <w:tcPr>
            <w:tcW w:w="429" w:type="dxa"/>
            <w:tcBorders>
              <w:top w:val="nil"/>
              <w:left w:val="nil"/>
              <w:bottom w:val="single" w:sz="4" w:space="0" w:color="auto"/>
              <w:right w:val="single" w:sz="4" w:space="0" w:color="auto"/>
            </w:tcBorders>
            <w:shd w:val="clear" w:color="auto" w:fill="auto"/>
            <w:noWrap/>
            <w:vAlign w:val="center"/>
            <w:hideMark/>
          </w:tcPr>
          <w:p w14:paraId="424653A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396</w:t>
            </w:r>
          </w:p>
        </w:tc>
        <w:tc>
          <w:tcPr>
            <w:tcW w:w="429" w:type="dxa"/>
            <w:tcBorders>
              <w:top w:val="nil"/>
              <w:left w:val="nil"/>
              <w:bottom w:val="single" w:sz="4" w:space="0" w:color="auto"/>
              <w:right w:val="single" w:sz="4" w:space="0" w:color="auto"/>
            </w:tcBorders>
            <w:shd w:val="clear" w:color="auto" w:fill="auto"/>
            <w:noWrap/>
            <w:vAlign w:val="center"/>
            <w:hideMark/>
          </w:tcPr>
          <w:p w14:paraId="1F050BC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404</w:t>
            </w:r>
          </w:p>
        </w:tc>
        <w:tc>
          <w:tcPr>
            <w:tcW w:w="429" w:type="dxa"/>
            <w:tcBorders>
              <w:top w:val="nil"/>
              <w:left w:val="nil"/>
              <w:bottom w:val="single" w:sz="4" w:space="0" w:color="auto"/>
              <w:right w:val="single" w:sz="4" w:space="0" w:color="auto"/>
            </w:tcBorders>
            <w:shd w:val="clear" w:color="auto" w:fill="auto"/>
            <w:noWrap/>
            <w:vAlign w:val="center"/>
            <w:hideMark/>
          </w:tcPr>
          <w:p w14:paraId="1FA2D69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412</w:t>
            </w:r>
          </w:p>
        </w:tc>
        <w:tc>
          <w:tcPr>
            <w:tcW w:w="429" w:type="dxa"/>
            <w:tcBorders>
              <w:top w:val="nil"/>
              <w:left w:val="nil"/>
              <w:bottom w:val="single" w:sz="4" w:space="0" w:color="auto"/>
              <w:right w:val="single" w:sz="4" w:space="0" w:color="auto"/>
            </w:tcBorders>
            <w:shd w:val="clear" w:color="auto" w:fill="auto"/>
            <w:noWrap/>
            <w:vAlign w:val="center"/>
            <w:hideMark/>
          </w:tcPr>
          <w:p w14:paraId="4510641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420</w:t>
            </w:r>
          </w:p>
        </w:tc>
        <w:tc>
          <w:tcPr>
            <w:tcW w:w="429" w:type="dxa"/>
            <w:tcBorders>
              <w:top w:val="nil"/>
              <w:left w:val="nil"/>
              <w:bottom w:val="single" w:sz="4" w:space="0" w:color="auto"/>
              <w:right w:val="single" w:sz="4" w:space="0" w:color="auto"/>
            </w:tcBorders>
            <w:shd w:val="clear" w:color="auto" w:fill="auto"/>
            <w:noWrap/>
            <w:vAlign w:val="center"/>
            <w:hideMark/>
          </w:tcPr>
          <w:p w14:paraId="20DD518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427</w:t>
            </w:r>
          </w:p>
        </w:tc>
        <w:tc>
          <w:tcPr>
            <w:tcW w:w="429" w:type="dxa"/>
            <w:tcBorders>
              <w:top w:val="nil"/>
              <w:left w:val="nil"/>
              <w:bottom w:val="single" w:sz="4" w:space="0" w:color="auto"/>
              <w:right w:val="single" w:sz="4" w:space="0" w:color="auto"/>
            </w:tcBorders>
            <w:shd w:val="clear" w:color="auto" w:fill="auto"/>
            <w:noWrap/>
            <w:vAlign w:val="center"/>
            <w:hideMark/>
          </w:tcPr>
          <w:p w14:paraId="658E5DB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434</w:t>
            </w:r>
          </w:p>
        </w:tc>
        <w:tc>
          <w:tcPr>
            <w:tcW w:w="429" w:type="dxa"/>
            <w:tcBorders>
              <w:top w:val="nil"/>
              <w:left w:val="nil"/>
              <w:bottom w:val="single" w:sz="4" w:space="0" w:color="auto"/>
              <w:right w:val="single" w:sz="4" w:space="0" w:color="auto"/>
            </w:tcBorders>
            <w:shd w:val="clear" w:color="auto" w:fill="auto"/>
            <w:noWrap/>
            <w:vAlign w:val="center"/>
            <w:hideMark/>
          </w:tcPr>
          <w:p w14:paraId="21AE515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441</w:t>
            </w:r>
          </w:p>
        </w:tc>
        <w:tc>
          <w:tcPr>
            <w:tcW w:w="429" w:type="dxa"/>
            <w:tcBorders>
              <w:top w:val="nil"/>
              <w:left w:val="nil"/>
              <w:bottom w:val="single" w:sz="4" w:space="0" w:color="auto"/>
              <w:right w:val="single" w:sz="4" w:space="0" w:color="auto"/>
            </w:tcBorders>
            <w:shd w:val="clear" w:color="auto" w:fill="auto"/>
            <w:noWrap/>
            <w:vAlign w:val="center"/>
            <w:hideMark/>
          </w:tcPr>
          <w:p w14:paraId="3772FC8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447</w:t>
            </w:r>
          </w:p>
        </w:tc>
        <w:tc>
          <w:tcPr>
            <w:tcW w:w="429" w:type="dxa"/>
            <w:tcBorders>
              <w:top w:val="nil"/>
              <w:left w:val="nil"/>
              <w:bottom w:val="single" w:sz="4" w:space="0" w:color="auto"/>
              <w:right w:val="single" w:sz="4" w:space="0" w:color="auto"/>
            </w:tcBorders>
            <w:shd w:val="clear" w:color="auto" w:fill="auto"/>
            <w:noWrap/>
            <w:vAlign w:val="center"/>
            <w:hideMark/>
          </w:tcPr>
          <w:p w14:paraId="514E87E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454</w:t>
            </w:r>
          </w:p>
        </w:tc>
        <w:tc>
          <w:tcPr>
            <w:tcW w:w="429" w:type="dxa"/>
            <w:tcBorders>
              <w:top w:val="nil"/>
              <w:left w:val="nil"/>
              <w:bottom w:val="single" w:sz="4" w:space="0" w:color="auto"/>
              <w:right w:val="single" w:sz="4" w:space="0" w:color="auto"/>
            </w:tcBorders>
            <w:shd w:val="clear" w:color="auto" w:fill="auto"/>
            <w:noWrap/>
            <w:vAlign w:val="center"/>
            <w:hideMark/>
          </w:tcPr>
          <w:p w14:paraId="4CC19AD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460</w:t>
            </w:r>
          </w:p>
        </w:tc>
        <w:tc>
          <w:tcPr>
            <w:tcW w:w="429" w:type="dxa"/>
            <w:tcBorders>
              <w:top w:val="nil"/>
              <w:left w:val="nil"/>
              <w:bottom w:val="single" w:sz="4" w:space="0" w:color="auto"/>
              <w:right w:val="single" w:sz="4" w:space="0" w:color="auto"/>
            </w:tcBorders>
            <w:shd w:val="clear" w:color="auto" w:fill="auto"/>
            <w:noWrap/>
            <w:vAlign w:val="center"/>
            <w:hideMark/>
          </w:tcPr>
          <w:p w14:paraId="3A5DFAB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466</w:t>
            </w:r>
          </w:p>
        </w:tc>
        <w:tc>
          <w:tcPr>
            <w:tcW w:w="429" w:type="dxa"/>
            <w:tcBorders>
              <w:top w:val="nil"/>
              <w:left w:val="nil"/>
              <w:bottom w:val="single" w:sz="4" w:space="0" w:color="auto"/>
              <w:right w:val="single" w:sz="4" w:space="0" w:color="auto"/>
            </w:tcBorders>
            <w:shd w:val="clear" w:color="auto" w:fill="auto"/>
            <w:noWrap/>
            <w:vAlign w:val="center"/>
            <w:hideMark/>
          </w:tcPr>
          <w:p w14:paraId="42689C7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472</w:t>
            </w:r>
          </w:p>
        </w:tc>
        <w:tc>
          <w:tcPr>
            <w:tcW w:w="429" w:type="dxa"/>
            <w:tcBorders>
              <w:top w:val="nil"/>
              <w:left w:val="nil"/>
              <w:bottom w:val="single" w:sz="4" w:space="0" w:color="auto"/>
              <w:right w:val="single" w:sz="4" w:space="0" w:color="auto"/>
            </w:tcBorders>
            <w:shd w:val="clear" w:color="auto" w:fill="auto"/>
            <w:noWrap/>
            <w:vAlign w:val="center"/>
            <w:hideMark/>
          </w:tcPr>
          <w:p w14:paraId="42486F5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477</w:t>
            </w:r>
          </w:p>
        </w:tc>
        <w:tc>
          <w:tcPr>
            <w:tcW w:w="429" w:type="dxa"/>
            <w:tcBorders>
              <w:top w:val="nil"/>
              <w:left w:val="nil"/>
              <w:bottom w:val="single" w:sz="4" w:space="0" w:color="auto"/>
              <w:right w:val="single" w:sz="4" w:space="0" w:color="auto"/>
            </w:tcBorders>
            <w:shd w:val="clear" w:color="auto" w:fill="auto"/>
            <w:noWrap/>
            <w:vAlign w:val="center"/>
            <w:hideMark/>
          </w:tcPr>
          <w:p w14:paraId="6FE3D66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483</w:t>
            </w:r>
          </w:p>
        </w:tc>
        <w:tc>
          <w:tcPr>
            <w:tcW w:w="429" w:type="dxa"/>
            <w:tcBorders>
              <w:top w:val="nil"/>
              <w:left w:val="nil"/>
              <w:bottom w:val="single" w:sz="4" w:space="0" w:color="auto"/>
              <w:right w:val="single" w:sz="4" w:space="0" w:color="auto"/>
            </w:tcBorders>
            <w:shd w:val="clear" w:color="auto" w:fill="auto"/>
            <w:noWrap/>
            <w:vAlign w:val="center"/>
            <w:hideMark/>
          </w:tcPr>
          <w:p w14:paraId="12A46AE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489</w:t>
            </w:r>
          </w:p>
        </w:tc>
      </w:tr>
      <w:tr w:rsidR="00F75183" w:rsidRPr="00B85017" w14:paraId="74DCCF10"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03F7B7E2"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515618B7"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370</w:t>
            </w:r>
          </w:p>
        </w:tc>
        <w:tc>
          <w:tcPr>
            <w:tcW w:w="429" w:type="dxa"/>
            <w:tcBorders>
              <w:top w:val="nil"/>
              <w:left w:val="nil"/>
              <w:bottom w:val="single" w:sz="4" w:space="0" w:color="auto"/>
              <w:right w:val="single" w:sz="4" w:space="0" w:color="auto"/>
            </w:tcBorders>
            <w:shd w:val="clear" w:color="auto" w:fill="auto"/>
            <w:noWrap/>
            <w:vAlign w:val="center"/>
            <w:hideMark/>
          </w:tcPr>
          <w:p w14:paraId="6EFF067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336</w:t>
            </w:r>
          </w:p>
        </w:tc>
        <w:tc>
          <w:tcPr>
            <w:tcW w:w="429" w:type="dxa"/>
            <w:tcBorders>
              <w:top w:val="nil"/>
              <w:left w:val="nil"/>
              <w:bottom w:val="single" w:sz="4" w:space="0" w:color="auto"/>
              <w:right w:val="single" w:sz="4" w:space="0" w:color="auto"/>
            </w:tcBorders>
            <w:shd w:val="clear" w:color="auto" w:fill="auto"/>
            <w:noWrap/>
            <w:vAlign w:val="center"/>
            <w:hideMark/>
          </w:tcPr>
          <w:p w14:paraId="48A8B35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348</w:t>
            </w:r>
          </w:p>
        </w:tc>
        <w:tc>
          <w:tcPr>
            <w:tcW w:w="429" w:type="dxa"/>
            <w:tcBorders>
              <w:top w:val="nil"/>
              <w:left w:val="nil"/>
              <w:bottom w:val="single" w:sz="4" w:space="0" w:color="auto"/>
              <w:right w:val="single" w:sz="4" w:space="0" w:color="auto"/>
            </w:tcBorders>
            <w:shd w:val="clear" w:color="auto" w:fill="auto"/>
            <w:noWrap/>
            <w:vAlign w:val="center"/>
            <w:hideMark/>
          </w:tcPr>
          <w:p w14:paraId="0AF5DB6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359</w:t>
            </w:r>
          </w:p>
        </w:tc>
        <w:tc>
          <w:tcPr>
            <w:tcW w:w="429" w:type="dxa"/>
            <w:tcBorders>
              <w:top w:val="nil"/>
              <w:left w:val="nil"/>
              <w:bottom w:val="single" w:sz="4" w:space="0" w:color="auto"/>
              <w:right w:val="single" w:sz="4" w:space="0" w:color="auto"/>
            </w:tcBorders>
            <w:shd w:val="clear" w:color="auto" w:fill="auto"/>
            <w:noWrap/>
            <w:vAlign w:val="center"/>
            <w:hideMark/>
          </w:tcPr>
          <w:p w14:paraId="14EF492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370</w:t>
            </w:r>
          </w:p>
        </w:tc>
        <w:tc>
          <w:tcPr>
            <w:tcW w:w="429" w:type="dxa"/>
            <w:tcBorders>
              <w:top w:val="nil"/>
              <w:left w:val="nil"/>
              <w:bottom w:val="single" w:sz="4" w:space="0" w:color="auto"/>
              <w:right w:val="single" w:sz="4" w:space="0" w:color="auto"/>
            </w:tcBorders>
            <w:shd w:val="clear" w:color="auto" w:fill="auto"/>
            <w:noWrap/>
            <w:vAlign w:val="center"/>
            <w:hideMark/>
          </w:tcPr>
          <w:p w14:paraId="3AD70AC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380</w:t>
            </w:r>
          </w:p>
        </w:tc>
        <w:tc>
          <w:tcPr>
            <w:tcW w:w="429" w:type="dxa"/>
            <w:tcBorders>
              <w:top w:val="nil"/>
              <w:left w:val="nil"/>
              <w:bottom w:val="single" w:sz="4" w:space="0" w:color="auto"/>
              <w:right w:val="single" w:sz="4" w:space="0" w:color="auto"/>
            </w:tcBorders>
            <w:shd w:val="clear" w:color="auto" w:fill="auto"/>
            <w:noWrap/>
            <w:vAlign w:val="center"/>
            <w:hideMark/>
          </w:tcPr>
          <w:p w14:paraId="66C46BE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390</w:t>
            </w:r>
          </w:p>
        </w:tc>
        <w:tc>
          <w:tcPr>
            <w:tcW w:w="429" w:type="dxa"/>
            <w:tcBorders>
              <w:top w:val="nil"/>
              <w:left w:val="nil"/>
              <w:bottom w:val="single" w:sz="4" w:space="0" w:color="auto"/>
              <w:right w:val="single" w:sz="4" w:space="0" w:color="auto"/>
            </w:tcBorders>
            <w:shd w:val="clear" w:color="auto" w:fill="auto"/>
            <w:noWrap/>
            <w:vAlign w:val="center"/>
            <w:hideMark/>
          </w:tcPr>
          <w:p w14:paraId="186D267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399</w:t>
            </w:r>
          </w:p>
        </w:tc>
        <w:tc>
          <w:tcPr>
            <w:tcW w:w="429" w:type="dxa"/>
            <w:tcBorders>
              <w:top w:val="nil"/>
              <w:left w:val="nil"/>
              <w:bottom w:val="single" w:sz="4" w:space="0" w:color="auto"/>
              <w:right w:val="single" w:sz="4" w:space="0" w:color="auto"/>
            </w:tcBorders>
            <w:shd w:val="clear" w:color="auto" w:fill="auto"/>
            <w:noWrap/>
            <w:vAlign w:val="center"/>
            <w:hideMark/>
          </w:tcPr>
          <w:p w14:paraId="2E693BA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407</w:t>
            </w:r>
          </w:p>
        </w:tc>
        <w:tc>
          <w:tcPr>
            <w:tcW w:w="429" w:type="dxa"/>
            <w:tcBorders>
              <w:top w:val="nil"/>
              <w:left w:val="nil"/>
              <w:bottom w:val="single" w:sz="4" w:space="0" w:color="auto"/>
              <w:right w:val="single" w:sz="4" w:space="0" w:color="auto"/>
            </w:tcBorders>
            <w:shd w:val="clear" w:color="auto" w:fill="auto"/>
            <w:noWrap/>
            <w:vAlign w:val="center"/>
            <w:hideMark/>
          </w:tcPr>
          <w:p w14:paraId="16227E1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416</w:t>
            </w:r>
          </w:p>
        </w:tc>
        <w:tc>
          <w:tcPr>
            <w:tcW w:w="429" w:type="dxa"/>
            <w:tcBorders>
              <w:top w:val="nil"/>
              <w:left w:val="nil"/>
              <w:bottom w:val="single" w:sz="4" w:space="0" w:color="auto"/>
              <w:right w:val="single" w:sz="4" w:space="0" w:color="auto"/>
            </w:tcBorders>
            <w:shd w:val="clear" w:color="auto" w:fill="auto"/>
            <w:noWrap/>
            <w:vAlign w:val="center"/>
            <w:hideMark/>
          </w:tcPr>
          <w:p w14:paraId="444CEF7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424</w:t>
            </w:r>
          </w:p>
        </w:tc>
        <w:tc>
          <w:tcPr>
            <w:tcW w:w="429" w:type="dxa"/>
            <w:tcBorders>
              <w:top w:val="nil"/>
              <w:left w:val="nil"/>
              <w:bottom w:val="single" w:sz="4" w:space="0" w:color="auto"/>
              <w:right w:val="single" w:sz="4" w:space="0" w:color="auto"/>
            </w:tcBorders>
            <w:shd w:val="clear" w:color="auto" w:fill="auto"/>
            <w:noWrap/>
            <w:vAlign w:val="center"/>
            <w:hideMark/>
          </w:tcPr>
          <w:p w14:paraId="568B3BF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431</w:t>
            </w:r>
          </w:p>
        </w:tc>
        <w:tc>
          <w:tcPr>
            <w:tcW w:w="429" w:type="dxa"/>
            <w:tcBorders>
              <w:top w:val="nil"/>
              <w:left w:val="nil"/>
              <w:bottom w:val="single" w:sz="4" w:space="0" w:color="auto"/>
              <w:right w:val="single" w:sz="4" w:space="0" w:color="auto"/>
            </w:tcBorders>
            <w:shd w:val="clear" w:color="auto" w:fill="auto"/>
            <w:noWrap/>
            <w:vAlign w:val="center"/>
            <w:hideMark/>
          </w:tcPr>
          <w:p w14:paraId="3687374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439</w:t>
            </w:r>
          </w:p>
        </w:tc>
        <w:tc>
          <w:tcPr>
            <w:tcW w:w="429" w:type="dxa"/>
            <w:tcBorders>
              <w:top w:val="nil"/>
              <w:left w:val="nil"/>
              <w:bottom w:val="single" w:sz="4" w:space="0" w:color="auto"/>
              <w:right w:val="single" w:sz="4" w:space="0" w:color="auto"/>
            </w:tcBorders>
            <w:shd w:val="clear" w:color="auto" w:fill="auto"/>
            <w:noWrap/>
            <w:vAlign w:val="center"/>
            <w:hideMark/>
          </w:tcPr>
          <w:p w14:paraId="7C5FCD5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446</w:t>
            </w:r>
          </w:p>
        </w:tc>
        <w:tc>
          <w:tcPr>
            <w:tcW w:w="429" w:type="dxa"/>
            <w:tcBorders>
              <w:top w:val="nil"/>
              <w:left w:val="nil"/>
              <w:bottom w:val="single" w:sz="4" w:space="0" w:color="auto"/>
              <w:right w:val="single" w:sz="4" w:space="0" w:color="auto"/>
            </w:tcBorders>
            <w:shd w:val="clear" w:color="auto" w:fill="auto"/>
            <w:noWrap/>
            <w:vAlign w:val="center"/>
            <w:hideMark/>
          </w:tcPr>
          <w:p w14:paraId="0255982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453</w:t>
            </w:r>
          </w:p>
        </w:tc>
        <w:tc>
          <w:tcPr>
            <w:tcW w:w="429" w:type="dxa"/>
            <w:tcBorders>
              <w:top w:val="nil"/>
              <w:left w:val="nil"/>
              <w:bottom w:val="single" w:sz="4" w:space="0" w:color="auto"/>
              <w:right w:val="single" w:sz="4" w:space="0" w:color="auto"/>
            </w:tcBorders>
            <w:shd w:val="clear" w:color="auto" w:fill="auto"/>
            <w:noWrap/>
            <w:vAlign w:val="center"/>
            <w:hideMark/>
          </w:tcPr>
          <w:p w14:paraId="28BB4C0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460</w:t>
            </w:r>
          </w:p>
        </w:tc>
        <w:tc>
          <w:tcPr>
            <w:tcW w:w="429" w:type="dxa"/>
            <w:tcBorders>
              <w:top w:val="nil"/>
              <w:left w:val="nil"/>
              <w:bottom w:val="single" w:sz="4" w:space="0" w:color="auto"/>
              <w:right w:val="single" w:sz="4" w:space="0" w:color="auto"/>
            </w:tcBorders>
            <w:shd w:val="clear" w:color="auto" w:fill="auto"/>
            <w:noWrap/>
            <w:vAlign w:val="center"/>
            <w:hideMark/>
          </w:tcPr>
          <w:p w14:paraId="345FF73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466</w:t>
            </w:r>
          </w:p>
        </w:tc>
        <w:tc>
          <w:tcPr>
            <w:tcW w:w="429" w:type="dxa"/>
            <w:tcBorders>
              <w:top w:val="nil"/>
              <w:left w:val="nil"/>
              <w:bottom w:val="single" w:sz="4" w:space="0" w:color="auto"/>
              <w:right w:val="single" w:sz="4" w:space="0" w:color="auto"/>
            </w:tcBorders>
            <w:shd w:val="clear" w:color="auto" w:fill="auto"/>
            <w:noWrap/>
            <w:vAlign w:val="center"/>
            <w:hideMark/>
          </w:tcPr>
          <w:p w14:paraId="609CE26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473</w:t>
            </w:r>
          </w:p>
        </w:tc>
        <w:tc>
          <w:tcPr>
            <w:tcW w:w="429" w:type="dxa"/>
            <w:tcBorders>
              <w:top w:val="nil"/>
              <w:left w:val="nil"/>
              <w:bottom w:val="single" w:sz="4" w:space="0" w:color="auto"/>
              <w:right w:val="single" w:sz="4" w:space="0" w:color="auto"/>
            </w:tcBorders>
            <w:shd w:val="clear" w:color="auto" w:fill="auto"/>
            <w:noWrap/>
            <w:vAlign w:val="center"/>
            <w:hideMark/>
          </w:tcPr>
          <w:p w14:paraId="7DA79F2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479</w:t>
            </w:r>
          </w:p>
        </w:tc>
        <w:tc>
          <w:tcPr>
            <w:tcW w:w="429" w:type="dxa"/>
            <w:tcBorders>
              <w:top w:val="nil"/>
              <w:left w:val="nil"/>
              <w:bottom w:val="single" w:sz="4" w:space="0" w:color="auto"/>
              <w:right w:val="single" w:sz="4" w:space="0" w:color="auto"/>
            </w:tcBorders>
            <w:shd w:val="clear" w:color="auto" w:fill="auto"/>
            <w:noWrap/>
            <w:vAlign w:val="center"/>
            <w:hideMark/>
          </w:tcPr>
          <w:p w14:paraId="22918B6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485</w:t>
            </w:r>
          </w:p>
        </w:tc>
        <w:tc>
          <w:tcPr>
            <w:tcW w:w="429" w:type="dxa"/>
            <w:tcBorders>
              <w:top w:val="nil"/>
              <w:left w:val="nil"/>
              <w:bottom w:val="single" w:sz="4" w:space="0" w:color="auto"/>
              <w:right w:val="single" w:sz="4" w:space="0" w:color="auto"/>
            </w:tcBorders>
            <w:shd w:val="clear" w:color="auto" w:fill="auto"/>
            <w:noWrap/>
            <w:vAlign w:val="center"/>
            <w:hideMark/>
          </w:tcPr>
          <w:p w14:paraId="449E18E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491</w:t>
            </w:r>
          </w:p>
        </w:tc>
        <w:tc>
          <w:tcPr>
            <w:tcW w:w="429" w:type="dxa"/>
            <w:tcBorders>
              <w:top w:val="nil"/>
              <w:left w:val="nil"/>
              <w:bottom w:val="single" w:sz="4" w:space="0" w:color="auto"/>
              <w:right w:val="single" w:sz="4" w:space="0" w:color="auto"/>
            </w:tcBorders>
            <w:shd w:val="clear" w:color="auto" w:fill="auto"/>
            <w:noWrap/>
            <w:vAlign w:val="center"/>
            <w:hideMark/>
          </w:tcPr>
          <w:p w14:paraId="002D527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497</w:t>
            </w:r>
          </w:p>
        </w:tc>
        <w:tc>
          <w:tcPr>
            <w:tcW w:w="429" w:type="dxa"/>
            <w:tcBorders>
              <w:top w:val="nil"/>
              <w:left w:val="nil"/>
              <w:bottom w:val="single" w:sz="4" w:space="0" w:color="auto"/>
              <w:right w:val="single" w:sz="4" w:space="0" w:color="auto"/>
            </w:tcBorders>
            <w:shd w:val="clear" w:color="auto" w:fill="auto"/>
            <w:noWrap/>
            <w:vAlign w:val="center"/>
            <w:hideMark/>
          </w:tcPr>
          <w:p w14:paraId="65C2950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502</w:t>
            </w:r>
          </w:p>
        </w:tc>
      </w:tr>
      <w:tr w:rsidR="00F75183" w:rsidRPr="00B85017" w14:paraId="431B5F04"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5600A201"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7153F0AE"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380</w:t>
            </w:r>
          </w:p>
        </w:tc>
        <w:tc>
          <w:tcPr>
            <w:tcW w:w="429" w:type="dxa"/>
            <w:tcBorders>
              <w:top w:val="nil"/>
              <w:left w:val="nil"/>
              <w:bottom w:val="single" w:sz="4" w:space="0" w:color="auto"/>
              <w:right w:val="single" w:sz="4" w:space="0" w:color="auto"/>
            </w:tcBorders>
            <w:shd w:val="clear" w:color="auto" w:fill="auto"/>
            <w:noWrap/>
            <w:vAlign w:val="center"/>
            <w:hideMark/>
          </w:tcPr>
          <w:p w14:paraId="3C4527C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345</w:t>
            </w:r>
          </w:p>
        </w:tc>
        <w:tc>
          <w:tcPr>
            <w:tcW w:w="429" w:type="dxa"/>
            <w:tcBorders>
              <w:top w:val="nil"/>
              <w:left w:val="nil"/>
              <w:bottom w:val="single" w:sz="4" w:space="0" w:color="auto"/>
              <w:right w:val="single" w:sz="4" w:space="0" w:color="auto"/>
            </w:tcBorders>
            <w:shd w:val="clear" w:color="auto" w:fill="auto"/>
            <w:noWrap/>
            <w:vAlign w:val="center"/>
            <w:hideMark/>
          </w:tcPr>
          <w:p w14:paraId="44135B0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358</w:t>
            </w:r>
          </w:p>
        </w:tc>
        <w:tc>
          <w:tcPr>
            <w:tcW w:w="429" w:type="dxa"/>
            <w:tcBorders>
              <w:top w:val="nil"/>
              <w:left w:val="nil"/>
              <w:bottom w:val="single" w:sz="4" w:space="0" w:color="auto"/>
              <w:right w:val="single" w:sz="4" w:space="0" w:color="auto"/>
            </w:tcBorders>
            <w:shd w:val="clear" w:color="auto" w:fill="auto"/>
            <w:noWrap/>
            <w:vAlign w:val="center"/>
            <w:hideMark/>
          </w:tcPr>
          <w:p w14:paraId="3598DB3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369</w:t>
            </w:r>
          </w:p>
        </w:tc>
        <w:tc>
          <w:tcPr>
            <w:tcW w:w="429" w:type="dxa"/>
            <w:tcBorders>
              <w:top w:val="nil"/>
              <w:left w:val="nil"/>
              <w:bottom w:val="single" w:sz="4" w:space="0" w:color="auto"/>
              <w:right w:val="single" w:sz="4" w:space="0" w:color="auto"/>
            </w:tcBorders>
            <w:shd w:val="clear" w:color="auto" w:fill="auto"/>
            <w:noWrap/>
            <w:vAlign w:val="center"/>
            <w:hideMark/>
          </w:tcPr>
          <w:p w14:paraId="441D95A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380</w:t>
            </w:r>
          </w:p>
        </w:tc>
        <w:tc>
          <w:tcPr>
            <w:tcW w:w="429" w:type="dxa"/>
            <w:tcBorders>
              <w:top w:val="nil"/>
              <w:left w:val="nil"/>
              <w:bottom w:val="single" w:sz="4" w:space="0" w:color="auto"/>
              <w:right w:val="single" w:sz="4" w:space="0" w:color="auto"/>
            </w:tcBorders>
            <w:shd w:val="clear" w:color="auto" w:fill="auto"/>
            <w:noWrap/>
            <w:vAlign w:val="center"/>
            <w:hideMark/>
          </w:tcPr>
          <w:p w14:paraId="3E022F7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390</w:t>
            </w:r>
          </w:p>
        </w:tc>
        <w:tc>
          <w:tcPr>
            <w:tcW w:w="429" w:type="dxa"/>
            <w:tcBorders>
              <w:top w:val="nil"/>
              <w:left w:val="nil"/>
              <w:bottom w:val="single" w:sz="4" w:space="0" w:color="auto"/>
              <w:right w:val="single" w:sz="4" w:space="0" w:color="auto"/>
            </w:tcBorders>
            <w:shd w:val="clear" w:color="auto" w:fill="auto"/>
            <w:noWrap/>
            <w:vAlign w:val="center"/>
            <w:hideMark/>
          </w:tcPr>
          <w:p w14:paraId="74E4746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400</w:t>
            </w:r>
          </w:p>
        </w:tc>
        <w:tc>
          <w:tcPr>
            <w:tcW w:w="429" w:type="dxa"/>
            <w:tcBorders>
              <w:top w:val="nil"/>
              <w:left w:val="nil"/>
              <w:bottom w:val="single" w:sz="4" w:space="0" w:color="auto"/>
              <w:right w:val="single" w:sz="4" w:space="0" w:color="auto"/>
            </w:tcBorders>
            <w:shd w:val="clear" w:color="auto" w:fill="auto"/>
            <w:noWrap/>
            <w:vAlign w:val="center"/>
            <w:hideMark/>
          </w:tcPr>
          <w:p w14:paraId="7B524A6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409</w:t>
            </w:r>
          </w:p>
        </w:tc>
        <w:tc>
          <w:tcPr>
            <w:tcW w:w="429" w:type="dxa"/>
            <w:tcBorders>
              <w:top w:val="nil"/>
              <w:left w:val="nil"/>
              <w:bottom w:val="single" w:sz="4" w:space="0" w:color="auto"/>
              <w:right w:val="single" w:sz="4" w:space="0" w:color="auto"/>
            </w:tcBorders>
            <w:shd w:val="clear" w:color="auto" w:fill="auto"/>
            <w:noWrap/>
            <w:vAlign w:val="center"/>
            <w:hideMark/>
          </w:tcPr>
          <w:p w14:paraId="1EFDAAF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418</w:t>
            </w:r>
          </w:p>
        </w:tc>
        <w:tc>
          <w:tcPr>
            <w:tcW w:w="429" w:type="dxa"/>
            <w:tcBorders>
              <w:top w:val="nil"/>
              <w:left w:val="nil"/>
              <w:bottom w:val="single" w:sz="4" w:space="0" w:color="auto"/>
              <w:right w:val="single" w:sz="4" w:space="0" w:color="auto"/>
            </w:tcBorders>
            <w:shd w:val="clear" w:color="auto" w:fill="auto"/>
            <w:noWrap/>
            <w:vAlign w:val="center"/>
            <w:hideMark/>
          </w:tcPr>
          <w:p w14:paraId="0493785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427</w:t>
            </w:r>
          </w:p>
        </w:tc>
        <w:tc>
          <w:tcPr>
            <w:tcW w:w="429" w:type="dxa"/>
            <w:tcBorders>
              <w:top w:val="nil"/>
              <w:left w:val="nil"/>
              <w:bottom w:val="single" w:sz="4" w:space="0" w:color="auto"/>
              <w:right w:val="single" w:sz="4" w:space="0" w:color="auto"/>
            </w:tcBorders>
            <w:shd w:val="clear" w:color="auto" w:fill="auto"/>
            <w:noWrap/>
            <w:vAlign w:val="center"/>
            <w:hideMark/>
          </w:tcPr>
          <w:p w14:paraId="287CF34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435</w:t>
            </w:r>
          </w:p>
        </w:tc>
        <w:tc>
          <w:tcPr>
            <w:tcW w:w="429" w:type="dxa"/>
            <w:tcBorders>
              <w:top w:val="nil"/>
              <w:left w:val="nil"/>
              <w:bottom w:val="single" w:sz="4" w:space="0" w:color="auto"/>
              <w:right w:val="single" w:sz="4" w:space="0" w:color="auto"/>
            </w:tcBorders>
            <w:shd w:val="clear" w:color="auto" w:fill="auto"/>
            <w:noWrap/>
            <w:vAlign w:val="center"/>
            <w:hideMark/>
          </w:tcPr>
          <w:p w14:paraId="5C8CE74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443</w:t>
            </w:r>
          </w:p>
        </w:tc>
        <w:tc>
          <w:tcPr>
            <w:tcW w:w="429" w:type="dxa"/>
            <w:tcBorders>
              <w:top w:val="nil"/>
              <w:left w:val="nil"/>
              <w:bottom w:val="single" w:sz="4" w:space="0" w:color="auto"/>
              <w:right w:val="single" w:sz="4" w:space="0" w:color="auto"/>
            </w:tcBorders>
            <w:shd w:val="clear" w:color="auto" w:fill="auto"/>
            <w:noWrap/>
            <w:vAlign w:val="center"/>
            <w:hideMark/>
          </w:tcPr>
          <w:p w14:paraId="24920A8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451</w:t>
            </w:r>
          </w:p>
        </w:tc>
        <w:tc>
          <w:tcPr>
            <w:tcW w:w="429" w:type="dxa"/>
            <w:tcBorders>
              <w:top w:val="nil"/>
              <w:left w:val="nil"/>
              <w:bottom w:val="single" w:sz="4" w:space="0" w:color="auto"/>
              <w:right w:val="single" w:sz="4" w:space="0" w:color="auto"/>
            </w:tcBorders>
            <w:shd w:val="clear" w:color="auto" w:fill="auto"/>
            <w:noWrap/>
            <w:vAlign w:val="center"/>
            <w:hideMark/>
          </w:tcPr>
          <w:p w14:paraId="11ABA90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458</w:t>
            </w:r>
          </w:p>
        </w:tc>
        <w:tc>
          <w:tcPr>
            <w:tcW w:w="429" w:type="dxa"/>
            <w:tcBorders>
              <w:top w:val="nil"/>
              <w:left w:val="nil"/>
              <w:bottom w:val="single" w:sz="4" w:space="0" w:color="auto"/>
              <w:right w:val="single" w:sz="4" w:space="0" w:color="auto"/>
            </w:tcBorders>
            <w:shd w:val="clear" w:color="auto" w:fill="auto"/>
            <w:noWrap/>
            <w:vAlign w:val="center"/>
            <w:hideMark/>
          </w:tcPr>
          <w:p w14:paraId="01812BC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465</w:t>
            </w:r>
          </w:p>
        </w:tc>
        <w:tc>
          <w:tcPr>
            <w:tcW w:w="429" w:type="dxa"/>
            <w:tcBorders>
              <w:top w:val="nil"/>
              <w:left w:val="nil"/>
              <w:bottom w:val="single" w:sz="4" w:space="0" w:color="auto"/>
              <w:right w:val="single" w:sz="4" w:space="0" w:color="auto"/>
            </w:tcBorders>
            <w:shd w:val="clear" w:color="auto" w:fill="auto"/>
            <w:noWrap/>
            <w:vAlign w:val="center"/>
            <w:hideMark/>
          </w:tcPr>
          <w:p w14:paraId="5379DCF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472</w:t>
            </w:r>
          </w:p>
        </w:tc>
        <w:tc>
          <w:tcPr>
            <w:tcW w:w="429" w:type="dxa"/>
            <w:tcBorders>
              <w:top w:val="nil"/>
              <w:left w:val="nil"/>
              <w:bottom w:val="single" w:sz="4" w:space="0" w:color="auto"/>
              <w:right w:val="single" w:sz="4" w:space="0" w:color="auto"/>
            </w:tcBorders>
            <w:shd w:val="clear" w:color="auto" w:fill="auto"/>
            <w:noWrap/>
            <w:vAlign w:val="center"/>
            <w:hideMark/>
          </w:tcPr>
          <w:p w14:paraId="051DED5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479</w:t>
            </w:r>
          </w:p>
        </w:tc>
        <w:tc>
          <w:tcPr>
            <w:tcW w:w="429" w:type="dxa"/>
            <w:tcBorders>
              <w:top w:val="nil"/>
              <w:left w:val="nil"/>
              <w:bottom w:val="single" w:sz="4" w:space="0" w:color="auto"/>
              <w:right w:val="single" w:sz="4" w:space="0" w:color="auto"/>
            </w:tcBorders>
            <w:shd w:val="clear" w:color="auto" w:fill="auto"/>
            <w:noWrap/>
            <w:vAlign w:val="center"/>
            <w:hideMark/>
          </w:tcPr>
          <w:p w14:paraId="68279F4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485</w:t>
            </w:r>
          </w:p>
        </w:tc>
        <w:tc>
          <w:tcPr>
            <w:tcW w:w="429" w:type="dxa"/>
            <w:tcBorders>
              <w:top w:val="nil"/>
              <w:left w:val="nil"/>
              <w:bottom w:val="single" w:sz="4" w:space="0" w:color="auto"/>
              <w:right w:val="single" w:sz="4" w:space="0" w:color="auto"/>
            </w:tcBorders>
            <w:shd w:val="clear" w:color="auto" w:fill="auto"/>
            <w:noWrap/>
            <w:vAlign w:val="center"/>
            <w:hideMark/>
          </w:tcPr>
          <w:p w14:paraId="5315BA0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492</w:t>
            </w:r>
          </w:p>
        </w:tc>
        <w:tc>
          <w:tcPr>
            <w:tcW w:w="429" w:type="dxa"/>
            <w:tcBorders>
              <w:top w:val="nil"/>
              <w:left w:val="nil"/>
              <w:bottom w:val="single" w:sz="4" w:space="0" w:color="auto"/>
              <w:right w:val="single" w:sz="4" w:space="0" w:color="auto"/>
            </w:tcBorders>
            <w:shd w:val="clear" w:color="auto" w:fill="auto"/>
            <w:noWrap/>
            <w:vAlign w:val="center"/>
            <w:hideMark/>
          </w:tcPr>
          <w:p w14:paraId="038FC0C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498</w:t>
            </w:r>
          </w:p>
        </w:tc>
        <w:tc>
          <w:tcPr>
            <w:tcW w:w="429" w:type="dxa"/>
            <w:tcBorders>
              <w:top w:val="nil"/>
              <w:left w:val="nil"/>
              <w:bottom w:val="single" w:sz="4" w:space="0" w:color="auto"/>
              <w:right w:val="single" w:sz="4" w:space="0" w:color="auto"/>
            </w:tcBorders>
            <w:shd w:val="clear" w:color="auto" w:fill="auto"/>
            <w:noWrap/>
            <w:vAlign w:val="center"/>
            <w:hideMark/>
          </w:tcPr>
          <w:p w14:paraId="3CE4027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504</w:t>
            </w:r>
          </w:p>
        </w:tc>
        <w:tc>
          <w:tcPr>
            <w:tcW w:w="429" w:type="dxa"/>
            <w:tcBorders>
              <w:top w:val="nil"/>
              <w:left w:val="nil"/>
              <w:bottom w:val="single" w:sz="4" w:space="0" w:color="auto"/>
              <w:right w:val="single" w:sz="4" w:space="0" w:color="auto"/>
            </w:tcBorders>
            <w:shd w:val="clear" w:color="auto" w:fill="auto"/>
            <w:noWrap/>
            <w:vAlign w:val="center"/>
            <w:hideMark/>
          </w:tcPr>
          <w:p w14:paraId="123E629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510</w:t>
            </w:r>
          </w:p>
        </w:tc>
        <w:tc>
          <w:tcPr>
            <w:tcW w:w="429" w:type="dxa"/>
            <w:tcBorders>
              <w:top w:val="nil"/>
              <w:left w:val="nil"/>
              <w:bottom w:val="single" w:sz="4" w:space="0" w:color="auto"/>
              <w:right w:val="single" w:sz="4" w:space="0" w:color="auto"/>
            </w:tcBorders>
            <w:shd w:val="clear" w:color="auto" w:fill="auto"/>
            <w:noWrap/>
            <w:vAlign w:val="center"/>
            <w:hideMark/>
          </w:tcPr>
          <w:p w14:paraId="7E594E3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516</w:t>
            </w:r>
          </w:p>
        </w:tc>
      </w:tr>
      <w:tr w:rsidR="00F75183" w:rsidRPr="00B85017" w14:paraId="5A1D55BF"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0C18E2D0"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31C20E8B"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390</w:t>
            </w:r>
          </w:p>
        </w:tc>
        <w:tc>
          <w:tcPr>
            <w:tcW w:w="429" w:type="dxa"/>
            <w:tcBorders>
              <w:top w:val="nil"/>
              <w:left w:val="nil"/>
              <w:bottom w:val="single" w:sz="4" w:space="0" w:color="auto"/>
              <w:right w:val="single" w:sz="4" w:space="0" w:color="auto"/>
            </w:tcBorders>
            <w:shd w:val="clear" w:color="auto" w:fill="auto"/>
            <w:noWrap/>
            <w:vAlign w:val="center"/>
            <w:hideMark/>
          </w:tcPr>
          <w:p w14:paraId="7CB4C12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354</w:t>
            </w:r>
          </w:p>
        </w:tc>
        <w:tc>
          <w:tcPr>
            <w:tcW w:w="429" w:type="dxa"/>
            <w:tcBorders>
              <w:top w:val="nil"/>
              <w:left w:val="nil"/>
              <w:bottom w:val="single" w:sz="4" w:space="0" w:color="auto"/>
              <w:right w:val="single" w:sz="4" w:space="0" w:color="auto"/>
            </w:tcBorders>
            <w:shd w:val="clear" w:color="auto" w:fill="auto"/>
            <w:noWrap/>
            <w:vAlign w:val="center"/>
            <w:hideMark/>
          </w:tcPr>
          <w:p w14:paraId="3D642E5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367</w:t>
            </w:r>
          </w:p>
        </w:tc>
        <w:tc>
          <w:tcPr>
            <w:tcW w:w="429" w:type="dxa"/>
            <w:tcBorders>
              <w:top w:val="nil"/>
              <w:left w:val="nil"/>
              <w:bottom w:val="single" w:sz="4" w:space="0" w:color="auto"/>
              <w:right w:val="single" w:sz="4" w:space="0" w:color="auto"/>
            </w:tcBorders>
            <w:shd w:val="clear" w:color="auto" w:fill="auto"/>
            <w:noWrap/>
            <w:vAlign w:val="center"/>
            <w:hideMark/>
          </w:tcPr>
          <w:p w14:paraId="4752D2F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379</w:t>
            </w:r>
          </w:p>
        </w:tc>
        <w:tc>
          <w:tcPr>
            <w:tcW w:w="429" w:type="dxa"/>
            <w:tcBorders>
              <w:top w:val="nil"/>
              <w:left w:val="nil"/>
              <w:bottom w:val="single" w:sz="4" w:space="0" w:color="auto"/>
              <w:right w:val="single" w:sz="4" w:space="0" w:color="auto"/>
            </w:tcBorders>
            <w:shd w:val="clear" w:color="auto" w:fill="auto"/>
            <w:noWrap/>
            <w:vAlign w:val="center"/>
            <w:hideMark/>
          </w:tcPr>
          <w:p w14:paraId="4F7518C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390</w:t>
            </w:r>
          </w:p>
        </w:tc>
        <w:tc>
          <w:tcPr>
            <w:tcW w:w="429" w:type="dxa"/>
            <w:tcBorders>
              <w:top w:val="nil"/>
              <w:left w:val="nil"/>
              <w:bottom w:val="single" w:sz="4" w:space="0" w:color="auto"/>
              <w:right w:val="single" w:sz="4" w:space="0" w:color="auto"/>
            </w:tcBorders>
            <w:shd w:val="clear" w:color="auto" w:fill="auto"/>
            <w:noWrap/>
            <w:vAlign w:val="center"/>
            <w:hideMark/>
          </w:tcPr>
          <w:p w14:paraId="5A43DD6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401</w:t>
            </w:r>
          </w:p>
        </w:tc>
        <w:tc>
          <w:tcPr>
            <w:tcW w:w="429" w:type="dxa"/>
            <w:tcBorders>
              <w:top w:val="nil"/>
              <w:left w:val="nil"/>
              <w:bottom w:val="single" w:sz="4" w:space="0" w:color="auto"/>
              <w:right w:val="single" w:sz="4" w:space="0" w:color="auto"/>
            </w:tcBorders>
            <w:shd w:val="clear" w:color="auto" w:fill="auto"/>
            <w:noWrap/>
            <w:vAlign w:val="center"/>
            <w:hideMark/>
          </w:tcPr>
          <w:p w14:paraId="7891E68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411</w:t>
            </w:r>
          </w:p>
        </w:tc>
        <w:tc>
          <w:tcPr>
            <w:tcW w:w="429" w:type="dxa"/>
            <w:tcBorders>
              <w:top w:val="nil"/>
              <w:left w:val="nil"/>
              <w:bottom w:val="single" w:sz="4" w:space="0" w:color="auto"/>
              <w:right w:val="single" w:sz="4" w:space="0" w:color="auto"/>
            </w:tcBorders>
            <w:shd w:val="clear" w:color="auto" w:fill="auto"/>
            <w:noWrap/>
            <w:vAlign w:val="center"/>
            <w:hideMark/>
          </w:tcPr>
          <w:p w14:paraId="10468E2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420</w:t>
            </w:r>
          </w:p>
        </w:tc>
        <w:tc>
          <w:tcPr>
            <w:tcW w:w="429" w:type="dxa"/>
            <w:tcBorders>
              <w:top w:val="nil"/>
              <w:left w:val="nil"/>
              <w:bottom w:val="single" w:sz="4" w:space="0" w:color="auto"/>
              <w:right w:val="single" w:sz="4" w:space="0" w:color="auto"/>
            </w:tcBorders>
            <w:shd w:val="clear" w:color="auto" w:fill="auto"/>
            <w:noWrap/>
            <w:vAlign w:val="center"/>
            <w:hideMark/>
          </w:tcPr>
          <w:p w14:paraId="7DC873C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429</w:t>
            </w:r>
          </w:p>
        </w:tc>
        <w:tc>
          <w:tcPr>
            <w:tcW w:w="429" w:type="dxa"/>
            <w:tcBorders>
              <w:top w:val="nil"/>
              <w:left w:val="nil"/>
              <w:bottom w:val="single" w:sz="4" w:space="0" w:color="auto"/>
              <w:right w:val="single" w:sz="4" w:space="0" w:color="auto"/>
            </w:tcBorders>
            <w:shd w:val="clear" w:color="auto" w:fill="auto"/>
            <w:noWrap/>
            <w:vAlign w:val="center"/>
            <w:hideMark/>
          </w:tcPr>
          <w:p w14:paraId="0E0DFAE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438</w:t>
            </w:r>
          </w:p>
        </w:tc>
        <w:tc>
          <w:tcPr>
            <w:tcW w:w="429" w:type="dxa"/>
            <w:tcBorders>
              <w:top w:val="nil"/>
              <w:left w:val="nil"/>
              <w:bottom w:val="single" w:sz="4" w:space="0" w:color="auto"/>
              <w:right w:val="single" w:sz="4" w:space="0" w:color="auto"/>
            </w:tcBorders>
            <w:shd w:val="clear" w:color="auto" w:fill="auto"/>
            <w:noWrap/>
            <w:vAlign w:val="center"/>
            <w:hideMark/>
          </w:tcPr>
          <w:p w14:paraId="495E20B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446</w:t>
            </w:r>
          </w:p>
        </w:tc>
        <w:tc>
          <w:tcPr>
            <w:tcW w:w="429" w:type="dxa"/>
            <w:tcBorders>
              <w:top w:val="nil"/>
              <w:left w:val="nil"/>
              <w:bottom w:val="single" w:sz="4" w:space="0" w:color="auto"/>
              <w:right w:val="single" w:sz="4" w:space="0" w:color="auto"/>
            </w:tcBorders>
            <w:shd w:val="clear" w:color="auto" w:fill="auto"/>
            <w:noWrap/>
            <w:vAlign w:val="center"/>
            <w:hideMark/>
          </w:tcPr>
          <w:p w14:paraId="3B1AE9C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455</w:t>
            </w:r>
          </w:p>
        </w:tc>
        <w:tc>
          <w:tcPr>
            <w:tcW w:w="429" w:type="dxa"/>
            <w:tcBorders>
              <w:top w:val="nil"/>
              <w:left w:val="nil"/>
              <w:bottom w:val="single" w:sz="4" w:space="0" w:color="auto"/>
              <w:right w:val="single" w:sz="4" w:space="0" w:color="auto"/>
            </w:tcBorders>
            <w:shd w:val="clear" w:color="auto" w:fill="auto"/>
            <w:noWrap/>
            <w:vAlign w:val="center"/>
            <w:hideMark/>
          </w:tcPr>
          <w:p w14:paraId="1288099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462</w:t>
            </w:r>
          </w:p>
        </w:tc>
        <w:tc>
          <w:tcPr>
            <w:tcW w:w="429" w:type="dxa"/>
            <w:tcBorders>
              <w:top w:val="nil"/>
              <w:left w:val="nil"/>
              <w:bottom w:val="single" w:sz="4" w:space="0" w:color="auto"/>
              <w:right w:val="single" w:sz="4" w:space="0" w:color="auto"/>
            </w:tcBorders>
            <w:shd w:val="clear" w:color="auto" w:fill="auto"/>
            <w:noWrap/>
            <w:vAlign w:val="center"/>
            <w:hideMark/>
          </w:tcPr>
          <w:p w14:paraId="07E558A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470</w:t>
            </w:r>
          </w:p>
        </w:tc>
        <w:tc>
          <w:tcPr>
            <w:tcW w:w="429" w:type="dxa"/>
            <w:tcBorders>
              <w:top w:val="nil"/>
              <w:left w:val="nil"/>
              <w:bottom w:val="single" w:sz="4" w:space="0" w:color="auto"/>
              <w:right w:val="single" w:sz="4" w:space="0" w:color="auto"/>
            </w:tcBorders>
            <w:shd w:val="clear" w:color="auto" w:fill="auto"/>
            <w:noWrap/>
            <w:vAlign w:val="center"/>
            <w:hideMark/>
          </w:tcPr>
          <w:p w14:paraId="0485B96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477</w:t>
            </w:r>
          </w:p>
        </w:tc>
        <w:tc>
          <w:tcPr>
            <w:tcW w:w="429" w:type="dxa"/>
            <w:tcBorders>
              <w:top w:val="nil"/>
              <w:left w:val="nil"/>
              <w:bottom w:val="single" w:sz="4" w:space="0" w:color="auto"/>
              <w:right w:val="single" w:sz="4" w:space="0" w:color="auto"/>
            </w:tcBorders>
            <w:shd w:val="clear" w:color="auto" w:fill="auto"/>
            <w:noWrap/>
            <w:vAlign w:val="center"/>
            <w:hideMark/>
          </w:tcPr>
          <w:p w14:paraId="1925B47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484</w:t>
            </w:r>
          </w:p>
        </w:tc>
        <w:tc>
          <w:tcPr>
            <w:tcW w:w="429" w:type="dxa"/>
            <w:tcBorders>
              <w:top w:val="nil"/>
              <w:left w:val="nil"/>
              <w:bottom w:val="single" w:sz="4" w:space="0" w:color="auto"/>
              <w:right w:val="single" w:sz="4" w:space="0" w:color="auto"/>
            </w:tcBorders>
            <w:shd w:val="clear" w:color="auto" w:fill="auto"/>
            <w:noWrap/>
            <w:vAlign w:val="center"/>
            <w:hideMark/>
          </w:tcPr>
          <w:p w14:paraId="568977E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491</w:t>
            </w:r>
          </w:p>
        </w:tc>
        <w:tc>
          <w:tcPr>
            <w:tcW w:w="429" w:type="dxa"/>
            <w:tcBorders>
              <w:top w:val="nil"/>
              <w:left w:val="nil"/>
              <w:bottom w:val="single" w:sz="4" w:space="0" w:color="auto"/>
              <w:right w:val="single" w:sz="4" w:space="0" w:color="auto"/>
            </w:tcBorders>
            <w:shd w:val="clear" w:color="auto" w:fill="auto"/>
            <w:noWrap/>
            <w:vAlign w:val="center"/>
            <w:hideMark/>
          </w:tcPr>
          <w:p w14:paraId="72CA7D2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498</w:t>
            </w:r>
          </w:p>
        </w:tc>
        <w:tc>
          <w:tcPr>
            <w:tcW w:w="429" w:type="dxa"/>
            <w:tcBorders>
              <w:top w:val="nil"/>
              <w:left w:val="nil"/>
              <w:bottom w:val="single" w:sz="4" w:space="0" w:color="auto"/>
              <w:right w:val="single" w:sz="4" w:space="0" w:color="auto"/>
            </w:tcBorders>
            <w:shd w:val="clear" w:color="auto" w:fill="auto"/>
            <w:noWrap/>
            <w:vAlign w:val="center"/>
            <w:hideMark/>
          </w:tcPr>
          <w:p w14:paraId="5D2F90D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505</w:t>
            </w:r>
          </w:p>
        </w:tc>
        <w:tc>
          <w:tcPr>
            <w:tcW w:w="429" w:type="dxa"/>
            <w:tcBorders>
              <w:top w:val="nil"/>
              <w:left w:val="nil"/>
              <w:bottom w:val="single" w:sz="4" w:space="0" w:color="auto"/>
              <w:right w:val="single" w:sz="4" w:space="0" w:color="auto"/>
            </w:tcBorders>
            <w:shd w:val="clear" w:color="auto" w:fill="auto"/>
            <w:noWrap/>
            <w:vAlign w:val="center"/>
            <w:hideMark/>
          </w:tcPr>
          <w:p w14:paraId="04D45BF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511</w:t>
            </w:r>
          </w:p>
        </w:tc>
        <w:tc>
          <w:tcPr>
            <w:tcW w:w="429" w:type="dxa"/>
            <w:tcBorders>
              <w:top w:val="nil"/>
              <w:left w:val="nil"/>
              <w:bottom w:val="single" w:sz="4" w:space="0" w:color="auto"/>
              <w:right w:val="single" w:sz="4" w:space="0" w:color="auto"/>
            </w:tcBorders>
            <w:shd w:val="clear" w:color="auto" w:fill="auto"/>
            <w:noWrap/>
            <w:vAlign w:val="center"/>
            <w:hideMark/>
          </w:tcPr>
          <w:p w14:paraId="61D85CE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517</w:t>
            </w:r>
          </w:p>
        </w:tc>
        <w:tc>
          <w:tcPr>
            <w:tcW w:w="429" w:type="dxa"/>
            <w:tcBorders>
              <w:top w:val="nil"/>
              <w:left w:val="nil"/>
              <w:bottom w:val="single" w:sz="4" w:space="0" w:color="auto"/>
              <w:right w:val="single" w:sz="4" w:space="0" w:color="auto"/>
            </w:tcBorders>
            <w:shd w:val="clear" w:color="auto" w:fill="auto"/>
            <w:noWrap/>
            <w:vAlign w:val="center"/>
            <w:hideMark/>
          </w:tcPr>
          <w:p w14:paraId="447206A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523</w:t>
            </w:r>
          </w:p>
        </w:tc>
        <w:tc>
          <w:tcPr>
            <w:tcW w:w="429" w:type="dxa"/>
            <w:tcBorders>
              <w:top w:val="nil"/>
              <w:left w:val="nil"/>
              <w:bottom w:val="single" w:sz="4" w:space="0" w:color="auto"/>
              <w:right w:val="single" w:sz="4" w:space="0" w:color="auto"/>
            </w:tcBorders>
            <w:shd w:val="clear" w:color="auto" w:fill="auto"/>
            <w:noWrap/>
            <w:vAlign w:val="center"/>
            <w:hideMark/>
          </w:tcPr>
          <w:p w14:paraId="6575251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529</w:t>
            </w:r>
          </w:p>
        </w:tc>
      </w:tr>
      <w:tr w:rsidR="00F75183" w:rsidRPr="00B85017" w14:paraId="7023D9CD"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326F7188"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78632C85"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400</w:t>
            </w:r>
          </w:p>
        </w:tc>
        <w:tc>
          <w:tcPr>
            <w:tcW w:w="429" w:type="dxa"/>
            <w:tcBorders>
              <w:top w:val="nil"/>
              <w:left w:val="nil"/>
              <w:bottom w:val="single" w:sz="4" w:space="0" w:color="auto"/>
              <w:right w:val="single" w:sz="4" w:space="0" w:color="auto"/>
            </w:tcBorders>
            <w:shd w:val="clear" w:color="auto" w:fill="auto"/>
            <w:noWrap/>
            <w:vAlign w:val="center"/>
            <w:hideMark/>
          </w:tcPr>
          <w:p w14:paraId="0FAFDA6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363</w:t>
            </w:r>
          </w:p>
        </w:tc>
        <w:tc>
          <w:tcPr>
            <w:tcW w:w="429" w:type="dxa"/>
            <w:tcBorders>
              <w:top w:val="nil"/>
              <w:left w:val="nil"/>
              <w:bottom w:val="single" w:sz="4" w:space="0" w:color="auto"/>
              <w:right w:val="single" w:sz="4" w:space="0" w:color="auto"/>
            </w:tcBorders>
            <w:shd w:val="clear" w:color="auto" w:fill="auto"/>
            <w:noWrap/>
            <w:vAlign w:val="center"/>
            <w:hideMark/>
          </w:tcPr>
          <w:p w14:paraId="685ABDC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376</w:t>
            </w:r>
          </w:p>
        </w:tc>
        <w:tc>
          <w:tcPr>
            <w:tcW w:w="429" w:type="dxa"/>
            <w:tcBorders>
              <w:top w:val="nil"/>
              <w:left w:val="nil"/>
              <w:bottom w:val="single" w:sz="4" w:space="0" w:color="auto"/>
              <w:right w:val="single" w:sz="4" w:space="0" w:color="auto"/>
            </w:tcBorders>
            <w:shd w:val="clear" w:color="auto" w:fill="auto"/>
            <w:noWrap/>
            <w:vAlign w:val="center"/>
            <w:hideMark/>
          </w:tcPr>
          <w:p w14:paraId="7C2FF1C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389</w:t>
            </w:r>
          </w:p>
        </w:tc>
        <w:tc>
          <w:tcPr>
            <w:tcW w:w="429" w:type="dxa"/>
            <w:tcBorders>
              <w:top w:val="nil"/>
              <w:left w:val="nil"/>
              <w:bottom w:val="single" w:sz="4" w:space="0" w:color="auto"/>
              <w:right w:val="single" w:sz="4" w:space="0" w:color="auto"/>
            </w:tcBorders>
            <w:shd w:val="clear" w:color="auto" w:fill="auto"/>
            <w:noWrap/>
            <w:vAlign w:val="center"/>
            <w:hideMark/>
          </w:tcPr>
          <w:p w14:paraId="565C5C9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400</w:t>
            </w:r>
          </w:p>
        </w:tc>
        <w:tc>
          <w:tcPr>
            <w:tcW w:w="429" w:type="dxa"/>
            <w:tcBorders>
              <w:top w:val="nil"/>
              <w:left w:val="nil"/>
              <w:bottom w:val="single" w:sz="4" w:space="0" w:color="auto"/>
              <w:right w:val="single" w:sz="4" w:space="0" w:color="auto"/>
            </w:tcBorders>
            <w:shd w:val="clear" w:color="auto" w:fill="auto"/>
            <w:noWrap/>
            <w:vAlign w:val="center"/>
            <w:hideMark/>
          </w:tcPr>
          <w:p w14:paraId="3059680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411</w:t>
            </w:r>
          </w:p>
        </w:tc>
        <w:tc>
          <w:tcPr>
            <w:tcW w:w="429" w:type="dxa"/>
            <w:tcBorders>
              <w:top w:val="nil"/>
              <w:left w:val="nil"/>
              <w:bottom w:val="single" w:sz="4" w:space="0" w:color="auto"/>
              <w:right w:val="single" w:sz="4" w:space="0" w:color="auto"/>
            </w:tcBorders>
            <w:shd w:val="clear" w:color="auto" w:fill="auto"/>
            <w:noWrap/>
            <w:vAlign w:val="center"/>
            <w:hideMark/>
          </w:tcPr>
          <w:p w14:paraId="70F86D1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421</w:t>
            </w:r>
          </w:p>
        </w:tc>
        <w:tc>
          <w:tcPr>
            <w:tcW w:w="429" w:type="dxa"/>
            <w:tcBorders>
              <w:top w:val="nil"/>
              <w:left w:val="nil"/>
              <w:bottom w:val="single" w:sz="4" w:space="0" w:color="auto"/>
              <w:right w:val="single" w:sz="4" w:space="0" w:color="auto"/>
            </w:tcBorders>
            <w:shd w:val="clear" w:color="auto" w:fill="auto"/>
            <w:noWrap/>
            <w:vAlign w:val="center"/>
            <w:hideMark/>
          </w:tcPr>
          <w:p w14:paraId="057F07E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431</w:t>
            </w:r>
          </w:p>
        </w:tc>
        <w:tc>
          <w:tcPr>
            <w:tcW w:w="429" w:type="dxa"/>
            <w:tcBorders>
              <w:top w:val="nil"/>
              <w:left w:val="nil"/>
              <w:bottom w:val="single" w:sz="4" w:space="0" w:color="auto"/>
              <w:right w:val="single" w:sz="4" w:space="0" w:color="auto"/>
            </w:tcBorders>
            <w:shd w:val="clear" w:color="auto" w:fill="auto"/>
            <w:noWrap/>
            <w:vAlign w:val="center"/>
            <w:hideMark/>
          </w:tcPr>
          <w:p w14:paraId="755F8B2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440</w:t>
            </w:r>
          </w:p>
        </w:tc>
        <w:tc>
          <w:tcPr>
            <w:tcW w:w="429" w:type="dxa"/>
            <w:tcBorders>
              <w:top w:val="nil"/>
              <w:left w:val="nil"/>
              <w:bottom w:val="single" w:sz="4" w:space="0" w:color="auto"/>
              <w:right w:val="single" w:sz="4" w:space="0" w:color="auto"/>
            </w:tcBorders>
            <w:shd w:val="clear" w:color="auto" w:fill="auto"/>
            <w:noWrap/>
            <w:vAlign w:val="center"/>
            <w:hideMark/>
          </w:tcPr>
          <w:p w14:paraId="6D6932C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449</w:t>
            </w:r>
          </w:p>
        </w:tc>
        <w:tc>
          <w:tcPr>
            <w:tcW w:w="429" w:type="dxa"/>
            <w:tcBorders>
              <w:top w:val="nil"/>
              <w:left w:val="nil"/>
              <w:bottom w:val="single" w:sz="4" w:space="0" w:color="auto"/>
              <w:right w:val="single" w:sz="4" w:space="0" w:color="auto"/>
            </w:tcBorders>
            <w:shd w:val="clear" w:color="auto" w:fill="auto"/>
            <w:noWrap/>
            <w:vAlign w:val="center"/>
            <w:hideMark/>
          </w:tcPr>
          <w:p w14:paraId="77CDC25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458</w:t>
            </w:r>
          </w:p>
        </w:tc>
        <w:tc>
          <w:tcPr>
            <w:tcW w:w="429" w:type="dxa"/>
            <w:tcBorders>
              <w:top w:val="nil"/>
              <w:left w:val="nil"/>
              <w:bottom w:val="single" w:sz="4" w:space="0" w:color="auto"/>
              <w:right w:val="single" w:sz="4" w:space="0" w:color="auto"/>
            </w:tcBorders>
            <w:shd w:val="clear" w:color="auto" w:fill="auto"/>
            <w:noWrap/>
            <w:vAlign w:val="center"/>
            <w:hideMark/>
          </w:tcPr>
          <w:p w14:paraId="2BA5CA3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466</w:t>
            </w:r>
          </w:p>
        </w:tc>
        <w:tc>
          <w:tcPr>
            <w:tcW w:w="429" w:type="dxa"/>
            <w:tcBorders>
              <w:top w:val="nil"/>
              <w:left w:val="nil"/>
              <w:bottom w:val="single" w:sz="4" w:space="0" w:color="auto"/>
              <w:right w:val="single" w:sz="4" w:space="0" w:color="auto"/>
            </w:tcBorders>
            <w:shd w:val="clear" w:color="auto" w:fill="auto"/>
            <w:noWrap/>
            <w:vAlign w:val="center"/>
            <w:hideMark/>
          </w:tcPr>
          <w:p w14:paraId="124C746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474</w:t>
            </w:r>
          </w:p>
        </w:tc>
        <w:tc>
          <w:tcPr>
            <w:tcW w:w="429" w:type="dxa"/>
            <w:tcBorders>
              <w:top w:val="nil"/>
              <w:left w:val="nil"/>
              <w:bottom w:val="single" w:sz="4" w:space="0" w:color="auto"/>
              <w:right w:val="single" w:sz="4" w:space="0" w:color="auto"/>
            </w:tcBorders>
            <w:shd w:val="clear" w:color="auto" w:fill="auto"/>
            <w:noWrap/>
            <w:vAlign w:val="center"/>
            <w:hideMark/>
          </w:tcPr>
          <w:p w14:paraId="1A198E7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482</w:t>
            </w:r>
          </w:p>
        </w:tc>
        <w:tc>
          <w:tcPr>
            <w:tcW w:w="429" w:type="dxa"/>
            <w:tcBorders>
              <w:top w:val="nil"/>
              <w:left w:val="nil"/>
              <w:bottom w:val="single" w:sz="4" w:space="0" w:color="auto"/>
              <w:right w:val="single" w:sz="4" w:space="0" w:color="auto"/>
            </w:tcBorders>
            <w:shd w:val="clear" w:color="auto" w:fill="auto"/>
            <w:noWrap/>
            <w:vAlign w:val="center"/>
            <w:hideMark/>
          </w:tcPr>
          <w:p w14:paraId="617C6F2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490</w:t>
            </w:r>
          </w:p>
        </w:tc>
        <w:tc>
          <w:tcPr>
            <w:tcW w:w="429" w:type="dxa"/>
            <w:tcBorders>
              <w:top w:val="nil"/>
              <w:left w:val="nil"/>
              <w:bottom w:val="single" w:sz="4" w:space="0" w:color="auto"/>
              <w:right w:val="single" w:sz="4" w:space="0" w:color="auto"/>
            </w:tcBorders>
            <w:shd w:val="clear" w:color="auto" w:fill="auto"/>
            <w:noWrap/>
            <w:vAlign w:val="center"/>
            <w:hideMark/>
          </w:tcPr>
          <w:p w14:paraId="7DC052C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497</w:t>
            </w:r>
          </w:p>
        </w:tc>
        <w:tc>
          <w:tcPr>
            <w:tcW w:w="429" w:type="dxa"/>
            <w:tcBorders>
              <w:top w:val="nil"/>
              <w:left w:val="nil"/>
              <w:bottom w:val="single" w:sz="4" w:space="0" w:color="auto"/>
              <w:right w:val="single" w:sz="4" w:space="0" w:color="auto"/>
            </w:tcBorders>
            <w:shd w:val="clear" w:color="auto" w:fill="auto"/>
            <w:noWrap/>
            <w:vAlign w:val="center"/>
            <w:hideMark/>
          </w:tcPr>
          <w:p w14:paraId="5633831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504</w:t>
            </w:r>
          </w:p>
        </w:tc>
        <w:tc>
          <w:tcPr>
            <w:tcW w:w="429" w:type="dxa"/>
            <w:tcBorders>
              <w:top w:val="nil"/>
              <w:left w:val="nil"/>
              <w:bottom w:val="single" w:sz="4" w:space="0" w:color="auto"/>
              <w:right w:val="single" w:sz="4" w:space="0" w:color="auto"/>
            </w:tcBorders>
            <w:shd w:val="clear" w:color="auto" w:fill="auto"/>
            <w:noWrap/>
            <w:vAlign w:val="center"/>
            <w:hideMark/>
          </w:tcPr>
          <w:p w14:paraId="1137EBA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511</w:t>
            </w:r>
          </w:p>
        </w:tc>
        <w:tc>
          <w:tcPr>
            <w:tcW w:w="429" w:type="dxa"/>
            <w:tcBorders>
              <w:top w:val="nil"/>
              <w:left w:val="nil"/>
              <w:bottom w:val="single" w:sz="4" w:space="0" w:color="auto"/>
              <w:right w:val="single" w:sz="4" w:space="0" w:color="auto"/>
            </w:tcBorders>
            <w:shd w:val="clear" w:color="auto" w:fill="auto"/>
            <w:noWrap/>
            <w:vAlign w:val="center"/>
            <w:hideMark/>
          </w:tcPr>
          <w:p w14:paraId="2957722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518</w:t>
            </w:r>
          </w:p>
        </w:tc>
        <w:tc>
          <w:tcPr>
            <w:tcW w:w="429" w:type="dxa"/>
            <w:tcBorders>
              <w:top w:val="nil"/>
              <w:left w:val="nil"/>
              <w:bottom w:val="single" w:sz="4" w:space="0" w:color="auto"/>
              <w:right w:val="single" w:sz="4" w:space="0" w:color="auto"/>
            </w:tcBorders>
            <w:shd w:val="clear" w:color="auto" w:fill="auto"/>
            <w:noWrap/>
            <w:vAlign w:val="center"/>
            <w:hideMark/>
          </w:tcPr>
          <w:p w14:paraId="1AC2326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524</w:t>
            </w:r>
          </w:p>
        </w:tc>
        <w:tc>
          <w:tcPr>
            <w:tcW w:w="429" w:type="dxa"/>
            <w:tcBorders>
              <w:top w:val="nil"/>
              <w:left w:val="nil"/>
              <w:bottom w:val="single" w:sz="4" w:space="0" w:color="auto"/>
              <w:right w:val="single" w:sz="4" w:space="0" w:color="auto"/>
            </w:tcBorders>
            <w:shd w:val="clear" w:color="auto" w:fill="auto"/>
            <w:noWrap/>
            <w:vAlign w:val="center"/>
            <w:hideMark/>
          </w:tcPr>
          <w:p w14:paraId="27139DA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531</w:t>
            </w:r>
          </w:p>
        </w:tc>
        <w:tc>
          <w:tcPr>
            <w:tcW w:w="429" w:type="dxa"/>
            <w:tcBorders>
              <w:top w:val="nil"/>
              <w:left w:val="nil"/>
              <w:bottom w:val="single" w:sz="4" w:space="0" w:color="auto"/>
              <w:right w:val="single" w:sz="4" w:space="0" w:color="auto"/>
            </w:tcBorders>
            <w:shd w:val="clear" w:color="auto" w:fill="auto"/>
            <w:noWrap/>
            <w:vAlign w:val="center"/>
            <w:hideMark/>
          </w:tcPr>
          <w:p w14:paraId="36934D5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537</w:t>
            </w:r>
          </w:p>
        </w:tc>
        <w:tc>
          <w:tcPr>
            <w:tcW w:w="429" w:type="dxa"/>
            <w:tcBorders>
              <w:top w:val="nil"/>
              <w:left w:val="nil"/>
              <w:bottom w:val="single" w:sz="4" w:space="0" w:color="auto"/>
              <w:right w:val="single" w:sz="4" w:space="0" w:color="auto"/>
            </w:tcBorders>
            <w:shd w:val="clear" w:color="auto" w:fill="auto"/>
            <w:noWrap/>
            <w:vAlign w:val="center"/>
            <w:hideMark/>
          </w:tcPr>
          <w:p w14:paraId="4C0B7F6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543</w:t>
            </w:r>
          </w:p>
        </w:tc>
      </w:tr>
      <w:tr w:rsidR="00F75183" w:rsidRPr="00B85017" w14:paraId="5ACAEE5C"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2A677493"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5DF002D8"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410</w:t>
            </w:r>
          </w:p>
        </w:tc>
        <w:tc>
          <w:tcPr>
            <w:tcW w:w="429" w:type="dxa"/>
            <w:tcBorders>
              <w:top w:val="nil"/>
              <w:left w:val="nil"/>
              <w:bottom w:val="single" w:sz="4" w:space="0" w:color="auto"/>
              <w:right w:val="single" w:sz="4" w:space="0" w:color="auto"/>
            </w:tcBorders>
            <w:shd w:val="clear" w:color="auto" w:fill="auto"/>
            <w:noWrap/>
            <w:vAlign w:val="center"/>
            <w:hideMark/>
          </w:tcPr>
          <w:p w14:paraId="5BA9F15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373</w:t>
            </w:r>
          </w:p>
        </w:tc>
        <w:tc>
          <w:tcPr>
            <w:tcW w:w="429" w:type="dxa"/>
            <w:tcBorders>
              <w:top w:val="nil"/>
              <w:left w:val="nil"/>
              <w:bottom w:val="single" w:sz="4" w:space="0" w:color="auto"/>
              <w:right w:val="single" w:sz="4" w:space="0" w:color="auto"/>
            </w:tcBorders>
            <w:shd w:val="clear" w:color="auto" w:fill="auto"/>
            <w:noWrap/>
            <w:vAlign w:val="center"/>
            <w:hideMark/>
          </w:tcPr>
          <w:p w14:paraId="219C340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386</w:t>
            </w:r>
          </w:p>
        </w:tc>
        <w:tc>
          <w:tcPr>
            <w:tcW w:w="429" w:type="dxa"/>
            <w:tcBorders>
              <w:top w:val="nil"/>
              <w:left w:val="nil"/>
              <w:bottom w:val="single" w:sz="4" w:space="0" w:color="auto"/>
              <w:right w:val="single" w:sz="4" w:space="0" w:color="auto"/>
            </w:tcBorders>
            <w:shd w:val="clear" w:color="auto" w:fill="auto"/>
            <w:noWrap/>
            <w:vAlign w:val="center"/>
            <w:hideMark/>
          </w:tcPr>
          <w:p w14:paraId="0085BF5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398</w:t>
            </w:r>
          </w:p>
        </w:tc>
        <w:tc>
          <w:tcPr>
            <w:tcW w:w="429" w:type="dxa"/>
            <w:tcBorders>
              <w:top w:val="nil"/>
              <w:left w:val="nil"/>
              <w:bottom w:val="single" w:sz="4" w:space="0" w:color="auto"/>
              <w:right w:val="single" w:sz="4" w:space="0" w:color="auto"/>
            </w:tcBorders>
            <w:shd w:val="clear" w:color="auto" w:fill="auto"/>
            <w:noWrap/>
            <w:vAlign w:val="center"/>
            <w:hideMark/>
          </w:tcPr>
          <w:p w14:paraId="26099C8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410</w:t>
            </w:r>
          </w:p>
        </w:tc>
        <w:tc>
          <w:tcPr>
            <w:tcW w:w="429" w:type="dxa"/>
            <w:tcBorders>
              <w:top w:val="nil"/>
              <w:left w:val="nil"/>
              <w:bottom w:val="single" w:sz="4" w:space="0" w:color="auto"/>
              <w:right w:val="single" w:sz="4" w:space="0" w:color="auto"/>
            </w:tcBorders>
            <w:shd w:val="clear" w:color="auto" w:fill="auto"/>
            <w:noWrap/>
            <w:vAlign w:val="center"/>
            <w:hideMark/>
          </w:tcPr>
          <w:p w14:paraId="59C5FA6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421</w:t>
            </w:r>
          </w:p>
        </w:tc>
        <w:tc>
          <w:tcPr>
            <w:tcW w:w="429" w:type="dxa"/>
            <w:tcBorders>
              <w:top w:val="nil"/>
              <w:left w:val="nil"/>
              <w:bottom w:val="single" w:sz="4" w:space="0" w:color="auto"/>
              <w:right w:val="single" w:sz="4" w:space="0" w:color="auto"/>
            </w:tcBorders>
            <w:shd w:val="clear" w:color="auto" w:fill="auto"/>
            <w:noWrap/>
            <w:vAlign w:val="center"/>
            <w:hideMark/>
          </w:tcPr>
          <w:p w14:paraId="1B23F1D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432</w:t>
            </w:r>
          </w:p>
        </w:tc>
        <w:tc>
          <w:tcPr>
            <w:tcW w:w="429" w:type="dxa"/>
            <w:tcBorders>
              <w:top w:val="nil"/>
              <w:left w:val="nil"/>
              <w:bottom w:val="single" w:sz="4" w:space="0" w:color="auto"/>
              <w:right w:val="single" w:sz="4" w:space="0" w:color="auto"/>
            </w:tcBorders>
            <w:shd w:val="clear" w:color="auto" w:fill="auto"/>
            <w:noWrap/>
            <w:vAlign w:val="center"/>
            <w:hideMark/>
          </w:tcPr>
          <w:p w14:paraId="4D025C2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442</w:t>
            </w:r>
          </w:p>
        </w:tc>
        <w:tc>
          <w:tcPr>
            <w:tcW w:w="429" w:type="dxa"/>
            <w:tcBorders>
              <w:top w:val="nil"/>
              <w:left w:val="nil"/>
              <w:bottom w:val="single" w:sz="4" w:space="0" w:color="auto"/>
              <w:right w:val="single" w:sz="4" w:space="0" w:color="auto"/>
            </w:tcBorders>
            <w:shd w:val="clear" w:color="auto" w:fill="auto"/>
            <w:noWrap/>
            <w:vAlign w:val="center"/>
            <w:hideMark/>
          </w:tcPr>
          <w:p w14:paraId="6E95950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451</w:t>
            </w:r>
          </w:p>
        </w:tc>
        <w:tc>
          <w:tcPr>
            <w:tcW w:w="429" w:type="dxa"/>
            <w:tcBorders>
              <w:top w:val="nil"/>
              <w:left w:val="nil"/>
              <w:bottom w:val="single" w:sz="4" w:space="0" w:color="auto"/>
              <w:right w:val="single" w:sz="4" w:space="0" w:color="auto"/>
            </w:tcBorders>
            <w:shd w:val="clear" w:color="auto" w:fill="auto"/>
            <w:noWrap/>
            <w:vAlign w:val="center"/>
            <w:hideMark/>
          </w:tcPr>
          <w:p w14:paraId="7B8370C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460</w:t>
            </w:r>
          </w:p>
        </w:tc>
        <w:tc>
          <w:tcPr>
            <w:tcW w:w="429" w:type="dxa"/>
            <w:tcBorders>
              <w:top w:val="nil"/>
              <w:left w:val="nil"/>
              <w:bottom w:val="single" w:sz="4" w:space="0" w:color="auto"/>
              <w:right w:val="single" w:sz="4" w:space="0" w:color="auto"/>
            </w:tcBorders>
            <w:shd w:val="clear" w:color="auto" w:fill="auto"/>
            <w:noWrap/>
            <w:vAlign w:val="center"/>
            <w:hideMark/>
          </w:tcPr>
          <w:p w14:paraId="7C8B767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469</w:t>
            </w:r>
          </w:p>
        </w:tc>
        <w:tc>
          <w:tcPr>
            <w:tcW w:w="429" w:type="dxa"/>
            <w:tcBorders>
              <w:top w:val="nil"/>
              <w:left w:val="nil"/>
              <w:bottom w:val="single" w:sz="4" w:space="0" w:color="auto"/>
              <w:right w:val="single" w:sz="4" w:space="0" w:color="auto"/>
            </w:tcBorders>
            <w:shd w:val="clear" w:color="auto" w:fill="auto"/>
            <w:noWrap/>
            <w:vAlign w:val="center"/>
            <w:hideMark/>
          </w:tcPr>
          <w:p w14:paraId="0D4C6EC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478</w:t>
            </w:r>
          </w:p>
        </w:tc>
        <w:tc>
          <w:tcPr>
            <w:tcW w:w="429" w:type="dxa"/>
            <w:tcBorders>
              <w:top w:val="nil"/>
              <w:left w:val="nil"/>
              <w:bottom w:val="single" w:sz="4" w:space="0" w:color="auto"/>
              <w:right w:val="single" w:sz="4" w:space="0" w:color="auto"/>
            </w:tcBorders>
            <w:shd w:val="clear" w:color="auto" w:fill="auto"/>
            <w:noWrap/>
            <w:vAlign w:val="center"/>
            <w:hideMark/>
          </w:tcPr>
          <w:p w14:paraId="4843718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486</w:t>
            </w:r>
          </w:p>
        </w:tc>
        <w:tc>
          <w:tcPr>
            <w:tcW w:w="429" w:type="dxa"/>
            <w:tcBorders>
              <w:top w:val="nil"/>
              <w:left w:val="nil"/>
              <w:bottom w:val="single" w:sz="4" w:space="0" w:color="auto"/>
              <w:right w:val="single" w:sz="4" w:space="0" w:color="auto"/>
            </w:tcBorders>
            <w:shd w:val="clear" w:color="auto" w:fill="auto"/>
            <w:noWrap/>
            <w:vAlign w:val="center"/>
            <w:hideMark/>
          </w:tcPr>
          <w:p w14:paraId="5E675E0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494</w:t>
            </w:r>
          </w:p>
        </w:tc>
        <w:tc>
          <w:tcPr>
            <w:tcW w:w="429" w:type="dxa"/>
            <w:tcBorders>
              <w:top w:val="nil"/>
              <w:left w:val="nil"/>
              <w:bottom w:val="single" w:sz="4" w:space="0" w:color="auto"/>
              <w:right w:val="single" w:sz="4" w:space="0" w:color="auto"/>
            </w:tcBorders>
            <w:shd w:val="clear" w:color="auto" w:fill="auto"/>
            <w:noWrap/>
            <w:vAlign w:val="center"/>
            <w:hideMark/>
          </w:tcPr>
          <w:p w14:paraId="3E8FE4E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502</w:t>
            </w:r>
          </w:p>
        </w:tc>
        <w:tc>
          <w:tcPr>
            <w:tcW w:w="429" w:type="dxa"/>
            <w:tcBorders>
              <w:top w:val="nil"/>
              <w:left w:val="nil"/>
              <w:bottom w:val="single" w:sz="4" w:space="0" w:color="auto"/>
              <w:right w:val="single" w:sz="4" w:space="0" w:color="auto"/>
            </w:tcBorders>
            <w:shd w:val="clear" w:color="auto" w:fill="auto"/>
            <w:noWrap/>
            <w:vAlign w:val="center"/>
            <w:hideMark/>
          </w:tcPr>
          <w:p w14:paraId="314E278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509</w:t>
            </w:r>
          </w:p>
        </w:tc>
        <w:tc>
          <w:tcPr>
            <w:tcW w:w="429" w:type="dxa"/>
            <w:tcBorders>
              <w:top w:val="nil"/>
              <w:left w:val="nil"/>
              <w:bottom w:val="single" w:sz="4" w:space="0" w:color="auto"/>
              <w:right w:val="single" w:sz="4" w:space="0" w:color="auto"/>
            </w:tcBorders>
            <w:shd w:val="clear" w:color="auto" w:fill="auto"/>
            <w:noWrap/>
            <w:vAlign w:val="center"/>
            <w:hideMark/>
          </w:tcPr>
          <w:p w14:paraId="1E4F07D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517</w:t>
            </w:r>
          </w:p>
        </w:tc>
        <w:tc>
          <w:tcPr>
            <w:tcW w:w="429" w:type="dxa"/>
            <w:tcBorders>
              <w:top w:val="nil"/>
              <w:left w:val="nil"/>
              <w:bottom w:val="single" w:sz="4" w:space="0" w:color="auto"/>
              <w:right w:val="single" w:sz="4" w:space="0" w:color="auto"/>
            </w:tcBorders>
            <w:shd w:val="clear" w:color="auto" w:fill="auto"/>
            <w:noWrap/>
            <w:vAlign w:val="center"/>
            <w:hideMark/>
          </w:tcPr>
          <w:p w14:paraId="58EC738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524</w:t>
            </w:r>
          </w:p>
        </w:tc>
        <w:tc>
          <w:tcPr>
            <w:tcW w:w="429" w:type="dxa"/>
            <w:tcBorders>
              <w:top w:val="nil"/>
              <w:left w:val="nil"/>
              <w:bottom w:val="single" w:sz="4" w:space="0" w:color="auto"/>
              <w:right w:val="single" w:sz="4" w:space="0" w:color="auto"/>
            </w:tcBorders>
            <w:shd w:val="clear" w:color="auto" w:fill="auto"/>
            <w:noWrap/>
            <w:vAlign w:val="center"/>
            <w:hideMark/>
          </w:tcPr>
          <w:p w14:paraId="0218291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531</w:t>
            </w:r>
          </w:p>
        </w:tc>
        <w:tc>
          <w:tcPr>
            <w:tcW w:w="429" w:type="dxa"/>
            <w:tcBorders>
              <w:top w:val="nil"/>
              <w:left w:val="nil"/>
              <w:bottom w:val="single" w:sz="4" w:space="0" w:color="auto"/>
              <w:right w:val="single" w:sz="4" w:space="0" w:color="auto"/>
            </w:tcBorders>
            <w:shd w:val="clear" w:color="auto" w:fill="auto"/>
            <w:noWrap/>
            <w:vAlign w:val="center"/>
            <w:hideMark/>
          </w:tcPr>
          <w:p w14:paraId="73EDB35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537</w:t>
            </w:r>
          </w:p>
        </w:tc>
        <w:tc>
          <w:tcPr>
            <w:tcW w:w="429" w:type="dxa"/>
            <w:tcBorders>
              <w:top w:val="nil"/>
              <w:left w:val="nil"/>
              <w:bottom w:val="single" w:sz="4" w:space="0" w:color="auto"/>
              <w:right w:val="single" w:sz="4" w:space="0" w:color="auto"/>
            </w:tcBorders>
            <w:shd w:val="clear" w:color="auto" w:fill="auto"/>
            <w:noWrap/>
            <w:vAlign w:val="center"/>
            <w:hideMark/>
          </w:tcPr>
          <w:p w14:paraId="01061C3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544</w:t>
            </w:r>
          </w:p>
        </w:tc>
        <w:tc>
          <w:tcPr>
            <w:tcW w:w="429" w:type="dxa"/>
            <w:tcBorders>
              <w:top w:val="nil"/>
              <w:left w:val="nil"/>
              <w:bottom w:val="single" w:sz="4" w:space="0" w:color="auto"/>
              <w:right w:val="single" w:sz="4" w:space="0" w:color="auto"/>
            </w:tcBorders>
            <w:shd w:val="clear" w:color="auto" w:fill="auto"/>
            <w:noWrap/>
            <w:vAlign w:val="center"/>
            <w:hideMark/>
          </w:tcPr>
          <w:p w14:paraId="6274AA3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550</w:t>
            </w:r>
          </w:p>
        </w:tc>
        <w:tc>
          <w:tcPr>
            <w:tcW w:w="429" w:type="dxa"/>
            <w:tcBorders>
              <w:top w:val="nil"/>
              <w:left w:val="nil"/>
              <w:bottom w:val="single" w:sz="4" w:space="0" w:color="auto"/>
              <w:right w:val="single" w:sz="4" w:space="0" w:color="auto"/>
            </w:tcBorders>
            <w:shd w:val="clear" w:color="auto" w:fill="auto"/>
            <w:noWrap/>
            <w:vAlign w:val="center"/>
            <w:hideMark/>
          </w:tcPr>
          <w:p w14:paraId="30B2EA1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556</w:t>
            </w:r>
          </w:p>
        </w:tc>
      </w:tr>
      <w:tr w:rsidR="00F75183" w:rsidRPr="00B85017" w14:paraId="60C26EDB"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36272B3F"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17B2D1FA"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420</w:t>
            </w:r>
          </w:p>
        </w:tc>
        <w:tc>
          <w:tcPr>
            <w:tcW w:w="429" w:type="dxa"/>
            <w:tcBorders>
              <w:top w:val="nil"/>
              <w:left w:val="nil"/>
              <w:bottom w:val="single" w:sz="4" w:space="0" w:color="auto"/>
              <w:right w:val="single" w:sz="4" w:space="0" w:color="auto"/>
            </w:tcBorders>
            <w:shd w:val="clear" w:color="auto" w:fill="auto"/>
            <w:noWrap/>
            <w:vAlign w:val="center"/>
            <w:hideMark/>
          </w:tcPr>
          <w:p w14:paraId="422E1F3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382</w:t>
            </w:r>
          </w:p>
        </w:tc>
        <w:tc>
          <w:tcPr>
            <w:tcW w:w="429" w:type="dxa"/>
            <w:tcBorders>
              <w:top w:val="nil"/>
              <w:left w:val="nil"/>
              <w:bottom w:val="single" w:sz="4" w:space="0" w:color="auto"/>
              <w:right w:val="single" w:sz="4" w:space="0" w:color="auto"/>
            </w:tcBorders>
            <w:shd w:val="clear" w:color="auto" w:fill="auto"/>
            <w:noWrap/>
            <w:vAlign w:val="center"/>
            <w:hideMark/>
          </w:tcPr>
          <w:p w14:paraId="7E71429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395</w:t>
            </w:r>
          </w:p>
        </w:tc>
        <w:tc>
          <w:tcPr>
            <w:tcW w:w="429" w:type="dxa"/>
            <w:tcBorders>
              <w:top w:val="nil"/>
              <w:left w:val="nil"/>
              <w:bottom w:val="single" w:sz="4" w:space="0" w:color="auto"/>
              <w:right w:val="single" w:sz="4" w:space="0" w:color="auto"/>
            </w:tcBorders>
            <w:shd w:val="clear" w:color="auto" w:fill="auto"/>
            <w:noWrap/>
            <w:vAlign w:val="center"/>
            <w:hideMark/>
          </w:tcPr>
          <w:p w14:paraId="5A13CBF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408</w:t>
            </w:r>
          </w:p>
        </w:tc>
        <w:tc>
          <w:tcPr>
            <w:tcW w:w="429" w:type="dxa"/>
            <w:tcBorders>
              <w:top w:val="nil"/>
              <w:left w:val="nil"/>
              <w:bottom w:val="single" w:sz="4" w:space="0" w:color="auto"/>
              <w:right w:val="single" w:sz="4" w:space="0" w:color="auto"/>
            </w:tcBorders>
            <w:shd w:val="clear" w:color="auto" w:fill="auto"/>
            <w:noWrap/>
            <w:vAlign w:val="center"/>
            <w:hideMark/>
          </w:tcPr>
          <w:p w14:paraId="448445A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420</w:t>
            </w:r>
          </w:p>
        </w:tc>
        <w:tc>
          <w:tcPr>
            <w:tcW w:w="429" w:type="dxa"/>
            <w:tcBorders>
              <w:top w:val="nil"/>
              <w:left w:val="nil"/>
              <w:bottom w:val="single" w:sz="4" w:space="0" w:color="auto"/>
              <w:right w:val="single" w:sz="4" w:space="0" w:color="auto"/>
            </w:tcBorders>
            <w:shd w:val="clear" w:color="auto" w:fill="auto"/>
            <w:noWrap/>
            <w:vAlign w:val="center"/>
            <w:hideMark/>
          </w:tcPr>
          <w:p w14:paraId="2170F4B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431</w:t>
            </w:r>
          </w:p>
        </w:tc>
        <w:tc>
          <w:tcPr>
            <w:tcW w:w="429" w:type="dxa"/>
            <w:tcBorders>
              <w:top w:val="nil"/>
              <w:left w:val="nil"/>
              <w:bottom w:val="single" w:sz="4" w:space="0" w:color="auto"/>
              <w:right w:val="single" w:sz="4" w:space="0" w:color="auto"/>
            </w:tcBorders>
            <w:shd w:val="clear" w:color="auto" w:fill="auto"/>
            <w:noWrap/>
            <w:vAlign w:val="center"/>
            <w:hideMark/>
          </w:tcPr>
          <w:p w14:paraId="0569745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442</w:t>
            </w:r>
          </w:p>
        </w:tc>
        <w:tc>
          <w:tcPr>
            <w:tcW w:w="429" w:type="dxa"/>
            <w:tcBorders>
              <w:top w:val="nil"/>
              <w:left w:val="nil"/>
              <w:bottom w:val="single" w:sz="4" w:space="0" w:color="auto"/>
              <w:right w:val="single" w:sz="4" w:space="0" w:color="auto"/>
            </w:tcBorders>
            <w:shd w:val="clear" w:color="auto" w:fill="auto"/>
            <w:noWrap/>
            <w:vAlign w:val="center"/>
            <w:hideMark/>
          </w:tcPr>
          <w:p w14:paraId="39A0EF3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452</w:t>
            </w:r>
          </w:p>
        </w:tc>
        <w:tc>
          <w:tcPr>
            <w:tcW w:w="429" w:type="dxa"/>
            <w:tcBorders>
              <w:top w:val="nil"/>
              <w:left w:val="nil"/>
              <w:bottom w:val="single" w:sz="4" w:space="0" w:color="auto"/>
              <w:right w:val="single" w:sz="4" w:space="0" w:color="auto"/>
            </w:tcBorders>
            <w:shd w:val="clear" w:color="auto" w:fill="auto"/>
            <w:noWrap/>
            <w:vAlign w:val="center"/>
            <w:hideMark/>
          </w:tcPr>
          <w:p w14:paraId="6E06FBD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462</w:t>
            </w:r>
          </w:p>
        </w:tc>
        <w:tc>
          <w:tcPr>
            <w:tcW w:w="429" w:type="dxa"/>
            <w:tcBorders>
              <w:top w:val="nil"/>
              <w:left w:val="nil"/>
              <w:bottom w:val="single" w:sz="4" w:space="0" w:color="auto"/>
              <w:right w:val="single" w:sz="4" w:space="0" w:color="auto"/>
            </w:tcBorders>
            <w:shd w:val="clear" w:color="auto" w:fill="auto"/>
            <w:noWrap/>
            <w:vAlign w:val="center"/>
            <w:hideMark/>
          </w:tcPr>
          <w:p w14:paraId="1CF8F4B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472</w:t>
            </w:r>
          </w:p>
        </w:tc>
        <w:tc>
          <w:tcPr>
            <w:tcW w:w="429" w:type="dxa"/>
            <w:tcBorders>
              <w:top w:val="nil"/>
              <w:left w:val="nil"/>
              <w:bottom w:val="single" w:sz="4" w:space="0" w:color="auto"/>
              <w:right w:val="single" w:sz="4" w:space="0" w:color="auto"/>
            </w:tcBorders>
            <w:shd w:val="clear" w:color="auto" w:fill="auto"/>
            <w:noWrap/>
            <w:vAlign w:val="center"/>
            <w:hideMark/>
          </w:tcPr>
          <w:p w14:paraId="15D03F7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481</w:t>
            </w:r>
          </w:p>
        </w:tc>
        <w:tc>
          <w:tcPr>
            <w:tcW w:w="429" w:type="dxa"/>
            <w:tcBorders>
              <w:top w:val="nil"/>
              <w:left w:val="nil"/>
              <w:bottom w:val="single" w:sz="4" w:space="0" w:color="auto"/>
              <w:right w:val="single" w:sz="4" w:space="0" w:color="auto"/>
            </w:tcBorders>
            <w:shd w:val="clear" w:color="auto" w:fill="auto"/>
            <w:noWrap/>
            <w:vAlign w:val="center"/>
            <w:hideMark/>
          </w:tcPr>
          <w:p w14:paraId="7120445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490</w:t>
            </w:r>
          </w:p>
        </w:tc>
        <w:tc>
          <w:tcPr>
            <w:tcW w:w="429" w:type="dxa"/>
            <w:tcBorders>
              <w:top w:val="nil"/>
              <w:left w:val="nil"/>
              <w:bottom w:val="single" w:sz="4" w:space="0" w:color="auto"/>
              <w:right w:val="single" w:sz="4" w:space="0" w:color="auto"/>
            </w:tcBorders>
            <w:shd w:val="clear" w:color="auto" w:fill="auto"/>
            <w:noWrap/>
            <w:vAlign w:val="center"/>
            <w:hideMark/>
          </w:tcPr>
          <w:p w14:paraId="7DE9FA8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498</w:t>
            </w:r>
          </w:p>
        </w:tc>
        <w:tc>
          <w:tcPr>
            <w:tcW w:w="429" w:type="dxa"/>
            <w:tcBorders>
              <w:top w:val="nil"/>
              <w:left w:val="nil"/>
              <w:bottom w:val="single" w:sz="4" w:space="0" w:color="auto"/>
              <w:right w:val="single" w:sz="4" w:space="0" w:color="auto"/>
            </w:tcBorders>
            <w:shd w:val="clear" w:color="auto" w:fill="auto"/>
            <w:noWrap/>
            <w:vAlign w:val="center"/>
            <w:hideMark/>
          </w:tcPr>
          <w:p w14:paraId="143D90F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506</w:t>
            </w:r>
          </w:p>
        </w:tc>
        <w:tc>
          <w:tcPr>
            <w:tcW w:w="429" w:type="dxa"/>
            <w:tcBorders>
              <w:top w:val="nil"/>
              <w:left w:val="nil"/>
              <w:bottom w:val="single" w:sz="4" w:space="0" w:color="auto"/>
              <w:right w:val="single" w:sz="4" w:space="0" w:color="auto"/>
            </w:tcBorders>
            <w:shd w:val="clear" w:color="auto" w:fill="auto"/>
            <w:noWrap/>
            <w:vAlign w:val="center"/>
            <w:hideMark/>
          </w:tcPr>
          <w:p w14:paraId="18EF584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514</w:t>
            </w:r>
          </w:p>
        </w:tc>
        <w:tc>
          <w:tcPr>
            <w:tcW w:w="429" w:type="dxa"/>
            <w:tcBorders>
              <w:top w:val="nil"/>
              <w:left w:val="nil"/>
              <w:bottom w:val="single" w:sz="4" w:space="0" w:color="auto"/>
              <w:right w:val="single" w:sz="4" w:space="0" w:color="auto"/>
            </w:tcBorders>
            <w:shd w:val="clear" w:color="auto" w:fill="auto"/>
            <w:noWrap/>
            <w:vAlign w:val="center"/>
            <w:hideMark/>
          </w:tcPr>
          <w:p w14:paraId="311A81F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522</w:t>
            </w:r>
          </w:p>
        </w:tc>
        <w:tc>
          <w:tcPr>
            <w:tcW w:w="429" w:type="dxa"/>
            <w:tcBorders>
              <w:top w:val="nil"/>
              <w:left w:val="nil"/>
              <w:bottom w:val="single" w:sz="4" w:space="0" w:color="auto"/>
              <w:right w:val="single" w:sz="4" w:space="0" w:color="auto"/>
            </w:tcBorders>
            <w:shd w:val="clear" w:color="auto" w:fill="auto"/>
            <w:noWrap/>
            <w:vAlign w:val="center"/>
            <w:hideMark/>
          </w:tcPr>
          <w:p w14:paraId="60F9E42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529</w:t>
            </w:r>
          </w:p>
        </w:tc>
        <w:tc>
          <w:tcPr>
            <w:tcW w:w="429" w:type="dxa"/>
            <w:tcBorders>
              <w:top w:val="nil"/>
              <w:left w:val="nil"/>
              <w:bottom w:val="single" w:sz="4" w:space="0" w:color="auto"/>
              <w:right w:val="single" w:sz="4" w:space="0" w:color="auto"/>
            </w:tcBorders>
            <w:shd w:val="clear" w:color="auto" w:fill="auto"/>
            <w:noWrap/>
            <w:vAlign w:val="center"/>
            <w:hideMark/>
          </w:tcPr>
          <w:p w14:paraId="6DB3C30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536</w:t>
            </w:r>
          </w:p>
        </w:tc>
        <w:tc>
          <w:tcPr>
            <w:tcW w:w="429" w:type="dxa"/>
            <w:tcBorders>
              <w:top w:val="nil"/>
              <w:left w:val="nil"/>
              <w:bottom w:val="single" w:sz="4" w:space="0" w:color="auto"/>
              <w:right w:val="single" w:sz="4" w:space="0" w:color="auto"/>
            </w:tcBorders>
            <w:shd w:val="clear" w:color="auto" w:fill="auto"/>
            <w:noWrap/>
            <w:vAlign w:val="center"/>
            <w:hideMark/>
          </w:tcPr>
          <w:p w14:paraId="244DC93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543</w:t>
            </w:r>
          </w:p>
        </w:tc>
        <w:tc>
          <w:tcPr>
            <w:tcW w:w="429" w:type="dxa"/>
            <w:tcBorders>
              <w:top w:val="nil"/>
              <w:left w:val="nil"/>
              <w:bottom w:val="single" w:sz="4" w:space="0" w:color="auto"/>
              <w:right w:val="single" w:sz="4" w:space="0" w:color="auto"/>
            </w:tcBorders>
            <w:shd w:val="clear" w:color="auto" w:fill="auto"/>
            <w:noWrap/>
            <w:vAlign w:val="center"/>
            <w:hideMark/>
          </w:tcPr>
          <w:p w14:paraId="572D55E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550</w:t>
            </w:r>
          </w:p>
        </w:tc>
        <w:tc>
          <w:tcPr>
            <w:tcW w:w="429" w:type="dxa"/>
            <w:tcBorders>
              <w:top w:val="nil"/>
              <w:left w:val="nil"/>
              <w:bottom w:val="single" w:sz="4" w:space="0" w:color="auto"/>
              <w:right w:val="single" w:sz="4" w:space="0" w:color="auto"/>
            </w:tcBorders>
            <w:shd w:val="clear" w:color="auto" w:fill="auto"/>
            <w:noWrap/>
            <w:vAlign w:val="center"/>
            <w:hideMark/>
          </w:tcPr>
          <w:p w14:paraId="0145D36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557</w:t>
            </w:r>
          </w:p>
        </w:tc>
        <w:tc>
          <w:tcPr>
            <w:tcW w:w="429" w:type="dxa"/>
            <w:tcBorders>
              <w:top w:val="nil"/>
              <w:left w:val="nil"/>
              <w:bottom w:val="single" w:sz="4" w:space="0" w:color="auto"/>
              <w:right w:val="single" w:sz="4" w:space="0" w:color="auto"/>
            </w:tcBorders>
            <w:shd w:val="clear" w:color="auto" w:fill="auto"/>
            <w:noWrap/>
            <w:vAlign w:val="center"/>
            <w:hideMark/>
          </w:tcPr>
          <w:p w14:paraId="6ECC687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564</w:t>
            </w:r>
          </w:p>
        </w:tc>
        <w:tc>
          <w:tcPr>
            <w:tcW w:w="429" w:type="dxa"/>
            <w:tcBorders>
              <w:top w:val="nil"/>
              <w:left w:val="nil"/>
              <w:bottom w:val="single" w:sz="4" w:space="0" w:color="auto"/>
              <w:right w:val="single" w:sz="4" w:space="0" w:color="auto"/>
            </w:tcBorders>
            <w:shd w:val="clear" w:color="auto" w:fill="auto"/>
            <w:noWrap/>
            <w:vAlign w:val="center"/>
            <w:hideMark/>
          </w:tcPr>
          <w:p w14:paraId="32CF963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570</w:t>
            </w:r>
          </w:p>
        </w:tc>
      </w:tr>
      <w:tr w:rsidR="00F75183" w:rsidRPr="00B85017" w14:paraId="74350238"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1E23AE36"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59DF219C"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430</w:t>
            </w:r>
          </w:p>
        </w:tc>
        <w:tc>
          <w:tcPr>
            <w:tcW w:w="429" w:type="dxa"/>
            <w:tcBorders>
              <w:top w:val="nil"/>
              <w:left w:val="nil"/>
              <w:bottom w:val="single" w:sz="4" w:space="0" w:color="auto"/>
              <w:right w:val="single" w:sz="4" w:space="0" w:color="auto"/>
            </w:tcBorders>
            <w:shd w:val="clear" w:color="auto" w:fill="auto"/>
            <w:noWrap/>
            <w:vAlign w:val="center"/>
            <w:hideMark/>
          </w:tcPr>
          <w:p w14:paraId="60194F4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391</w:t>
            </w:r>
          </w:p>
        </w:tc>
        <w:tc>
          <w:tcPr>
            <w:tcW w:w="429" w:type="dxa"/>
            <w:tcBorders>
              <w:top w:val="nil"/>
              <w:left w:val="nil"/>
              <w:bottom w:val="single" w:sz="4" w:space="0" w:color="auto"/>
              <w:right w:val="single" w:sz="4" w:space="0" w:color="auto"/>
            </w:tcBorders>
            <w:shd w:val="clear" w:color="auto" w:fill="auto"/>
            <w:noWrap/>
            <w:vAlign w:val="center"/>
            <w:hideMark/>
          </w:tcPr>
          <w:p w14:paraId="4602A54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405</w:t>
            </w:r>
          </w:p>
        </w:tc>
        <w:tc>
          <w:tcPr>
            <w:tcW w:w="429" w:type="dxa"/>
            <w:tcBorders>
              <w:top w:val="nil"/>
              <w:left w:val="nil"/>
              <w:bottom w:val="single" w:sz="4" w:space="0" w:color="auto"/>
              <w:right w:val="single" w:sz="4" w:space="0" w:color="auto"/>
            </w:tcBorders>
            <w:shd w:val="clear" w:color="auto" w:fill="auto"/>
            <w:noWrap/>
            <w:vAlign w:val="center"/>
            <w:hideMark/>
          </w:tcPr>
          <w:p w14:paraId="6E8AF91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418</w:t>
            </w:r>
          </w:p>
        </w:tc>
        <w:tc>
          <w:tcPr>
            <w:tcW w:w="429" w:type="dxa"/>
            <w:tcBorders>
              <w:top w:val="nil"/>
              <w:left w:val="nil"/>
              <w:bottom w:val="single" w:sz="4" w:space="0" w:color="auto"/>
              <w:right w:val="single" w:sz="4" w:space="0" w:color="auto"/>
            </w:tcBorders>
            <w:shd w:val="clear" w:color="auto" w:fill="auto"/>
            <w:noWrap/>
            <w:vAlign w:val="center"/>
            <w:hideMark/>
          </w:tcPr>
          <w:p w14:paraId="6481F96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430</w:t>
            </w:r>
          </w:p>
        </w:tc>
        <w:tc>
          <w:tcPr>
            <w:tcW w:w="429" w:type="dxa"/>
            <w:tcBorders>
              <w:top w:val="nil"/>
              <w:left w:val="nil"/>
              <w:bottom w:val="single" w:sz="4" w:space="0" w:color="auto"/>
              <w:right w:val="single" w:sz="4" w:space="0" w:color="auto"/>
            </w:tcBorders>
            <w:shd w:val="clear" w:color="auto" w:fill="auto"/>
            <w:noWrap/>
            <w:vAlign w:val="center"/>
            <w:hideMark/>
          </w:tcPr>
          <w:p w14:paraId="694B05B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442</w:t>
            </w:r>
          </w:p>
        </w:tc>
        <w:tc>
          <w:tcPr>
            <w:tcW w:w="429" w:type="dxa"/>
            <w:tcBorders>
              <w:top w:val="nil"/>
              <w:left w:val="nil"/>
              <w:bottom w:val="single" w:sz="4" w:space="0" w:color="auto"/>
              <w:right w:val="single" w:sz="4" w:space="0" w:color="auto"/>
            </w:tcBorders>
            <w:shd w:val="clear" w:color="auto" w:fill="auto"/>
            <w:noWrap/>
            <w:vAlign w:val="center"/>
            <w:hideMark/>
          </w:tcPr>
          <w:p w14:paraId="7E26467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453</w:t>
            </w:r>
          </w:p>
        </w:tc>
        <w:tc>
          <w:tcPr>
            <w:tcW w:w="429" w:type="dxa"/>
            <w:tcBorders>
              <w:top w:val="nil"/>
              <w:left w:val="nil"/>
              <w:bottom w:val="single" w:sz="4" w:space="0" w:color="auto"/>
              <w:right w:val="single" w:sz="4" w:space="0" w:color="auto"/>
            </w:tcBorders>
            <w:shd w:val="clear" w:color="auto" w:fill="auto"/>
            <w:noWrap/>
            <w:vAlign w:val="center"/>
            <w:hideMark/>
          </w:tcPr>
          <w:p w14:paraId="1D6B3EE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463</w:t>
            </w:r>
          </w:p>
        </w:tc>
        <w:tc>
          <w:tcPr>
            <w:tcW w:w="429" w:type="dxa"/>
            <w:tcBorders>
              <w:top w:val="nil"/>
              <w:left w:val="nil"/>
              <w:bottom w:val="single" w:sz="4" w:space="0" w:color="auto"/>
              <w:right w:val="single" w:sz="4" w:space="0" w:color="auto"/>
            </w:tcBorders>
            <w:shd w:val="clear" w:color="auto" w:fill="auto"/>
            <w:noWrap/>
            <w:vAlign w:val="center"/>
            <w:hideMark/>
          </w:tcPr>
          <w:p w14:paraId="3658990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473</w:t>
            </w:r>
          </w:p>
        </w:tc>
        <w:tc>
          <w:tcPr>
            <w:tcW w:w="429" w:type="dxa"/>
            <w:tcBorders>
              <w:top w:val="nil"/>
              <w:left w:val="nil"/>
              <w:bottom w:val="single" w:sz="4" w:space="0" w:color="auto"/>
              <w:right w:val="single" w:sz="4" w:space="0" w:color="auto"/>
            </w:tcBorders>
            <w:shd w:val="clear" w:color="auto" w:fill="auto"/>
            <w:noWrap/>
            <w:vAlign w:val="center"/>
            <w:hideMark/>
          </w:tcPr>
          <w:p w14:paraId="7FF47AF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483</w:t>
            </w:r>
          </w:p>
        </w:tc>
        <w:tc>
          <w:tcPr>
            <w:tcW w:w="429" w:type="dxa"/>
            <w:tcBorders>
              <w:top w:val="nil"/>
              <w:left w:val="nil"/>
              <w:bottom w:val="single" w:sz="4" w:space="0" w:color="auto"/>
              <w:right w:val="single" w:sz="4" w:space="0" w:color="auto"/>
            </w:tcBorders>
            <w:shd w:val="clear" w:color="auto" w:fill="auto"/>
            <w:noWrap/>
            <w:vAlign w:val="center"/>
            <w:hideMark/>
          </w:tcPr>
          <w:p w14:paraId="611E172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492</w:t>
            </w:r>
          </w:p>
        </w:tc>
        <w:tc>
          <w:tcPr>
            <w:tcW w:w="429" w:type="dxa"/>
            <w:tcBorders>
              <w:top w:val="nil"/>
              <w:left w:val="nil"/>
              <w:bottom w:val="single" w:sz="4" w:space="0" w:color="auto"/>
              <w:right w:val="single" w:sz="4" w:space="0" w:color="auto"/>
            </w:tcBorders>
            <w:shd w:val="clear" w:color="auto" w:fill="auto"/>
            <w:noWrap/>
            <w:vAlign w:val="center"/>
            <w:hideMark/>
          </w:tcPr>
          <w:p w14:paraId="5A6AAFF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501</w:t>
            </w:r>
          </w:p>
        </w:tc>
        <w:tc>
          <w:tcPr>
            <w:tcW w:w="429" w:type="dxa"/>
            <w:tcBorders>
              <w:top w:val="nil"/>
              <w:left w:val="nil"/>
              <w:bottom w:val="single" w:sz="4" w:space="0" w:color="auto"/>
              <w:right w:val="single" w:sz="4" w:space="0" w:color="auto"/>
            </w:tcBorders>
            <w:shd w:val="clear" w:color="auto" w:fill="auto"/>
            <w:noWrap/>
            <w:vAlign w:val="center"/>
            <w:hideMark/>
          </w:tcPr>
          <w:p w14:paraId="49ECB80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510</w:t>
            </w:r>
          </w:p>
        </w:tc>
        <w:tc>
          <w:tcPr>
            <w:tcW w:w="429" w:type="dxa"/>
            <w:tcBorders>
              <w:top w:val="nil"/>
              <w:left w:val="nil"/>
              <w:bottom w:val="single" w:sz="4" w:space="0" w:color="auto"/>
              <w:right w:val="single" w:sz="4" w:space="0" w:color="auto"/>
            </w:tcBorders>
            <w:shd w:val="clear" w:color="auto" w:fill="auto"/>
            <w:noWrap/>
            <w:vAlign w:val="center"/>
            <w:hideMark/>
          </w:tcPr>
          <w:p w14:paraId="195C813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518</w:t>
            </w:r>
          </w:p>
        </w:tc>
        <w:tc>
          <w:tcPr>
            <w:tcW w:w="429" w:type="dxa"/>
            <w:tcBorders>
              <w:top w:val="nil"/>
              <w:left w:val="nil"/>
              <w:bottom w:val="single" w:sz="4" w:space="0" w:color="auto"/>
              <w:right w:val="single" w:sz="4" w:space="0" w:color="auto"/>
            </w:tcBorders>
            <w:shd w:val="clear" w:color="auto" w:fill="auto"/>
            <w:noWrap/>
            <w:vAlign w:val="center"/>
            <w:hideMark/>
          </w:tcPr>
          <w:p w14:paraId="0CD6F0C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526</w:t>
            </w:r>
          </w:p>
        </w:tc>
        <w:tc>
          <w:tcPr>
            <w:tcW w:w="429" w:type="dxa"/>
            <w:tcBorders>
              <w:top w:val="nil"/>
              <w:left w:val="nil"/>
              <w:bottom w:val="single" w:sz="4" w:space="0" w:color="auto"/>
              <w:right w:val="single" w:sz="4" w:space="0" w:color="auto"/>
            </w:tcBorders>
            <w:shd w:val="clear" w:color="auto" w:fill="auto"/>
            <w:noWrap/>
            <w:vAlign w:val="center"/>
            <w:hideMark/>
          </w:tcPr>
          <w:p w14:paraId="2CE0DB0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534</w:t>
            </w:r>
          </w:p>
        </w:tc>
        <w:tc>
          <w:tcPr>
            <w:tcW w:w="429" w:type="dxa"/>
            <w:tcBorders>
              <w:top w:val="nil"/>
              <w:left w:val="nil"/>
              <w:bottom w:val="single" w:sz="4" w:space="0" w:color="auto"/>
              <w:right w:val="single" w:sz="4" w:space="0" w:color="auto"/>
            </w:tcBorders>
            <w:shd w:val="clear" w:color="auto" w:fill="auto"/>
            <w:noWrap/>
            <w:vAlign w:val="center"/>
            <w:hideMark/>
          </w:tcPr>
          <w:p w14:paraId="493FDE0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542</w:t>
            </w:r>
          </w:p>
        </w:tc>
        <w:tc>
          <w:tcPr>
            <w:tcW w:w="429" w:type="dxa"/>
            <w:tcBorders>
              <w:top w:val="nil"/>
              <w:left w:val="nil"/>
              <w:bottom w:val="single" w:sz="4" w:space="0" w:color="auto"/>
              <w:right w:val="single" w:sz="4" w:space="0" w:color="auto"/>
            </w:tcBorders>
            <w:shd w:val="clear" w:color="auto" w:fill="auto"/>
            <w:noWrap/>
            <w:vAlign w:val="center"/>
            <w:hideMark/>
          </w:tcPr>
          <w:p w14:paraId="3236AD9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549</w:t>
            </w:r>
          </w:p>
        </w:tc>
        <w:tc>
          <w:tcPr>
            <w:tcW w:w="429" w:type="dxa"/>
            <w:tcBorders>
              <w:top w:val="nil"/>
              <w:left w:val="nil"/>
              <w:bottom w:val="single" w:sz="4" w:space="0" w:color="auto"/>
              <w:right w:val="single" w:sz="4" w:space="0" w:color="auto"/>
            </w:tcBorders>
            <w:shd w:val="clear" w:color="auto" w:fill="auto"/>
            <w:noWrap/>
            <w:vAlign w:val="center"/>
            <w:hideMark/>
          </w:tcPr>
          <w:p w14:paraId="76AEEA1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556</w:t>
            </w:r>
          </w:p>
        </w:tc>
        <w:tc>
          <w:tcPr>
            <w:tcW w:w="429" w:type="dxa"/>
            <w:tcBorders>
              <w:top w:val="nil"/>
              <w:left w:val="nil"/>
              <w:bottom w:val="single" w:sz="4" w:space="0" w:color="auto"/>
              <w:right w:val="single" w:sz="4" w:space="0" w:color="auto"/>
            </w:tcBorders>
            <w:shd w:val="clear" w:color="auto" w:fill="auto"/>
            <w:noWrap/>
            <w:vAlign w:val="center"/>
            <w:hideMark/>
          </w:tcPr>
          <w:p w14:paraId="2F56C1C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563</w:t>
            </w:r>
          </w:p>
        </w:tc>
        <w:tc>
          <w:tcPr>
            <w:tcW w:w="429" w:type="dxa"/>
            <w:tcBorders>
              <w:top w:val="nil"/>
              <w:left w:val="nil"/>
              <w:bottom w:val="single" w:sz="4" w:space="0" w:color="auto"/>
              <w:right w:val="single" w:sz="4" w:space="0" w:color="auto"/>
            </w:tcBorders>
            <w:shd w:val="clear" w:color="auto" w:fill="auto"/>
            <w:noWrap/>
            <w:vAlign w:val="center"/>
            <w:hideMark/>
          </w:tcPr>
          <w:p w14:paraId="2E54D84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570</w:t>
            </w:r>
          </w:p>
        </w:tc>
        <w:tc>
          <w:tcPr>
            <w:tcW w:w="429" w:type="dxa"/>
            <w:tcBorders>
              <w:top w:val="nil"/>
              <w:left w:val="nil"/>
              <w:bottom w:val="single" w:sz="4" w:space="0" w:color="auto"/>
              <w:right w:val="single" w:sz="4" w:space="0" w:color="auto"/>
            </w:tcBorders>
            <w:shd w:val="clear" w:color="auto" w:fill="auto"/>
            <w:noWrap/>
            <w:vAlign w:val="center"/>
            <w:hideMark/>
          </w:tcPr>
          <w:p w14:paraId="07F994E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577</w:t>
            </w:r>
          </w:p>
        </w:tc>
        <w:tc>
          <w:tcPr>
            <w:tcW w:w="429" w:type="dxa"/>
            <w:tcBorders>
              <w:top w:val="nil"/>
              <w:left w:val="nil"/>
              <w:bottom w:val="single" w:sz="4" w:space="0" w:color="auto"/>
              <w:right w:val="single" w:sz="4" w:space="0" w:color="auto"/>
            </w:tcBorders>
            <w:shd w:val="clear" w:color="auto" w:fill="auto"/>
            <w:noWrap/>
            <w:vAlign w:val="center"/>
            <w:hideMark/>
          </w:tcPr>
          <w:p w14:paraId="0CD2207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584</w:t>
            </w:r>
          </w:p>
        </w:tc>
      </w:tr>
      <w:tr w:rsidR="00F75183" w:rsidRPr="00B85017" w14:paraId="6719F460"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30A321FE"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7D5BECA7"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440</w:t>
            </w:r>
          </w:p>
        </w:tc>
        <w:tc>
          <w:tcPr>
            <w:tcW w:w="429" w:type="dxa"/>
            <w:tcBorders>
              <w:top w:val="nil"/>
              <w:left w:val="nil"/>
              <w:bottom w:val="single" w:sz="4" w:space="0" w:color="auto"/>
              <w:right w:val="single" w:sz="4" w:space="0" w:color="auto"/>
            </w:tcBorders>
            <w:shd w:val="clear" w:color="auto" w:fill="auto"/>
            <w:noWrap/>
            <w:vAlign w:val="center"/>
            <w:hideMark/>
          </w:tcPr>
          <w:p w14:paraId="4A92CBA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400</w:t>
            </w:r>
          </w:p>
        </w:tc>
        <w:tc>
          <w:tcPr>
            <w:tcW w:w="429" w:type="dxa"/>
            <w:tcBorders>
              <w:top w:val="nil"/>
              <w:left w:val="nil"/>
              <w:bottom w:val="single" w:sz="4" w:space="0" w:color="auto"/>
              <w:right w:val="single" w:sz="4" w:space="0" w:color="auto"/>
            </w:tcBorders>
            <w:shd w:val="clear" w:color="auto" w:fill="auto"/>
            <w:noWrap/>
            <w:vAlign w:val="center"/>
            <w:hideMark/>
          </w:tcPr>
          <w:p w14:paraId="7C9B078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414</w:t>
            </w:r>
          </w:p>
        </w:tc>
        <w:tc>
          <w:tcPr>
            <w:tcW w:w="429" w:type="dxa"/>
            <w:tcBorders>
              <w:top w:val="nil"/>
              <w:left w:val="nil"/>
              <w:bottom w:val="single" w:sz="4" w:space="0" w:color="auto"/>
              <w:right w:val="single" w:sz="4" w:space="0" w:color="auto"/>
            </w:tcBorders>
            <w:shd w:val="clear" w:color="auto" w:fill="auto"/>
            <w:noWrap/>
            <w:vAlign w:val="center"/>
            <w:hideMark/>
          </w:tcPr>
          <w:p w14:paraId="627D962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427</w:t>
            </w:r>
          </w:p>
        </w:tc>
        <w:tc>
          <w:tcPr>
            <w:tcW w:w="429" w:type="dxa"/>
            <w:tcBorders>
              <w:top w:val="nil"/>
              <w:left w:val="nil"/>
              <w:bottom w:val="single" w:sz="4" w:space="0" w:color="auto"/>
              <w:right w:val="single" w:sz="4" w:space="0" w:color="auto"/>
            </w:tcBorders>
            <w:shd w:val="clear" w:color="auto" w:fill="auto"/>
            <w:noWrap/>
            <w:vAlign w:val="center"/>
            <w:hideMark/>
          </w:tcPr>
          <w:p w14:paraId="06F6E9D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440</w:t>
            </w:r>
          </w:p>
        </w:tc>
        <w:tc>
          <w:tcPr>
            <w:tcW w:w="429" w:type="dxa"/>
            <w:tcBorders>
              <w:top w:val="nil"/>
              <w:left w:val="nil"/>
              <w:bottom w:val="single" w:sz="4" w:space="0" w:color="auto"/>
              <w:right w:val="single" w:sz="4" w:space="0" w:color="auto"/>
            </w:tcBorders>
            <w:shd w:val="clear" w:color="auto" w:fill="auto"/>
            <w:noWrap/>
            <w:vAlign w:val="center"/>
            <w:hideMark/>
          </w:tcPr>
          <w:p w14:paraId="49754DA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452</w:t>
            </w:r>
          </w:p>
        </w:tc>
        <w:tc>
          <w:tcPr>
            <w:tcW w:w="429" w:type="dxa"/>
            <w:tcBorders>
              <w:top w:val="nil"/>
              <w:left w:val="nil"/>
              <w:bottom w:val="single" w:sz="4" w:space="0" w:color="auto"/>
              <w:right w:val="single" w:sz="4" w:space="0" w:color="auto"/>
            </w:tcBorders>
            <w:shd w:val="clear" w:color="auto" w:fill="auto"/>
            <w:noWrap/>
            <w:vAlign w:val="center"/>
            <w:hideMark/>
          </w:tcPr>
          <w:p w14:paraId="3431894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463</w:t>
            </w:r>
          </w:p>
        </w:tc>
        <w:tc>
          <w:tcPr>
            <w:tcW w:w="429" w:type="dxa"/>
            <w:tcBorders>
              <w:top w:val="nil"/>
              <w:left w:val="nil"/>
              <w:bottom w:val="single" w:sz="4" w:space="0" w:color="auto"/>
              <w:right w:val="single" w:sz="4" w:space="0" w:color="auto"/>
            </w:tcBorders>
            <w:shd w:val="clear" w:color="auto" w:fill="auto"/>
            <w:noWrap/>
            <w:vAlign w:val="center"/>
            <w:hideMark/>
          </w:tcPr>
          <w:p w14:paraId="6B6CB27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474</w:t>
            </w:r>
          </w:p>
        </w:tc>
        <w:tc>
          <w:tcPr>
            <w:tcW w:w="429" w:type="dxa"/>
            <w:tcBorders>
              <w:top w:val="nil"/>
              <w:left w:val="nil"/>
              <w:bottom w:val="single" w:sz="4" w:space="0" w:color="auto"/>
              <w:right w:val="single" w:sz="4" w:space="0" w:color="auto"/>
            </w:tcBorders>
            <w:shd w:val="clear" w:color="auto" w:fill="auto"/>
            <w:noWrap/>
            <w:vAlign w:val="center"/>
            <w:hideMark/>
          </w:tcPr>
          <w:p w14:paraId="4408B17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484</w:t>
            </w:r>
          </w:p>
        </w:tc>
        <w:tc>
          <w:tcPr>
            <w:tcW w:w="429" w:type="dxa"/>
            <w:tcBorders>
              <w:top w:val="nil"/>
              <w:left w:val="nil"/>
              <w:bottom w:val="single" w:sz="4" w:space="0" w:color="auto"/>
              <w:right w:val="single" w:sz="4" w:space="0" w:color="auto"/>
            </w:tcBorders>
            <w:shd w:val="clear" w:color="auto" w:fill="auto"/>
            <w:noWrap/>
            <w:vAlign w:val="center"/>
            <w:hideMark/>
          </w:tcPr>
          <w:p w14:paraId="1C8C06E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494</w:t>
            </w:r>
          </w:p>
        </w:tc>
        <w:tc>
          <w:tcPr>
            <w:tcW w:w="429" w:type="dxa"/>
            <w:tcBorders>
              <w:top w:val="nil"/>
              <w:left w:val="nil"/>
              <w:bottom w:val="single" w:sz="4" w:space="0" w:color="auto"/>
              <w:right w:val="single" w:sz="4" w:space="0" w:color="auto"/>
            </w:tcBorders>
            <w:shd w:val="clear" w:color="auto" w:fill="auto"/>
            <w:noWrap/>
            <w:vAlign w:val="center"/>
            <w:hideMark/>
          </w:tcPr>
          <w:p w14:paraId="42F1B75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504</w:t>
            </w:r>
          </w:p>
        </w:tc>
        <w:tc>
          <w:tcPr>
            <w:tcW w:w="429" w:type="dxa"/>
            <w:tcBorders>
              <w:top w:val="nil"/>
              <w:left w:val="nil"/>
              <w:bottom w:val="single" w:sz="4" w:space="0" w:color="auto"/>
              <w:right w:val="single" w:sz="4" w:space="0" w:color="auto"/>
            </w:tcBorders>
            <w:shd w:val="clear" w:color="auto" w:fill="auto"/>
            <w:noWrap/>
            <w:vAlign w:val="center"/>
            <w:hideMark/>
          </w:tcPr>
          <w:p w14:paraId="4E1456C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513</w:t>
            </w:r>
          </w:p>
        </w:tc>
        <w:tc>
          <w:tcPr>
            <w:tcW w:w="429" w:type="dxa"/>
            <w:tcBorders>
              <w:top w:val="nil"/>
              <w:left w:val="nil"/>
              <w:bottom w:val="single" w:sz="4" w:space="0" w:color="auto"/>
              <w:right w:val="single" w:sz="4" w:space="0" w:color="auto"/>
            </w:tcBorders>
            <w:shd w:val="clear" w:color="auto" w:fill="auto"/>
            <w:noWrap/>
            <w:vAlign w:val="center"/>
            <w:hideMark/>
          </w:tcPr>
          <w:p w14:paraId="7D51207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522</w:t>
            </w:r>
          </w:p>
        </w:tc>
        <w:tc>
          <w:tcPr>
            <w:tcW w:w="429" w:type="dxa"/>
            <w:tcBorders>
              <w:top w:val="nil"/>
              <w:left w:val="nil"/>
              <w:bottom w:val="single" w:sz="4" w:space="0" w:color="auto"/>
              <w:right w:val="single" w:sz="4" w:space="0" w:color="auto"/>
            </w:tcBorders>
            <w:shd w:val="clear" w:color="auto" w:fill="auto"/>
            <w:noWrap/>
            <w:vAlign w:val="center"/>
            <w:hideMark/>
          </w:tcPr>
          <w:p w14:paraId="2C58A80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530</w:t>
            </w:r>
          </w:p>
        </w:tc>
        <w:tc>
          <w:tcPr>
            <w:tcW w:w="429" w:type="dxa"/>
            <w:tcBorders>
              <w:top w:val="nil"/>
              <w:left w:val="nil"/>
              <w:bottom w:val="single" w:sz="4" w:space="0" w:color="auto"/>
              <w:right w:val="single" w:sz="4" w:space="0" w:color="auto"/>
            </w:tcBorders>
            <w:shd w:val="clear" w:color="auto" w:fill="auto"/>
            <w:noWrap/>
            <w:vAlign w:val="center"/>
            <w:hideMark/>
          </w:tcPr>
          <w:p w14:paraId="603363D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539</w:t>
            </w:r>
          </w:p>
        </w:tc>
        <w:tc>
          <w:tcPr>
            <w:tcW w:w="429" w:type="dxa"/>
            <w:tcBorders>
              <w:top w:val="nil"/>
              <w:left w:val="nil"/>
              <w:bottom w:val="single" w:sz="4" w:space="0" w:color="auto"/>
              <w:right w:val="single" w:sz="4" w:space="0" w:color="auto"/>
            </w:tcBorders>
            <w:shd w:val="clear" w:color="auto" w:fill="auto"/>
            <w:noWrap/>
            <w:vAlign w:val="center"/>
            <w:hideMark/>
          </w:tcPr>
          <w:p w14:paraId="2E8B2C7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547</w:t>
            </w:r>
          </w:p>
        </w:tc>
        <w:tc>
          <w:tcPr>
            <w:tcW w:w="429" w:type="dxa"/>
            <w:tcBorders>
              <w:top w:val="nil"/>
              <w:left w:val="nil"/>
              <w:bottom w:val="single" w:sz="4" w:space="0" w:color="auto"/>
              <w:right w:val="single" w:sz="4" w:space="0" w:color="auto"/>
            </w:tcBorders>
            <w:shd w:val="clear" w:color="auto" w:fill="auto"/>
            <w:noWrap/>
            <w:vAlign w:val="center"/>
            <w:hideMark/>
          </w:tcPr>
          <w:p w14:paraId="2C36A66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554</w:t>
            </w:r>
          </w:p>
        </w:tc>
        <w:tc>
          <w:tcPr>
            <w:tcW w:w="429" w:type="dxa"/>
            <w:tcBorders>
              <w:top w:val="nil"/>
              <w:left w:val="nil"/>
              <w:bottom w:val="single" w:sz="4" w:space="0" w:color="auto"/>
              <w:right w:val="single" w:sz="4" w:space="0" w:color="auto"/>
            </w:tcBorders>
            <w:shd w:val="clear" w:color="auto" w:fill="auto"/>
            <w:noWrap/>
            <w:vAlign w:val="center"/>
            <w:hideMark/>
          </w:tcPr>
          <w:p w14:paraId="4799B17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562</w:t>
            </w:r>
          </w:p>
        </w:tc>
        <w:tc>
          <w:tcPr>
            <w:tcW w:w="429" w:type="dxa"/>
            <w:tcBorders>
              <w:top w:val="nil"/>
              <w:left w:val="nil"/>
              <w:bottom w:val="single" w:sz="4" w:space="0" w:color="auto"/>
              <w:right w:val="single" w:sz="4" w:space="0" w:color="auto"/>
            </w:tcBorders>
            <w:shd w:val="clear" w:color="auto" w:fill="auto"/>
            <w:noWrap/>
            <w:vAlign w:val="center"/>
            <w:hideMark/>
          </w:tcPr>
          <w:p w14:paraId="6E397D4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569</w:t>
            </w:r>
          </w:p>
        </w:tc>
        <w:tc>
          <w:tcPr>
            <w:tcW w:w="429" w:type="dxa"/>
            <w:tcBorders>
              <w:top w:val="nil"/>
              <w:left w:val="nil"/>
              <w:bottom w:val="single" w:sz="4" w:space="0" w:color="auto"/>
              <w:right w:val="single" w:sz="4" w:space="0" w:color="auto"/>
            </w:tcBorders>
            <w:shd w:val="clear" w:color="auto" w:fill="auto"/>
            <w:noWrap/>
            <w:vAlign w:val="center"/>
            <w:hideMark/>
          </w:tcPr>
          <w:p w14:paraId="2E886B0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577</w:t>
            </w:r>
          </w:p>
        </w:tc>
        <w:tc>
          <w:tcPr>
            <w:tcW w:w="429" w:type="dxa"/>
            <w:tcBorders>
              <w:top w:val="nil"/>
              <w:left w:val="nil"/>
              <w:bottom w:val="single" w:sz="4" w:space="0" w:color="auto"/>
              <w:right w:val="single" w:sz="4" w:space="0" w:color="auto"/>
            </w:tcBorders>
            <w:shd w:val="clear" w:color="auto" w:fill="auto"/>
            <w:noWrap/>
            <w:vAlign w:val="center"/>
            <w:hideMark/>
          </w:tcPr>
          <w:p w14:paraId="427EE22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584</w:t>
            </w:r>
          </w:p>
        </w:tc>
        <w:tc>
          <w:tcPr>
            <w:tcW w:w="429" w:type="dxa"/>
            <w:tcBorders>
              <w:top w:val="nil"/>
              <w:left w:val="nil"/>
              <w:bottom w:val="single" w:sz="4" w:space="0" w:color="auto"/>
              <w:right w:val="single" w:sz="4" w:space="0" w:color="auto"/>
            </w:tcBorders>
            <w:shd w:val="clear" w:color="auto" w:fill="auto"/>
            <w:noWrap/>
            <w:vAlign w:val="center"/>
            <w:hideMark/>
          </w:tcPr>
          <w:p w14:paraId="18B6E09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590</w:t>
            </w:r>
          </w:p>
        </w:tc>
        <w:tc>
          <w:tcPr>
            <w:tcW w:w="429" w:type="dxa"/>
            <w:tcBorders>
              <w:top w:val="nil"/>
              <w:left w:val="nil"/>
              <w:bottom w:val="single" w:sz="4" w:space="0" w:color="auto"/>
              <w:right w:val="single" w:sz="4" w:space="0" w:color="auto"/>
            </w:tcBorders>
            <w:shd w:val="clear" w:color="auto" w:fill="auto"/>
            <w:noWrap/>
            <w:vAlign w:val="center"/>
            <w:hideMark/>
          </w:tcPr>
          <w:p w14:paraId="3AD3B6D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597</w:t>
            </w:r>
          </w:p>
        </w:tc>
      </w:tr>
      <w:tr w:rsidR="00F75183" w:rsidRPr="00B85017" w14:paraId="4C7BE251"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69C0EF66"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29AD04CE"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450</w:t>
            </w:r>
          </w:p>
        </w:tc>
        <w:tc>
          <w:tcPr>
            <w:tcW w:w="429" w:type="dxa"/>
            <w:tcBorders>
              <w:top w:val="nil"/>
              <w:left w:val="nil"/>
              <w:bottom w:val="single" w:sz="4" w:space="0" w:color="auto"/>
              <w:right w:val="single" w:sz="4" w:space="0" w:color="auto"/>
            </w:tcBorders>
            <w:shd w:val="clear" w:color="auto" w:fill="auto"/>
            <w:noWrap/>
            <w:vAlign w:val="center"/>
            <w:hideMark/>
          </w:tcPr>
          <w:p w14:paraId="6D9E2A2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409</w:t>
            </w:r>
          </w:p>
        </w:tc>
        <w:tc>
          <w:tcPr>
            <w:tcW w:w="429" w:type="dxa"/>
            <w:tcBorders>
              <w:top w:val="nil"/>
              <w:left w:val="nil"/>
              <w:bottom w:val="single" w:sz="4" w:space="0" w:color="auto"/>
              <w:right w:val="single" w:sz="4" w:space="0" w:color="auto"/>
            </w:tcBorders>
            <w:shd w:val="clear" w:color="auto" w:fill="auto"/>
            <w:noWrap/>
            <w:vAlign w:val="center"/>
            <w:hideMark/>
          </w:tcPr>
          <w:p w14:paraId="67C2FEE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423</w:t>
            </w:r>
          </w:p>
        </w:tc>
        <w:tc>
          <w:tcPr>
            <w:tcW w:w="429" w:type="dxa"/>
            <w:tcBorders>
              <w:top w:val="nil"/>
              <w:left w:val="nil"/>
              <w:bottom w:val="single" w:sz="4" w:space="0" w:color="auto"/>
              <w:right w:val="single" w:sz="4" w:space="0" w:color="auto"/>
            </w:tcBorders>
            <w:shd w:val="clear" w:color="auto" w:fill="auto"/>
            <w:noWrap/>
            <w:vAlign w:val="center"/>
            <w:hideMark/>
          </w:tcPr>
          <w:p w14:paraId="3EBA496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437</w:t>
            </w:r>
          </w:p>
        </w:tc>
        <w:tc>
          <w:tcPr>
            <w:tcW w:w="429" w:type="dxa"/>
            <w:tcBorders>
              <w:top w:val="nil"/>
              <w:left w:val="nil"/>
              <w:bottom w:val="single" w:sz="4" w:space="0" w:color="auto"/>
              <w:right w:val="single" w:sz="4" w:space="0" w:color="auto"/>
            </w:tcBorders>
            <w:shd w:val="clear" w:color="auto" w:fill="auto"/>
            <w:noWrap/>
            <w:vAlign w:val="center"/>
            <w:hideMark/>
          </w:tcPr>
          <w:p w14:paraId="0B9F9C1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450</w:t>
            </w:r>
          </w:p>
        </w:tc>
        <w:tc>
          <w:tcPr>
            <w:tcW w:w="429" w:type="dxa"/>
            <w:tcBorders>
              <w:top w:val="nil"/>
              <w:left w:val="nil"/>
              <w:bottom w:val="single" w:sz="4" w:space="0" w:color="auto"/>
              <w:right w:val="single" w:sz="4" w:space="0" w:color="auto"/>
            </w:tcBorders>
            <w:shd w:val="clear" w:color="auto" w:fill="auto"/>
            <w:noWrap/>
            <w:vAlign w:val="center"/>
            <w:hideMark/>
          </w:tcPr>
          <w:p w14:paraId="0533C86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462</w:t>
            </w:r>
          </w:p>
        </w:tc>
        <w:tc>
          <w:tcPr>
            <w:tcW w:w="429" w:type="dxa"/>
            <w:tcBorders>
              <w:top w:val="nil"/>
              <w:left w:val="nil"/>
              <w:bottom w:val="single" w:sz="4" w:space="0" w:color="auto"/>
              <w:right w:val="single" w:sz="4" w:space="0" w:color="auto"/>
            </w:tcBorders>
            <w:shd w:val="clear" w:color="auto" w:fill="auto"/>
            <w:noWrap/>
            <w:vAlign w:val="center"/>
            <w:hideMark/>
          </w:tcPr>
          <w:p w14:paraId="2E9B7A5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474</w:t>
            </w:r>
          </w:p>
        </w:tc>
        <w:tc>
          <w:tcPr>
            <w:tcW w:w="429" w:type="dxa"/>
            <w:tcBorders>
              <w:top w:val="nil"/>
              <w:left w:val="nil"/>
              <w:bottom w:val="single" w:sz="4" w:space="0" w:color="auto"/>
              <w:right w:val="single" w:sz="4" w:space="0" w:color="auto"/>
            </w:tcBorders>
            <w:shd w:val="clear" w:color="auto" w:fill="auto"/>
            <w:noWrap/>
            <w:vAlign w:val="center"/>
            <w:hideMark/>
          </w:tcPr>
          <w:p w14:paraId="1DB16FE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485</w:t>
            </w:r>
          </w:p>
        </w:tc>
        <w:tc>
          <w:tcPr>
            <w:tcW w:w="429" w:type="dxa"/>
            <w:tcBorders>
              <w:top w:val="nil"/>
              <w:left w:val="nil"/>
              <w:bottom w:val="single" w:sz="4" w:space="0" w:color="auto"/>
              <w:right w:val="single" w:sz="4" w:space="0" w:color="auto"/>
            </w:tcBorders>
            <w:shd w:val="clear" w:color="auto" w:fill="auto"/>
            <w:noWrap/>
            <w:vAlign w:val="center"/>
            <w:hideMark/>
          </w:tcPr>
          <w:p w14:paraId="3B1E433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495</w:t>
            </w:r>
          </w:p>
        </w:tc>
        <w:tc>
          <w:tcPr>
            <w:tcW w:w="429" w:type="dxa"/>
            <w:tcBorders>
              <w:top w:val="nil"/>
              <w:left w:val="nil"/>
              <w:bottom w:val="single" w:sz="4" w:space="0" w:color="auto"/>
              <w:right w:val="single" w:sz="4" w:space="0" w:color="auto"/>
            </w:tcBorders>
            <w:shd w:val="clear" w:color="auto" w:fill="auto"/>
            <w:noWrap/>
            <w:vAlign w:val="center"/>
            <w:hideMark/>
          </w:tcPr>
          <w:p w14:paraId="1305501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505</w:t>
            </w:r>
          </w:p>
        </w:tc>
        <w:tc>
          <w:tcPr>
            <w:tcW w:w="429" w:type="dxa"/>
            <w:tcBorders>
              <w:top w:val="nil"/>
              <w:left w:val="nil"/>
              <w:bottom w:val="single" w:sz="4" w:space="0" w:color="auto"/>
              <w:right w:val="single" w:sz="4" w:space="0" w:color="auto"/>
            </w:tcBorders>
            <w:shd w:val="clear" w:color="auto" w:fill="auto"/>
            <w:noWrap/>
            <w:vAlign w:val="center"/>
            <w:hideMark/>
          </w:tcPr>
          <w:p w14:paraId="4DDEB4F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515</w:t>
            </w:r>
          </w:p>
        </w:tc>
        <w:tc>
          <w:tcPr>
            <w:tcW w:w="429" w:type="dxa"/>
            <w:tcBorders>
              <w:top w:val="nil"/>
              <w:left w:val="nil"/>
              <w:bottom w:val="single" w:sz="4" w:space="0" w:color="auto"/>
              <w:right w:val="single" w:sz="4" w:space="0" w:color="auto"/>
            </w:tcBorders>
            <w:shd w:val="clear" w:color="auto" w:fill="auto"/>
            <w:noWrap/>
            <w:vAlign w:val="center"/>
            <w:hideMark/>
          </w:tcPr>
          <w:p w14:paraId="73D2029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524</w:t>
            </w:r>
          </w:p>
        </w:tc>
        <w:tc>
          <w:tcPr>
            <w:tcW w:w="429" w:type="dxa"/>
            <w:tcBorders>
              <w:top w:val="nil"/>
              <w:left w:val="nil"/>
              <w:bottom w:val="single" w:sz="4" w:space="0" w:color="auto"/>
              <w:right w:val="single" w:sz="4" w:space="0" w:color="auto"/>
            </w:tcBorders>
            <w:shd w:val="clear" w:color="auto" w:fill="auto"/>
            <w:noWrap/>
            <w:vAlign w:val="center"/>
            <w:hideMark/>
          </w:tcPr>
          <w:p w14:paraId="5ABA029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534</w:t>
            </w:r>
          </w:p>
        </w:tc>
        <w:tc>
          <w:tcPr>
            <w:tcW w:w="429" w:type="dxa"/>
            <w:tcBorders>
              <w:top w:val="nil"/>
              <w:left w:val="nil"/>
              <w:bottom w:val="single" w:sz="4" w:space="0" w:color="auto"/>
              <w:right w:val="single" w:sz="4" w:space="0" w:color="auto"/>
            </w:tcBorders>
            <w:shd w:val="clear" w:color="auto" w:fill="auto"/>
            <w:noWrap/>
            <w:vAlign w:val="center"/>
            <w:hideMark/>
          </w:tcPr>
          <w:p w14:paraId="2D01590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542</w:t>
            </w:r>
          </w:p>
        </w:tc>
        <w:tc>
          <w:tcPr>
            <w:tcW w:w="429" w:type="dxa"/>
            <w:tcBorders>
              <w:top w:val="nil"/>
              <w:left w:val="nil"/>
              <w:bottom w:val="single" w:sz="4" w:space="0" w:color="auto"/>
              <w:right w:val="single" w:sz="4" w:space="0" w:color="auto"/>
            </w:tcBorders>
            <w:shd w:val="clear" w:color="auto" w:fill="auto"/>
            <w:noWrap/>
            <w:vAlign w:val="center"/>
            <w:hideMark/>
          </w:tcPr>
          <w:p w14:paraId="27C05D8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551</w:t>
            </w:r>
          </w:p>
        </w:tc>
        <w:tc>
          <w:tcPr>
            <w:tcW w:w="429" w:type="dxa"/>
            <w:tcBorders>
              <w:top w:val="nil"/>
              <w:left w:val="nil"/>
              <w:bottom w:val="single" w:sz="4" w:space="0" w:color="auto"/>
              <w:right w:val="single" w:sz="4" w:space="0" w:color="auto"/>
            </w:tcBorders>
            <w:shd w:val="clear" w:color="auto" w:fill="auto"/>
            <w:noWrap/>
            <w:vAlign w:val="center"/>
            <w:hideMark/>
          </w:tcPr>
          <w:p w14:paraId="19D08F3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559</w:t>
            </w:r>
          </w:p>
        </w:tc>
        <w:tc>
          <w:tcPr>
            <w:tcW w:w="429" w:type="dxa"/>
            <w:tcBorders>
              <w:top w:val="nil"/>
              <w:left w:val="nil"/>
              <w:bottom w:val="single" w:sz="4" w:space="0" w:color="auto"/>
              <w:right w:val="single" w:sz="4" w:space="0" w:color="auto"/>
            </w:tcBorders>
            <w:shd w:val="clear" w:color="auto" w:fill="auto"/>
            <w:noWrap/>
            <w:vAlign w:val="center"/>
            <w:hideMark/>
          </w:tcPr>
          <w:p w14:paraId="7112C09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567</w:t>
            </w:r>
          </w:p>
        </w:tc>
        <w:tc>
          <w:tcPr>
            <w:tcW w:w="429" w:type="dxa"/>
            <w:tcBorders>
              <w:top w:val="nil"/>
              <w:left w:val="nil"/>
              <w:bottom w:val="single" w:sz="4" w:space="0" w:color="auto"/>
              <w:right w:val="single" w:sz="4" w:space="0" w:color="auto"/>
            </w:tcBorders>
            <w:shd w:val="clear" w:color="auto" w:fill="auto"/>
            <w:noWrap/>
            <w:vAlign w:val="center"/>
            <w:hideMark/>
          </w:tcPr>
          <w:p w14:paraId="77724C1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575</w:t>
            </w:r>
          </w:p>
        </w:tc>
        <w:tc>
          <w:tcPr>
            <w:tcW w:w="429" w:type="dxa"/>
            <w:tcBorders>
              <w:top w:val="nil"/>
              <w:left w:val="nil"/>
              <w:bottom w:val="single" w:sz="4" w:space="0" w:color="auto"/>
              <w:right w:val="single" w:sz="4" w:space="0" w:color="auto"/>
            </w:tcBorders>
            <w:shd w:val="clear" w:color="auto" w:fill="auto"/>
            <w:noWrap/>
            <w:vAlign w:val="center"/>
            <w:hideMark/>
          </w:tcPr>
          <w:p w14:paraId="76DF2C2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582</w:t>
            </w:r>
          </w:p>
        </w:tc>
        <w:tc>
          <w:tcPr>
            <w:tcW w:w="429" w:type="dxa"/>
            <w:tcBorders>
              <w:top w:val="nil"/>
              <w:left w:val="nil"/>
              <w:bottom w:val="single" w:sz="4" w:space="0" w:color="auto"/>
              <w:right w:val="single" w:sz="4" w:space="0" w:color="auto"/>
            </w:tcBorders>
            <w:shd w:val="clear" w:color="auto" w:fill="auto"/>
            <w:noWrap/>
            <w:vAlign w:val="center"/>
            <w:hideMark/>
          </w:tcPr>
          <w:p w14:paraId="6AAEE8B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590</w:t>
            </w:r>
          </w:p>
        </w:tc>
        <w:tc>
          <w:tcPr>
            <w:tcW w:w="429" w:type="dxa"/>
            <w:tcBorders>
              <w:top w:val="nil"/>
              <w:left w:val="nil"/>
              <w:bottom w:val="single" w:sz="4" w:space="0" w:color="auto"/>
              <w:right w:val="single" w:sz="4" w:space="0" w:color="auto"/>
            </w:tcBorders>
            <w:shd w:val="clear" w:color="auto" w:fill="auto"/>
            <w:noWrap/>
            <w:vAlign w:val="center"/>
            <w:hideMark/>
          </w:tcPr>
          <w:p w14:paraId="5322354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597</w:t>
            </w:r>
          </w:p>
        </w:tc>
        <w:tc>
          <w:tcPr>
            <w:tcW w:w="429" w:type="dxa"/>
            <w:tcBorders>
              <w:top w:val="nil"/>
              <w:left w:val="nil"/>
              <w:bottom w:val="single" w:sz="4" w:space="0" w:color="auto"/>
              <w:right w:val="single" w:sz="4" w:space="0" w:color="auto"/>
            </w:tcBorders>
            <w:shd w:val="clear" w:color="auto" w:fill="auto"/>
            <w:noWrap/>
            <w:vAlign w:val="center"/>
            <w:hideMark/>
          </w:tcPr>
          <w:p w14:paraId="6263CB1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604</w:t>
            </w:r>
          </w:p>
        </w:tc>
        <w:tc>
          <w:tcPr>
            <w:tcW w:w="429" w:type="dxa"/>
            <w:tcBorders>
              <w:top w:val="nil"/>
              <w:left w:val="nil"/>
              <w:bottom w:val="single" w:sz="4" w:space="0" w:color="auto"/>
              <w:right w:val="single" w:sz="4" w:space="0" w:color="auto"/>
            </w:tcBorders>
            <w:shd w:val="clear" w:color="auto" w:fill="auto"/>
            <w:noWrap/>
            <w:vAlign w:val="center"/>
            <w:hideMark/>
          </w:tcPr>
          <w:p w14:paraId="29736F2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611</w:t>
            </w:r>
          </w:p>
        </w:tc>
      </w:tr>
      <w:tr w:rsidR="00F75183" w:rsidRPr="00B85017" w14:paraId="0FA00FD3"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47A60B47"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480B7211"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460</w:t>
            </w:r>
          </w:p>
        </w:tc>
        <w:tc>
          <w:tcPr>
            <w:tcW w:w="429" w:type="dxa"/>
            <w:tcBorders>
              <w:top w:val="nil"/>
              <w:left w:val="nil"/>
              <w:bottom w:val="single" w:sz="4" w:space="0" w:color="auto"/>
              <w:right w:val="single" w:sz="4" w:space="0" w:color="auto"/>
            </w:tcBorders>
            <w:shd w:val="clear" w:color="auto" w:fill="auto"/>
            <w:noWrap/>
            <w:vAlign w:val="center"/>
            <w:hideMark/>
          </w:tcPr>
          <w:p w14:paraId="7A23D6C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418</w:t>
            </w:r>
          </w:p>
        </w:tc>
        <w:tc>
          <w:tcPr>
            <w:tcW w:w="429" w:type="dxa"/>
            <w:tcBorders>
              <w:top w:val="nil"/>
              <w:left w:val="nil"/>
              <w:bottom w:val="single" w:sz="4" w:space="0" w:color="auto"/>
              <w:right w:val="single" w:sz="4" w:space="0" w:color="auto"/>
            </w:tcBorders>
            <w:shd w:val="clear" w:color="auto" w:fill="auto"/>
            <w:noWrap/>
            <w:vAlign w:val="center"/>
            <w:hideMark/>
          </w:tcPr>
          <w:p w14:paraId="4BF2AF7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433</w:t>
            </w:r>
          </w:p>
        </w:tc>
        <w:tc>
          <w:tcPr>
            <w:tcW w:w="429" w:type="dxa"/>
            <w:tcBorders>
              <w:top w:val="nil"/>
              <w:left w:val="nil"/>
              <w:bottom w:val="single" w:sz="4" w:space="0" w:color="auto"/>
              <w:right w:val="single" w:sz="4" w:space="0" w:color="auto"/>
            </w:tcBorders>
            <w:shd w:val="clear" w:color="auto" w:fill="auto"/>
            <w:noWrap/>
            <w:vAlign w:val="center"/>
            <w:hideMark/>
          </w:tcPr>
          <w:p w14:paraId="38430E2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447</w:t>
            </w:r>
          </w:p>
        </w:tc>
        <w:tc>
          <w:tcPr>
            <w:tcW w:w="429" w:type="dxa"/>
            <w:tcBorders>
              <w:top w:val="nil"/>
              <w:left w:val="nil"/>
              <w:bottom w:val="single" w:sz="4" w:space="0" w:color="auto"/>
              <w:right w:val="single" w:sz="4" w:space="0" w:color="auto"/>
            </w:tcBorders>
            <w:shd w:val="clear" w:color="auto" w:fill="auto"/>
            <w:noWrap/>
            <w:vAlign w:val="center"/>
            <w:hideMark/>
          </w:tcPr>
          <w:p w14:paraId="7F839DE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460</w:t>
            </w:r>
          </w:p>
        </w:tc>
        <w:tc>
          <w:tcPr>
            <w:tcW w:w="429" w:type="dxa"/>
            <w:tcBorders>
              <w:top w:val="nil"/>
              <w:left w:val="nil"/>
              <w:bottom w:val="single" w:sz="4" w:space="0" w:color="auto"/>
              <w:right w:val="single" w:sz="4" w:space="0" w:color="auto"/>
            </w:tcBorders>
            <w:shd w:val="clear" w:color="auto" w:fill="auto"/>
            <w:noWrap/>
            <w:vAlign w:val="center"/>
            <w:hideMark/>
          </w:tcPr>
          <w:p w14:paraId="774E752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472</w:t>
            </w:r>
          </w:p>
        </w:tc>
        <w:tc>
          <w:tcPr>
            <w:tcW w:w="429" w:type="dxa"/>
            <w:tcBorders>
              <w:top w:val="nil"/>
              <w:left w:val="nil"/>
              <w:bottom w:val="single" w:sz="4" w:space="0" w:color="auto"/>
              <w:right w:val="single" w:sz="4" w:space="0" w:color="auto"/>
            </w:tcBorders>
            <w:shd w:val="clear" w:color="auto" w:fill="auto"/>
            <w:noWrap/>
            <w:vAlign w:val="center"/>
            <w:hideMark/>
          </w:tcPr>
          <w:p w14:paraId="17F1FE5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484</w:t>
            </w:r>
          </w:p>
        </w:tc>
        <w:tc>
          <w:tcPr>
            <w:tcW w:w="429" w:type="dxa"/>
            <w:tcBorders>
              <w:top w:val="nil"/>
              <w:left w:val="nil"/>
              <w:bottom w:val="single" w:sz="4" w:space="0" w:color="auto"/>
              <w:right w:val="single" w:sz="4" w:space="0" w:color="auto"/>
            </w:tcBorders>
            <w:shd w:val="clear" w:color="auto" w:fill="auto"/>
            <w:noWrap/>
            <w:vAlign w:val="center"/>
            <w:hideMark/>
          </w:tcPr>
          <w:p w14:paraId="39B8067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496</w:t>
            </w:r>
          </w:p>
        </w:tc>
        <w:tc>
          <w:tcPr>
            <w:tcW w:w="429" w:type="dxa"/>
            <w:tcBorders>
              <w:top w:val="nil"/>
              <w:left w:val="nil"/>
              <w:bottom w:val="single" w:sz="4" w:space="0" w:color="auto"/>
              <w:right w:val="single" w:sz="4" w:space="0" w:color="auto"/>
            </w:tcBorders>
            <w:shd w:val="clear" w:color="auto" w:fill="auto"/>
            <w:noWrap/>
            <w:vAlign w:val="center"/>
            <w:hideMark/>
          </w:tcPr>
          <w:p w14:paraId="63DD8E9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506</w:t>
            </w:r>
          </w:p>
        </w:tc>
        <w:tc>
          <w:tcPr>
            <w:tcW w:w="429" w:type="dxa"/>
            <w:tcBorders>
              <w:top w:val="nil"/>
              <w:left w:val="nil"/>
              <w:bottom w:val="single" w:sz="4" w:space="0" w:color="auto"/>
              <w:right w:val="single" w:sz="4" w:space="0" w:color="auto"/>
            </w:tcBorders>
            <w:shd w:val="clear" w:color="auto" w:fill="auto"/>
            <w:noWrap/>
            <w:vAlign w:val="center"/>
            <w:hideMark/>
          </w:tcPr>
          <w:p w14:paraId="45B37AD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517</w:t>
            </w:r>
          </w:p>
        </w:tc>
        <w:tc>
          <w:tcPr>
            <w:tcW w:w="429" w:type="dxa"/>
            <w:tcBorders>
              <w:top w:val="nil"/>
              <w:left w:val="nil"/>
              <w:bottom w:val="single" w:sz="4" w:space="0" w:color="auto"/>
              <w:right w:val="single" w:sz="4" w:space="0" w:color="auto"/>
            </w:tcBorders>
            <w:shd w:val="clear" w:color="auto" w:fill="auto"/>
            <w:noWrap/>
            <w:vAlign w:val="center"/>
            <w:hideMark/>
          </w:tcPr>
          <w:p w14:paraId="117C50F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527</w:t>
            </w:r>
          </w:p>
        </w:tc>
        <w:tc>
          <w:tcPr>
            <w:tcW w:w="429" w:type="dxa"/>
            <w:tcBorders>
              <w:top w:val="nil"/>
              <w:left w:val="nil"/>
              <w:bottom w:val="single" w:sz="4" w:space="0" w:color="auto"/>
              <w:right w:val="single" w:sz="4" w:space="0" w:color="auto"/>
            </w:tcBorders>
            <w:shd w:val="clear" w:color="auto" w:fill="auto"/>
            <w:noWrap/>
            <w:vAlign w:val="center"/>
            <w:hideMark/>
          </w:tcPr>
          <w:p w14:paraId="693BCD4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536</w:t>
            </w:r>
          </w:p>
        </w:tc>
        <w:tc>
          <w:tcPr>
            <w:tcW w:w="429" w:type="dxa"/>
            <w:tcBorders>
              <w:top w:val="nil"/>
              <w:left w:val="nil"/>
              <w:bottom w:val="single" w:sz="4" w:space="0" w:color="auto"/>
              <w:right w:val="single" w:sz="4" w:space="0" w:color="auto"/>
            </w:tcBorders>
            <w:shd w:val="clear" w:color="auto" w:fill="auto"/>
            <w:noWrap/>
            <w:vAlign w:val="center"/>
            <w:hideMark/>
          </w:tcPr>
          <w:p w14:paraId="3640098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545</w:t>
            </w:r>
          </w:p>
        </w:tc>
        <w:tc>
          <w:tcPr>
            <w:tcW w:w="429" w:type="dxa"/>
            <w:tcBorders>
              <w:top w:val="nil"/>
              <w:left w:val="nil"/>
              <w:bottom w:val="single" w:sz="4" w:space="0" w:color="auto"/>
              <w:right w:val="single" w:sz="4" w:space="0" w:color="auto"/>
            </w:tcBorders>
            <w:shd w:val="clear" w:color="auto" w:fill="auto"/>
            <w:noWrap/>
            <w:vAlign w:val="center"/>
            <w:hideMark/>
          </w:tcPr>
          <w:p w14:paraId="51BAFC0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554</w:t>
            </w:r>
          </w:p>
        </w:tc>
        <w:tc>
          <w:tcPr>
            <w:tcW w:w="429" w:type="dxa"/>
            <w:tcBorders>
              <w:top w:val="nil"/>
              <w:left w:val="nil"/>
              <w:bottom w:val="single" w:sz="4" w:space="0" w:color="auto"/>
              <w:right w:val="single" w:sz="4" w:space="0" w:color="auto"/>
            </w:tcBorders>
            <w:shd w:val="clear" w:color="auto" w:fill="auto"/>
            <w:noWrap/>
            <w:vAlign w:val="center"/>
            <w:hideMark/>
          </w:tcPr>
          <w:p w14:paraId="0D636CE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563</w:t>
            </w:r>
          </w:p>
        </w:tc>
        <w:tc>
          <w:tcPr>
            <w:tcW w:w="429" w:type="dxa"/>
            <w:tcBorders>
              <w:top w:val="nil"/>
              <w:left w:val="nil"/>
              <w:bottom w:val="single" w:sz="4" w:space="0" w:color="auto"/>
              <w:right w:val="single" w:sz="4" w:space="0" w:color="auto"/>
            </w:tcBorders>
            <w:shd w:val="clear" w:color="auto" w:fill="auto"/>
            <w:noWrap/>
            <w:vAlign w:val="center"/>
            <w:hideMark/>
          </w:tcPr>
          <w:p w14:paraId="3A5614B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571</w:t>
            </w:r>
          </w:p>
        </w:tc>
        <w:tc>
          <w:tcPr>
            <w:tcW w:w="429" w:type="dxa"/>
            <w:tcBorders>
              <w:top w:val="nil"/>
              <w:left w:val="nil"/>
              <w:bottom w:val="single" w:sz="4" w:space="0" w:color="auto"/>
              <w:right w:val="single" w:sz="4" w:space="0" w:color="auto"/>
            </w:tcBorders>
            <w:shd w:val="clear" w:color="auto" w:fill="auto"/>
            <w:noWrap/>
            <w:vAlign w:val="center"/>
            <w:hideMark/>
          </w:tcPr>
          <w:p w14:paraId="136583C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580</w:t>
            </w:r>
          </w:p>
        </w:tc>
        <w:tc>
          <w:tcPr>
            <w:tcW w:w="429" w:type="dxa"/>
            <w:tcBorders>
              <w:top w:val="nil"/>
              <w:left w:val="nil"/>
              <w:bottom w:val="single" w:sz="4" w:space="0" w:color="auto"/>
              <w:right w:val="single" w:sz="4" w:space="0" w:color="auto"/>
            </w:tcBorders>
            <w:shd w:val="clear" w:color="auto" w:fill="auto"/>
            <w:noWrap/>
            <w:vAlign w:val="center"/>
            <w:hideMark/>
          </w:tcPr>
          <w:p w14:paraId="387E28B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588</w:t>
            </w:r>
          </w:p>
        </w:tc>
        <w:tc>
          <w:tcPr>
            <w:tcW w:w="429" w:type="dxa"/>
            <w:tcBorders>
              <w:top w:val="nil"/>
              <w:left w:val="nil"/>
              <w:bottom w:val="single" w:sz="4" w:space="0" w:color="auto"/>
              <w:right w:val="single" w:sz="4" w:space="0" w:color="auto"/>
            </w:tcBorders>
            <w:shd w:val="clear" w:color="auto" w:fill="auto"/>
            <w:noWrap/>
            <w:vAlign w:val="center"/>
            <w:hideMark/>
          </w:tcPr>
          <w:p w14:paraId="5AECB4C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595</w:t>
            </w:r>
          </w:p>
        </w:tc>
        <w:tc>
          <w:tcPr>
            <w:tcW w:w="429" w:type="dxa"/>
            <w:tcBorders>
              <w:top w:val="nil"/>
              <w:left w:val="nil"/>
              <w:bottom w:val="single" w:sz="4" w:space="0" w:color="auto"/>
              <w:right w:val="single" w:sz="4" w:space="0" w:color="auto"/>
            </w:tcBorders>
            <w:shd w:val="clear" w:color="auto" w:fill="auto"/>
            <w:noWrap/>
            <w:vAlign w:val="center"/>
            <w:hideMark/>
          </w:tcPr>
          <w:p w14:paraId="45DFBD9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603</w:t>
            </w:r>
          </w:p>
        </w:tc>
        <w:tc>
          <w:tcPr>
            <w:tcW w:w="429" w:type="dxa"/>
            <w:tcBorders>
              <w:top w:val="nil"/>
              <w:left w:val="nil"/>
              <w:bottom w:val="single" w:sz="4" w:space="0" w:color="auto"/>
              <w:right w:val="single" w:sz="4" w:space="0" w:color="auto"/>
            </w:tcBorders>
            <w:shd w:val="clear" w:color="auto" w:fill="auto"/>
            <w:noWrap/>
            <w:vAlign w:val="center"/>
            <w:hideMark/>
          </w:tcPr>
          <w:p w14:paraId="3378088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610</w:t>
            </w:r>
          </w:p>
        </w:tc>
        <w:tc>
          <w:tcPr>
            <w:tcW w:w="429" w:type="dxa"/>
            <w:tcBorders>
              <w:top w:val="nil"/>
              <w:left w:val="nil"/>
              <w:bottom w:val="single" w:sz="4" w:space="0" w:color="auto"/>
              <w:right w:val="single" w:sz="4" w:space="0" w:color="auto"/>
            </w:tcBorders>
            <w:shd w:val="clear" w:color="auto" w:fill="auto"/>
            <w:noWrap/>
            <w:vAlign w:val="center"/>
            <w:hideMark/>
          </w:tcPr>
          <w:p w14:paraId="1EEC7E1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617</w:t>
            </w:r>
          </w:p>
        </w:tc>
        <w:tc>
          <w:tcPr>
            <w:tcW w:w="429" w:type="dxa"/>
            <w:tcBorders>
              <w:top w:val="nil"/>
              <w:left w:val="nil"/>
              <w:bottom w:val="single" w:sz="4" w:space="0" w:color="auto"/>
              <w:right w:val="single" w:sz="4" w:space="0" w:color="auto"/>
            </w:tcBorders>
            <w:shd w:val="clear" w:color="auto" w:fill="auto"/>
            <w:noWrap/>
            <w:vAlign w:val="center"/>
            <w:hideMark/>
          </w:tcPr>
          <w:p w14:paraId="71ACDCD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624</w:t>
            </w:r>
          </w:p>
        </w:tc>
      </w:tr>
      <w:tr w:rsidR="00F75183" w:rsidRPr="00B85017" w14:paraId="26108810"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0A8BD9A9"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3229F13A"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470</w:t>
            </w:r>
          </w:p>
        </w:tc>
        <w:tc>
          <w:tcPr>
            <w:tcW w:w="429" w:type="dxa"/>
            <w:tcBorders>
              <w:top w:val="nil"/>
              <w:left w:val="nil"/>
              <w:bottom w:val="single" w:sz="4" w:space="0" w:color="auto"/>
              <w:right w:val="single" w:sz="4" w:space="0" w:color="auto"/>
            </w:tcBorders>
            <w:shd w:val="clear" w:color="auto" w:fill="auto"/>
            <w:noWrap/>
            <w:vAlign w:val="center"/>
            <w:hideMark/>
          </w:tcPr>
          <w:p w14:paraId="0E1806D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427</w:t>
            </w:r>
          </w:p>
        </w:tc>
        <w:tc>
          <w:tcPr>
            <w:tcW w:w="429" w:type="dxa"/>
            <w:tcBorders>
              <w:top w:val="nil"/>
              <w:left w:val="nil"/>
              <w:bottom w:val="single" w:sz="4" w:space="0" w:color="auto"/>
              <w:right w:val="single" w:sz="4" w:space="0" w:color="auto"/>
            </w:tcBorders>
            <w:shd w:val="clear" w:color="auto" w:fill="auto"/>
            <w:noWrap/>
            <w:vAlign w:val="center"/>
            <w:hideMark/>
          </w:tcPr>
          <w:p w14:paraId="4ACAB4C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442</w:t>
            </w:r>
          </w:p>
        </w:tc>
        <w:tc>
          <w:tcPr>
            <w:tcW w:w="429" w:type="dxa"/>
            <w:tcBorders>
              <w:top w:val="nil"/>
              <w:left w:val="nil"/>
              <w:bottom w:val="single" w:sz="4" w:space="0" w:color="auto"/>
              <w:right w:val="single" w:sz="4" w:space="0" w:color="auto"/>
            </w:tcBorders>
            <w:shd w:val="clear" w:color="auto" w:fill="auto"/>
            <w:noWrap/>
            <w:vAlign w:val="center"/>
            <w:hideMark/>
          </w:tcPr>
          <w:p w14:paraId="5D8708B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457</w:t>
            </w:r>
          </w:p>
        </w:tc>
        <w:tc>
          <w:tcPr>
            <w:tcW w:w="429" w:type="dxa"/>
            <w:tcBorders>
              <w:top w:val="nil"/>
              <w:left w:val="nil"/>
              <w:bottom w:val="single" w:sz="4" w:space="0" w:color="auto"/>
              <w:right w:val="single" w:sz="4" w:space="0" w:color="auto"/>
            </w:tcBorders>
            <w:shd w:val="clear" w:color="auto" w:fill="auto"/>
            <w:noWrap/>
            <w:vAlign w:val="center"/>
            <w:hideMark/>
          </w:tcPr>
          <w:p w14:paraId="20674CE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470</w:t>
            </w:r>
          </w:p>
        </w:tc>
        <w:tc>
          <w:tcPr>
            <w:tcW w:w="429" w:type="dxa"/>
            <w:tcBorders>
              <w:top w:val="nil"/>
              <w:left w:val="nil"/>
              <w:bottom w:val="single" w:sz="4" w:space="0" w:color="auto"/>
              <w:right w:val="single" w:sz="4" w:space="0" w:color="auto"/>
            </w:tcBorders>
            <w:shd w:val="clear" w:color="auto" w:fill="auto"/>
            <w:noWrap/>
            <w:vAlign w:val="center"/>
            <w:hideMark/>
          </w:tcPr>
          <w:p w14:paraId="35FEC2C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483</w:t>
            </w:r>
          </w:p>
        </w:tc>
        <w:tc>
          <w:tcPr>
            <w:tcW w:w="429" w:type="dxa"/>
            <w:tcBorders>
              <w:top w:val="nil"/>
              <w:left w:val="nil"/>
              <w:bottom w:val="single" w:sz="4" w:space="0" w:color="auto"/>
              <w:right w:val="single" w:sz="4" w:space="0" w:color="auto"/>
            </w:tcBorders>
            <w:shd w:val="clear" w:color="auto" w:fill="auto"/>
            <w:noWrap/>
            <w:vAlign w:val="center"/>
            <w:hideMark/>
          </w:tcPr>
          <w:p w14:paraId="09839D0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495</w:t>
            </w:r>
          </w:p>
        </w:tc>
        <w:tc>
          <w:tcPr>
            <w:tcW w:w="429" w:type="dxa"/>
            <w:tcBorders>
              <w:top w:val="nil"/>
              <w:left w:val="nil"/>
              <w:bottom w:val="single" w:sz="4" w:space="0" w:color="auto"/>
              <w:right w:val="single" w:sz="4" w:space="0" w:color="auto"/>
            </w:tcBorders>
            <w:shd w:val="clear" w:color="auto" w:fill="auto"/>
            <w:noWrap/>
            <w:vAlign w:val="center"/>
            <w:hideMark/>
          </w:tcPr>
          <w:p w14:paraId="192C8AC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506</w:t>
            </w:r>
          </w:p>
        </w:tc>
        <w:tc>
          <w:tcPr>
            <w:tcW w:w="429" w:type="dxa"/>
            <w:tcBorders>
              <w:top w:val="nil"/>
              <w:left w:val="nil"/>
              <w:bottom w:val="single" w:sz="4" w:space="0" w:color="auto"/>
              <w:right w:val="single" w:sz="4" w:space="0" w:color="auto"/>
            </w:tcBorders>
            <w:shd w:val="clear" w:color="auto" w:fill="auto"/>
            <w:noWrap/>
            <w:vAlign w:val="center"/>
            <w:hideMark/>
          </w:tcPr>
          <w:p w14:paraId="5CD5080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517</w:t>
            </w:r>
          </w:p>
        </w:tc>
        <w:tc>
          <w:tcPr>
            <w:tcW w:w="429" w:type="dxa"/>
            <w:tcBorders>
              <w:top w:val="nil"/>
              <w:left w:val="nil"/>
              <w:bottom w:val="single" w:sz="4" w:space="0" w:color="auto"/>
              <w:right w:val="single" w:sz="4" w:space="0" w:color="auto"/>
            </w:tcBorders>
            <w:shd w:val="clear" w:color="auto" w:fill="auto"/>
            <w:noWrap/>
            <w:vAlign w:val="center"/>
            <w:hideMark/>
          </w:tcPr>
          <w:p w14:paraId="73A2BC0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528</w:t>
            </w:r>
          </w:p>
        </w:tc>
        <w:tc>
          <w:tcPr>
            <w:tcW w:w="429" w:type="dxa"/>
            <w:tcBorders>
              <w:top w:val="nil"/>
              <w:left w:val="nil"/>
              <w:bottom w:val="single" w:sz="4" w:space="0" w:color="auto"/>
              <w:right w:val="single" w:sz="4" w:space="0" w:color="auto"/>
            </w:tcBorders>
            <w:shd w:val="clear" w:color="auto" w:fill="auto"/>
            <w:noWrap/>
            <w:vAlign w:val="center"/>
            <w:hideMark/>
          </w:tcPr>
          <w:p w14:paraId="45153D0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538</w:t>
            </w:r>
          </w:p>
        </w:tc>
        <w:tc>
          <w:tcPr>
            <w:tcW w:w="429" w:type="dxa"/>
            <w:tcBorders>
              <w:top w:val="nil"/>
              <w:left w:val="nil"/>
              <w:bottom w:val="single" w:sz="4" w:space="0" w:color="auto"/>
              <w:right w:val="single" w:sz="4" w:space="0" w:color="auto"/>
            </w:tcBorders>
            <w:shd w:val="clear" w:color="auto" w:fill="auto"/>
            <w:noWrap/>
            <w:vAlign w:val="center"/>
            <w:hideMark/>
          </w:tcPr>
          <w:p w14:paraId="5AD3FF2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548</w:t>
            </w:r>
          </w:p>
        </w:tc>
        <w:tc>
          <w:tcPr>
            <w:tcW w:w="429" w:type="dxa"/>
            <w:tcBorders>
              <w:top w:val="nil"/>
              <w:left w:val="nil"/>
              <w:bottom w:val="single" w:sz="4" w:space="0" w:color="auto"/>
              <w:right w:val="single" w:sz="4" w:space="0" w:color="auto"/>
            </w:tcBorders>
            <w:shd w:val="clear" w:color="auto" w:fill="auto"/>
            <w:noWrap/>
            <w:vAlign w:val="center"/>
            <w:hideMark/>
          </w:tcPr>
          <w:p w14:paraId="11F0566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557</w:t>
            </w:r>
          </w:p>
        </w:tc>
        <w:tc>
          <w:tcPr>
            <w:tcW w:w="429" w:type="dxa"/>
            <w:tcBorders>
              <w:top w:val="nil"/>
              <w:left w:val="nil"/>
              <w:bottom w:val="single" w:sz="4" w:space="0" w:color="auto"/>
              <w:right w:val="single" w:sz="4" w:space="0" w:color="auto"/>
            </w:tcBorders>
            <w:shd w:val="clear" w:color="auto" w:fill="auto"/>
            <w:noWrap/>
            <w:vAlign w:val="center"/>
            <w:hideMark/>
          </w:tcPr>
          <w:p w14:paraId="4C309CF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566</w:t>
            </w:r>
          </w:p>
        </w:tc>
        <w:tc>
          <w:tcPr>
            <w:tcW w:w="429" w:type="dxa"/>
            <w:tcBorders>
              <w:top w:val="nil"/>
              <w:left w:val="nil"/>
              <w:bottom w:val="single" w:sz="4" w:space="0" w:color="auto"/>
              <w:right w:val="single" w:sz="4" w:space="0" w:color="auto"/>
            </w:tcBorders>
            <w:shd w:val="clear" w:color="auto" w:fill="auto"/>
            <w:noWrap/>
            <w:vAlign w:val="center"/>
            <w:hideMark/>
          </w:tcPr>
          <w:p w14:paraId="0001A15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575</w:t>
            </w:r>
          </w:p>
        </w:tc>
        <w:tc>
          <w:tcPr>
            <w:tcW w:w="429" w:type="dxa"/>
            <w:tcBorders>
              <w:top w:val="nil"/>
              <w:left w:val="nil"/>
              <w:bottom w:val="single" w:sz="4" w:space="0" w:color="auto"/>
              <w:right w:val="single" w:sz="4" w:space="0" w:color="auto"/>
            </w:tcBorders>
            <w:shd w:val="clear" w:color="auto" w:fill="auto"/>
            <w:noWrap/>
            <w:vAlign w:val="center"/>
            <w:hideMark/>
          </w:tcPr>
          <w:p w14:paraId="5998687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584</w:t>
            </w:r>
          </w:p>
        </w:tc>
        <w:tc>
          <w:tcPr>
            <w:tcW w:w="429" w:type="dxa"/>
            <w:tcBorders>
              <w:top w:val="nil"/>
              <w:left w:val="nil"/>
              <w:bottom w:val="single" w:sz="4" w:space="0" w:color="auto"/>
              <w:right w:val="single" w:sz="4" w:space="0" w:color="auto"/>
            </w:tcBorders>
            <w:shd w:val="clear" w:color="auto" w:fill="auto"/>
            <w:noWrap/>
            <w:vAlign w:val="center"/>
            <w:hideMark/>
          </w:tcPr>
          <w:p w14:paraId="46ED7F5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592</w:t>
            </w:r>
          </w:p>
        </w:tc>
        <w:tc>
          <w:tcPr>
            <w:tcW w:w="429" w:type="dxa"/>
            <w:tcBorders>
              <w:top w:val="nil"/>
              <w:left w:val="nil"/>
              <w:bottom w:val="single" w:sz="4" w:space="0" w:color="auto"/>
              <w:right w:val="single" w:sz="4" w:space="0" w:color="auto"/>
            </w:tcBorders>
            <w:shd w:val="clear" w:color="auto" w:fill="auto"/>
            <w:noWrap/>
            <w:vAlign w:val="center"/>
            <w:hideMark/>
          </w:tcPr>
          <w:p w14:paraId="203B24F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600</w:t>
            </w:r>
          </w:p>
        </w:tc>
        <w:tc>
          <w:tcPr>
            <w:tcW w:w="429" w:type="dxa"/>
            <w:tcBorders>
              <w:top w:val="nil"/>
              <w:left w:val="nil"/>
              <w:bottom w:val="single" w:sz="4" w:space="0" w:color="auto"/>
              <w:right w:val="single" w:sz="4" w:space="0" w:color="auto"/>
            </w:tcBorders>
            <w:shd w:val="clear" w:color="auto" w:fill="auto"/>
            <w:noWrap/>
            <w:vAlign w:val="center"/>
            <w:hideMark/>
          </w:tcPr>
          <w:p w14:paraId="1805007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608</w:t>
            </w:r>
          </w:p>
        </w:tc>
        <w:tc>
          <w:tcPr>
            <w:tcW w:w="429" w:type="dxa"/>
            <w:tcBorders>
              <w:top w:val="nil"/>
              <w:left w:val="nil"/>
              <w:bottom w:val="single" w:sz="4" w:space="0" w:color="auto"/>
              <w:right w:val="single" w:sz="4" w:space="0" w:color="auto"/>
            </w:tcBorders>
            <w:shd w:val="clear" w:color="auto" w:fill="auto"/>
            <w:noWrap/>
            <w:vAlign w:val="center"/>
            <w:hideMark/>
          </w:tcPr>
          <w:p w14:paraId="12EF1FE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616</w:t>
            </w:r>
          </w:p>
        </w:tc>
        <w:tc>
          <w:tcPr>
            <w:tcW w:w="429" w:type="dxa"/>
            <w:tcBorders>
              <w:top w:val="nil"/>
              <w:left w:val="nil"/>
              <w:bottom w:val="single" w:sz="4" w:space="0" w:color="auto"/>
              <w:right w:val="single" w:sz="4" w:space="0" w:color="auto"/>
            </w:tcBorders>
            <w:shd w:val="clear" w:color="auto" w:fill="auto"/>
            <w:noWrap/>
            <w:vAlign w:val="center"/>
            <w:hideMark/>
          </w:tcPr>
          <w:p w14:paraId="7AA6EE5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623</w:t>
            </w:r>
          </w:p>
        </w:tc>
        <w:tc>
          <w:tcPr>
            <w:tcW w:w="429" w:type="dxa"/>
            <w:tcBorders>
              <w:top w:val="nil"/>
              <w:left w:val="nil"/>
              <w:bottom w:val="single" w:sz="4" w:space="0" w:color="auto"/>
              <w:right w:val="single" w:sz="4" w:space="0" w:color="auto"/>
            </w:tcBorders>
            <w:shd w:val="clear" w:color="auto" w:fill="auto"/>
            <w:noWrap/>
            <w:vAlign w:val="center"/>
            <w:hideMark/>
          </w:tcPr>
          <w:p w14:paraId="7112D6F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631</w:t>
            </w:r>
          </w:p>
        </w:tc>
        <w:tc>
          <w:tcPr>
            <w:tcW w:w="429" w:type="dxa"/>
            <w:tcBorders>
              <w:top w:val="nil"/>
              <w:left w:val="nil"/>
              <w:bottom w:val="single" w:sz="4" w:space="0" w:color="auto"/>
              <w:right w:val="single" w:sz="4" w:space="0" w:color="auto"/>
            </w:tcBorders>
            <w:shd w:val="clear" w:color="auto" w:fill="auto"/>
            <w:noWrap/>
            <w:vAlign w:val="center"/>
            <w:hideMark/>
          </w:tcPr>
          <w:p w14:paraId="7ACD039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638</w:t>
            </w:r>
          </w:p>
        </w:tc>
      </w:tr>
      <w:tr w:rsidR="00F75183" w:rsidRPr="00B85017" w14:paraId="6659203F"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63408230"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3CCF4401"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480</w:t>
            </w:r>
          </w:p>
        </w:tc>
        <w:tc>
          <w:tcPr>
            <w:tcW w:w="429" w:type="dxa"/>
            <w:tcBorders>
              <w:top w:val="nil"/>
              <w:left w:val="nil"/>
              <w:bottom w:val="single" w:sz="4" w:space="0" w:color="auto"/>
              <w:right w:val="single" w:sz="4" w:space="0" w:color="auto"/>
            </w:tcBorders>
            <w:shd w:val="clear" w:color="auto" w:fill="auto"/>
            <w:noWrap/>
            <w:vAlign w:val="center"/>
            <w:hideMark/>
          </w:tcPr>
          <w:p w14:paraId="7670A8A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436</w:t>
            </w:r>
          </w:p>
        </w:tc>
        <w:tc>
          <w:tcPr>
            <w:tcW w:w="429" w:type="dxa"/>
            <w:tcBorders>
              <w:top w:val="nil"/>
              <w:left w:val="nil"/>
              <w:bottom w:val="single" w:sz="4" w:space="0" w:color="auto"/>
              <w:right w:val="single" w:sz="4" w:space="0" w:color="auto"/>
            </w:tcBorders>
            <w:shd w:val="clear" w:color="auto" w:fill="auto"/>
            <w:noWrap/>
            <w:vAlign w:val="center"/>
            <w:hideMark/>
          </w:tcPr>
          <w:p w14:paraId="5B03547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452</w:t>
            </w:r>
          </w:p>
        </w:tc>
        <w:tc>
          <w:tcPr>
            <w:tcW w:w="429" w:type="dxa"/>
            <w:tcBorders>
              <w:top w:val="nil"/>
              <w:left w:val="nil"/>
              <w:bottom w:val="single" w:sz="4" w:space="0" w:color="auto"/>
              <w:right w:val="single" w:sz="4" w:space="0" w:color="auto"/>
            </w:tcBorders>
            <w:shd w:val="clear" w:color="auto" w:fill="auto"/>
            <w:noWrap/>
            <w:vAlign w:val="center"/>
            <w:hideMark/>
          </w:tcPr>
          <w:p w14:paraId="29CCBA8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466</w:t>
            </w:r>
          </w:p>
        </w:tc>
        <w:tc>
          <w:tcPr>
            <w:tcW w:w="429" w:type="dxa"/>
            <w:tcBorders>
              <w:top w:val="nil"/>
              <w:left w:val="nil"/>
              <w:bottom w:val="single" w:sz="4" w:space="0" w:color="auto"/>
              <w:right w:val="single" w:sz="4" w:space="0" w:color="auto"/>
            </w:tcBorders>
            <w:shd w:val="clear" w:color="auto" w:fill="auto"/>
            <w:noWrap/>
            <w:vAlign w:val="center"/>
            <w:hideMark/>
          </w:tcPr>
          <w:p w14:paraId="2E1D216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480</w:t>
            </w:r>
          </w:p>
        </w:tc>
        <w:tc>
          <w:tcPr>
            <w:tcW w:w="429" w:type="dxa"/>
            <w:tcBorders>
              <w:top w:val="nil"/>
              <w:left w:val="nil"/>
              <w:bottom w:val="single" w:sz="4" w:space="0" w:color="auto"/>
              <w:right w:val="single" w:sz="4" w:space="0" w:color="auto"/>
            </w:tcBorders>
            <w:shd w:val="clear" w:color="auto" w:fill="auto"/>
            <w:noWrap/>
            <w:vAlign w:val="center"/>
            <w:hideMark/>
          </w:tcPr>
          <w:p w14:paraId="2E96CA5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493</w:t>
            </w:r>
          </w:p>
        </w:tc>
        <w:tc>
          <w:tcPr>
            <w:tcW w:w="429" w:type="dxa"/>
            <w:tcBorders>
              <w:top w:val="nil"/>
              <w:left w:val="nil"/>
              <w:bottom w:val="single" w:sz="4" w:space="0" w:color="auto"/>
              <w:right w:val="single" w:sz="4" w:space="0" w:color="auto"/>
            </w:tcBorders>
            <w:shd w:val="clear" w:color="auto" w:fill="auto"/>
            <w:noWrap/>
            <w:vAlign w:val="center"/>
            <w:hideMark/>
          </w:tcPr>
          <w:p w14:paraId="69DCB98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505</w:t>
            </w:r>
          </w:p>
        </w:tc>
        <w:tc>
          <w:tcPr>
            <w:tcW w:w="429" w:type="dxa"/>
            <w:tcBorders>
              <w:top w:val="nil"/>
              <w:left w:val="nil"/>
              <w:bottom w:val="single" w:sz="4" w:space="0" w:color="auto"/>
              <w:right w:val="single" w:sz="4" w:space="0" w:color="auto"/>
            </w:tcBorders>
            <w:shd w:val="clear" w:color="auto" w:fill="auto"/>
            <w:noWrap/>
            <w:vAlign w:val="center"/>
            <w:hideMark/>
          </w:tcPr>
          <w:p w14:paraId="53C7498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517</w:t>
            </w:r>
          </w:p>
        </w:tc>
        <w:tc>
          <w:tcPr>
            <w:tcW w:w="429" w:type="dxa"/>
            <w:tcBorders>
              <w:top w:val="nil"/>
              <w:left w:val="nil"/>
              <w:bottom w:val="single" w:sz="4" w:space="0" w:color="auto"/>
              <w:right w:val="single" w:sz="4" w:space="0" w:color="auto"/>
            </w:tcBorders>
            <w:shd w:val="clear" w:color="auto" w:fill="auto"/>
            <w:noWrap/>
            <w:vAlign w:val="center"/>
            <w:hideMark/>
          </w:tcPr>
          <w:p w14:paraId="1F5CFB8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528</w:t>
            </w:r>
          </w:p>
        </w:tc>
        <w:tc>
          <w:tcPr>
            <w:tcW w:w="429" w:type="dxa"/>
            <w:tcBorders>
              <w:top w:val="nil"/>
              <w:left w:val="nil"/>
              <w:bottom w:val="single" w:sz="4" w:space="0" w:color="auto"/>
              <w:right w:val="single" w:sz="4" w:space="0" w:color="auto"/>
            </w:tcBorders>
            <w:shd w:val="clear" w:color="auto" w:fill="auto"/>
            <w:noWrap/>
            <w:vAlign w:val="center"/>
            <w:hideMark/>
          </w:tcPr>
          <w:p w14:paraId="4D29BC4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539</w:t>
            </w:r>
          </w:p>
        </w:tc>
        <w:tc>
          <w:tcPr>
            <w:tcW w:w="429" w:type="dxa"/>
            <w:tcBorders>
              <w:top w:val="nil"/>
              <w:left w:val="nil"/>
              <w:bottom w:val="single" w:sz="4" w:space="0" w:color="auto"/>
              <w:right w:val="single" w:sz="4" w:space="0" w:color="auto"/>
            </w:tcBorders>
            <w:shd w:val="clear" w:color="auto" w:fill="auto"/>
            <w:noWrap/>
            <w:vAlign w:val="center"/>
            <w:hideMark/>
          </w:tcPr>
          <w:p w14:paraId="552830D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549</w:t>
            </w:r>
          </w:p>
        </w:tc>
        <w:tc>
          <w:tcPr>
            <w:tcW w:w="429" w:type="dxa"/>
            <w:tcBorders>
              <w:top w:val="nil"/>
              <w:left w:val="nil"/>
              <w:bottom w:val="single" w:sz="4" w:space="0" w:color="auto"/>
              <w:right w:val="single" w:sz="4" w:space="0" w:color="auto"/>
            </w:tcBorders>
            <w:shd w:val="clear" w:color="auto" w:fill="auto"/>
            <w:noWrap/>
            <w:vAlign w:val="center"/>
            <w:hideMark/>
          </w:tcPr>
          <w:p w14:paraId="01E7053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559</w:t>
            </w:r>
          </w:p>
        </w:tc>
        <w:tc>
          <w:tcPr>
            <w:tcW w:w="429" w:type="dxa"/>
            <w:tcBorders>
              <w:top w:val="nil"/>
              <w:left w:val="nil"/>
              <w:bottom w:val="single" w:sz="4" w:space="0" w:color="auto"/>
              <w:right w:val="single" w:sz="4" w:space="0" w:color="auto"/>
            </w:tcBorders>
            <w:shd w:val="clear" w:color="auto" w:fill="auto"/>
            <w:noWrap/>
            <w:vAlign w:val="center"/>
            <w:hideMark/>
          </w:tcPr>
          <w:p w14:paraId="16C0100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569</w:t>
            </w:r>
          </w:p>
        </w:tc>
        <w:tc>
          <w:tcPr>
            <w:tcW w:w="429" w:type="dxa"/>
            <w:tcBorders>
              <w:top w:val="nil"/>
              <w:left w:val="nil"/>
              <w:bottom w:val="single" w:sz="4" w:space="0" w:color="auto"/>
              <w:right w:val="single" w:sz="4" w:space="0" w:color="auto"/>
            </w:tcBorders>
            <w:shd w:val="clear" w:color="auto" w:fill="auto"/>
            <w:noWrap/>
            <w:vAlign w:val="center"/>
            <w:hideMark/>
          </w:tcPr>
          <w:p w14:paraId="6132EE5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578</w:t>
            </w:r>
          </w:p>
        </w:tc>
        <w:tc>
          <w:tcPr>
            <w:tcW w:w="429" w:type="dxa"/>
            <w:tcBorders>
              <w:top w:val="nil"/>
              <w:left w:val="nil"/>
              <w:bottom w:val="single" w:sz="4" w:space="0" w:color="auto"/>
              <w:right w:val="single" w:sz="4" w:space="0" w:color="auto"/>
            </w:tcBorders>
            <w:shd w:val="clear" w:color="auto" w:fill="auto"/>
            <w:noWrap/>
            <w:vAlign w:val="center"/>
            <w:hideMark/>
          </w:tcPr>
          <w:p w14:paraId="79EDCF9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587</w:t>
            </w:r>
          </w:p>
        </w:tc>
        <w:tc>
          <w:tcPr>
            <w:tcW w:w="429" w:type="dxa"/>
            <w:tcBorders>
              <w:top w:val="nil"/>
              <w:left w:val="nil"/>
              <w:bottom w:val="single" w:sz="4" w:space="0" w:color="auto"/>
              <w:right w:val="single" w:sz="4" w:space="0" w:color="auto"/>
            </w:tcBorders>
            <w:shd w:val="clear" w:color="auto" w:fill="auto"/>
            <w:noWrap/>
            <w:vAlign w:val="center"/>
            <w:hideMark/>
          </w:tcPr>
          <w:p w14:paraId="33412A0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596</w:t>
            </w:r>
          </w:p>
        </w:tc>
        <w:tc>
          <w:tcPr>
            <w:tcW w:w="429" w:type="dxa"/>
            <w:tcBorders>
              <w:top w:val="nil"/>
              <w:left w:val="nil"/>
              <w:bottom w:val="single" w:sz="4" w:space="0" w:color="auto"/>
              <w:right w:val="single" w:sz="4" w:space="0" w:color="auto"/>
            </w:tcBorders>
            <w:shd w:val="clear" w:color="auto" w:fill="auto"/>
            <w:noWrap/>
            <w:vAlign w:val="center"/>
            <w:hideMark/>
          </w:tcPr>
          <w:p w14:paraId="65F6DAB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605</w:t>
            </w:r>
          </w:p>
        </w:tc>
        <w:tc>
          <w:tcPr>
            <w:tcW w:w="429" w:type="dxa"/>
            <w:tcBorders>
              <w:top w:val="nil"/>
              <w:left w:val="nil"/>
              <w:bottom w:val="single" w:sz="4" w:space="0" w:color="auto"/>
              <w:right w:val="single" w:sz="4" w:space="0" w:color="auto"/>
            </w:tcBorders>
            <w:shd w:val="clear" w:color="auto" w:fill="auto"/>
            <w:noWrap/>
            <w:vAlign w:val="center"/>
            <w:hideMark/>
          </w:tcPr>
          <w:p w14:paraId="4A31557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613</w:t>
            </w:r>
          </w:p>
        </w:tc>
        <w:tc>
          <w:tcPr>
            <w:tcW w:w="429" w:type="dxa"/>
            <w:tcBorders>
              <w:top w:val="nil"/>
              <w:left w:val="nil"/>
              <w:bottom w:val="single" w:sz="4" w:space="0" w:color="auto"/>
              <w:right w:val="single" w:sz="4" w:space="0" w:color="auto"/>
            </w:tcBorders>
            <w:shd w:val="clear" w:color="auto" w:fill="auto"/>
            <w:noWrap/>
            <w:vAlign w:val="center"/>
            <w:hideMark/>
          </w:tcPr>
          <w:p w14:paraId="61A90F9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621</w:t>
            </w:r>
          </w:p>
        </w:tc>
        <w:tc>
          <w:tcPr>
            <w:tcW w:w="429" w:type="dxa"/>
            <w:tcBorders>
              <w:top w:val="nil"/>
              <w:left w:val="nil"/>
              <w:bottom w:val="single" w:sz="4" w:space="0" w:color="auto"/>
              <w:right w:val="single" w:sz="4" w:space="0" w:color="auto"/>
            </w:tcBorders>
            <w:shd w:val="clear" w:color="auto" w:fill="auto"/>
            <w:noWrap/>
            <w:vAlign w:val="center"/>
            <w:hideMark/>
          </w:tcPr>
          <w:p w14:paraId="2DC8381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629</w:t>
            </w:r>
          </w:p>
        </w:tc>
        <w:tc>
          <w:tcPr>
            <w:tcW w:w="429" w:type="dxa"/>
            <w:tcBorders>
              <w:top w:val="nil"/>
              <w:left w:val="nil"/>
              <w:bottom w:val="single" w:sz="4" w:space="0" w:color="auto"/>
              <w:right w:val="single" w:sz="4" w:space="0" w:color="auto"/>
            </w:tcBorders>
            <w:shd w:val="clear" w:color="auto" w:fill="auto"/>
            <w:noWrap/>
            <w:vAlign w:val="center"/>
            <w:hideMark/>
          </w:tcPr>
          <w:p w14:paraId="751CF6E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637</w:t>
            </w:r>
          </w:p>
        </w:tc>
        <w:tc>
          <w:tcPr>
            <w:tcW w:w="429" w:type="dxa"/>
            <w:tcBorders>
              <w:top w:val="nil"/>
              <w:left w:val="nil"/>
              <w:bottom w:val="single" w:sz="4" w:space="0" w:color="auto"/>
              <w:right w:val="single" w:sz="4" w:space="0" w:color="auto"/>
            </w:tcBorders>
            <w:shd w:val="clear" w:color="auto" w:fill="auto"/>
            <w:noWrap/>
            <w:vAlign w:val="center"/>
            <w:hideMark/>
          </w:tcPr>
          <w:p w14:paraId="7339550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644</w:t>
            </w:r>
          </w:p>
        </w:tc>
        <w:tc>
          <w:tcPr>
            <w:tcW w:w="429" w:type="dxa"/>
            <w:tcBorders>
              <w:top w:val="nil"/>
              <w:left w:val="nil"/>
              <w:bottom w:val="single" w:sz="4" w:space="0" w:color="auto"/>
              <w:right w:val="single" w:sz="4" w:space="0" w:color="auto"/>
            </w:tcBorders>
            <w:shd w:val="clear" w:color="auto" w:fill="auto"/>
            <w:noWrap/>
            <w:vAlign w:val="center"/>
            <w:hideMark/>
          </w:tcPr>
          <w:p w14:paraId="7981099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651</w:t>
            </w:r>
          </w:p>
        </w:tc>
      </w:tr>
      <w:tr w:rsidR="00F75183" w:rsidRPr="00B85017" w14:paraId="2C55136A"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0436F49F"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4B53222C"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490</w:t>
            </w:r>
          </w:p>
        </w:tc>
        <w:tc>
          <w:tcPr>
            <w:tcW w:w="429" w:type="dxa"/>
            <w:tcBorders>
              <w:top w:val="nil"/>
              <w:left w:val="nil"/>
              <w:bottom w:val="single" w:sz="4" w:space="0" w:color="auto"/>
              <w:right w:val="single" w:sz="4" w:space="0" w:color="auto"/>
            </w:tcBorders>
            <w:shd w:val="clear" w:color="auto" w:fill="auto"/>
            <w:noWrap/>
            <w:vAlign w:val="center"/>
            <w:hideMark/>
          </w:tcPr>
          <w:p w14:paraId="4F52C47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445</w:t>
            </w:r>
          </w:p>
        </w:tc>
        <w:tc>
          <w:tcPr>
            <w:tcW w:w="429" w:type="dxa"/>
            <w:tcBorders>
              <w:top w:val="nil"/>
              <w:left w:val="nil"/>
              <w:bottom w:val="single" w:sz="4" w:space="0" w:color="auto"/>
              <w:right w:val="single" w:sz="4" w:space="0" w:color="auto"/>
            </w:tcBorders>
            <w:shd w:val="clear" w:color="auto" w:fill="auto"/>
            <w:noWrap/>
            <w:vAlign w:val="center"/>
            <w:hideMark/>
          </w:tcPr>
          <w:p w14:paraId="35487C0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461</w:t>
            </w:r>
          </w:p>
        </w:tc>
        <w:tc>
          <w:tcPr>
            <w:tcW w:w="429" w:type="dxa"/>
            <w:tcBorders>
              <w:top w:val="nil"/>
              <w:left w:val="nil"/>
              <w:bottom w:val="single" w:sz="4" w:space="0" w:color="auto"/>
              <w:right w:val="single" w:sz="4" w:space="0" w:color="auto"/>
            </w:tcBorders>
            <w:shd w:val="clear" w:color="auto" w:fill="auto"/>
            <w:noWrap/>
            <w:vAlign w:val="center"/>
            <w:hideMark/>
          </w:tcPr>
          <w:p w14:paraId="38C9D34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476</w:t>
            </w:r>
          </w:p>
        </w:tc>
        <w:tc>
          <w:tcPr>
            <w:tcW w:w="429" w:type="dxa"/>
            <w:tcBorders>
              <w:top w:val="nil"/>
              <w:left w:val="nil"/>
              <w:bottom w:val="single" w:sz="4" w:space="0" w:color="auto"/>
              <w:right w:val="single" w:sz="4" w:space="0" w:color="auto"/>
            </w:tcBorders>
            <w:shd w:val="clear" w:color="auto" w:fill="auto"/>
            <w:noWrap/>
            <w:vAlign w:val="center"/>
            <w:hideMark/>
          </w:tcPr>
          <w:p w14:paraId="31BA5AD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490</w:t>
            </w:r>
          </w:p>
        </w:tc>
        <w:tc>
          <w:tcPr>
            <w:tcW w:w="429" w:type="dxa"/>
            <w:tcBorders>
              <w:top w:val="nil"/>
              <w:left w:val="nil"/>
              <w:bottom w:val="single" w:sz="4" w:space="0" w:color="auto"/>
              <w:right w:val="single" w:sz="4" w:space="0" w:color="auto"/>
            </w:tcBorders>
            <w:shd w:val="clear" w:color="auto" w:fill="auto"/>
            <w:noWrap/>
            <w:vAlign w:val="center"/>
            <w:hideMark/>
          </w:tcPr>
          <w:p w14:paraId="553C28C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503</w:t>
            </w:r>
          </w:p>
        </w:tc>
        <w:tc>
          <w:tcPr>
            <w:tcW w:w="429" w:type="dxa"/>
            <w:tcBorders>
              <w:top w:val="nil"/>
              <w:left w:val="nil"/>
              <w:bottom w:val="single" w:sz="4" w:space="0" w:color="auto"/>
              <w:right w:val="single" w:sz="4" w:space="0" w:color="auto"/>
            </w:tcBorders>
            <w:shd w:val="clear" w:color="auto" w:fill="auto"/>
            <w:noWrap/>
            <w:vAlign w:val="center"/>
            <w:hideMark/>
          </w:tcPr>
          <w:p w14:paraId="7FF5FE8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516</w:t>
            </w:r>
          </w:p>
        </w:tc>
        <w:tc>
          <w:tcPr>
            <w:tcW w:w="429" w:type="dxa"/>
            <w:tcBorders>
              <w:top w:val="nil"/>
              <w:left w:val="nil"/>
              <w:bottom w:val="single" w:sz="4" w:space="0" w:color="auto"/>
              <w:right w:val="single" w:sz="4" w:space="0" w:color="auto"/>
            </w:tcBorders>
            <w:shd w:val="clear" w:color="auto" w:fill="auto"/>
            <w:noWrap/>
            <w:vAlign w:val="center"/>
            <w:hideMark/>
          </w:tcPr>
          <w:p w14:paraId="1B31D0B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528</w:t>
            </w:r>
          </w:p>
        </w:tc>
        <w:tc>
          <w:tcPr>
            <w:tcW w:w="429" w:type="dxa"/>
            <w:tcBorders>
              <w:top w:val="nil"/>
              <w:left w:val="nil"/>
              <w:bottom w:val="single" w:sz="4" w:space="0" w:color="auto"/>
              <w:right w:val="single" w:sz="4" w:space="0" w:color="auto"/>
            </w:tcBorders>
            <w:shd w:val="clear" w:color="auto" w:fill="auto"/>
            <w:noWrap/>
            <w:vAlign w:val="center"/>
            <w:hideMark/>
          </w:tcPr>
          <w:p w14:paraId="6120D05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539</w:t>
            </w:r>
          </w:p>
        </w:tc>
        <w:tc>
          <w:tcPr>
            <w:tcW w:w="429" w:type="dxa"/>
            <w:tcBorders>
              <w:top w:val="nil"/>
              <w:left w:val="nil"/>
              <w:bottom w:val="single" w:sz="4" w:space="0" w:color="auto"/>
              <w:right w:val="single" w:sz="4" w:space="0" w:color="auto"/>
            </w:tcBorders>
            <w:shd w:val="clear" w:color="auto" w:fill="auto"/>
            <w:noWrap/>
            <w:vAlign w:val="center"/>
            <w:hideMark/>
          </w:tcPr>
          <w:p w14:paraId="42E4E3C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550</w:t>
            </w:r>
          </w:p>
        </w:tc>
        <w:tc>
          <w:tcPr>
            <w:tcW w:w="429" w:type="dxa"/>
            <w:tcBorders>
              <w:top w:val="nil"/>
              <w:left w:val="nil"/>
              <w:bottom w:val="single" w:sz="4" w:space="0" w:color="auto"/>
              <w:right w:val="single" w:sz="4" w:space="0" w:color="auto"/>
            </w:tcBorders>
            <w:shd w:val="clear" w:color="auto" w:fill="auto"/>
            <w:noWrap/>
            <w:vAlign w:val="center"/>
            <w:hideMark/>
          </w:tcPr>
          <w:p w14:paraId="6204460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561</w:t>
            </w:r>
          </w:p>
        </w:tc>
        <w:tc>
          <w:tcPr>
            <w:tcW w:w="429" w:type="dxa"/>
            <w:tcBorders>
              <w:top w:val="nil"/>
              <w:left w:val="nil"/>
              <w:bottom w:val="single" w:sz="4" w:space="0" w:color="auto"/>
              <w:right w:val="single" w:sz="4" w:space="0" w:color="auto"/>
            </w:tcBorders>
            <w:shd w:val="clear" w:color="auto" w:fill="auto"/>
            <w:noWrap/>
            <w:vAlign w:val="center"/>
            <w:hideMark/>
          </w:tcPr>
          <w:p w14:paraId="58FE6AF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571</w:t>
            </w:r>
          </w:p>
        </w:tc>
        <w:tc>
          <w:tcPr>
            <w:tcW w:w="429" w:type="dxa"/>
            <w:tcBorders>
              <w:top w:val="nil"/>
              <w:left w:val="nil"/>
              <w:bottom w:val="single" w:sz="4" w:space="0" w:color="auto"/>
              <w:right w:val="single" w:sz="4" w:space="0" w:color="auto"/>
            </w:tcBorders>
            <w:shd w:val="clear" w:color="auto" w:fill="auto"/>
            <w:noWrap/>
            <w:vAlign w:val="center"/>
            <w:hideMark/>
          </w:tcPr>
          <w:p w14:paraId="335AF82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581</w:t>
            </w:r>
          </w:p>
        </w:tc>
        <w:tc>
          <w:tcPr>
            <w:tcW w:w="429" w:type="dxa"/>
            <w:tcBorders>
              <w:top w:val="nil"/>
              <w:left w:val="nil"/>
              <w:bottom w:val="single" w:sz="4" w:space="0" w:color="auto"/>
              <w:right w:val="single" w:sz="4" w:space="0" w:color="auto"/>
            </w:tcBorders>
            <w:shd w:val="clear" w:color="auto" w:fill="auto"/>
            <w:noWrap/>
            <w:vAlign w:val="center"/>
            <w:hideMark/>
          </w:tcPr>
          <w:p w14:paraId="43EDAE6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590</w:t>
            </w:r>
          </w:p>
        </w:tc>
        <w:tc>
          <w:tcPr>
            <w:tcW w:w="429" w:type="dxa"/>
            <w:tcBorders>
              <w:top w:val="nil"/>
              <w:left w:val="nil"/>
              <w:bottom w:val="single" w:sz="4" w:space="0" w:color="auto"/>
              <w:right w:val="single" w:sz="4" w:space="0" w:color="auto"/>
            </w:tcBorders>
            <w:shd w:val="clear" w:color="auto" w:fill="auto"/>
            <w:noWrap/>
            <w:vAlign w:val="center"/>
            <w:hideMark/>
          </w:tcPr>
          <w:p w14:paraId="104889E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600</w:t>
            </w:r>
          </w:p>
        </w:tc>
        <w:tc>
          <w:tcPr>
            <w:tcW w:w="429" w:type="dxa"/>
            <w:tcBorders>
              <w:top w:val="nil"/>
              <w:left w:val="nil"/>
              <w:bottom w:val="single" w:sz="4" w:space="0" w:color="auto"/>
              <w:right w:val="single" w:sz="4" w:space="0" w:color="auto"/>
            </w:tcBorders>
            <w:shd w:val="clear" w:color="auto" w:fill="auto"/>
            <w:noWrap/>
            <w:vAlign w:val="center"/>
            <w:hideMark/>
          </w:tcPr>
          <w:p w14:paraId="49DF064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609</w:t>
            </w:r>
          </w:p>
        </w:tc>
        <w:tc>
          <w:tcPr>
            <w:tcW w:w="429" w:type="dxa"/>
            <w:tcBorders>
              <w:top w:val="nil"/>
              <w:left w:val="nil"/>
              <w:bottom w:val="single" w:sz="4" w:space="0" w:color="auto"/>
              <w:right w:val="single" w:sz="4" w:space="0" w:color="auto"/>
            </w:tcBorders>
            <w:shd w:val="clear" w:color="auto" w:fill="auto"/>
            <w:noWrap/>
            <w:vAlign w:val="center"/>
            <w:hideMark/>
          </w:tcPr>
          <w:p w14:paraId="0C00EE2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617</w:t>
            </w:r>
          </w:p>
        </w:tc>
        <w:tc>
          <w:tcPr>
            <w:tcW w:w="429" w:type="dxa"/>
            <w:tcBorders>
              <w:top w:val="nil"/>
              <w:left w:val="nil"/>
              <w:bottom w:val="single" w:sz="4" w:space="0" w:color="auto"/>
              <w:right w:val="single" w:sz="4" w:space="0" w:color="auto"/>
            </w:tcBorders>
            <w:shd w:val="clear" w:color="auto" w:fill="auto"/>
            <w:noWrap/>
            <w:vAlign w:val="center"/>
            <w:hideMark/>
          </w:tcPr>
          <w:p w14:paraId="1ABDC4A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626</w:t>
            </w:r>
          </w:p>
        </w:tc>
        <w:tc>
          <w:tcPr>
            <w:tcW w:w="429" w:type="dxa"/>
            <w:tcBorders>
              <w:top w:val="nil"/>
              <w:left w:val="nil"/>
              <w:bottom w:val="single" w:sz="4" w:space="0" w:color="auto"/>
              <w:right w:val="single" w:sz="4" w:space="0" w:color="auto"/>
            </w:tcBorders>
            <w:shd w:val="clear" w:color="auto" w:fill="auto"/>
            <w:noWrap/>
            <w:vAlign w:val="center"/>
            <w:hideMark/>
          </w:tcPr>
          <w:p w14:paraId="7D2F37F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634</w:t>
            </w:r>
          </w:p>
        </w:tc>
        <w:tc>
          <w:tcPr>
            <w:tcW w:w="429" w:type="dxa"/>
            <w:tcBorders>
              <w:top w:val="nil"/>
              <w:left w:val="nil"/>
              <w:bottom w:val="single" w:sz="4" w:space="0" w:color="auto"/>
              <w:right w:val="single" w:sz="4" w:space="0" w:color="auto"/>
            </w:tcBorders>
            <w:shd w:val="clear" w:color="auto" w:fill="auto"/>
            <w:noWrap/>
            <w:vAlign w:val="center"/>
            <w:hideMark/>
          </w:tcPr>
          <w:p w14:paraId="178359D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642</w:t>
            </w:r>
          </w:p>
        </w:tc>
        <w:tc>
          <w:tcPr>
            <w:tcW w:w="429" w:type="dxa"/>
            <w:tcBorders>
              <w:top w:val="nil"/>
              <w:left w:val="nil"/>
              <w:bottom w:val="single" w:sz="4" w:space="0" w:color="auto"/>
              <w:right w:val="single" w:sz="4" w:space="0" w:color="auto"/>
            </w:tcBorders>
            <w:shd w:val="clear" w:color="auto" w:fill="auto"/>
            <w:noWrap/>
            <w:vAlign w:val="center"/>
            <w:hideMark/>
          </w:tcPr>
          <w:p w14:paraId="2519ABA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650</w:t>
            </w:r>
          </w:p>
        </w:tc>
        <w:tc>
          <w:tcPr>
            <w:tcW w:w="429" w:type="dxa"/>
            <w:tcBorders>
              <w:top w:val="nil"/>
              <w:left w:val="nil"/>
              <w:bottom w:val="single" w:sz="4" w:space="0" w:color="auto"/>
              <w:right w:val="single" w:sz="4" w:space="0" w:color="auto"/>
            </w:tcBorders>
            <w:shd w:val="clear" w:color="auto" w:fill="auto"/>
            <w:noWrap/>
            <w:vAlign w:val="center"/>
            <w:hideMark/>
          </w:tcPr>
          <w:p w14:paraId="64D9E6E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658</w:t>
            </w:r>
          </w:p>
        </w:tc>
        <w:tc>
          <w:tcPr>
            <w:tcW w:w="429" w:type="dxa"/>
            <w:tcBorders>
              <w:top w:val="nil"/>
              <w:left w:val="nil"/>
              <w:bottom w:val="single" w:sz="4" w:space="0" w:color="auto"/>
              <w:right w:val="single" w:sz="4" w:space="0" w:color="auto"/>
            </w:tcBorders>
            <w:shd w:val="clear" w:color="auto" w:fill="auto"/>
            <w:noWrap/>
            <w:vAlign w:val="center"/>
            <w:hideMark/>
          </w:tcPr>
          <w:p w14:paraId="167BF43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665</w:t>
            </w:r>
          </w:p>
        </w:tc>
      </w:tr>
      <w:tr w:rsidR="00F75183" w:rsidRPr="00B85017" w14:paraId="7DCCE2F4"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56D681C7"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7E3D98F0"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500</w:t>
            </w:r>
          </w:p>
        </w:tc>
        <w:tc>
          <w:tcPr>
            <w:tcW w:w="429" w:type="dxa"/>
            <w:tcBorders>
              <w:top w:val="nil"/>
              <w:left w:val="nil"/>
              <w:bottom w:val="single" w:sz="4" w:space="0" w:color="auto"/>
              <w:right w:val="single" w:sz="4" w:space="0" w:color="auto"/>
            </w:tcBorders>
            <w:shd w:val="clear" w:color="auto" w:fill="auto"/>
            <w:noWrap/>
            <w:vAlign w:val="center"/>
            <w:hideMark/>
          </w:tcPr>
          <w:p w14:paraId="1C2133B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454</w:t>
            </w:r>
          </w:p>
        </w:tc>
        <w:tc>
          <w:tcPr>
            <w:tcW w:w="429" w:type="dxa"/>
            <w:tcBorders>
              <w:top w:val="nil"/>
              <w:left w:val="nil"/>
              <w:bottom w:val="single" w:sz="4" w:space="0" w:color="auto"/>
              <w:right w:val="single" w:sz="4" w:space="0" w:color="auto"/>
            </w:tcBorders>
            <w:shd w:val="clear" w:color="auto" w:fill="auto"/>
            <w:noWrap/>
            <w:vAlign w:val="center"/>
            <w:hideMark/>
          </w:tcPr>
          <w:p w14:paraId="40CA999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471</w:t>
            </w:r>
          </w:p>
        </w:tc>
        <w:tc>
          <w:tcPr>
            <w:tcW w:w="429" w:type="dxa"/>
            <w:tcBorders>
              <w:top w:val="nil"/>
              <w:left w:val="nil"/>
              <w:bottom w:val="single" w:sz="4" w:space="0" w:color="auto"/>
              <w:right w:val="single" w:sz="4" w:space="0" w:color="auto"/>
            </w:tcBorders>
            <w:shd w:val="clear" w:color="auto" w:fill="auto"/>
            <w:noWrap/>
            <w:vAlign w:val="center"/>
            <w:hideMark/>
          </w:tcPr>
          <w:p w14:paraId="377273E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486</w:t>
            </w:r>
          </w:p>
        </w:tc>
        <w:tc>
          <w:tcPr>
            <w:tcW w:w="429" w:type="dxa"/>
            <w:tcBorders>
              <w:top w:val="nil"/>
              <w:left w:val="nil"/>
              <w:bottom w:val="single" w:sz="4" w:space="0" w:color="auto"/>
              <w:right w:val="single" w:sz="4" w:space="0" w:color="auto"/>
            </w:tcBorders>
            <w:shd w:val="clear" w:color="auto" w:fill="auto"/>
            <w:noWrap/>
            <w:vAlign w:val="center"/>
            <w:hideMark/>
          </w:tcPr>
          <w:p w14:paraId="3CD5DE3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500</w:t>
            </w:r>
          </w:p>
        </w:tc>
        <w:tc>
          <w:tcPr>
            <w:tcW w:w="429" w:type="dxa"/>
            <w:tcBorders>
              <w:top w:val="nil"/>
              <w:left w:val="nil"/>
              <w:bottom w:val="single" w:sz="4" w:space="0" w:color="auto"/>
              <w:right w:val="single" w:sz="4" w:space="0" w:color="auto"/>
            </w:tcBorders>
            <w:shd w:val="clear" w:color="auto" w:fill="auto"/>
            <w:noWrap/>
            <w:vAlign w:val="center"/>
            <w:hideMark/>
          </w:tcPr>
          <w:p w14:paraId="73BA56F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514</w:t>
            </w:r>
          </w:p>
        </w:tc>
        <w:tc>
          <w:tcPr>
            <w:tcW w:w="429" w:type="dxa"/>
            <w:tcBorders>
              <w:top w:val="nil"/>
              <w:left w:val="nil"/>
              <w:bottom w:val="single" w:sz="4" w:space="0" w:color="auto"/>
              <w:right w:val="single" w:sz="4" w:space="0" w:color="auto"/>
            </w:tcBorders>
            <w:shd w:val="clear" w:color="auto" w:fill="auto"/>
            <w:noWrap/>
            <w:vAlign w:val="center"/>
            <w:hideMark/>
          </w:tcPr>
          <w:p w14:paraId="4EA6448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526</w:t>
            </w:r>
          </w:p>
        </w:tc>
        <w:tc>
          <w:tcPr>
            <w:tcW w:w="429" w:type="dxa"/>
            <w:tcBorders>
              <w:top w:val="nil"/>
              <w:left w:val="nil"/>
              <w:bottom w:val="single" w:sz="4" w:space="0" w:color="auto"/>
              <w:right w:val="single" w:sz="4" w:space="0" w:color="auto"/>
            </w:tcBorders>
            <w:shd w:val="clear" w:color="auto" w:fill="auto"/>
            <w:noWrap/>
            <w:vAlign w:val="center"/>
            <w:hideMark/>
          </w:tcPr>
          <w:p w14:paraId="5B9FB4F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539</w:t>
            </w:r>
          </w:p>
        </w:tc>
        <w:tc>
          <w:tcPr>
            <w:tcW w:w="429" w:type="dxa"/>
            <w:tcBorders>
              <w:top w:val="nil"/>
              <w:left w:val="nil"/>
              <w:bottom w:val="single" w:sz="4" w:space="0" w:color="auto"/>
              <w:right w:val="single" w:sz="4" w:space="0" w:color="auto"/>
            </w:tcBorders>
            <w:shd w:val="clear" w:color="auto" w:fill="auto"/>
            <w:noWrap/>
            <w:vAlign w:val="center"/>
            <w:hideMark/>
          </w:tcPr>
          <w:p w14:paraId="18EDBA2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550</w:t>
            </w:r>
          </w:p>
        </w:tc>
        <w:tc>
          <w:tcPr>
            <w:tcW w:w="429" w:type="dxa"/>
            <w:tcBorders>
              <w:top w:val="nil"/>
              <w:left w:val="nil"/>
              <w:bottom w:val="single" w:sz="4" w:space="0" w:color="auto"/>
              <w:right w:val="single" w:sz="4" w:space="0" w:color="auto"/>
            </w:tcBorders>
            <w:shd w:val="clear" w:color="auto" w:fill="auto"/>
            <w:noWrap/>
            <w:vAlign w:val="center"/>
            <w:hideMark/>
          </w:tcPr>
          <w:p w14:paraId="730C196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562</w:t>
            </w:r>
          </w:p>
        </w:tc>
        <w:tc>
          <w:tcPr>
            <w:tcW w:w="429" w:type="dxa"/>
            <w:tcBorders>
              <w:top w:val="nil"/>
              <w:left w:val="nil"/>
              <w:bottom w:val="single" w:sz="4" w:space="0" w:color="auto"/>
              <w:right w:val="single" w:sz="4" w:space="0" w:color="auto"/>
            </w:tcBorders>
            <w:shd w:val="clear" w:color="auto" w:fill="auto"/>
            <w:noWrap/>
            <w:vAlign w:val="center"/>
            <w:hideMark/>
          </w:tcPr>
          <w:p w14:paraId="3237621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572</w:t>
            </w:r>
          </w:p>
        </w:tc>
        <w:tc>
          <w:tcPr>
            <w:tcW w:w="429" w:type="dxa"/>
            <w:tcBorders>
              <w:top w:val="nil"/>
              <w:left w:val="nil"/>
              <w:bottom w:val="single" w:sz="4" w:space="0" w:color="auto"/>
              <w:right w:val="single" w:sz="4" w:space="0" w:color="auto"/>
            </w:tcBorders>
            <w:shd w:val="clear" w:color="auto" w:fill="auto"/>
            <w:noWrap/>
            <w:vAlign w:val="center"/>
            <w:hideMark/>
          </w:tcPr>
          <w:p w14:paraId="11BA753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583</w:t>
            </w:r>
          </w:p>
        </w:tc>
        <w:tc>
          <w:tcPr>
            <w:tcW w:w="429" w:type="dxa"/>
            <w:tcBorders>
              <w:top w:val="nil"/>
              <w:left w:val="nil"/>
              <w:bottom w:val="single" w:sz="4" w:space="0" w:color="auto"/>
              <w:right w:val="single" w:sz="4" w:space="0" w:color="auto"/>
            </w:tcBorders>
            <w:shd w:val="clear" w:color="auto" w:fill="auto"/>
            <w:noWrap/>
            <w:vAlign w:val="center"/>
            <w:hideMark/>
          </w:tcPr>
          <w:p w14:paraId="392F20D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593</w:t>
            </w:r>
          </w:p>
        </w:tc>
        <w:tc>
          <w:tcPr>
            <w:tcW w:w="429" w:type="dxa"/>
            <w:tcBorders>
              <w:top w:val="nil"/>
              <w:left w:val="nil"/>
              <w:bottom w:val="single" w:sz="4" w:space="0" w:color="auto"/>
              <w:right w:val="single" w:sz="4" w:space="0" w:color="auto"/>
            </w:tcBorders>
            <w:shd w:val="clear" w:color="auto" w:fill="auto"/>
            <w:noWrap/>
            <w:vAlign w:val="center"/>
            <w:hideMark/>
          </w:tcPr>
          <w:p w14:paraId="600C710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603</w:t>
            </w:r>
          </w:p>
        </w:tc>
        <w:tc>
          <w:tcPr>
            <w:tcW w:w="429" w:type="dxa"/>
            <w:tcBorders>
              <w:top w:val="nil"/>
              <w:left w:val="nil"/>
              <w:bottom w:val="single" w:sz="4" w:space="0" w:color="auto"/>
              <w:right w:val="single" w:sz="4" w:space="0" w:color="auto"/>
            </w:tcBorders>
            <w:shd w:val="clear" w:color="auto" w:fill="auto"/>
            <w:noWrap/>
            <w:vAlign w:val="center"/>
            <w:hideMark/>
          </w:tcPr>
          <w:p w14:paraId="585858C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612</w:t>
            </w:r>
          </w:p>
        </w:tc>
        <w:tc>
          <w:tcPr>
            <w:tcW w:w="429" w:type="dxa"/>
            <w:tcBorders>
              <w:top w:val="nil"/>
              <w:left w:val="nil"/>
              <w:bottom w:val="single" w:sz="4" w:space="0" w:color="auto"/>
              <w:right w:val="single" w:sz="4" w:space="0" w:color="auto"/>
            </w:tcBorders>
            <w:shd w:val="clear" w:color="auto" w:fill="auto"/>
            <w:noWrap/>
            <w:vAlign w:val="center"/>
            <w:hideMark/>
          </w:tcPr>
          <w:p w14:paraId="5053B31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621</w:t>
            </w:r>
          </w:p>
        </w:tc>
        <w:tc>
          <w:tcPr>
            <w:tcW w:w="429" w:type="dxa"/>
            <w:tcBorders>
              <w:top w:val="nil"/>
              <w:left w:val="nil"/>
              <w:bottom w:val="single" w:sz="4" w:space="0" w:color="auto"/>
              <w:right w:val="single" w:sz="4" w:space="0" w:color="auto"/>
            </w:tcBorders>
            <w:shd w:val="clear" w:color="auto" w:fill="auto"/>
            <w:noWrap/>
            <w:vAlign w:val="center"/>
            <w:hideMark/>
          </w:tcPr>
          <w:p w14:paraId="3609AA6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630</w:t>
            </w:r>
          </w:p>
        </w:tc>
        <w:tc>
          <w:tcPr>
            <w:tcW w:w="429" w:type="dxa"/>
            <w:tcBorders>
              <w:top w:val="nil"/>
              <w:left w:val="nil"/>
              <w:bottom w:val="single" w:sz="4" w:space="0" w:color="auto"/>
              <w:right w:val="single" w:sz="4" w:space="0" w:color="auto"/>
            </w:tcBorders>
            <w:shd w:val="clear" w:color="auto" w:fill="auto"/>
            <w:noWrap/>
            <w:vAlign w:val="center"/>
            <w:hideMark/>
          </w:tcPr>
          <w:p w14:paraId="2BDA3A3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639</w:t>
            </w:r>
          </w:p>
        </w:tc>
        <w:tc>
          <w:tcPr>
            <w:tcW w:w="429" w:type="dxa"/>
            <w:tcBorders>
              <w:top w:val="nil"/>
              <w:left w:val="nil"/>
              <w:bottom w:val="single" w:sz="4" w:space="0" w:color="auto"/>
              <w:right w:val="single" w:sz="4" w:space="0" w:color="auto"/>
            </w:tcBorders>
            <w:shd w:val="clear" w:color="auto" w:fill="auto"/>
            <w:noWrap/>
            <w:vAlign w:val="center"/>
            <w:hideMark/>
          </w:tcPr>
          <w:p w14:paraId="6DF7DD7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647</w:t>
            </w:r>
          </w:p>
        </w:tc>
        <w:tc>
          <w:tcPr>
            <w:tcW w:w="429" w:type="dxa"/>
            <w:tcBorders>
              <w:top w:val="nil"/>
              <w:left w:val="nil"/>
              <w:bottom w:val="single" w:sz="4" w:space="0" w:color="auto"/>
              <w:right w:val="single" w:sz="4" w:space="0" w:color="auto"/>
            </w:tcBorders>
            <w:shd w:val="clear" w:color="auto" w:fill="auto"/>
            <w:noWrap/>
            <w:vAlign w:val="center"/>
            <w:hideMark/>
          </w:tcPr>
          <w:p w14:paraId="58F812B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655</w:t>
            </w:r>
          </w:p>
        </w:tc>
        <w:tc>
          <w:tcPr>
            <w:tcW w:w="429" w:type="dxa"/>
            <w:tcBorders>
              <w:top w:val="nil"/>
              <w:left w:val="nil"/>
              <w:bottom w:val="single" w:sz="4" w:space="0" w:color="auto"/>
              <w:right w:val="single" w:sz="4" w:space="0" w:color="auto"/>
            </w:tcBorders>
            <w:shd w:val="clear" w:color="auto" w:fill="auto"/>
            <w:noWrap/>
            <w:vAlign w:val="center"/>
            <w:hideMark/>
          </w:tcPr>
          <w:p w14:paraId="3FF3EE3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663</w:t>
            </w:r>
          </w:p>
        </w:tc>
        <w:tc>
          <w:tcPr>
            <w:tcW w:w="429" w:type="dxa"/>
            <w:tcBorders>
              <w:top w:val="nil"/>
              <w:left w:val="nil"/>
              <w:bottom w:val="single" w:sz="4" w:space="0" w:color="auto"/>
              <w:right w:val="single" w:sz="4" w:space="0" w:color="auto"/>
            </w:tcBorders>
            <w:shd w:val="clear" w:color="auto" w:fill="auto"/>
            <w:noWrap/>
            <w:vAlign w:val="center"/>
            <w:hideMark/>
          </w:tcPr>
          <w:p w14:paraId="0C07BDF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671</w:t>
            </w:r>
          </w:p>
        </w:tc>
        <w:tc>
          <w:tcPr>
            <w:tcW w:w="429" w:type="dxa"/>
            <w:tcBorders>
              <w:top w:val="nil"/>
              <w:left w:val="nil"/>
              <w:bottom w:val="single" w:sz="4" w:space="0" w:color="auto"/>
              <w:right w:val="single" w:sz="4" w:space="0" w:color="auto"/>
            </w:tcBorders>
            <w:shd w:val="clear" w:color="auto" w:fill="auto"/>
            <w:noWrap/>
            <w:vAlign w:val="center"/>
            <w:hideMark/>
          </w:tcPr>
          <w:p w14:paraId="200F160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679</w:t>
            </w:r>
          </w:p>
        </w:tc>
      </w:tr>
      <w:tr w:rsidR="00F75183" w:rsidRPr="00B85017" w14:paraId="3EEAEAE9"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382BB7BB"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00345BFA"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510</w:t>
            </w:r>
          </w:p>
        </w:tc>
        <w:tc>
          <w:tcPr>
            <w:tcW w:w="429" w:type="dxa"/>
            <w:tcBorders>
              <w:top w:val="nil"/>
              <w:left w:val="nil"/>
              <w:bottom w:val="single" w:sz="4" w:space="0" w:color="auto"/>
              <w:right w:val="single" w:sz="4" w:space="0" w:color="auto"/>
            </w:tcBorders>
            <w:shd w:val="clear" w:color="auto" w:fill="auto"/>
            <w:noWrap/>
            <w:vAlign w:val="center"/>
            <w:hideMark/>
          </w:tcPr>
          <w:p w14:paraId="73B92D8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463</w:t>
            </w:r>
          </w:p>
        </w:tc>
        <w:tc>
          <w:tcPr>
            <w:tcW w:w="429" w:type="dxa"/>
            <w:tcBorders>
              <w:top w:val="nil"/>
              <w:left w:val="nil"/>
              <w:bottom w:val="single" w:sz="4" w:space="0" w:color="auto"/>
              <w:right w:val="single" w:sz="4" w:space="0" w:color="auto"/>
            </w:tcBorders>
            <w:shd w:val="clear" w:color="auto" w:fill="auto"/>
            <w:noWrap/>
            <w:vAlign w:val="center"/>
            <w:hideMark/>
          </w:tcPr>
          <w:p w14:paraId="22149E9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480</w:t>
            </w:r>
          </w:p>
        </w:tc>
        <w:tc>
          <w:tcPr>
            <w:tcW w:w="429" w:type="dxa"/>
            <w:tcBorders>
              <w:top w:val="nil"/>
              <w:left w:val="nil"/>
              <w:bottom w:val="single" w:sz="4" w:space="0" w:color="auto"/>
              <w:right w:val="single" w:sz="4" w:space="0" w:color="auto"/>
            </w:tcBorders>
            <w:shd w:val="clear" w:color="auto" w:fill="auto"/>
            <w:noWrap/>
            <w:vAlign w:val="center"/>
            <w:hideMark/>
          </w:tcPr>
          <w:p w14:paraId="0C14C32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495</w:t>
            </w:r>
          </w:p>
        </w:tc>
        <w:tc>
          <w:tcPr>
            <w:tcW w:w="429" w:type="dxa"/>
            <w:tcBorders>
              <w:top w:val="nil"/>
              <w:left w:val="nil"/>
              <w:bottom w:val="single" w:sz="4" w:space="0" w:color="auto"/>
              <w:right w:val="single" w:sz="4" w:space="0" w:color="auto"/>
            </w:tcBorders>
            <w:shd w:val="clear" w:color="auto" w:fill="auto"/>
            <w:noWrap/>
            <w:vAlign w:val="center"/>
            <w:hideMark/>
          </w:tcPr>
          <w:p w14:paraId="1390514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510</w:t>
            </w:r>
          </w:p>
        </w:tc>
        <w:tc>
          <w:tcPr>
            <w:tcW w:w="429" w:type="dxa"/>
            <w:tcBorders>
              <w:top w:val="nil"/>
              <w:left w:val="nil"/>
              <w:bottom w:val="single" w:sz="4" w:space="0" w:color="auto"/>
              <w:right w:val="single" w:sz="4" w:space="0" w:color="auto"/>
            </w:tcBorders>
            <w:shd w:val="clear" w:color="auto" w:fill="auto"/>
            <w:noWrap/>
            <w:vAlign w:val="center"/>
            <w:hideMark/>
          </w:tcPr>
          <w:p w14:paraId="228B69B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524</w:t>
            </w:r>
          </w:p>
        </w:tc>
        <w:tc>
          <w:tcPr>
            <w:tcW w:w="429" w:type="dxa"/>
            <w:tcBorders>
              <w:top w:val="nil"/>
              <w:left w:val="nil"/>
              <w:bottom w:val="single" w:sz="4" w:space="0" w:color="auto"/>
              <w:right w:val="single" w:sz="4" w:space="0" w:color="auto"/>
            </w:tcBorders>
            <w:shd w:val="clear" w:color="auto" w:fill="auto"/>
            <w:noWrap/>
            <w:vAlign w:val="center"/>
            <w:hideMark/>
          </w:tcPr>
          <w:p w14:paraId="59633F2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537</w:t>
            </w:r>
          </w:p>
        </w:tc>
        <w:tc>
          <w:tcPr>
            <w:tcW w:w="429" w:type="dxa"/>
            <w:tcBorders>
              <w:top w:val="nil"/>
              <w:left w:val="nil"/>
              <w:bottom w:val="single" w:sz="4" w:space="0" w:color="auto"/>
              <w:right w:val="single" w:sz="4" w:space="0" w:color="auto"/>
            </w:tcBorders>
            <w:shd w:val="clear" w:color="auto" w:fill="auto"/>
            <w:noWrap/>
            <w:vAlign w:val="center"/>
            <w:hideMark/>
          </w:tcPr>
          <w:p w14:paraId="4F7BE6A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549</w:t>
            </w:r>
          </w:p>
        </w:tc>
        <w:tc>
          <w:tcPr>
            <w:tcW w:w="429" w:type="dxa"/>
            <w:tcBorders>
              <w:top w:val="nil"/>
              <w:left w:val="nil"/>
              <w:bottom w:val="single" w:sz="4" w:space="0" w:color="auto"/>
              <w:right w:val="single" w:sz="4" w:space="0" w:color="auto"/>
            </w:tcBorders>
            <w:shd w:val="clear" w:color="auto" w:fill="auto"/>
            <w:noWrap/>
            <w:vAlign w:val="center"/>
            <w:hideMark/>
          </w:tcPr>
          <w:p w14:paraId="5F4BB8A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561</w:t>
            </w:r>
          </w:p>
        </w:tc>
        <w:tc>
          <w:tcPr>
            <w:tcW w:w="429" w:type="dxa"/>
            <w:tcBorders>
              <w:top w:val="nil"/>
              <w:left w:val="nil"/>
              <w:bottom w:val="single" w:sz="4" w:space="0" w:color="auto"/>
              <w:right w:val="single" w:sz="4" w:space="0" w:color="auto"/>
            </w:tcBorders>
            <w:shd w:val="clear" w:color="auto" w:fill="auto"/>
            <w:noWrap/>
            <w:vAlign w:val="center"/>
            <w:hideMark/>
          </w:tcPr>
          <w:p w14:paraId="76F7DCC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573</w:t>
            </w:r>
          </w:p>
        </w:tc>
        <w:tc>
          <w:tcPr>
            <w:tcW w:w="429" w:type="dxa"/>
            <w:tcBorders>
              <w:top w:val="nil"/>
              <w:left w:val="nil"/>
              <w:bottom w:val="single" w:sz="4" w:space="0" w:color="auto"/>
              <w:right w:val="single" w:sz="4" w:space="0" w:color="auto"/>
            </w:tcBorders>
            <w:shd w:val="clear" w:color="auto" w:fill="auto"/>
            <w:noWrap/>
            <w:vAlign w:val="center"/>
            <w:hideMark/>
          </w:tcPr>
          <w:p w14:paraId="1DDD664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584</w:t>
            </w:r>
          </w:p>
        </w:tc>
        <w:tc>
          <w:tcPr>
            <w:tcW w:w="429" w:type="dxa"/>
            <w:tcBorders>
              <w:top w:val="nil"/>
              <w:left w:val="nil"/>
              <w:bottom w:val="single" w:sz="4" w:space="0" w:color="auto"/>
              <w:right w:val="single" w:sz="4" w:space="0" w:color="auto"/>
            </w:tcBorders>
            <w:shd w:val="clear" w:color="auto" w:fill="auto"/>
            <w:noWrap/>
            <w:vAlign w:val="center"/>
            <w:hideMark/>
          </w:tcPr>
          <w:p w14:paraId="51AA982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594</w:t>
            </w:r>
          </w:p>
        </w:tc>
        <w:tc>
          <w:tcPr>
            <w:tcW w:w="429" w:type="dxa"/>
            <w:tcBorders>
              <w:top w:val="nil"/>
              <w:left w:val="nil"/>
              <w:bottom w:val="single" w:sz="4" w:space="0" w:color="auto"/>
              <w:right w:val="single" w:sz="4" w:space="0" w:color="auto"/>
            </w:tcBorders>
            <w:shd w:val="clear" w:color="auto" w:fill="auto"/>
            <w:noWrap/>
            <w:vAlign w:val="center"/>
            <w:hideMark/>
          </w:tcPr>
          <w:p w14:paraId="189CC80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605</w:t>
            </w:r>
          </w:p>
        </w:tc>
        <w:tc>
          <w:tcPr>
            <w:tcW w:w="429" w:type="dxa"/>
            <w:tcBorders>
              <w:top w:val="nil"/>
              <w:left w:val="nil"/>
              <w:bottom w:val="single" w:sz="4" w:space="0" w:color="auto"/>
              <w:right w:val="single" w:sz="4" w:space="0" w:color="auto"/>
            </w:tcBorders>
            <w:shd w:val="clear" w:color="auto" w:fill="auto"/>
            <w:noWrap/>
            <w:vAlign w:val="center"/>
            <w:hideMark/>
          </w:tcPr>
          <w:p w14:paraId="51B2413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615</w:t>
            </w:r>
          </w:p>
        </w:tc>
        <w:tc>
          <w:tcPr>
            <w:tcW w:w="429" w:type="dxa"/>
            <w:tcBorders>
              <w:top w:val="nil"/>
              <w:left w:val="nil"/>
              <w:bottom w:val="single" w:sz="4" w:space="0" w:color="auto"/>
              <w:right w:val="single" w:sz="4" w:space="0" w:color="auto"/>
            </w:tcBorders>
            <w:shd w:val="clear" w:color="auto" w:fill="auto"/>
            <w:noWrap/>
            <w:vAlign w:val="center"/>
            <w:hideMark/>
          </w:tcPr>
          <w:p w14:paraId="3E7C5C7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624</w:t>
            </w:r>
          </w:p>
        </w:tc>
        <w:tc>
          <w:tcPr>
            <w:tcW w:w="429" w:type="dxa"/>
            <w:tcBorders>
              <w:top w:val="nil"/>
              <w:left w:val="nil"/>
              <w:bottom w:val="single" w:sz="4" w:space="0" w:color="auto"/>
              <w:right w:val="single" w:sz="4" w:space="0" w:color="auto"/>
            </w:tcBorders>
            <w:shd w:val="clear" w:color="auto" w:fill="auto"/>
            <w:noWrap/>
            <w:vAlign w:val="center"/>
            <w:hideMark/>
          </w:tcPr>
          <w:p w14:paraId="43F4A67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634</w:t>
            </w:r>
          </w:p>
        </w:tc>
        <w:tc>
          <w:tcPr>
            <w:tcW w:w="429" w:type="dxa"/>
            <w:tcBorders>
              <w:top w:val="nil"/>
              <w:left w:val="nil"/>
              <w:bottom w:val="single" w:sz="4" w:space="0" w:color="auto"/>
              <w:right w:val="single" w:sz="4" w:space="0" w:color="auto"/>
            </w:tcBorders>
            <w:shd w:val="clear" w:color="auto" w:fill="auto"/>
            <w:noWrap/>
            <w:vAlign w:val="center"/>
            <w:hideMark/>
          </w:tcPr>
          <w:p w14:paraId="1BA1E2A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643</w:t>
            </w:r>
          </w:p>
        </w:tc>
        <w:tc>
          <w:tcPr>
            <w:tcW w:w="429" w:type="dxa"/>
            <w:tcBorders>
              <w:top w:val="nil"/>
              <w:left w:val="nil"/>
              <w:bottom w:val="single" w:sz="4" w:space="0" w:color="auto"/>
              <w:right w:val="single" w:sz="4" w:space="0" w:color="auto"/>
            </w:tcBorders>
            <w:shd w:val="clear" w:color="auto" w:fill="auto"/>
            <w:noWrap/>
            <w:vAlign w:val="center"/>
            <w:hideMark/>
          </w:tcPr>
          <w:p w14:paraId="2C8174A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651</w:t>
            </w:r>
          </w:p>
        </w:tc>
        <w:tc>
          <w:tcPr>
            <w:tcW w:w="429" w:type="dxa"/>
            <w:tcBorders>
              <w:top w:val="nil"/>
              <w:left w:val="nil"/>
              <w:bottom w:val="single" w:sz="4" w:space="0" w:color="auto"/>
              <w:right w:val="single" w:sz="4" w:space="0" w:color="auto"/>
            </w:tcBorders>
            <w:shd w:val="clear" w:color="auto" w:fill="auto"/>
            <w:noWrap/>
            <w:vAlign w:val="center"/>
            <w:hideMark/>
          </w:tcPr>
          <w:p w14:paraId="7D648C1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660</w:t>
            </w:r>
          </w:p>
        </w:tc>
        <w:tc>
          <w:tcPr>
            <w:tcW w:w="429" w:type="dxa"/>
            <w:tcBorders>
              <w:top w:val="nil"/>
              <w:left w:val="nil"/>
              <w:bottom w:val="single" w:sz="4" w:space="0" w:color="auto"/>
              <w:right w:val="single" w:sz="4" w:space="0" w:color="auto"/>
            </w:tcBorders>
            <w:shd w:val="clear" w:color="auto" w:fill="auto"/>
            <w:noWrap/>
            <w:vAlign w:val="center"/>
            <w:hideMark/>
          </w:tcPr>
          <w:p w14:paraId="155F70B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668</w:t>
            </w:r>
          </w:p>
        </w:tc>
        <w:tc>
          <w:tcPr>
            <w:tcW w:w="429" w:type="dxa"/>
            <w:tcBorders>
              <w:top w:val="nil"/>
              <w:left w:val="nil"/>
              <w:bottom w:val="single" w:sz="4" w:space="0" w:color="auto"/>
              <w:right w:val="single" w:sz="4" w:space="0" w:color="auto"/>
            </w:tcBorders>
            <w:shd w:val="clear" w:color="auto" w:fill="auto"/>
            <w:noWrap/>
            <w:vAlign w:val="center"/>
            <w:hideMark/>
          </w:tcPr>
          <w:p w14:paraId="09745AB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676</w:t>
            </w:r>
          </w:p>
        </w:tc>
        <w:tc>
          <w:tcPr>
            <w:tcW w:w="429" w:type="dxa"/>
            <w:tcBorders>
              <w:top w:val="nil"/>
              <w:left w:val="nil"/>
              <w:bottom w:val="single" w:sz="4" w:space="0" w:color="auto"/>
              <w:right w:val="single" w:sz="4" w:space="0" w:color="auto"/>
            </w:tcBorders>
            <w:shd w:val="clear" w:color="auto" w:fill="auto"/>
            <w:noWrap/>
            <w:vAlign w:val="center"/>
            <w:hideMark/>
          </w:tcPr>
          <w:p w14:paraId="4FC94C2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684</w:t>
            </w:r>
          </w:p>
        </w:tc>
        <w:tc>
          <w:tcPr>
            <w:tcW w:w="429" w:type="dxa"/>
            <w:tcBorders>
              <w:top w:val="nil"/>
              <w:left w:val="nil"/>
              <w:bottom w:val="single" w:sz="4" w:space="0" w:color="auto"/>
              <w:right w:val="single" w:sz="4" w:space="0" w:color="auto"/>
            </w:tcBorders>
            <w:shd w:val="clear" w:color="auto" w:fill="auto"/>
            <w:noWrap/>
            <w:vAlign w:val="center"/>
            <w:hideMark/>
          </w:tcPr>
          <w:p w14:paraId="787BC2B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692</w:t>
            </w:r>
          </w:p>
        </w:tc>
      </w:tr>
      <w:tr w:rsidR="00F75183" w:rsidRPr="00B85017" w14:paraId="05978BB4"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5542B819"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7B9D6D8C"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520</w:t>
            </w:r>
          </w:p>
        </w:tc>
        <w:tc>
          <w:tcPr>
            <w:tcW w:w="429" w:type="dxa"/>
            <w:tcBorders>
              <w:top w:val="nil"/>
              <w:left w:val="nil"/>
              <w:bottom w:val="single" w:sz="4" w:space="0" w:color="auto"/>
              <w:right w:val="single" w:sz="4" w:space="0" w:color="auto"/>
            </w:tcBorders>
            <w:shd w:val="clear" w:color="auto" w:fill="auto"/>
            <w:noWrap/>
            <w:vAlign w:val="center"/>
            <w:hideMark/>
          </w:tcPr>
          <w:p w14:paraId="6180853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472</w:t>
            </w:r>
          </w:p>
        </w:tc>
        <w:tc>
          <w:tcPr>
            <w:tcW w:w="429" w:type="dxa"/>
            <w:tcBorders>
              <w:top w:val="nil"/>
              <w:left w:val="nil"/>
              <w:bottom w:val="single" w:sz="4" w:space="0" w:color="auto"/>
              <w:right w:val="single" w:sz="4" w:space="0" w:color="auto"/>
            </w:tcBorders>
            <w:shd w:val="clear" w:color="auto" w:fill="auto"/>
            <w:noWrap/>
            <w:vAlign w:val="center"/>
            <w:hideMark/>
          </w:tcPr>
          <w:p w14:paraId="1A83D52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489</w:t>
            </w:r>
          </w:p>
        </w:tc>
        <w:tc>
          <w:tcPr>
            <w:tcW w:w="429" w:type="dxa"/>
            <w:tcBorders>
              <w:top w:val="nil"/>
              <w:left w:val="nil"/>
              <w:bottom w:val="single" w:sz="4" w:space="0" w:color="auto"/>
              <w:right w:val="single" w:sz="4" w:space="0" w:color="auto"/>
            </w:tcBorders>
            <w:shd w:val="clear" w:color="auto" w:fill="auto"/>
            <w:noWrap/>
            <w:vAlign w:val="center"/>
            <w:hideMark/>
          </w:tcPr>
          <w:p w14:paraId="4E9596F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505</w:t>
            </w:r>
          </w:p>
        </w:tc>
        <w:tc>
          <w:tcPr>
            <w:tcW w:w="429" w:type="dxa"/>
            <w:tcBorders>
              <w:top w:val="nil"/>
              <w:left w:val="nil"/>
              <w:bottom w:val="single" w:sz="4" w:space="0" w:color="auto"/>
              <w:right w:val="single" w:sz="4" w:space="0" w:color="auto"/>
            </w:tcBorders>
            <w:shd w:val="clear" w:color="auto" w:fill="auto"/>
            <w:noWrap/>
            <w:vAlign w:val="center"/>
            <w:hideMark/>
          </w:tcPr>
          <w:p w14:paraId="5BCD01A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520</w:t>
            </w:r>
          </w:p>
        </w:tc>
        <w:tc>
          <w:tcPr>
            <w:tcW w:w="429" w:type="dxa"/>
            <w:tcBorders>
              <w:top w:val="nil"/>
              <w:left w:val="nil"/>
              <w:bottom w:val="single" w:sz="4" w:space="0" w:color="auto"/>
              <w:right w:val="single" w:sz="4" w:space="0" w:color="auto"/>
            </w:tcBorders>
            <w:shd w:val="clear" w:color="auto" w:fill="auto"/>
            <w:noWrap/>
            <w:vAlign w:val="center"/>
            <w:hideMark/>
          </w:tcPr>
          <w:p w14:paraId="62C55CE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534</w:t>
            </w:r>
          </w:p>
        </w:tc>
        <w:tc>
          <w:tcPr>
            <w:tcW w:w="429" w:type="dxa"/>
            <w:tcBorders>
              <w:top w:val="nil"/>
              <w:left w:val="nil"/>
              <w:bottom w:val="single" w:sz="4" w:space="0" w:color="auto"/>
              <w:right w:val="single" w:sz="4" w:space="0" w:color="auto"/>
            </w:tcBorders>
            <w:shd w:val="clear" w:color="auto" w:fill="auto"/>
            <w:noWrap/>
            <w:vAlign w:val="center"/>
            <w:hideMark/>
          </w:tcPr>
          <w:p w14:paraId="4889DFB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547</w:t>
            </w:r>
          </w:p>
        </w:tc>
        <w:tc>
          <w:tcPr>
            <w:tcW w:w="429" w:type="dxa"/>
            <w:tcBorders>
              <w:top w:val="nil"/>
              <w:left w:val="nil"/>
              <w:bottom w:val="single" w:sz="4" w:space="0" w:color="auto"/>
              <w:right w:val="single" w:sz="4" w:space="0" w:color="auto"/>
            </w:tcBorders>
            <w:shd w:val="clear" w:color="auto" w:fill="auto"/>
            <w:noWrap/>
            <w:vAlign w:val="center"/>
            <w:hideMark/>
          </w:tcPr>
          <w:p w14:paraId="6C58222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560</w:t>
            </w:r>
          </w:p>
        </w:tc>
        <w:tc>
          <w:tcPr>
            <w:tcW w:w="429" w:type="dxa"/>
            <w:tcBorders>
              <w:top w:val="nil"/>
              <w:left w:val="nil"/>
              <w:bottom w:val="single" w:sz="4" w:space="0" w:color="auto"/>
              <w:right w:val="single" w:sz="4" w:space="0" w:color="auto"/>
            </w:tcBorders>
            <w:shd w:val="clear" w:color="auto" w:fill="auto"/>
            <w:noWrap/>
            <w:vAlign w:val="center"/>
            <w:hideMark/>
          </w:tcPr>
          <w:p w14:paraId="0C22441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572</w:t>
            </w:r>
          </w:p>
        </w:tc>
        <w:tc>
          <w:tcPr>
            <w:tcW w:w="429" w:type="dxa"/>
            <w:tcBorders>
              <w:top w:val="nil"/>
              <w:left w:val="nil"/>
              <w:bottom w:val="single" w:sz="4" w:space="0" w:color="auto"/>
              <w:right w:val="single" w:sz="4" w:space="0" w:color="auto"/>
            </w:tcBorders>
            <w:shd w:val="clear" w:color="auto" w:fill="auto"/>
            <w:noWrap/>
            <w:vAlign w:val="center"/>
            <w:hideMark/>
          </w:tcPr>
          <w:p w14:paraId="199B538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584</w:t>
            </w:r>
          </w:p>
        </w:tc>
        <w:tc>
          <w:tcPr>
            <w:tcW w:w="429" w:type="dxa"/>
            <w:tcBorders>
              <w:top w:val="nil"/>
              <w:left w:val="nil"/>
              <w:bottom w:val="single" w:sz="4" w:space="0" w:color="auto"/>
              <w:right w:val="single" w:sz="4" w:space="0" w:color="auto"/>
            </w:tcBorders>
            <w:shd w:val="clear" w:color="auto" w:fill="auto"/>
            <w:noWrap/>
            <w:vAlign w:val="center"/>
            <w:hideMark/>
          </w:tcPr>
          <w:p w14:paraId="76DFC00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595</w:t>
            </w:r>
          </w:p>
        </w:tc>
        <w:tc>
          <w:tcPr>
            <w:tcW w:w="429" w:type="dxa"/>
            <w:tcBorders>
              <w:top w:val="nil"/>
              <w:left w:val="nil"/>
              <w:bottom w:val="single" w:sz="4" w:space="0" w:color="auto"/>
              <w:right w:val="single" w:sz="4" w:space="0" w:color="auto"/>
            </w:tcBorders>
            <w:shd w:val="clear" w:color="auto" w:fill="auto"/>
            <w:noWrap/>
            <w:vAlign w:val="center"/>
            <w:hideMark/>
          </w:tcPr>
          <w:p w14:paraId="00D6948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606</w:t>
            </w:r>
          </w:p>
        </w:tc>
        <w:tc>
          <w:tcPr>
            <w:tcW w:w="429" w:type="dxa"/>
            <w:tcBorders>
              <w:top w:val="nil"/>
              <w:left w:val="nil"/>
              <w:bottom w:val="single" w:sz="4" w:space="0" w:color="auto"/>
              <w:right w:val="single" w:sz="4" w:space="0" w:color="auto"/>
            </w:tcBorders>
            <w:shd w:val="clear" w:color="auto" w:fill="auto"/>
            <w:noWrap/>
            <w:vAlign w:val="center"/>
            <w:hideMark/>
          </w:tcPr>
          <w:p w14:paraId="430DAE2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617</w:t>
            </w:r>
          </w:p>
        </w:tc>
        <w:tc>
          <w:tcPr>
            <w:tcW w:w="429" w:type="dxa"/>
            <w:tcBorders>
              <w:top w:val="nil"/>
              <w:left w:val="nil"/>
              <w:bottom w:val="single" w:sz="4" w:space="0" w:color="auto"/>
              <w:right w:val="single" w:sz="4" w:space="0" w:color="auto"/>
            </w:tcBorders>
            <w:shd w:val="clear" w:color="auto" w:fill="auto"/>
            <w:noWrap/>
            <w:vAlign w:val="center"/>
            <w:hideMark/>
          </w:tcPr>
          <w:p w14:paraId="7EDDF7B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627</w:t>
            </w:r>
          </w:p>
        </w:tc>
        <w:tc>
          <w:tcPr>
            <w:tcW w:w="429" w:type="dxa"/>
            <w:tcBorders>
              <w:top w:val="nil"/>
              <w:left w:val="nil"/>
              <w:bottom w:val="single" w:sz="4" w:space="0" w:color="auto"/>
              <w:right w:val="single" w:sz="4" w:space="0" w:color="auto"/>
            </w:tcBorders>
            <w:shd w:val="clear" w:color="auto" w:fill="auto"/>
            <w:noWrap/>
            <w:vAlign w:val="center"/>
            <w:hideMark/>
          </w:tcPr>
          <w:p w14:paraId="2474F09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636</w:t>
            </w:r>
          </w:p>
        </w:tc>
        <w:tc>
          <w:tcPr>
            <w:tcW w:w="429" w:type="dxa"/>
            <w:tcBorders>
              <w:top w:val="nil"/>
              <w:left w:val="nil"/>
              <w:bottom w:val="single" w:sz="4" w:space="0" w:color="auto"/>
              <w:right w:val="single" w:sz="4" w:space="0" w:color="auto"/>
            </w:tcBorders>
            <w:shd w:val="clear" w:color="auto" w:fill="auto"/>
            <w:noWrap/>
            <w:vAlign w:val="center"/>
            <w:hideMark/>
          </w:tcPr>
          <w:p w14:paraId="353F754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646</w:t>
            </w:r>
          </w:p>
        </w:tc>
        <w:tc>
          <w:tcPr>
            <w:tcW w:w="429" w:type="dxa"/>
            <w:tcBorders>
              <w:top w:val="nil"/>
              <w:left w:val="nil"/>
              <w:bottom w:val="single" w:sz="4" w:space="0" w:color="auto"/>
              <w:right w:val="single" w:sz="4" w:space="0" w:color="auto"/>
            </w:tcBorders>
            <w:shd w:val="clear" w:color="auto" w:fill="auto"/>
            <w:noWrap/>
            <w:vAlign w:val="center"/>
            <w:hideMark/>
          </w:tcPr>
          <w:p w14:paraId="5E83E2A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655</w:t>
            </w:r>
          </w:p>
        </w:tc>
        <w:tc>
          <w:tcPr>
            <w:tcW w:w="429" w:type="dxa"/>
            <w:tcBorders>
              <w:top w:val="nil"/>
              <w:left w:val="nil"/>
              <w:bottom w:val="single" w:sz="4" w:space="0" w:color="auto"/>
              <w:right w:val="single" w:sz="4" w:space="0" w:color="auto"/>
            </w:tcBorders>
            <w:shd w:val="clear" w:color="auto" w:fill="auto"/>
            <w:noWrap/>
            <w:vAlign w:val="center"/>
            <w:hideMark/>
          </w:tcPr>
          <w:p w14:paraId="049A74F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664</w:t>
            </w:r>
          </w:p>
        </w:tc>
        <w:tc>
          <w:tcPr>
            <w:tcW w:w="429" w:type="dxa"/>
            <w:tcBorders>
              <w:top w:val="nil"/>
              <w:left w:val="nil"/>
              <w:bottom w:val="single" w:sz="4" w:space="0" w:color="auto"/>
              <w:right w:val="single" w:sz="4" w:space="0" w:color="auto"/>
            </w:tcBorders>
            <w:shd w:val="clear" w:color="auto" w:fill="auto"/>
            <w:noWrap/>
            <w:vAlign w:val="center"/>
            <w:hideMark/>
          </w:tcPr>
          <w:p w14:paraId="3486C55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673</w:t>
            </w:r>
          </w:p>
        </w:tc>
        <w:tc>
          <w:tcPr>
            <w:tcW w:w="429" w:type="dxa"/>
            <w:tcBorders>
              <w:top w:val="nil"/>
              <w:left w:val="nil"/>
              <w:bottom w:val="single" w:sz="4" w:space="0" w:color="auto"/>
              <w:right w:val="single" w:sz="4" w:space="0" w:color="auto"/>
            </w:tcBorders>
            <w:shd w:val="clear" w:color="auto" w:fill="auto"/>
            <w:noWrap/>
            <w:vAlign w:val="center"/>
            <w:hideMark/>
          </w:tcPr>
          <w:p w14:paraId="314E1DC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681</w:t>
            </w:r>
          </w:p>
        </w:tc>
        <w:tc>
          <w:tcPr>
            <w:tcW w:w="429" w:type="dxa"/>
            <w:tcBorders>
              <w:top w:val="nil"/>
              <w:left w:val="nil"/>
              <w:bottom w:val="single" w:sz="4" w:space="0" w:color="auto"/>
              <w:right w:val="single" w:sz="4" w:space="0" w:color="auto"/>
            </w:tcBorders>
            <w:shd w:val="clear" w:color="auto" w:fill="auto"/>
            <w:noWrap/>
            <w:vAlign w:val="center"/>
            <w:hideMark/>
          </w:tcPr>
          <w:p w14:paraId="1CD966D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690</w:t>
            </w:r>
          </w:p>
        </w:tc>
        <w:tc>
          <w:tcPr>
            <w:tcW w:w="429" w:type="dxa"/>
            <w:tcBorders>
              <w:top w:val="nil"/>
              <w:left w:val="nil"/>
              <w:bottom w:val="single" w:sz="4" w:space="0" w:color="auto"/>
              <w:right w:val="single" w:sz="4" w:space="0" w:color="auto"/>
            </w:tcBorders>
            <w:shd w:val="clear" w:color="auto" w:fill="auto"/>
            <w:noWrap/>
            <w:vAlign w:val="center"/>
            <w:hideMark/>
          </w:tcPr>
          <w:p w14:paraId="5B49F54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698</w:t>
            </w:r>
          </w:p>
        </w:tc>
        <w:tc>
          <w:tcPr>
            <w:tcW w:w="429" w:type="dxa"/>
            <w:tcBorders>
              <w:top w:val="nil"/>
              <w:left w:val="nil"/>
              <w:bottom w:val="single" w:sz="4" w:space="0" w:color="auto"/>
              <w:right w:val="single" w:sz="4" w:space="0" w:color="auto"/>
            </w:tcBorders>
            <w:shd w:val="clear" w:color="auto" w:fill="auto"/>
            <w:noWrap/>
            <w:vAlign w:val="center"/>
            <w:hideMark/>
          </w:tcPr>
          <w:p w14:paraId="3F539C1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706</w:t>
            </w:r>
          </w:p>
        </w:tc>
      </w:tr>
      <w:tr w:rsidR="00F75183" w:rsidRPr="00B85017" w14:paraId="37F2F773"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21D7231A"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556A6473"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530</w:t>
            </w:r>
          </w:p>
        </w:tc>
        <w:tc>
          <w:tcPr>
            <w:tcW w:w="429" w:type="dxa"/>
            <w:tcBorders>
              <w:top w:val="nil"/>
              <w:left w:val="nil"/>
              <w:bottom w:val="single" w:sz="4" w:space="0" w:color="auto"/>
              <w:right w:val="single" w:sz="4" w:space="0" w:color="auto"/>
            </w:tcBorders>
            <w:shd w:val="clear" w:color="auto" w:fill="auto"/>
            <w:noWrap/>
            <w:vAlign w:val="center"/>
            <w:hideMark/>
          </w:tcPr>
          <w:p w14:paraId="6D9C7EF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482</w:t>
            </w:r>
          </w:p>
        </w:tc>
        <w:tc>
          <w:tcPr>
            <w:tcW w:w="429" w:type="dxa"/>
            <w:tcBorders>
              <w:top w:val="nil"/>
              <w:left w:val="nil"/>
              <w:bottom w:val="single" w:sz="4" w:space="0" w:color="auto"/>
              <w:right w:val="single" w:sz="4" w:space="0" w:color="auto"/>
            </w:tcBorders>
            <w:shd w:val="clear" w:color="auto" w:fill="auto"/>
            <w:noWrap/>
            <w:vAlign w:val="center"/>
            <w:hideMark/>
          </w:tcPr>
          <w:p w14:paraId="27BFDF3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499</w:t>
            </w:r>
          </w:p>
        </w:tc>
        <w:tc>
          <w:tcPr>
            <w:tcW w:w="429" w:type="dxa"/>
            <w:tcBorders>
              <w:top w:val="nil"/>
              <w:left w:val="nil"/>
              <w:bottom w:val="single" w:sz="4" w:space="0" w:color="auto"/>
              <w:right w:val="single" w:sz="4" w:space="0" w:color="auto"/>
            </w:tcBorders>
            <w:shd w:val="clear" w:color="auto" w:fill="auto"/>
            <w:noWrap/>
            <w:vAlign w:val="center"/>
            <w:hideMark/>
          </w:tcPr>
          <w:p w14:paraId="06E302D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515</w:t>
            </w:r>
          </w:p>
        </w:tc>
        <w:tc>
          <w:tcPr>
            <w:tcW w:w="429" w:type="dxa"/>
            <w:tcBorders>
              <w:top w:val="nil"/>
              <w:left w:val="nil"/>
              <w:bottom w:val="single" w:sz="4" w:space="0" w:color="auto"/>
              <w:right w:val="single" w:sz="4" w:space="0" w:color="auto"/>
            </w:tcBorders>
            <w:shd w:val="clear" w:color="auto" w:fill="auto"/>
            <w:noWrap/>
            <w:vAlign w:val="center"/>
            <w:hideMark/>
          </w:tcPr>
          <w:p w14:paraId="4DF0E55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530</w:t>
            </w:r>
          </w:p>
        </w:tc>
        <w:tc>
          <w:tcPr>
            <w:tcW w:w="429" w:type="dxa"/>
            <w:tcBorders>
              <w:top w:val="nil"/>
              <w:left w:val="nil"/>
              <w:bottom w:val="single" w:sz="4" w:space="0" w:color="auto"/>
              <w:right w:val="single" w:sz="4" w:space="0" w:color="auto"/>
            </w:tcBorders>
            <w:shd w:val="clear" w:color="auto" w:fill="auto"/>
            <w:noWrap/>
            <w:vAlign w:val="center"/>
            <w:hideMark/>
          </w:tcPr>
          <w:p w14:paraId="2D9B48B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544</w:t>
            </w:r>
          </w:p>
        </w:tc>
        <w:tc>
          <w:tcPr>
            <w:tcW w:w="429" w:type="dxa"/>
            <w:tcBorders>
              <w:top w:val="nil"/>
              <w:left w:val="nil"/>
              <w:bottom w:val="single" w:sz="4" w:space="0" w:color="auto"/>
              <w:right w:val="single" w:sz="4" w:space="0" w:color="auto"/>
            </w:tcBorders>
            <w:shd w:val="clear" w:color="auto" w:fill="auto"/>
            <w:noWrap/>
            <w:vAlign w:val="center"/>
            <w:hideMark/>
          </w:tcPr>
          <w:p w14:paraId="394290D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558</w:t>
            </w:r>
          </w:p>
        </w:tc>
        <w:tc>
          <w:tcPr>
            <w:tcW w:w="429" w:type="dxa"/>
            <w:tcBorders>
              <w:top w:val="nil"/>
              <w:left w:val="nil"/>
              <w:bottom w:val="single" w:sz="4" w:space="0" w:color="auto"/>
              <w:right w:val="single" w:sz="4" w:space="0" w:color="auto"/>
            </w:tcBorders>
            <w:shd w:val="clear" w:color="auto" w:fill="auto"/>
            <w:noWrap/>
            <w:vAlign w:val="center"/>
            <w:hideMark/>
          </w:tcPr>
          <w:p w14:paraId="49BA7C1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571</w:t>
            </w:r>
          </w:p>
        </w:tc>
        <w:tc>
          <w:tcPr>
            <w:tcW w:w="429" w:type="dxa"/>
            <w:tcBorders>
              <w:top w:val="nil"/>
              <w:left w:val="nil"/>
              <w:bottom w:val="single" w:sz="4" w:space="0" w:color="auto"/>
              <w:right w:val="single" w:sz="4" w:space="0" w:color="auto"/>
            </w:tcBorders>
            <w:shd w:val="clear" w:color="auto" w:fill="auto"/>
            <w:noWrap/>
            <w:vAlign w:val="center"/>
            <w:hideMark/>
          </w:tcPr>
          <w:p w14:paraId="12365F5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583</w:t>
            </w:r>
          </w:p>
        </w:tc>
        <w:tc>
          <w:tcPr>
            <w:tcW w:w="429" w:type="dxa"/>
            <w:tcBorders>
              <w:top w:val="nil"/>
              <w:left w:val="nil"/>
              <w:bottom w:val="single" w:sz="4" w:space="0" w:color="auto"/>
              <w:right w:val="single" w:sz="4" w:space="0" w:color="auto"/>
            </w:tcBorders>
            <w:shd w:val="clear" w:color="auto" w:fill="auto"/>
            <w:noWrap/>
            <w:vAlign w:val="center"/>
            <w:hideMark/>
          </w:tcPr>
          <w:p w14:paraId="4AF5155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595</w:t>
            </w:r>
          </w:p>
        </w:tc>
        <w:tc>
          <w:tcPr>
            <w:tcW w:w="429" w:type="dxa"/>
            <w:tcBorders>
              <w:top w:val="nil"/>
              <w:left w:val="nil"/>
              <w:bottom w:val="single" w:sz="4" w:space="0" w:color="auto"/>
              <w:right w:val="single" w:sz="4" w:space="0" w:color="auto"/>
            </w:tcBorders>
            <w:shd w:val="clear" w:color="auto" w:fill="auto"/>
            <w:noWrap/>
            <w:vAlign w:val="center"/>
            <w:hideMark/>
          </w:tcPr>
          <w:p w14:paraId="3740073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607</w:t>
            </w:r>
          </w:p>
        </w:tc>
        <w:tc>
          <w:tcPr>
            <w:tcW w:w="429" w:type="dxa"/>
            <w:tcBorders>
              <w:top w:val="nil"/>
              <w:left w:val="nil"/>
              <w:bottom w:val="single" w:sz="4" w:space="0" w:color="auto"/>
              <w:right w:val="single" w:sz="4" w:space="0" w:color="auto"/>
            </w:tcBorders>
            <w:shd w:val="clear" w:color="auto" w:fill="auto"/>
            <w:noWrap/>
            <w:vAlign w:val="center"/>
            <w:hideMark/>
          </w:tcPr>
          <w:p w14:paraId="2E62933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618</w:t>
            </w:r>
          </w:p>
        </w:tc>
        <w:tc>
          <w:tcPr>
            <w:tcW w:w="429" w:type="dxa"/>
            <w:tcBorders>
              <w:top w:val="nil"/>
              <w:left w:val="nil"/>
              <w:bottom w:val="single" w:sz="4" w:space="0" w:color="auto"/>
              <w:right w:val="single" w:sz="4" w:space="0" w:color="auto"/>
            </w:tcBorders>
            <w:shd w:val="clear" w:color="auto" w:fill="auto"/>
            <w:noWrap/>
            <w:vAlign w:val="center"/>
            <w:hideMark/>
          </w:tcPr>
          <w:p w14:paraId="16B5851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628</w:t>
            </w:r>
          </w:p>
        </w:tc>
        <w:tc>
          <w:tcPr>
            <w:tcW w:w="429" w:type="dxa"/>
            <w:tcBorders>
              <w:top w:val="nil"/>
              <w:left w:val="nil"/>
              <w:bottom w:val="single" w:sz="4" w:space="0" w:color="auto"/>
              <w:right w:val="single" w:sz="4" w:space="0" w:color="auto"/>
            </w:tcBorders>
            <w:shd w:val="clear" w:color="auto" w:fill="auto"/>
            <w:noWrap/>
            <w:vAlign w:val="center"/>
            <w:hideMark/>
          </w:tcPr>
          <w:p w14:paraId="4CBF5F0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639</w:t>
            </w:r>
          </w:p>
        </w:tc>
        <w:tc>
          <w:tcPr>
            <w:tcW w:w="429" w:type="dxa"/>
            <w:tcBorders>
              <w:top w:val="nil"/>
              <w:left w:val="nil"/>
              <w:bottom w:val="single" w:sz="4" w:space="0" w:color="auto"/>
              <w:right w:val="single" w:sz="4" w:space="0" w:color="auto"/>
            </w:tcBorders>
            <w:shd w:val="clear" w:color="auto" w:fill="auto"/>
            <w:noWrap/>
            <w:vAlign w:val="center"/>
            <w:hideMark/>
          </w:tcPr>
          <w:p w14:paraId="64AC842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649</w:t>
            </w:r>
          </w:p>
        </w:tc>
        <w:tc>
          <w:tcPr>
            <w:tcW w:w="429" w:type="dxa"/>
            <w:tcBorders>
              <w:top w:val="nil"/>
              <w:left w:val="nil"/>
              <w:bottom w:val="single" w:sz="4" w:space="0" w:color="auto"/>
              <w:right w:val="single" w:sz="4" w:space="0" w:color="auto"/>
            </w:tcBorders>
            <w:shd w:val="clear" w:color="auto" w:fill="auto"/>
            <w:noWrap/>
            <w:vAlign w:val="center"/>
            <w:hideMark/>
          </w:tcPr>
          <w:p w14:paraId="495791E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658</w:t>
            </w:r>
          </w:p>
        </w:tc>
        <w:tc>
          <w:tcPr>
            <w:tcW w:w="429" w:type="dxa"/>
            <w:tcBorders>
              <w:top w:val="nil"/>
              <w:left w:val="nil"/>
              <w:bottom w:val="single" w:sz="4" w:space="0" w:color="auto"/>
              <w:right w:val="single" w:sz="4" w:space="0" w:color="auto"/>
            </w:tcBorders>
            <w:shd w:val="clear" w:color="auto" w:fill="auto"/>
            <w:noWrap/>
            <w:vAlign w:val="center"/>
            <w:hideMark/>
          </w:tcPr>
          <w:p w14:paraId="3F84554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668</w:t>
            </w:r>
          </w:p>
        </w:tc>
        <w:tc>
          <w:tcPr>
            <w:tcW w:w="429" w:type="dxa"/>
            <w:tcBorders>
              <w:top w:val="nil"/>
              <w:left w:val="nil"/>
              <w:bottom w:val="single" w:sz="4" w:space="0" w:color="auto"/>
              <w:right w:val="single" w:sz="4" w:space="0" w:color="auto"/>
            </w:tcBorders>
            <w:shd w:val="clear" w:color="auto" w:fill="auto"/>
            <w:noWrap/>
            <w:vAlign w:val="center"/>
            <w:hideMark/>
          </w:tcPr>
          <w:p w14:paraId="52C87E4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677</w:t>
            </w:r>
          </w:p>
        </w:tc>
        <w:tc>
          <w:tcPr>
            <w:tcW w:w="429" w:type="dxa"/>
            <w:tcBorders>
              <w:top w:val="nil"/>
              <w:left w:val="nil"/>
              <w:bottom w:val="single" w:sz="4" w:space="0" w:color="auto"/>
              <w:right w:val="single" w:sz="4" w:space="0" w:color="auto"/>
            </w:tcBorders>
            <w:shd w:val="clear" w:color="auto" w:fill="auto"/>
            <w:noWrap/>
            <w:vAlign w:val="center"/>
            <w:hideMark/>
          </w:tcPr>
          <w:p w14:paraId="70A047F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686</w:t>
            </w:r>
          </w:p>
        </w:tc>
        <w:tc>
          <w:tcPr>
            <w:tcW w:w="429" w:type="dxa"/>
            <w:tcBorders>
              <w:top w:val="nil"/>
              <w:left w:val="nil"/>
              <w:bottom w:val="single" w:sz="4" w:space="0" w:color="auto"/>
              <w:right w:val="single" w:sz="4" w:space="0" w:color="auto"/>
            </w:tcBorders>
            <w:shd w:val="clear" w:color="auto" w:fill="auto"/>
            <w:noWrap/>
            <w:vAlign w:val="center"/>
            <w:hideMark/>
          </w:tcPr>
          <w:p w14:paraId="4FF501E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694</w:t>
            </w:r>
          </w:p>
        </w:tc>
        <w:tc>
          <w:tcPr>
            <w:tcW w:w="429" w:type="dxa"/>
            <w:tcBorders>
              <w:top w:val="nil"/>
              <w:left w:val="nil"/>
              <w:bottom w:val="single" w:sz="4" w:space="0" w:color="auto"/>
              <w:right w:val="single" w:sz="4" w:space="0" w:color="auto"/>
            </w:tcBorders>
            <w:shd w:val="clear" w:color="auto" w:fill="auto"/>
            <w:noWrap/>
            <w:vAlign w:val="center"/>
            <w:hideMark/>
          </w:tcPr>
          <w:p w14:paraId="0557DA6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703</w:t>
            </w:r>
          </w:p>
        </w:tc>
        <w:tc>
          <w:tcPr>
            <w:tcW w:w="429" w:type="dxa"/>
            <w:tcBorders>
              <w:top w:val="nil"/>
              <w:left w:val="nil"/>
              <w:bottom w:val="single" w:sz="4" w:space="0" w:color="auto"/>
              <w:right w:val="single" w:sz="4" w:space="0" w:color="auto"/>
            </w:tcBorders>
            <w:shd w:val="clear" w:color="auto" w:fill="auto"/>
            <w:noWrap/>
            <w:vAlign w:val="center"/>
            <w:hideMark/>
          </w:tcPr>
          <w:p w14:paraId="1662A48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711</w:t>
            </w:r>
          </w:p>
        </w:tc>
        <w:tc>
          <w:tcPr>
            <w:tcW w:w="429" w:type="dxa"/>
            <w:tcBorders>
              <w:top w:val="nil"/>
              <w:left w:val="nil"/>
              <w:bottom w:val="single" w:sz="4" w:space="0" w:color="auto"/>
              <w:right w:val="single" w:sz="4" w:space="0" w:color="auto"/>
            </w:tcBorders>
            <w:shd w:val="clear" w:color="auto" w:fill="auto"/>
            <w:noWrap/>
            <w:vAlign w:val="center"/>
            <w:hideMark/>
          </w:tcPr>
          <w:p w14:paraId="614F3D6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719</w:t>
            </w:r>
          </w:p>
        </w:tc>
      </w:tr>
      <w:tr w:rsidR="00F75183" w:rsidRPr="00B85017" w14:paraId="34CDAEC6"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7F0BD39C"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03C209E7"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540</w:t>
            </w:r>
          </w:p>
        </w:tc>
        <w:tc>
          <w:tcPr>
            <w:tcW w:w="429" w:type="dxa"/>
            <w:tcBorders>
              <w:top w:val="nil"/>
              <w:left w:val="nil"/>
              <w:bottom w:val="single" w:sz="4" w:space="0" w:color="auto"/>
              <w:right w:val="single" w:sz="4" w:space="0" w:color="auto"/>
            </w:tcBorders>
            <w:shd w:val="clear" w:color="auto" w:fill="auto"/>
            <w:noWrap/>
            <w:vAlign w:val="center"/>
            <w:hideMark/>
          </w:tcPr>
          <w:p w14:paraId="46028AB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491</w:t>
            </w:r>
          </w:p>
        </w:tc>
        <w:tc>
          <w:tcPr>
            <w:tcW w:w="429" w:type="dxa"/>
            <w:tcBorders>
              <w:top w:val="nil"/>
              <w:left w:val="nil"/>
              <w:bottom w:val="single" w:sz="4" w:space="0" w:color="auto"/>
              <w:right w:val="single" w:sz="4" w:space="0" w:color="auto"/>
            </w:tcBorders>
            <w:shd w:val="clear" w:color="auto" w:fill="auto"/>
            <w:noWrap/>
            <w:vAlign w:val="center"/>
            <w:hideMark/>
          </w:tcPr>
          <w:p w14:paraId="6A90068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508</w:t>
            </w:r>
          </w:p>
        </w:tc>
        <w:tc>
          <w:tcPr>
            <w:tcW w:w="429" w:type="dxa"/>
            <w:tcBorders>
              <w:top w:val="nil"/>
              <w:left w:val="nil"/>
              <w:bottom w:val="single" w:sz="4" w:space="0" w:color="auto"/>
              <w:right w:val="single" w:sz="4" w:space="0" w:color="auto"/>
            </w:tcBorders>
            <w:shd w:val="clear" w:color="auto" w:fill="auto"/>
            <w:noWrap/>
            <w:vAlign w:val="center"/>
            <w:hideMark/>
          </w:tcPr>
          <w:p w14:paraId="3257AC3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525</w:t>
            </w:r>
          </w:p>
        </w:tc>
        <w:tc>
          <w:tcPr>
            <w:tcW w:w="429" w:type="dxa"/>
            <w:tcBorders>
              <w:top w:val="nil"/>
              <w:left w:val="nil"/>
              <w:bottom w:val="single" w:sz="4" w:space="0" w:color="auto"/>
              <w:right w:val="single" w:sz="4" w:space="0" w:color="auto"/>
            </w:tcBorders>
            <w:shd w:val="clear" w:color="auto" w:fill="auto"/>
            <w:noWrap/>
            <w:vAlign w:val="center"/>
            <w:hideMark/>
          </w:tcPr>
          <w:p w14:paraId="687733F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540</w:t>
            </w:r>
          </w:p>
        </w:tc>
        <w:tc>
          <w:tcPr>
            <w:tcW w:w="429" w:type="dxa"/>
            <w:tcBorders>
              <w:top w:val="nil"/>
              <w:left w:val="nil"/>
              <w:bottom w:val="single" w:sz="4" w:space="0" w:color="auto"/>
              <w:right w:val="single" w:sz="4" w:space="0" w:color="auto"/>
            </w:tcBorders>
            <w:shd w:val="clear" w:color="auto" w:fill="auto"/>
            <w:noWrap/>
            <w:vAlign w:val="center"/>
            <w:hideMark/>
          </w:tcPr>
          <w:p w14:paraId="40107C9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555</w:t>
            </w:r>
          </w:p>
        </w:tc>
        <w:tc>
          <w:tcPr>
            <w:tcW w:w="429" w:type="dxa"/>
            <w:tcBorders>
              <w:top w:val="nil"/>
              <w:left w:val="nil"/>
              <w:bottom w:val="single" w:sz="4" w:space="0" w:color="auto"/>
              <w:right w:val="single" w:sz="4" w:space="0" w:color="auto"/>
            </w:tcBorders>
            <w:shd w:val="clear" w:color="auto" w:fill="auto"/>
            <w:noWrap/>
            <w:vAlign w:val="center"/>
            <w:hideMark/>
          </w:tcPr>
          <w:p w14:paraId="5388971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568</w:t>
            </w:r>
          </w:p>
        </w:tc>
        <w:tc>
          <w:tcPr>
            <w:tcW w:w="429" w:type="dxa"/>
            <w:tcBorders>
              <w:top w:val="nil"/>
              <w:left w:val="nil"/>
              <w:bottom w:val="single" w:sz="4" w:space="0" w:color="auto"/>
              <w:right w:val="single" w:sz="4" w:space="0" w:color="auto"/>
            </w:tcBorders>
            <w:shd w:val="clear" w:color="auto" w:fill="auto"/>
            <w:noWrap/>
            <w:vAlign w:val="center"/>
            <w:hideMark/>
          </w:tcPr>
          <w:p w14:paraId="3A19B00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582</w:t>
            </w:r>
          </w:p>
        </w:tc>
        <w:tc>
          <w:tcPr>
            <w:tcW w:w="429" w:type="dxa"/>
            <w:tcBorders>
              <w:top w:val="nil"/>
              <w:left w:val="nil"/>
              <w:bottom w:val="single" w:sz="4" w:space="0" w:color="auto"/>
              <w:right w:val="single" w:sz="4" w:space="0" w:color="auto"/>
            </w:tcBorders>
            <w:shd w:val="clear" w:color="auto" w:fill="auto"/>
            <w:noWrap/>
            <w:vAlign w:val="center"/>
            <w:hideMark/>
          </w:tcPr>
          <w:p w14:paraId="06824EB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594</w:t>
            </w:r>
          </w:p>
        </w:tc>
        <w:tc>
          <w:tcPr>
            <w:tcW w:w="429" w:type="dxa"/>
            <w:tcBorders>
              <w:top w:val="nil"/>
              <w:left w:val="nil"/>
              <w:bottom w:val="single" w:sz="4" w:space="0" w:color="auto"/>
              <w:right w:val="single" w:sz="4" w:space="0" w:color="auto"/>
            </w:tcBorders>
            <w:shd w:val="clear" w:color="auto" w:fill="auto"/>
            <w:noWrap/>
            <w:vAlign w:val="center"/>
            <w:hideMark/>
          </w:tcPr>
          <w:p w14:paraId="5011897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606</w:t>
            </w:r>
          </w:p>
        </w:tc>
        <w:tc>
          <w:tcPr>
            <w:tcW w:w="429" w:type="dxa"/>
            <w:tcBorders>
              <w:top w:val="nil"/>
              <w:left w:val="nil"/>
              <w:bottom w:val="single" w:sz="4" w:space="0" w:color="auto"/>
              <w:right w:val="single" w:sz="4" w:space="0" w:color="auto"/>
            </w:tcBorders>
            <w:shd w:val="clear" w:color="auto" w:fill="auto"/>
            <w:noWrap/>
            <w:vAlign w:val="center"/>
            <w:hideMark/>
          </w:tcPr>
          <w:p w14:paraId="4BD421D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618</w:t>
            </w:r>
          </w:p>
        </w:tc>
        <w:tc>
          <w:tcPr>
            <w:tcW w:w="429" w:type="dxa"/>
            <w:tcBorders>
              <w:top w:val="nil"/>
              <w:left w:val="nil"/>
              <w:bottom w:val="single" w:sz="4" w:space="0" w:color="auto"/>
              <w:right w:val="single" w:sz="4" w:space="0" w:color="auto"/>
            </w:tcBorders>
            <w:shd w:val="clear" w:color="auto" w:fill="auto"/>
            <w:noWrap/>
            <w:vAlign w:val="center"/>
            <w:hideMark/>
          </w:tcPr>
          <w:p w14:paraId="24229C4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629</w:t>
            </w:r>
          </w:p>
        </w:tc>
        <w:tc>
          <w:tcPr>
            <w:tcW w:w="429" w:type="dxa"/>
            <w:tcBorders>
              <w:top w:val="nil"/>
              <w:left w:val="nil"/>
              <w:bottom w:val="single" w:sz="4" w:space="0" w:color="auto"/>
              <w:right w:val="single" w:sz="4" w:space="0" w:color="auto"/>
            </w:tcBorders>
            <w:shd w:val="clear" w:color="auto" w:fill="auto"/>
            <w:noWrap/>
            <w:vAlign w:val="center"/>
            <w:hideMark/>
          </w:tcPr>
          <w:p w14:paraId="5ED3317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640</w:t>
            </w:r>
          </w:p>
        </w:tc>
        <w:tc>
          <w:tcPr>
            <w:tcW w:w="429" w:type="dxa"/>
            <w:tcBorders>
              <w:top w:val="nil"/>
              <w:left w:val="nil"/>
              <w:bottom w:val="single" w:sz="4" w:space="0" w:color="auto"/>
              <w:right w:val="single" w:sz="4" w:space="0" w:color="auto"/>
            </w:tcBorders>
            <w:shd w:val="clear" w:color="auto" w:fill="auto"/>
            <w:noWrap/>
            <w:vAlign w:val="center"/>
            <w:hideMark/>
          </w:tcPr>
          <w:p w14:paraId="671D162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651</w:t>
            </w:r>
          </w:p>
        </w:tc>
        <w:tc>
          <w:tcPr>
            <w:tcW w:w="429" w:type="dxa"/>
            <w:tcBorders>
              <w:top w:val="nil"/>
              <w:left w:val="nil"/>
              <w:bottom w:val="single" w:sz="4" w:space="0" w:color="auto"/>
              <w:right w:val="single" w:sz="4" w:space="0" w:color="auto"/>
            </w:tcBorders>
            <w:shd w:val="clear" w:color="auto" w:fill="auto"/>
            <w:noWrap/>
            <w:vAlign w:val="center"/>
            <w:hideMark/>
          </w:tcPr>
          <w:p w14:paraId="61E8401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661</w:t>
            </w:r>
          </w:p>
        </w:tc>
        <w:tc>
          <w:tcPr>
            <w:tcW w:w="429" w:type="dxa"/>
            <w:tcBorders>
              <w:top w:val="nil"/>
              <w:left w:val="nil"/>
              <w:bottom w:val="single" w:sz="4" w:space="0" w:color="auto"/>
              <w:right w:val="single" w:sz="4" w:space="0" w:color="auto"/>
            </w:tcBorders>
            <w:shd w:val="clear" w:color="auto" w:fill="auto"/>
            <w:noWrap/>
            <w:vAlign w:val="center"/>
            <w:hideMark/>
          </w:tcPr>
          <w:p w14:paraId="25EFB5B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671</w:t>
            </w:r>
          </w:p>
        </w:tc>
        <w:tc>
          <w:tcPr>
            <w:tcW w:w="429" w:type="dxa"/>
            <w:tcBorders>
              <w:top w:val="nil"/>
              <w:left w:val="nil"/>
              <w:bottom w:val="single" w:sz="4" w:space="0" w:color="auto"/>
              <w:right w:val="single" w:sz="4" w:space="0" w:color="auto"/>
            </w:tcBorders>
            <w:shd w:val="clear" w:color="auto" w:fill="auto"/>
            <w:noWrap/>
            <w:vAlign w:val="center"/>
            <w:hideMark/>
          </w:tcPr>
          <w:p w14:paraId="781AA43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680</w:t>
            </w:r>
          </w:p>
        </w:tc>
        <w:tc>
          <w:tcPr>
            <w:tcW w:w="429" w:type="dxa"/>
            <w:tcBorders>
              <w:top w:val="nil"/>
              <w:left w:val="nil"/>
              <w:bottom w:val="single" w:sz="4" w:space="0" w:color="auto"/>
              <w:right w:val="single" w:sz="4" w:space="0" w:color="auto"/>
            </w:tcBorders>
            <w:shd w:val="clear" w:color="auto" w:fill="auto"/>
            <w:noWrap/>
            <w:vAlign w:val="center"/>
            <w:hideMark/>
          </w:tcPr>
          <w:p w14:paraId="3119B18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690</w:t>
            </w:r>
          </w:p>
        </w:tc>
        <w:tc>
          <w:tcPr>
            <w:tcW w:w="429" w:type="dxa"/>
            <w:tcBorders>
              <w:top w:val="nil"/>
              <w:left w:val="nil"/>
              <w:bottom w:val="single" w:sz="4" w:space="0" w:color="auto"/>
              <w:right w:val="single" w:sz="4" w:space="0" w:color="auto"/>
            </w:tcBorders>
            <w:shd w:val="clear" w:color="auto" w:fill="auto"/>
            <w:noWrap/>
            <w:vAlign w:val="center"/>
            <w:hideMark/>
          </w:tcPr>
          <w:p w14:paraId="41BD98F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699</w:t>
            </w:r>
          </w:p>
        </w:tc>
        <w:tc>
          <w:tcPr>
            <w:tcW w:w="429" w:type="dxa"/>
            <w:tcBorders>
              <w:top w:val="nil"/>
              <w:left w:val="nil"/>
              <w:bottom w:val="single" w:sz="4" w:space="0" w:color="auto"/>
              <w:right w:val="single" w:sz="4" w:space="0" w:color="auto"/>
            </w:tcBorders>
            <w:shd w:val="clear" w:color="auto" w:fill="auto"/>
            <w:noWrap/>
            <w:vAlign w:val="center"/>
            <w:hideMark/>
          </w:tcPr>
          <w:p w14:paraId="21A2D3D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708</w:t>
            </w:r>
          </w:p>
        </w:tc>
        <w:tc>
          <w:tcPr>
            <w:tcW w:w="429" w:type="dxa"/>
            <w:tcBorders>
              <w:top w:val="nil"/>
              <w:left w:val="nil"/>
              <w:bottom w:val="single" w:sz="4" w:space="0" w:color="auto"/>
              <w:right w:val="single" w:sz="4" w:space="0" w:color="auto"/>
            </w:tcBorders>
            <w:shd w:val="clear" w:color="auto" w:fill="auto"/>
            <w:noWrap/>
            <w:vAlign w:val="center"/>
            <w:hideMark/>
          </w:tcPr>
          <w:p w14:paraId="7EA4AB5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716</w:t>
            </w:r>
          </w:p>
        </w:tc>
        <w:tc>
          <w:tcPr>
            <w:tcW w:w="429" w:type="dxa"/>
            <w:tcBorders>
              <w:top w:val="nil"/>
              <w:left w:val="nil"/>
              <w:bottom w:val="single" w:sz="4" w:space="0" w:color="auto"/>
              <w:right w:val="single" w:sz="4" w:space="0" w:color="auto"/>
            </w:tcBorders>
            <w:shd w:val="clear" w:color="auto" w:fill="auto"/>
            <w:noWrap/>
            <w:vAlign w:val="center"/>
            <w:hideMark/>
          </w:tcPr>
          <w:p w14:paraId="0E4E7EE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725</w:t>
            </w:r>
          </w:p>
        </w:tc>
        <w:tc>
          <w:tcPr>
            <w:tcW w:w="429" w:type="dxa"/>
            <w:tcBorders>
              <w:top w:val="nil"/>
              <w:left w:val="nil"/>
              <w:bottom w:val="single" w:sz="4" w:space="0" w:color="auto"/>
              <w:right w:val="single" w:sz="4" w:space="0" w:color="auto"/>
            </w:tcBorders>
            <w:shd w:val="clear" w:color="auto" w:fill="auto"/>
            <w:noWrap/>
            <w:vAlign w:val="center"/>
            <w:hideMark/>
          </w:tcPr>
          <w:p w14:paraId="74672A4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733</w:t>
            </w:r>
          </w:p>
        </w:tc>
      </w:tr>
      <w:tr w:rsidR="00F75183" w:rsidRPr="00B85017" w14:paraId="7047D502"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51B6B8C5"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69DB4B69"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550</w:t>
            </w:r>
          </w:p>
        </w:tc>
        <w:tc>
          <w:tcPr>
            <w:tcW w:w="429" w:type="dxa"/>
            <w:tcBorders>
              <w:top w:val="nil"/>
              <w:left w:val="nil"/>
              <w:bottom w:val="single" w:sz="4" w:space="0" w:color="auto"/>
              <w:right w:val="single" w:sz="4" w:space="0" w:color="auto"/>
            </w:tcBorders>
            <w:shd w:val="clear" w:color="auto" w:fill="auto"/>
            <w:noWrap/>
            <w:vAlign w:val="center"/>
            <w:hideMark/>
          </w:tcPr>
          <w:p w14:paraId="1CE8DFE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500</w:t>
            </w:r>
          </w:p>
        </w:tc>
        <w:tc>
          <w:tcPr>
            <w:tcW w:w="429" w:type="dxa"/>
            <w:tcBorders>
              <w:top w:val="nil"/>
              <w:left w:val="nil"/>
              <w:bottom w:val="single" w:sz="4" w:space="0" w:color="auto"/>
              <w:right w:val="single" w:sz="4" w:space="0" w:color="auto"/>
            </w:tcBorders>
            <w:shd w:val="clear" w:color="auto" w:fill="auto"/>
            <w:noWrap/>
            <w:vAlign w:val="center"/>
            <w:hideMark/>
          </w:tcPr>
          <w:p w14:paraId="2CE3465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518</w:t>
            </w:r>
          </w:p>
        </w:tc>
        <w:tc>
          <w:tcPr>
            <w:tcW w:w="429" w:type="dxa"/>
            <w:tcBorders>
              <w:top w:val="nil"/>
              <w:left w:val="nil"/>
              <w:bottom w:val="single" w:sz="4" w:space="0" w:color="auto"/>
              <w:right w:val="single" w:sz="4" w:space="0" w:color="auto"/>
            </w:tcBorders>
            <w:shd w:val="clear" w:color="auto" w:fill="auto"/>
            <w:noWrap/>
            <w:vAlign w:val="center"/>
            <w:hideMark/>
          </w:tcPr>
          <w:p w14:paraId="260E36C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534</w:t>
            </w:r>
          </w:p>
        </w:tc>
        <w:tc>
          <w:tcPr>
            <w:tcW w:w="429" w:type="dxa"/>
            <w:tcBorders>
              <w:top w:val="nil"/>
              <w:left w:val="nil"/>
              <w:bottom w:val="single" w:sz="4" w:space="0" w:color="auto"/>
              <w:right w:val="single" w:sz="4" w:space="0" w:color="auto"/>
            </w:tcBorders>
            <w:shd w:val="clear" w:color="auto" w:fill="auto"/>
            <w:noWrap/>
            <w:vAlign w:val="center"/>
            <w:hideMark/>
          </w:tcPr>
          <w:p w14:paraId="0A58022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550</w:t>
            </w:r>
          </w:p>
        </w:tc>
        <w:tc>
          <w:tcPr>
            <w:tcW w:w="429" w:type="dxa"/>
            <w:tcBorders>
              <w:top w:val="nil"/>
              <w:left w:val="nil"/>
              <w:bottom w:val="single" w:sz="4" w:space="0" w:color="auto"/>
              <w:right w:val="single" w:sz="4" w:space="0" w:color="auto"/>
            </w:tcBorders>
            <w:shd w:val="clear" w:color="auto" w:fill="auto"/>
            <w:noWrap/>
            <w:vAlign w:val="center"/>
            <w:hideMark/>
          </w:tcPr>
          <w:p w14:paraId="6D56684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565</w:t>
            </w:r>
          </w:p>
        </w:tc>
        <w:tc>
          <w:tcPr>
            <w:tcW w:w="429" w:type="dxa"/>
            <w:tcBorders>
              <w:top w:val="nil"/>
              <w:left w:val="nil"/>
              <w:bottom w:val="single" w:sz="4" w:space="0" w:color="auto"/>
              <w:right w:val="single" w:sz="4" w:space="0" w:color="auto"/>
            </w:tcBorders>
            <w:shd w:val="clear" w:color="auto" w:fill="auto"/>
            <w:noWrap/>
            <w:vAlign w:val="center"/>
            <w:hideMark/>
          </w:tcPr>
          <w:p w14:paraId="26EC5AA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579</w:t>
            </w:r>
          </w:p>
        </w:tc>
        <w:tc>
          <w:tcPr>
            <w:tcW w:w="429" w:type="dxa"/>
            <w:tcBorders>
              <w:top w:val="nil"/>
              <w:left w:val="nil"/>
              <w:bottom w:val="single" w:sz="4" w:space="0" w:color="auto"/>
              <w:right w:val="single" w:sz="4" w:space="0" w:color="auto"/>
            </w:tcBorders>
            <w:shd w:val="clear" w:color="auto" w:fill="auto"/>
            <w:noWrap/>
            <w:vAlign w:val="center"/>
            <w:hideMark/>
          </w:tcPr>
          <w:p w14:paraId="545E2B6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592</w:t>
            </w:r>
          </w:p>
        </w:tc>
        <w:tc>
          <w:tcPr>
            <w:tcW w:w="429" w:type="dxa"/>
            <w:tcBorders>
              <w:top w:val="nil"/>
              <w:left w:val="nil"/>
              <w:bottom w:val="single" w:sz="4" w:space="0" w:color="auto"/>
              <w:right w:val="single" w:sz="4" w:space="0" w:color="auto"/>
            </w:tcBorders>
            <w:shd w:val="clear" w:color="auto" w:fill="auto"/>
            <w:noWrap/>
            <w:vAlign w:val="center"/>
            <w:hideMark/>
          </w:tcPr>
          <w:p w14:paraId="3BB408D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605</w:t>
            </w:r>
          </w:p>
        </w:tc>
        <w:tc>
          <w:tcPr>
            <w:tcW w:w="429" w:type="dxa"/>
            <w:tcBorders>
              <w:top w:val="nil"/>
              <w:left w:val="nil"/>
              <w:bottom w:val="single" w:sz="4" w:space="0" w:color="auto"/>
              <w:right w:val="single" w:sz="4" w:space="0" w:color="auto"/>
            </w:tcBorders>
            <w:shd w:val="clear" w:color="auto" w:fill="auto"/>
            <w:noWrap/>
            <w:vAlign w:val="center"/>
            <w:hideMark/>
          </w:tcPr>
          <w:p w14:paraId="04C4656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618</w:t>
            </w:r>
          </w:p>
        </w:tc>
        <w:tc>
          <w:tcPr>
            <w:tcW w:w="429" w:type="dxa"/>
            <w:tcBorders>
              <w:top w:val="nil"/>
              <w:left w:val="nil"/>
              <w:bottom w:val="single" w:sz="4" w:space="0" w:color="auto"/>
              <w:right w:val="single" w:sz="4" w:space="0" w:color="auto"/>
            </w:tcBorders>
            <w:shd w:val="clear" w:color="auto" w:fill="auto"/>
            <w:noWrap/>
            <w:vAlign w:val="center"/>
            <w:hideMark/>
          </w:tcPr>
          <w:p w14:paraId="7D72912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630</w:t>
            </w:r>
          </w:p>
        </w:tc>
        <w:tc>
          <w:tcPr>
            <w:tcW w:w="429" w:type="dxa"/>
            <w:tcBorders>
              <w:top w:val="nil"/>
              <w:left w:val="nil"/>
              <w:bottom w:val="single" w:sz="4" w:space="0" w:color="auto"/>
              <w:right w:val="single" w:sz="4" w:space="0" w:color="auto"/>
            </w:tcBorders>
            <w:shd w:val="clear" w:color="auto" w:fill="auto"/>
            <w:noWrap/>
            <w:vAlign w:val="center"/>
            <w:hideMark/>
          </w:tcPr>
          <w:p w14:paraId="2F369D1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641</w:t>
            </w:r>
          </w:p>
        </w:tc>
        <w:tc>
          <w:tcPr>
            <w:tcW w:w="429" w:type="dxa"/>
            <w:tcBorders>
              <w:top w:val="nil"/>
              <w:left w:val="nil"/>
              <w:bottom w:val="single" w:sz="4" w:space="0" w:color="auto"/>
              <w:right w:val="single" w:sz="4" w:space="0" w:color="auto"/>
            </w:tcBorders>
            <w:shd w:val="clear" w:color="auto" w:fill="auto"/>
            <w:noWrap/>
            <w:vAlign w:val="center"/>
            <w:hideMark/>
          </w:tcPr>
          <w:p w14:paraId="5D35702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652</w:t>
            </w:r>
          </w:p>
        </w:tc>
        <w:tc>
          <w:tcPr>
            <w:tcW w:w="429" w:type="dxa"/>
            <w:tcBorders>
              <w:top w:val="nil"/>
              <w:left w:val="nil"/>
              <w:bottom w:val="single" w:sz="4" w:space="0" w:color="auto"/>
              <w:right w:val="single" w:sz="4" w:space="0" w:color="auto"/>
            </w:tcBorders>
            <w:shd w:val="clear" w:color="auto" w:fill="auto"/>
            <w:noWrap/>
            <w:vAlign w:val="center"/>
            <w:hideMark/>
          </w:tcPr>
          <w:p w14:paraId="661D024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663</w:t>
            </w:r>
          </w:p>
        </w:tc>
        <w:tc>
          <w:tcPr>
            <w:tcW w:w="429" w:type="dxa"/>
            <w:tcBorders>
              <w:top w:val="nil"/>
              <w:left w:val="nil"/>
              <w:bottom w:val="single" w:sz="4" w:space="0" w:color="auto"/>
              <w:right w:val="single" w:sz="4" w:space="0" w:color="auto"/>
            </w:tcBorders>
            <w:shd w:val="clear" w:color="auto" w:fill="auto"/>
            <w:noWrap/>
            <w:vAlign w:val="center"/>
            <w:hideMark/>
          </w:tcPr>
          <w:p w14:paraId="01ED43C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673</w:t>
            </w:r>
          </w:p>
        </w:tc>
        <w:tc>
          <w:tcPr>
            <w:tcW w:w="429" w:type="dxa"/>
            <w:tcBorders>
              <w:top w:val="nil"/>
              <w:left w:val="nil"/>
              <w:bottom w:val="single" w:sz="4" w:space="0" w:color="auto"/>
              <w:right w:val="single" w:sz="4" w:space="0" w:color="auto"/>
            </w:tcBorders>
            <w:shd w:val="clear" w:color="auto" w:fill="auto"/>
            <w:noWrap/>
            <w:vAlign w:val="center"/>
            <w:hideMark/>
          </w:tcPr>
          <w:p w14:paraId="064DBE9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683</w:t>
            </w:r>
          </w:p>
        </w:tc>
        <w:tc>
          <w:tcPr>
            <w:tcW w:w="429" w:type="dxa"/>
            <w:tcBorders>
              <w:top w:val="nil"/>
              <w:left w:val="nil"/>
              <w:bottom w:val="single" w:sz="4" w:space="0" w:color="auto"/>
              <w:right w:val="single" w:sz="4" w:space="0" w:color="auto"/>
            </w:tcBorders>
            <w:shd w:val="clear" w:color="auto" w:fill="auto"/>
            <w:noWrap/>
            <w:vAlign w:val="center"/>
            <w:hideMark/>
          </w:tcPr>
          <w:p w14:paraId="6F94D75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693</w:t>
            </w:r>
          </w:p>
        </w:tc>
        <w:tc>
          <w:tcPr>
            <w:tcW w:w="429" w:type="dxa"/>
            <w:tcBorders>
              <w:top w:val="nil"/>
              <w:left w:val="nil"/>
              <w:bottom w:val="single" w:sz="4" w:space="0" w:color="auto"/>
              <w:right w:val="single" w:sz="4" w:space="0" w:color="auto"/>
            </w:tcBorders>
            <w:shd w:val="clear" w:color="auto" w:fill="auto"/>
            <w:noWrap/>
            <w:vAlign w:val="center"/>
            <w:hideMark/>
          </w:tcPr>
          <w:p w14:paraId="3C16B99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702</w:t>
            </w:r>
          </w:p>
        </w:tc>
        <w:tc>
          <w:tcPr>
            <w:tcW w:w="429" w:type="dxa"/>
            <w:tcBorders>
              <w:top w:val="nil"/>
              <w:left w:val="nil"/>
              <w:bottom w:val="single" w:sz="4" w:space="0" w:color="auto"/>
              <w:right w:val="single" w:sz="4" w:space="0" w:color="auto"/>
            </w:tcBorders>
            <w:shd w:val="clear" w:color="auto" w:fill="auto"/>
            <w:noWrap/>
            <w:vAlign w:val="center"/>
            <w:hideMark/>
          </w:tcPr>
          <w:p w14:paraId="4EDB4E1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712</w:t>
            </w:r>
          </w:p>
        </w:tc>
        <w:tc>
          <w:tcPr>
            <w:tcW w:w="429" w:type="dxa"/>
            <w:tcBorders>
              <w:top w:val="nil"/>
              <w:left w:val="nil"/>
              <w:bottom w:val="single" w:sz="4" w:space="0" w:color="auto"/>
              <w:right w:val="single" w:sz="4" w:space="0" w:color="auto"/>
            </w:tcBorders>
            <w:shd w:val="clear" w:color="auto" w:fill="auto"/>
            <w:noWrap/>
            <w:vAlign w:val="center"/>
            <w:hideMark/>
          </w:tcPr>
          <w:p w14:paraId="4E4FBFF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721</w:t>
            </w:r>
          </w:p>
        </w:tc>
        <w:tc>
          <w:tcPr>
            <w:tcW w:w="429" w:type="dxa"/>
            <w:tcBorders>
              <w:top w:val="nil"/>
              <w:left w:val="nil"/>
              <w:bottom w:val="single" w:sz="4" w:space="0" w:color="auto"/>
              <w:right w:val="single" w:sz="4" w:space="0" w:color="auto"/>
            </w:tcBorders>
            <w:shd w:val="clear" w:color="auto" w:fill="auto"/>
            <w:noWrap/>
            <w:vAlign w:val="center"/>
            <w:hideMark/>
          </w:tcPr>
          <w:p w14:paraId="6483567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729</w:t>
            </w:r>
          </w:p>
        </w:tc>
        <w:tc>
          <w:tcPr>
            <w:tcW w:w="429" w:type="dxa"/>
            <w:tcBorders>
              <w:top w:val="nil"/>
              <w:left w:val="nil"/>
              <w:bottom w:val="single" w:sz="4" w:space="0" w:color="auto"/>
              <w:right w:val="single" w:sz="4" w:space="0" w:color="auto"/>
            </w:tcBorders>
            <w:shd w:val="clear" w:color="auto" w:fill="auto"/>
            <w:noWrap/>
            <w:vAlign w:val="center"/>
            <w:hideMark/>
          </w:tcPr>
          <w:p w14:paraId="1D9A06B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738</w:t>
            </w:r>
          </w:p>
        </w:tc>
        <w:tc>
          <w:tcPr>
            <w:tcW w:w="429" w:type="dxa"/>
            <w:tcBorders>
              <w:top w:val="nil"/>
              <w:left w:val="nil"/>
              <w:bottom w:val="single" w:sz="4" w:space="0" w:color="auto"/>
              <w:right w:val="single" w:sz="4" w:space="0" w:color="auto"/>
            </w:tcBorders>
            <w:shd w:val="clear" w:color="auto" w:fill="auto"/>
            <w:noWrap/>
            <w:vAlign w:val="center"/>
            <w:hideMark/>
          </w:tcPr>
          <w:p w14:paraId="3900D71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746</w:t>
            </w:r>
          </w:p>
        </w:tc>
      </w:tr>
      <w:tr w:rsidR="00F75183" w:rsidRPr="00B85017" w14:paraId="5CB9354A"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0EC39727"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008A7C87"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560</w:t>
            </w:r>
          </w:p>
        </w:tc>
        <w:tc>
          <w:tcPr>
            <w:tcW w:w="429" w:type="dxa"/>
            <w:tcBorders>
              <w:top w:val="nil"/>
              <w:left w:val="nil"/>
              <w:bottom w:val="single" w:sz="4" w:space="0" w:color="auto"/>
              <w:right w:val="single" w:sz="4" w:space="0" w:color="auto"/>
            </w:tcBorders>
            <w:shd w:val="clear" w:color="auto" w:fill="auto"/>
            <w:noWrap/>
            <w:vAlign w:val="center"/>
            <w:hideMark/>
          </w:tcPr>
          <w:p w14:paraId="5BD7F3D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509</w:t>
            </w:r>
          </w:p>
        </w:tc>
        <w:tc>
          <w:tcPr>
            <w:tcW w:w="429" w:type="dxa"/>
            <w:tcBorders>
              <w:top w:val="nil"/>
              <w:left w:val="nil"/>
              <w:bottom w:val="single" w:sz="4" w:space="0" w:color="auto"/>
              <w:right w:val="single" w:sz="4" w:space="0" w:color="auto"/>
            </w:tcBorders>
            <w:shd w:val="clear" w:color="auto" w:fill="auto"/>
            <w:noWrap/>
            <w:vAlign w:val="center"/>
            <w:hideMark/>
          </w:tcPr>
          <w:p w14:paraId="06B2BD8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527</w:t>
            </w:r>
          </w:p>
        </w:tc>
        <w:tc>
          <w:tcPr>
            <w:tcW w:w="429" w:type="dxa"/>
            <w:tcBorders>
              <w:top w:val="nil"/>
              <w:left w:val="nil"/>
              <w:bottom w:val="single" w:sz="4" w:space="0" w:color="auto"/>
              <w:right w:val="single" w:sz="4" w:space="0" w:color="auto"/>
            </w:tcBorders>
            <w:shd w:val="clear" w:color="auto" w:fill="auto"/>
            <w:noWrap/>
            <w:vAlign w:val="center"/>
            <w:hideMark/>
          </w:tcPr>
          <w:p w14:paraId="121CAB7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544</w:t>
            </w:r>
          </w:p>
        </w:tc>
        <w:tc>
          <w:tcPr>
            <w:tcW w:w="429" w:type="dxa"/>
            <w:tcBorders>
              <w:top w:val="nil"/>
              <w:left w:val="nil"/>
              <w:bottom w:val="single" w:sz="4" w:space="0" w:color="auto"/>
              <w:right w:val="single" w:sz="4" w:space="0" w:color="auto"/>
            </w:tcBorders>
            <w:shd w:val="clear" w:color="auto" w:fill="auto"/>
            <w:noWrap/>
            <w:vAlign w:val="center"/>
            <w:hideMark/>
          </w:tcPr>
          <w:p w14:paraId="70EBF25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560</w:t>
            </w:r>
          </w:p>
        </w:tc>
        <w:tc>
          <w:tcPr>
            <w:tcW w:w="429" w:type="dxa"/>
            <w:tcBorders>
              <w:top w:val="nil"/>
              <w:left w:val="nil"/>
              <w:bottom w:val="single" w:sz="4" w:space="0" w:color="auto"/>
              <w:right w:val="single" w:sz="4" w:space="0" w:color="auto"/>
            </w:tcBorders>
            <w:shd w:val="clear" w:color="auto" w:fill="auto"/>
            <w:noWrap/>
            <w:vAlign w:val="center"/>
            <w:hideMark/>
          </w:tcPr>
          <w:p w14:paraId="26BDC1B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575</w:t>
            </w:r>
          </w:p>
        </w:tc>
        <w:tc>
          <w:tcPr>
            <w:tcW w:w="429" w:type="dxa"/>
            <w:tcBorders>
              <w:top w:val="nil"/>
              <w:left w:val="nil"/>
              <w:bottom w:val="single" w:sz="4" w:space="0" w:color="auto"/>
              <w:right w:val="single" w:sz="4" w:space="0" w:color="auto"/>
            </w:tcBorders>
            <w:shd w:val="clear" w:color="auto" w:fill="auto"/>
            <w:noWrap/>
            <w:vAlign w:val="center"/>
            <w:hideMark/>
          </w:tcPr>
          <w:p w14:paraId="58BD3A8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590</w:t>
            </w:r>
          </w:p>
        </w:tc>
        <w:tc>
          <w:tcPr>
            <w:tcW w:w="429" w:type="dxa"/>
            <w:tcBorders>
              <w:top w:val="nil"/>
              <w:left w:val="nil"/>
              <w:bottom w:val="single" w:sz="4" w:space="0" w:color="auto"/>
              <w:right w:val="single" w:sz="4" w:space="0" w:color="auto"/>
            </w:tcBorders>
            <w:shd w:val="clear" w:color="auto" w:fill="auto"/>
            <w:noWrap/>
            <w:vAlign w:val="center"/>
            <w:hideMark/>
          </w:tcPr>
          <w:p w14:paraId="6E7C58D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603</w:t>
            </w:r>
          </w:p>
        </w:tc>
        <w:tc>
          <w:tcPr>
            <w:tcW w:w="429" w:type="dxa"/>
            <w:tcBorders>
              <w:top w:val="nil"/>
              <w:left w:val="nil"/>
              <w:bottom w:val="single" w:sz="4" w:space="0" w:color="auto"/>
              <w:right w:val="single" w:sz="4" w:space="0" w:color="auto"/>
            </w:tcBorders>
            <w:shd w:val="clear" w:color="auto" w:fill="auto"/>
            <w:noWrap/>
            <w:vAlign w:val="center"/>
            <w:hideMark/>
          </w:tcPr>
          <w:p w14:paraId="33680DB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616</w:t>
            </w:r>
          </w:p>
        </w:tc>
        <w:tc>
          <w:tcPr>
            <w:tcW w:w="429" w:type="dxa"/>
            <w:tcBorders>
              <w:top w:val="nil"/>
              <w:left w:val="nil"/>
              <w:bottom w:val="single" w:sz="4" w:space="0" w:color="auto"/>
              <w:right w:val="single" w:sz="4" w:space="0" w:color="auto"/>
            </w:tcBorders>
            <w:shd w:val="clear" w:color="auto" w:fill="auto"/>
            <w:noWrap/>
            <w:vAlign w:val="center"/>
            <w:hideMark/>
          </w:tcPr>
          <w:p w14:paraId="39E3CDF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629</w:t>
            </w:r>
          </w:p>
        </w:tc>
        <w:tc>
          <w:tcPr>
            <w:tcW w:w="429" w:type="dxa"/>
            <w:tcBorders>
              <w:top w:val="nil"/>
              <w:left w:val="nil"/>
              <w:bottom w:val="single" w:sz="4" w:space="0" w:color="auto"/>
              <w:right w:val="single" w:sz="4" w:space="0" w:color="auto"/>
            </w:tcBorders>
            <w:shd w:val="clear" w:color="auto" w:fill="auto"/>
            <w:noWrap/>
            <w:vAlign w:val="center"/>
            <w:hideMark/>
          </w:tcPr>
          <w:p w14:paraId="736199C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641</w:t>
            </w:r>
          </w:p>
        </w:tc>
        <w:tc>
          <w:tcPr>
            <w:tcW w:w="429" w:type="dxa"/>
            <w:tcBorders>
              <w:top w:val="nil"/>
              <w:left w:val="nil"/>
              <w:bottom w:val="single" w:sz="4" w:space="0" w:color="auto"/>
              <w:right w:val="single" w:sz="4" w:space="0" w:color="auto"/>
            </w:tcBorders>
            <w:shd w:val="clear" w:color="auto" w:fill="auto"/>
            <w:noWrap/>
            <w:vAlign w:val="center"/>
            <w:hideMark/>
          </w:tcPr>
          <w:p w14:paraId="02555CB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653</w:t>
            </w:r>
          </w:p>
        </w:tc>
        <w:tc>
          <w:tcPr>
            <w:tcW w:w="429" w:type="dxa"/>
            <w:tcBorders>
              <w:top w:val="nil"/>
              <w:left w:val="nil"/>
              <w:bottom w:val="single" w:sz="4" w:space="0" w:color="auto"/>
              <w:right w:val="single" w:sz="4" w:space="0" w:color="auto"/>
            </w:tcBorders>
            <w:shd w:val="clear" w:color="auto" w:fill="auto"/>
            <w:noWrap/>
            <w:vAlign w:val="center"/>
            <w:hideMark/>
          </w:tcPr>
          <w:p w14:paraId="1FD2578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664</w:t>
            </w:r>
          </w:p>
        </w:tc>
        <w:tc>
          <w:tcPr>
            <w:tcW w:w="429" w:type="dxa"/>
            <w:tcBorders>
              <w:top w:val="nil"/>
              <w:left w:val="nil"/>
              <w:bottom w:val="single" w:sz="4" w:space="0" w:color="auto"/>
              <w:right w:val="single" w:sz="4" w:space="0" w:color="auto"/>
            </w:tcBorders>
            <w:shd w:val="clear" w:color="auto" w:fill="auto"/>
            <w:noWrap/>
            <w:vAlign w:val="center"/>
            <w:hideMark/>
          </w:tcPr>
          <w:p w14:paraId="6373E23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675</w:t>
            </w:r>
          </w:p>
        </w:tc>
        <w:tc>
          <w:tcPr>
            <w:tcW w:w="429" w:type="dxa"/>
            <w:tcBorders>
              <w:top w:val="nil"/>
              <w:left w:val="nil"/>
              <w:bottom w:val="single" w:sz="4" w:space="0" w:color="auto"/>
              <w:right w:val="single" w:sz="4" w:space="0" w:color="auto"/>
            </w:tcBorders>
            <w:shd w:val="clear" w:color="auto" w:fill="auto"/>
            <w:noWrap/>
            <w:vAlign w:val="center"/>
            <w:hideMark/>
          </w:tcPr>
          <w:p w14:paraId="6FB9DCC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685</w:t>
            </w:r>
          </w:p>
        </w:tc>
        <w:tc>
          <w:tcPr>
            <w:tcW w:w="429" w:type="dxa"/>
            <w:tcBorders>
              <w:top w:val="nil"/>
              <w:left w:val="nil"/>
              <w:bottom w:val="single" w:sz="4" w:space="0" w:color="auto"/>
              <w:right w:val="single" w:sz="4" w:space="0" w:color="auto"/>
            </w:tcBorders>
            <w:shd w:val="clear" w:color="auto" w:fill="auto"/>
            <w:noWrap/>
            <w:vAlign w:val="center"/>
            <w:hideMark/>
          </w:tcPr>
          <w:p w14:paraId="485789B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696</w:t>
            </w:r>
          </w:p>
        </w:tc>
        <w:tc>
          <w:tcPr>
            <w:tcW w:w="429" w:type="dxa"/>
            <w:tcBorders>
              <w:top w:val="nil"/>
              <w:left w:val="nil"/>
              <w:bottom w:val="single" w:sz="4" w:space="0" w:color="auto"/>
              <w:right w:val="single" w:sz="4" w:space="0" w:color="auto"/>
            </w:tcBorders>
            <w:shd w:val="clear" w:color="auto" w:fill="auto"/>
            <w:noWrap/>
            <w:vAlign w:val="center"/>
            <w:hideMark/>
          </w:tcPr>
          <w:p w14:paraId="614C3AE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706</w:t>
            </w:r>
          </w:p>
        </w:tc>
        <w:tc>
          <w:tcPr>
            <w:tcW w:w="429" w:type="dxa"/>
            <w:tcBorders>
              <w:top w:val="nil"/>
              <w:left w:val="nil"/>
              <w:bottom w:val="single" w:sz="4" w:space="0" w:color="auto"/>
              <w:right w:val="single" w:sz="4" w:space="0" w:color="auto"/>
            </w:tcBorders>
            <w:shd w:val="clear" w:color="auto" w:fill="auto"/>
            <w:noWrap/>
            <w:vAlign w:val="center"/>
            <w:hideMark/>
          </w:tcPr>
          <w:p w14:paraId="447D8E6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715</w:t>
            </w:r>
          </w:p>
        </w:tc>
        <w:tc>
          <w:tcPr>
            <w:tcW w:w="429" w:type="dxa"/>
            <w:tcBorders>
              <w:top w:val="nil"/>
              <w:left w:val="nil"/>
              <w:bottom w:val="single" w:sz="4" w:space="0" w:color="auto"/>
              <w:right w:val="single" w:sz="4" w:space="0" w:color="auto"/>
            </w:tcBorders>
            <w:shd w:val="clear" w:color="auto" w:fill="auto"/>
            <w:noWrap/>
            <w:vAlign w:val="center"/>
            <w:hideMark/>
          </w:tcPr>
          <w:p w14:paraId="1FCE073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725</w:t>
            </w:r>
          </w:p>
        </w:tc>
        <w:tc>
          <w:tcPr>
            <w:tcW w:w="429" w:type="dxa"/>
            <w:tcBorders>
              <w:top w:val="nil"/>
              <w:left w:val="nil"/>
              <w:bottom w:val="single" w:sz="4" w:space="0" w:color="auto"/>
              <w:right w:val="single" w:sz="4" w:space="0" w:color="auto"/>
            </w:tcBorders>
            <w:shd w:val="clear" w:color="auto" w:fill="auto"/>
            <w:noWrap/>
            <w:vAlign w:val="center"/>
            <w:hideMark/>
          </w:tcPr>
          <w:p w14:paraId="3DF7F9D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734</w:t>
            </w:r>
          </w:p>
        </w:tc>
        <w:tc>
          <w:tcPr>
            <w:tcW w:w="429" w:type="dxa"/>
            <w:tcBorders>
              <w:top w:val="nil"/>
              <w:left w:val="nil"/>
              <w:bottom w:val="single" w:sz="4" w:space="0" w:color="auto"/>
              <w:right w:val="single" w:sz="4" w:space="0" w:color="auto"/>
            </w:tcBorders>
            <w:shd w:val="clear" w:color="auto" w:fill="auto"/>
            <w:noWrap/>
            <w:vAlign w:val="center"/>
            <w:hideMark/>
          </w:tcPr>
          <w:p w14:paraId="6D376DD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743</w:t>
            </w:r>
          </w:p>
        </w:tc>
        <w:tc>
          <w:tcPr>
            <w:tcW w:w="429" w:type="dxa"/>
            <w:tcBorders>
              <w:top w:val="nil"/>
              <w:left w:val="nil"/>
              <w:bottom w:val="single" w:sz="4" w:space="0" w:color="auto"/>
              <w:right w:val="single" w:sz="4" w:space="0" w:color="auto"/>
            </w:tcBorders>
            <w:shd w:val="clear" w:color="auto" w:fill="auto"/>
            <w:noWrap/>
            <w:vAlign w:val="center"/>
            <w:hideMark/>
          </w:tcPr>
          <w:p w14:paraId="027CA8D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751</w:t>
            </w:r>
          </w:p>
        </w:tc>
        <w:tc>
          <w:tcPr>
            <w:tcW w:w="429" w:type="dxa"/>
            <w:tcBorders>
              <w:top w:val="nil"/>
              <w:left w:val="nil"/>
              <w:bottom w:val="single" w:sz="4" w:space="0" w:color="auto"/>
              <w:right w:val="single" w:sz="4" w:space="0" w:color="auto"/>
            </w:tcBorders>
            <w:shd w:val="clear" w:color="auto" w:fill="auto"/>
            <w:noWrap/>
            <w:vAlign w:val="center"/>
            <w:hideMark/>
          </w:tcPr>
          <w:p w14:paraId="0365354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760</w:t>
            </w:r>
          </w:p>
        </w:tc>
      </w:tr>
      <w:tr w:rsidR="00F75183" w:rsidRPr="00B85017" w14:paraId="622F2182"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483E4292"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178CBEC5"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570</w:t>
            </w:r>
          </w:p>
        </w:tc>
        <w:tc>
          <w:tcPr>
            <w:tcW w:w="429" w:type="dxa"/>
            <w:tcBorders>
              <w:top w:val="nil"/>
              <w:left w:val="nil"/>
              <w:bottom w:val="single" w:sz="4" w:space="0" w:color="auto"/>
              <w:right w:val="single" w:sz="4" w:space="0" w:color="auto"/>
            </w:tcBorders>
            <w:shd w:val="clear" w:color="auto" w:fill="auto"/>
            <w:noWrap/>
            <w:vAlign w:val="center"/>
            <w:hideMark/>
          </w:tcPr>
          <w:p w14:paraId="0D7F5C5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518</w:t>
            </w:r>
          </w:p>
        </w:tc>
        <w:tc>
          <w:tcPr>
            <w:tcW w:w="429" w:type="dxa"/>
            <w:tcBorders>
              <w:top w:val="nil"/>
              <w:left w:val="nil"/>
              <w:bottom w:val="single" w:sz="4" w:space="0" w:color="auto"/>
              <w:right w:val="single" w:sz="4" w:space="0" w:color="auto"/>
            </w:tcBorders>
            <w:shd w:val="clear" w:color="auto" w:fill="auto"/>
            <w:noWrap/>
            <w:vAlign w:val="center"/>
            <w:hideMark/>
          </w:tcPr>
          <w:p w14:paraId="6A06481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536</w:t>
            </w:r>
          </w:p>
        </w:tc>
        <w:tc>
          <w:tcPr>
            <w:tcW w:w="429" w:type="dxa"/>
            <w:tcBorders>
              <w:top w:val="nil"/>
              <w:left w:val="nil"/>
              <w:bottom w:val="single" w:sz="4" w:space="0" w:color="auto"/>
              <w:right w:val="single" w:sz="4" w:space="0" w:color="auto"/>
            </w:tcBorders>
            <w:shd w:val="clear" w:color="auto" w:fill="auto"/>
            <w:noWrap/>
            <w:vAlign w:val="center"/>
            <w:hideMark/>
          </w:tcPr>
          <w:p w14:paraId="0E08E6C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554</w:t>
            </w:r>
          </w:p>
        </w:tc>
        <w:tc>
          <w:tcPr>
            <w:tcW w:w="429" w:type="dxa"/>
            <w:tcBorders>
              <w:top w:val="nil"/>
              <w:left w:val="nil"/>
              <w:bottom w:val="single" w:sz="4" w:space="0" w:color="auto"/>
              <w:right w:val="single" w:sz="4" w:space="0" w:color="auto"/>
            </w:tcBorders>
            <w:shd w:val="clear" w:color="auto" w:fill="auto"/>
            <w:noWrap/>
            <w:vAlign w:val="center"/>
            <w:hideMark/>
          </w:tcPr>
          <w:p w14:paraId="06898E1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570</w:t>
            </w:r>
          </w:p>
        </w:tc>
        <w:tc>
          <w:tcPr>
            <w:tcW w:w="429" w:type="dxa"/>
            <w:tcBorders>
              <w:top w:val="nil"/>
              <w:left w:val="nil"/>
              <w:bottom w:val="single" w:sz="4" w:space="0" w:color="auto"/>
              <w:right w:val="single" w:sz="4" w:space="0" w:color="auto"/>
            </w:tcBorders>
            <w:shd w:val="clear" w:color="auto" w:fill="auto"/>
            <w:noWrap/>
            <w:vAlign w:val="center"/>
            <w:hideMark/>
          </w:tcPr>
          <w:p w14:paraId="661D24F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585</w:t>
            </w:r>
          </w:p>
        </w:tc>
        <w:tc>
          <w:tcPr>
            <w:tcW w:w="429" w:type="dxa"/>
            <w:tcBorders>
              <w:top w:val="nil"/>
              <w:left w:val="nil"/>
              <w:bottom w:val="single" w:sz="4" w:space="0" w:color="auto"/>
              <w:right w:val="single" w:sz="4" w:space="0" w:color="auto"/>
            </w:tcBorders>
            <w:shd w:val="clear" w:color="auto" w:fill="auto"/>
            <w:noWrap/>
            <w:vAlign w:val="center"/>
            <w:hideMark/>
          </w:tcPr>
          <w:p w14:paraId="071F969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600</w:t>
            </w:r>
          </w:p>
        </w:tc>
        <w:tc>
          <w:tcPr>
            <w:tcW w:w="429" w:type="dxa"/>
            <w:tcBorders>
              <w:top w:val="nil"/>
              <w:left w:val="nil"/>
              <w:bottom w:val="single" w:sz="4" w:space="0" w:color="auto"/>
              <w:right w:val="single" w:sz="4" w:space="0" w:color="auto"/>
            </w:tcBorders>
            <w:shd w:val="clear" w:color="auto" w:fill="auto"/>
            <w:noWrap/>
            <w:vAlign w:val="center"/>
            <w:hideMark/>
          </w:tcPr>
          <w:p w14:paraId="61E19CB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614</w:t>
            </w:r>
          </w:p>
        </w:tc>
        <w:tc>
          <w:tcPr>
            <w:tcW w:w="429" w:type="dxa"/>
            <w:tcBorders>
              <w:top w:val="nil"/>
              <w:left w:val="nil"/>
              <w:bottom w:val="single" w:sz="4" w:space="0" w:color="auto"/>
              <w:right w:val="single" w:sz="4" w:space="0" w:color="auto"/>
            </w:tcBorders>
            <w:shd w:val="clear" w:color="auto" w:fill="auto"/>
            <w:noWrap/>
            <w:vAlign w:val="center"/>
            <w:hideMark/>
          </w:tcPr>
          <w:p w14:paraId="2745DB3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627</w:t>
            </w:r>
          </w:p>
        </w:tc>
        <w:tc>
          <w:tcPr>
            <w:tcW w:w="429" w:type="dxa"/>
            <w:tcBorders>
              <w:top w:val="nil"/>
              <w:left w:val="nil"/>
              <w:bottom w:val="single" w:sz="4" w:space="0" w:color="auto"/>
              <w:right w:val="single" w:sz="4" w:space="0" w:color="auto"/>
            </w:tcBorders>
            <w:shd w:val="clear" w:color="auto" w:fill="auto"/>
            <w:noWrap/>
            <w:vAlign w:val="center"/>
            <w:hideMark/>
          </w:tcPr>
          <w:p w14:paraId="3DF8AD4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640</w:t>
            </w:r>
          </w:p>
        </w:tc>
        <w:tc>
          <w:tcPr>
            <w:tcW w:w="429" w:type="dxa"/>
            <w:tcBorders>
              <w:top w:val="nil"/>
              <w:left w:val="nil"/>
              <w:bottom w:val="single" w:sz="4" w:space="0" w:color="auto"/>
              <w:right w:val="single" w:sz="4" w:space="0" w:color="auto"/>
            </w:tcBorders>
            <w:shd w:val="clear" w:color="auto" w:fill="auto"/>
            <w:noWrap/>
            <w:vAlign w:val="center"/>
            <w:hideMark/>
          </w:tcPr>
          <w:p w14:paraId="081CF2F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652</w:t>
            </w:r>
          </w:p>
        </w:tc>
        <w:tc>
          <w:tcPr>
            <w:tcW w:w="429" w:type="dxa"/>
            <w:tcBorders>
              <w:top w:val="nil"/>
              <w:left w:val="nil"/>
              <w:bottom w:val="single" w:sz="4" w:space="0" w:color="auto"/>
              <w:right w:val="single" w:sz="4" w:space="0" w:color="auto"/>
            </w:tcBorders>
            <w:shd w:val="clear" w:color="auto" w:fill="auto"/>
            <w:noWrap/>
            <w:vAlign w:val="center"/>
            <w:hideMark/>
          </w:tcPr>
          <w:p w14:paraId="59A088C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664</w:t>
            </w:r>
          </w:p>
        </w:tc>
        <w:tc>
          <w:tcPr>
            <w:tcW w:w="429" w:type="dxa"/>
            <w:tcBorders>
              <w:top w:val="nil"/>
              <w:left w:val="nil"/>
              <w:bottom w:val="single" w:sz="4" w:space="0" w:color="auto"/>
              <w:right w:val="single" w:sz="4" w:space="0" w:color="auto"/>
            </w:tcBorders>
            <w:shd w:val="clear" w:color="auto" w:fill="auto"/>
            <w:noWrap/>
            <w:vAlign w:val="center"/>
            <w:hideMark/>
          </w:tcPr>
          <w:p w14:paraId="7EAB03F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676</w:t>
            </w:r>
          </w:p>
        </w:tc>
        <w:tc>
          <w:tcPr>
            <w:tcW w:w="429" w:type="dxa"/>
            <w:tcBorders>
              <w:top w:val="nil"/>
              <w:left w:val="nil"/>
              <w:bottom w:val="single" w:sz="4" w:space="0" w:color="auto"/>
              <w:right w:val="single" w:sz="4" w:space="0" w:color="auto"/>
            </w:tcBorders>
            <w:shd w:val="clear" w:color="auto" w:fill="auto"/>
            <w:noWrap/>
            <w:vAlign w:val="center"/>
            <w:hideMark/>
          </w:tcPr>
          <w:p w14:paraId="01C503B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687</w:t>
            </w:r>
          </w:p>
        </w:tc>
        <w:tc>
          <w:tcPr>
            <w:tcW w:w="429" w:type="dxa"/>
            <w:tcBorders>
              <w:top w:val="nil"/>
              <w:left w:val="nil"/>
              <w:bottom w:val="single" w:sz="4" w:space="0" w:color="auto"/>
              <w:right w:val="single" w:sz="4" w:space="0" w:color="auto"/>
            </w:tcBorders>
            <w:shd w:val="clear" w:color="auto" w:fill="auto"/>
            <w:noWrap/>
            <w:vAlign w:val="center"/>
            <w:hideMark/>
          </w:tcPr>
          <w:p w14:paraId="7E2D22D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698</w:t>
            </w:r>
          </w:p>
        </w:tc>
        <w:tc>
          <w:tcPr>
            <w:tcW w:w="429" w:type="dxa"/>
            <w:tcBorders>
              <w:top w:val="nil"/>
              <w:left w:val="nil"/>
              <w:bottom w:val="single" w:sz="4" w:space="0" w:color="auto"/>
              <w:right w:val="single" w:sz="4" w:space="0" w:color="auto"/>
            </w:tcBorders>
            <w:shd w:val="clear" w:color="auto" w:fill="auto"/>
            <w:noWrap/>
            <w:vAlign w:val="center"/>
            <w:hideMark/>
          </w:tcPr>
          <w:p w14:paraId="249E0F9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708</w:t>
            </w:r>
          </w:p>
        </w:tc>
        <w:tc>
          <w:tcPr>
            <w:tcW w:w="429" w:type="dxa"/>
            <w:tcBorders>
              <w:top w:val="nil"/>
              <w:left w:val="nil"/>
              <w:bottom w:val="single" w:sz="4" w:space="0" w:color="auto"/>
              <w:right w:val="single" w:sz="4" w:space="0" w:color="auto"/>
            </w:tcBorders>
            <w:shd w:val="clear" w:color="auto" w:fill="auto"/>
            <w:noWrap/>
            <w:vAlign w:val="center"/>
            <w:hideMark/>
          </w:tcPr>
          <w:p w14:paraId="5EC7CB1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718</w:t>
            </w:r>
          </w:p>
        </w:tc>
        <w:tc>
          <w:tcPr>
            <w:tcW w:w="429" w:type="dxa"/>
            <w:tcBorders>
              <w:top w:val="nil"/>
              <w:left w:val="nil"/>
              <w:bottom w:val="single" w:sz="4" w:space="0" w:color="auto"/>
              <w:right w:val="single" w:sz="4" w:space="0" w:color="auto"/>
            </w:tcBorders>
            <w:shd w:val="clear" w:color="auto" w:fill="auto"/>
            <w:noWrap/>
            <w:vAlign w:val="center"/>
            <w:hideMark/>
          </w:tcPr>
          <w:p w14:paraId="31C84CD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728</w:t>
            </w:r>
          </w:p>
        </w:tc>
        <w:tc>
          <w:tcPr>
            <w:tcW w:w="429" w:type="dxa"/>
            <w:tcBorders>
              <w:top w:val="nil"/>
              <w:left w:val="nil"/>
              <w:bottom w:val="single" w:sz="4" w:space="0" w:color="auto"/>
              <w:right w:val="single" w:sz="4" w:space="0" w:color="auto"/>
            </w:tcBorders>
            <w:shd w:val="clear" w:color="auto" w:fill="auto"/>
            <w:noWrap/>
            <w:vAlign w:val="center"/>
            <w:hideMark/>
          </w:tcPr>
          <w:p w14:paraId="6C3983A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738</w:t>
            </w:r>
          </w:p>
        </w:tc>
        <w:tc>
          <w:tcPr>
            <w:tcW w:w="429" w:type="dxa"/>
            <w:tcBorders>
              <w:top w:val="nil"/>
              <w:left w:val="nil"/>
              <w:bottom w:val="single" w:sz="4" w:space="0" w:color="auto"/>
              <w:right w:val="single" w:sz="4" w:space="0" w:color="auto"/>
            </w:tcBorders>
            <w:shd w:val="clear" w:color="auto" w:fill="auto"/>
            <w:noWrap/>
            <w:vAlign w:val="center"/>
            <w:hideMark/>
          </w:tcPr>
          <w:p w14:paraId="757BFDB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747</w:t>
            </w:r>
          </w:p>
        </w:tc>
        <w:tc>
          <w:tcPr>
            <w:tcW w:w="429" w:type="dxa"/>
            <w:tcBorders>
              <w:top w:val="nil"/>
              <w:left w:val="nil"/>
              <w:bottom w:val="single" w:sz="4" w:space="0" w:color="auto"/>
              <w:right w:val="single" w:sz="4" w:space="0" w:color="auto"/>
            </w:tcBorders>
            <w:shd w:val="clear" w:color="auto" w:fill="auto"/>
            <w:noWrap/>
            <w:vAlign w:val="center"/>
            <w:hideMark/>
          </w:tcPr>
          <w:p w14:paraId="30C27A3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756</w:t>
            </w:r>
          </w:p>
        </w:tc>
        <w:tc>
          <w:tcPr>
            <w:tcW w:w="429" w:type="dxa"/>
            <w:tcBorders>
              <w:top w:val="nil"/>
              <w:left w:val="nil"/>
              <w:bottom w:val="single" w:sz="4" w:space="0" w:color="auto"/>
              <w:right w:val="single" w:sz="4" w:space="0" w:color="auto"/>
            </w:tcBorders>
            <w:shd w:val="clear" w:color="auto" w:fill="auto"/>
            <w:noWrap/>
            <w:vAlign w:val="center"/>
            <w:hideMark/>
          </w:tcPr>
          <w:p w14:paraId="2FD6F36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765</w:t>
            </w:r>
          </w:p>
        </w:tc>
        <w:tc>
          <w:tcPr>
            <w:tcW w:w="429" w:type="dxa"/>
            <w:tcBorders>
              <w:top w:val="nil"/>
              <w:left w:val="nil"/>
              <w:bottom w:val="single" w:sz="4" w:space="0" w:color="auto"/>
              <w:right w:val="single" w:sz="4" w:space="0" w:color="auto"/>
            </w:tcBorders>
            <w:shd w:val="clear" w:color="auto" w:fill="auto"/>
            <w:noWrap/>
            <w:vAlign w:val="center"/>
            <w:hideMark/>
          </w:tcPr>
          <w:p w14:paraId="6445BB4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774</w:t>
            </w:r>
          </w:p>
        </w:tc>
      </w:tr>
      <w:tr w:rsidR="00F75183" w:rsidRPr="00B85017" w14:paraId="4FB4C797"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45255C55"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4553F621"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580</w:t>
            </w:r>
          </w:p>
        </w:tc>
        <w:tc>
          <w:tcPr>
            <w:tcW w:w="429" w:type="dxa"/>
            <w:tcBorders>
              <w:top w:val="nil"/>
              <w:left w:val="nil"/>
              <w:bottom w:val="single" w:sz="4" w:space="0" w:color="auto"/>
              <w:right w:val="single" w:sz="4" w:space="0" w:color="auto"/>
            </w:tcBorders>
            <w:shd w:val="clear" w:color="auto" w:fill="auto"/>
            <w:noWrap/>
            <w:vAlign w:val="center"/>
            <w:hideMark/>
          </w:tcPr>
          <w:p w14:paraId="4116343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527</w:t>
            </w:r>
          </w:p>
        </w:tc>
        <w:tc>
          <w:tcPr>
            <w:tcW w:w="429" w:type="dxa"/>
            <w:tcBorders>
              <w:top w:val="nil"/>
              <w:left w:val="nil"/>
              <w:bottom w:val="single" w:sz="4" w:space="0" w:color="auto"/>
              <w:right w:val="single" w:sz="4" w:space="0" w:color="auto"/>
            </w:tcBorders>
            <w:shd w:val="clear" w:color="auto" w:fill="auto"/>
            <w:noWrap/>
            <w:vAlign w:val="center"/>
            <w:hideMark/>
          </w:tcPr>
          <w:p w14:paraId="0BDF09B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546</w:t>
            </w:r>
          </w:p>
        </w:tc>
        <w:tc>
          <w:tcPr>
            <w:tcW w:w="429" w:type="dxa"/>
            <w:tcBorders>
              <w:top w:val="nil"/>
              <w:left w:val="nil"/>
              <w:bottom w:val="single" w:sz="4" w:space="0" w:color="auto"/>
              <w:right w:val="single" w:sz="4" w:space="0" w:color="auto"/>
            </w:tcBorders>
            <w:shd w:val="clear" w:color="auto" w:fill="auto"/>
            <w:noWrap/>
            <w:vAlign w:val="center"/>
            <w:hideMark/>
          </w:tcPr>
          <w:p w14:paraId="0684672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563</w:t>
            </w:r>
          </w:p>
        </w:tc>
        <w:tc>
          <w:tcPr>
            <w:tcW w:w="429" w:type="dxa"/>
            <w:tcBorders>
              <w:top w:val="nil"/>
              <w:left w:val="nil"/>
              <w:bottom w:val="single" w:sz="4" w:space="0" w:color="auto"/>
              <w:right w:val="single" w:sz="4" w:space="0" w:color="auto"/>
            </w:tcBorders>
            <w:shd w:val="clear" w:color="auto" w:fill="auto"/>
            <w:noWrap/>
            <w:vAlign w:val="center"/>
            <w:hideMark/>
          </w:tcPr>
          <w:p w14:paraId="207538E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580</w:t>
            </w:r>
          </w:p>
        </w:tc>
        <w:tc>
          <w:tcPr>
            <w:tcW w:w="429" w:type="dxa"/>
            <w:tcBorders>
              <w:top w:val="nil"/>
              <w:left w:val="nil"/>
              <w:bottom w:val="single" w:sz="4" w:space="0" w:color="auto"/>
              <w:right w:val="single" w:sz="4" w:space="0" w:color="auto"/>
            </w:tcBorders>
            <w:shd w:val="clear" w:color="auto" w:fill="auto"/>
            <w:noWrap/>
            <w:vAlign w:val="center"/>
            <w:hideMark/>
          </w:tcPr>
          <w:p w14:paraId="4C15B11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596</w:t>
            </w:r>
          </w:p>
        </w:tc>
        <w:tc>
          <w:tcPr>
            <w:tcW w:w="429" w:type="dxa"/>
            <w:tcBorders>
              <w:top w:val="nil"/>
              <w:left w:val="nil"/>
              <w:bottom w:val="single" w:sz="4" w:space="0" w:color="auto"/>
              <w:right w:val="single" w:sz="4" w:space="0" w:color="auto"/>
            </w:tcBorders>
            <w:shd w:val="clear" w:color="auto" w:fill="auto"/>
            <w:noWrap/>
            <w:vAlign w:val="center"/>
            <w:hideMark/>
          </w:tcPr>
          <w:p w14:paraId="7736B24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611</w:t>
            </w:r>
          </w:p>
        </w:tc>
        <w:tc>
          <w:tcPr>
            <w:tcW w:w="429" w:type="dxa"/>
            <w:tcBorders>
              <w:top w:val="nil"/>
              <w:left w:val="nil"/>
              <w:bottom w:val="single" w:sz="4" w:space="0" w:color="auto"/>
              <w:right w:val="single" w:sz="4" w:space="0" w:color="auto"/>
            </w:tcBorders>
            <w:shd w:val="clear" w:color="auto" w:fill="auto"/>
            <w:noWrap/>
            <w:vAlign w:val="center"/>
            <w:hideMark/>
          </w:tcPr>
          <w:p w14:paraId="0861B36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625</w:t>
            </w:r>
          </w:p>
        </w:tc>
        <w:tc>
          <w:tcPr>
            <w:tcW w:w="429" w:type="dxa"/>
            <w:tcBorders>
              <w:top w:val="nil"/>
              <w:left w:val="nil"/>
              <w:bottom w:val="single" w:sz="4" w:space="0" w:color="auto"/>
              <w:right w:val="single" w:sz="4" w:space="0" w:color="auto"/>
            </w:tcBorders>
            <w:shd w:val="clear" w:color="auto" w:fill="auto"/>
            <w:noWrap/>
            <w:vAlign w:val="center"/>
            <w:hideMark/>
          </w:tcPr>
          <w:p w14:paraId="272CEC1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638</w:t>
            </w:r>
          </w:p>
        </w:tc>
        <w:tc>
          <w:tcPr>
            <w:tcW w:w="429" w:type="dxa"/>
            <w:tcBorders>
              <w:top w:val="nil"/>
              <w:left w:val="nil"/>
              <w:bottom w:val="single" w:sz="4" w:space="0" w:color="auto"/>
              <w:right w:val="single" w:sz="4" w:space="0" w:color="auto"/>
            </w:tcBorders>
            <w:shd w:val="clear" w:color="auto" w:fill="auto"/>
            <w:noWrap/>
            <w:vAlign w:val="center"/>
            <w:hideMark/>
          </w:tcPr>
          <w:p w14:paraId="016AB8A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651</w:t>
            </w:r>
          </w:p>
        </w:tc>
        <w:tc>
          <w:tcPr>
            <w:tcW w:w="429" w:type="dxa"/>
            <w:tcBorders>
              <w:top w:val="nil"/>
              <w:left w:val="nil"/>
              <w:bottom w:val="single" w:sz="4" w:space="0" w:color="auto"/>
              <w:right w:val="single" w:sz="4" w:space="0" w:color="auto"/>
            </w:tcBorders>
            <w:shd w:val="clear" w:color="auto" w:fill="auto"/>
            <w:noWrap/>
            <w:vAlign w:val="center"/>
            <w:hideMark/>
          </w:tcPr>
          <w:p w14:paraId="763AA74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664</w:t>
            </w:r>
          </w:p>
        </w:tc>
        <w:tc>
          <w:tcPr>
            <w:tcW w:w="429" w:type="dxa"/>
            <w:tcBorders>
              <w:top w:val="nil"/>
              <w:left w:val="nil"/>
              <w:bottom w:val="single" w:sz="4" w:space="0" w:color="auto"/>
              <w:right w:val="single" w:sz="4" w:space="0" w:color="auto"/>
            </w:tcBorders>
            <w:shd w:val="clear" w:color="auto" w:fill="auto"/>
            <w:noWrap/>
            <w:vAlign w:val="center"/>
            <w:hideMark/>
          </w:tcPr>
          <w:p w14:paraId="433002A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676</w:t>
            </w:r>
          </w:p>
        </w:tc>
        <w:tc>
          <w:tcPr>
            <w:tcW w:w="429" w:type="dxa"/>
            <w:tcBorders>
              <w:top w:val="nil"/>
              <w:left w:val="nil"/>
              <w:bottom w:val="single" w:sz="4" w:space="0" w:color="auto"/>
              <w:right w:val="single" w:sz="4" w:space="0" w:color="auto"/>
            </w:tcBorders>
            <w:shd w:val="clear" w:color="auto" w:fill="auto"/>
            <w:noWrap/>
            <w:vAlign w:val="center"/>
            <w:hideMark/>
          </w:tcPr>
          <w:p w14:paraId="23E24DA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688</w:t>
            </w:r>
          </w:p>
        </w:tc>
        <w:tc>
          <w:tcPr>
            <w:tcW w:w="429" w:type="dxa"/>
            <w:tcBorders>
              <w:top w:val="nil"/>
              <w:left w:val="nil"/>
              <w:bottom w:val="single" w:sz="4" w:space="0" w:color="auto"/>
              <w:right w:val="single" w:sz="4" w:space="0" w:color="auto"/>
            </w:tcBorders>
            <w:shd w:val="clear" w:color="auto" w:fill="auto"/>
            <w:noWrap/>
            <w:vAlign w:val="center"/>
            <w:hideMark/>
          </w:tcPr>
          <w:p w14:paraId="3BC9039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699</w:t>
            </w:r>
          </w:p>
        </w:tc>
        <w:tc>
          <w:tcPr>
            <w:tcW w:w="429" w:type="dxa"/>
            <w:tcBorders>
              <w:top w:val="nil"/>
              <w:left w:val="nil"/>
              <w:bottom w:val="single" w:sz="4" w:space="0" w:color="auto"/>
              <w:right w:val="single" w:sz="4" w:space="0" w:color="auto"/>
            </w:tcBorders>
            <w:shd w:val="clear" w:color="auto" w:fill="auto"/>
            <w:noWrap/>
            <w:vAlign w:val="center"/>
            <w:hideMark/>
          </w:tcPr>
          <w:p w14:paraId="299B7320"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710</w:t>
            </w:r>
          </w:p>
        </w:tc>
        <w:tc>
          <w:tcPr>
            <w:tcW w:w="429" w:type="dxa"/>
            <w:tcBorders>
              <w:top w:val="nil"/>
              <w:left w:val="nil"/>
              <w:bottom w:val="single" w:sz="4" w:space="0" w:color="auto"/>
              <w:right w:val="single" w:sz="4" w:space="0" w:color="auto"/>
            </w:tcBorders>
            <w:shd w:val="clear" w:color="auto" w:fill="auto"/>
            <w:noWrap/>
            <w:vAlign w:val="center"/>
            <w:hideMark/>
          </w:tcPr>
          <w:p w14:paraId="4B9C601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720</w:t>
            </w:r>
          </w:p>
        </w:tc>
        <w:tc>
          <w:tcPr>
            <w:tcW w:w="429" w:type="dxa"/>
            <w:tcBorders>
              <w:top w:val="nil"/>
              <w:left w:val="nil"/>
              <w:bottom w:val="single" w:sz="4" w:space="0" w:color="auto"/>
              <w:right w:val="single" w:sz="4" w:space="0" w:color="auto"/>
            </w:tcBorders>
            <w:shd w:val="clear" w:color="auto" w:fill="auto"/>
            <w:noWrap/>
            <w:vAlign w:val="center"/>
            <w:hideMark/>
          </w:tcPr>
          <w:p w14:paraId="491F983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731</w:t>
            </w:r>
          </w:p>
        </w:tc>
        <w:tc>
          <w:tcPr>
            <w:tcW w:w="429" w:type="dxa"/>
            <w:tcBorders>
              <w:top w:val="nil"/>
              <w:left w:val="nil"/>
              <w:bottom w:val="single" w:sz="4" w:space="0" w:color="auto"/>
              <w:right w:val="single" w:sz="4" w:space="0" w:color="auto"/>
            </w:tcBorders>
            <w:shd w:val="clear" w:color="auto" w:fill="auto"/>
            <w:noWrap/>
            <w:vAlign w:val="center"/>
            <w:hideMark/>
          </w:tcPr>
          <w:p w14:paraId="5C20515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741</w:t>
            </w:r>
          </w:p>
        </w:tc>
        <w:tc>
          <w:tcPr>
            <w:tcW w:w="429" w:type="dxa"/>
            <w:tcBorders>
              <w:top w:val="nil"/>
              <w:left w:val="nil"/>
              <w:bottom w:val="single" w:sz="4" w:space="0" w:color="auto"/>
              <w:right w:val="single" w:sz="4" w:space="0" w:color="auto"/>
            </w:tcBorders>
            <w:shd w:val="clear" w:color="auto" w:fill="auto"/>
            <w:noWrap/>
            <w:vAlign w:val="center"/>
            <w:hideMark/>
          </w:tcPr>
          <w:p w14:paraId="5EDDA07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751</w:t>
            </w:r>
          </w:p>
        </w:tc>
        <w:tc>
          <w:tcPr>
            <w:tcW w:w="429" w:type="dxa"/>
            <w:tcBorders>
              <w:top w:val="nil"/>
              <w:left w:val="nil"/>
              <w:bottom w:val="single" w:sz="4" w:space="0" w:color="auto"/>
              <w:right w:val="single" w:sz="4" w:space="0" w:color="auto"/>
            </w:tcBorders>
            <w:shd w:val="clear" w:color="auto" w:fill="auto"/>
            <w:noWrap/>
            <w:vAlign w:val="center"/>
            <w:hideMark/>
          </w:tcPr>
          <w:p w14:paraId="7761ECF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760</w:t>
            </w:r>
          </w:p>
        </w:tc>
        <w:tc>
          <w:tcPr>
            <w:tcW w:w="429" w:type="dxa"/>
            <w:tcBorders>
              <w:top w:val="nil"/>
              <w:left w:val="nil"/>
              <w:bottom w:val="single" w:sz="4" w:space="0" w:color="auto"/>
              <w:right w:val="single" w:sz="4" w:space="0" w:color="auto"/>
            </w:tcBorders>
            <w:shd w:val="clear" w:color="auto" w:fill="auto"/>
            <w:noWrap/>
            <w:vAlign w:val="center"/>
            <w:hideMark/>
          </w:tcPr>
          <w:p w14:paraId="02CCA39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769</w:t>
            </w:r>
          </w:p>
        </w:tc>
        <w:tc>
          <w:tcPr>
            <w:tcW w:w="429" w:type="dxa"/>
            <w:tcBorders>
              <w:top w:val="nil"/>
              <w:left w:val="nil"/>
              <w:bottom w:val="single" w:sz="4" w:space="0" w:color="auto"/>
              <w:right w:val="single" w:sz="4" w:space="0" w:color="auto"/>
            </w:tcBorders>
            <w:shd w:val="clear" w:color="auto" w:fill="auto"/>
            <w:noWrap/>
            <w:vAlign w:val="center"/>
            <w:hideMark/>
          </w:tcPr>
          <w:p w14:paraId="7FAD767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778</w:t>
            </w:r>
          </w:p>
        </w:tc>
        <w:tc>
          <w:tcPr>
            <w:tcW w:w="429" w:type="dxa"/>
            <w:tcBorders>
              <w:top w:val="nil"/>
              <w:left w:val="nil"/>
              <w:bottom w:val="single" w:sz="4" w:space="0" w:color="auto"/>
              <w:right w:val="single" w:sz="4" w:space="0" w:color="auto"/>
            </w:tcBorders>
            <w:shd w:val="clear" w:color="auto" w:fill="auto"/>
            <w:noWrap/>
            <w:vAlign w:val="center"/>
            <w:hideMark/>
          </w:tcPr>
          <w:p w14:paraId="3CA637B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787</w:t>
            </w:r>
          </w:p>
        </w:tc>
      </w:tr>
      <w:tr w:rsidR="00F75183" w:rsidRPr="00B85017" w14:paraId="0179D396"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6559D0B5"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41A89C53"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590</w:t>
            </w:r>
          </w:p>
        </w:tc>
        <w:tc>
          <w:tcPr>
            <w:tcW w:w="429" w:type="dxa"/>
            <w:tcBorders>
              <w:top w:val="nil"/>
              <w:left w:val="nil"/>
              <w:bottom w:val="single" w:sz="4" w:space="0" w:color="auto"/>
              <w:right w:val="single" w:sz="4" w:space="0" w:color="auto"/>
            </w:tcBorders>
            <w:shd w:val="clear" w:color="auto" w:fill="auto"/>
            <w:noWrap/>
            <w:vAlign w:val="center"/>
            <w:hideMark/>
          </w:tcPr>
          <w:p w14:paraId="7C81FD8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536</w:t>
            </w:r>
          </w:p>
        </w:tc>
        <w:tc>
          <w:tcPr>
            <w:tcW w:w="429" w:type="dxa"/>
            <w:tcBorders>
              <w:top w:val="nil"/>
              <w:left w:val="nil"/>
              <w:bottom w:val="single" w:sz="4" w:space="0" w:color="auto"/>
              <w:right w:val="single" w:sz="4" w:space="0" w:color="auto"/>
            </w:tcBorders>
            <w:shd w:val="clear" w:color="auto" w:fill="auto"/>
            <w:noWrap/>
            <w:vAlign w:val="center"/>
            <w:hideMark/>
          </w:tcPr>
          <w:p w14:paraId="21E935E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555</w:t>
            </w:r>
          </w:p>
        </w:tc>
        <w:tc>
          <w:tcPr>
            <w:tcW w:w="429" w:type="dxa"/>
            <w:tcBorders>
              <w:top w:val="nil"/>
              <w:left w:val="nil"/>
              <w:bottom w:val="single" w:sz="4" w:space="0" w:color="auto"/>
              <w:right w:val="single" w:sz="4" w:space="0" w:color="auto"/>
            </w:tcBorders>
            <w:shd w:val="clear" w:color="auto" w:fill="auto"/>
            <w:noWrap/>
            <w:vAlign w:val="center"/>
            <w:hideMark/>
          </w:tcPr>
          <w:p w14:paraId="0AC4FE5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573</w:t>
            </w:r>
          </w:p>
        </w:tc>
        <w:tc>
          <w:tcPr>
            <w:tcW w:w="429" w:type="dxa"/>
            <w:tcBorders>
              <w:top w:val="nil"/>
              <w:left w:val="nil"/>
              <w:bottom w:val="single" w:sz="4" w:space="0" w:color="auto"/>
              <w:right w:val="single" w:sz="4" w:space="0" w:color="auto"/>
            </w:tcBorders>
            <w:shd w:val="clear" w:color="auto" w:fill="auto"/>
            <w:noWrap/>
            <w:vAlign w:val="center"/>
            <w:hideMark/>
          </w:tcPr>
          <w:p w14:paraId="425DFDE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590</w:t>
            </w:r>
          </w:p>
        </w:tc>
        <w:tc>
          <w:tcPr>
            <w:tcW w:w="429" w:type="dxa"/>
            <w:tcBorders>
              <w:top w:val="nil"/>
              <w:left w:val="nil"/>
              <w:bottom w:val="single" w:sz="4" w:space="0" w:color="auto"/>
              <w:right w:val="single" w:sz="4" w:space="0" w:color="auto"/>
            </w:tcBorders>
            <w:shd w:val="clear" w:color="auto" w:fill="auto"/>
            <w:noWrap/>
            <w:vAlign w:val="center"/>
            <w:hideMark/>
          </w:tcPr>
          <w:p w14:paraId="2AE2B73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606</w:t>
            </w:r>
          </w:p>
        </w:tc>
        <w:tc>
          <w:tcPr>
            <w:tcW w:w="429" w:type="dxa"/>
            <w:tcBorders>
              <w:top w:val="nil"/>
              <w:left w:val="nil"/>
              <w:bottom w:val="single" w:sz="4" w:space="0" w:color="auto"/>
              <w:right w:val="single" w:sz="4" w:space="0" w:color="auto"/>
            </w:tcBorders>
            <w:shd w:val="clear" w:color="auto" w:fill="auto"/>
            <w:noWrap/>
            <w:vAlign w:val="center"/>
            <w:hideMark/>
          </w:tcPr>
          <w:p w14:paraId="569BEEE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621</w:t>
            </w:r>
          </w:p>
        </w:tc>
        <w:tc>
          <w:tcPr>
            <w:tcW w:w="429" w:type="dxa"/>
            <w:tcBorders>
              <w:top w:val="nil"/>
              <w:left w:val="nil"/>
              <w:bottom w:val="single" w:sz="4" w:space="0" w:color="auto"/>
              <w:right w:val="single" w:sz="4" w:space="0" w:color="auto"/>
            </w:tcBorders>
            <w:shd w:val="clear" w:color="auto" w:fill="auto"/>
            <w:noWrap/>
            <w:vAlign w:val="center"/>
            <w:hideMark/>
          </w:tcPr>
          <w:p w14:paraId="3729150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636</w:t>
            </w:r>
          </w:p>
        </w:tc>
        <w:tc>
          <w:tcPr>
            <w:tcW w:w="429" w:type="dxa"/>
            <w:tcBorders>
              <w:top w:val="nil"/>
              <w:left w:val="nil"/>
              <w:bottom w:val="single" w:sz="4" w:space="0" w:color="auto"/>
              <w:right w:val="single" w:sz="4" w:space="0" w:color="auto"/>
            </w:tcBorders>
            <w:shd w:val="clear" w:color="auto" w:fill="auto"/>
            <w:noWrap/>
            <w:vAlign w:val="center"/>
            <w:hideMark/>
          </w:tcPr>
          <w:p w14:paraId="3E18396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649</w:t>
            </w:r>
          </w:p>
        </w:tc>
        <w:tc>
          <w:tcPr>
            <w:tcW w:w="429" w:type="dxa"/>
            <w:tcBorders>
              <w:top w:val="nil"/>
              <w:left w:val="nil"/>
              <w:bottom w:val="single" w:sz="4" w:space="0" w:color="auto"/>
              <w:right w:val="single" w:sz="4" w:space="0" w:color="auto"/>
            </w:tcBorders>
            <w:shd w:val="clear" w:color="auto" w:fill="auto"/>
            <w:noWrap/>
            <w:vAlign w:val="center"/>
            <w:hideMark/>
          </w:tcPr>
          <w:p w14:paraId="425E32E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663</w:t>
            </w:r>
          </w:p>
        </w:tc>
        <w:tc>
          <w:tcPr>
            <w:tcW w:w="429" w:type="dxa"/>
            <w:tcBorders>
              <w:top w:val="nil"/>
              <w:left w:val="nil"/>
              <w:bottom w:val="single" w:sz="4" w:space="0" w:color="auto"/>
              <w:right w:val="single" w:sz="4" w:space="0" w:color="auto"/>
            </w:tcBorders>
            <w:shd w:val="clear" w:color="auto" w:fill="auto"/>
            <w:noWrap/>
            <w:vAlign w:val="center"/>
            <w:hideMark/>
          </w:tcPr>
          <w:p w14:paraId="32D39AA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675</w:t>
            </w:r>
          </w:p>
        </w:tc>
        <w:tc>
          <w:tcPr>
            <w:tcW w:w="429" w:type="dxa"/>
            <w:tcBorders>
              <w:top w:val="nil"/>
              <w:left w:val="nil"/>
              <w:bottom w:val="single" w:sz="4" w:space="0" w:color="auto"/>
              <w:right w:val="single" w:sz="4" w:space="0" w:color="auto"/>
            </w:tcBorders>
            <w:shd w:val="clear" w:color="auto" w:fill="auto"/>
            <w:noWrap/>
            <w:vAlign w:val="center"/>
            <w:hideMark/>
          </w:tcPr>
          <w:p w14:paraId="7AE04D6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688</w:t>
            </w:r>
          </w:p>
        </w:tc>
        <w:tc>
          <w:tcPr>
            <w:tcW w:w="429" w:type="dxa"/>
            <w:tcBorders>
              <w:top w:val="nil"/>
              <w:left w:val="nil"/>
              <w:bottom w:val="single" w:sz="4" w:space="0" w:color="auto"/>
              <w:right w:val="single" w:sz="4" w:space="0" w:color="auto"/>
            </w:tcBorders>
            <w:shd w:val="clear" w:color="auto" w:fill="auto"/>
            <w:noWrap/>
            <w:vAlign w:val="center"/>
            <w:hideMark/>
          </w:tcPr>
          <w:p w14:paraId="0A077C9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700</w:t>
            </w:r>
          </w:p>
        </w:tc>
        <w:tc>
          <w:tcPr>
            <w:tcW w:w="429" w:type="dxa"/>
            <w:tcBorders>
              <w:top w:val="nil"/>
              <w:left w:val="nil"/>
              <w:bottom w:val="single" w:sz="4" w:space="0" w:color="auto"/>
              <w:right w:val="single" w:sz="4" w:space="0" w:color="auto"/>
            </w:tcBorders>
            <w:shd w:val="clear" w:color="auto" w:fill="auto"/>
            <w:noWrap/>
            <w:vAlign w:val="center"/>
            <w:hideMark/>
          </w:tcPr>
          <w:p w14:paraId="5C43314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711</w:t>
            </w:r>
          </w:p>
        </w:tc>
        <w:tc>
          <w:tcPr>
            <w:tcW w:w="429" w:type="dxa"/>
            <w:tcBorders>
              <w:top w:val="nil"/>
              <w:left w:val="nil"/>
              <w:bottom w:val="single" w:sz="4" w:space="0" w:color="auto"/>
              <w:right w:val="single" w:sz="4" w:space="0" w:color="auto"/>
            </w:tcBorders>
            <w:shd w:val="clear" w:color="auto" w:fill="auto"/>
            <w:noWrap/>
            <w:vAlign w:val="center"/>
            <w:hideMark/>
          </w:tcPr>
          <w:p w14:paraId="18C63FC5"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722</w:t>
            </w:r>
          </w:p>
        </w:tc>
        <w:tc>
          <w:tcPr>
            <w:tcW w:w="429" w:type="dxa"/>
            <w:tcBorders>
              <w:top w:val="nil"/>
              <w:left w:val="nil"/>
              <w:bottom w:val="single" w:sz="4" w:space="0" w:color="auto"/>
              <w:right w:val="single" w:sz="4" w:space="0" w:color="auto"/>
            </w:tcBorders>
            <w:shd w:val="clear" w:color="auto" w:fill="auto"/>
            <w:noWrap/>
            <w:vAlign w:val="center"/>
            <w:hideMark/>
          </w:tcPr>
          <w:p w14:paraId="08892D4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733</w:t>
            </w:r>
          </w:p>
        </w:tc>
        <w:tc>
          <w:tcPr>
            <w:tcW w:w="429" w:type="dxa"/>
            <w:tcBorders>
              <w:top w:val="nil"/>
              <w:left w:val="nil"/>
              <w:bottom w:val="single" w:sz="4" w:space="0" w:color="auto"/>
              <w:right w:val="single" w:sz="4" w:space="0" w:color="auto"/>
            </w:tcBorders>
            <w:shd w:val="clear" w:color="auto" w:fill="auto"/>
            <w:noWrap/>
            <w:vAlign w:val="center"/>
            <w:hideMark/>
          </w:tcPr>
          <w:p w14:paraId="119AC5E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743</w:t>
            </w:r>
          </w:p>
        </w:tc>
        <w:tc>
          <w:tcPr>
            <w:tcW w:w="429" w:type="dxa"/>
            <w:tcBorders>
              <w:top w:val="nil"/>
              <w:left w:val="nil"/>
              <w:bottom w:val="single" w:sz="4" w:space="0" w:color="auto"/>
              <w:right w:val="single" w:sz="4" w:space="0" w:color="auto"/>
            </w:tcBorders>
            <w:shd w:val="clear" w:color="auto" w:fill="auto"/>
            <w:noWrap/>
            <w:vAlign w:val="center"/>
            <w:hideMark/>
          </w:tcPr>
          <w:p w14:paraId="79A7D35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754</w:t>
            </w:r>
          </w:p>
        </w:tc>
        <w:tc>
          <w:tcPr>
            <w:tcW w:w="429" w:type="dxa"/>
            <w:tcBorders>
              <w:top w:val="nil"/>
              <w:left w:val="nil"/>
              <w:bottom w:val="single" w:sz="4" w:space="0" w:color="auto"/>
              <w:right w:val="single" w:sz="4" w:space="0" w:color="auto"/>
            </w:tcBorders>
            <w:shd w:val="clear" w:color="auto" w:fill="auto"/>
            <w:noWrap/>
            <w:vAlign w:val="center"/>
            <w:hideMark/>
          </w:tcPr>
          <w:p w14:paraId="36646E7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763</w:t>
            </w:r>
          </w:p>
        </w:tc>
        <w:tc>
          <w:tcPr>
            <w:tcW w:w="429" w:type="dxa"/>
            <w:tcBorders>
              <w:top w:val="nil"/>
              <w:left w:val="nil"/>
              <w:bottom w:val="single" w:sz="4" w:space="0" w:color="auto"/>
              <w:right w:val="single" w:sz="4" w:space="0" w:color="auto"/>
            </w:tcBorders>
            <w:shd w:val="clear" w:color="auto" w:fill="auto"/>
            <w:noWrap/>
            <w:vAlign w:val="center"/>
            <w:hideMark/>
          </w:tcPr>
          <w:p w14:paraId="45EE1FB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773</w:t>
            </w:r>
          </w:p>
        </w:tc>
        <w:tc>
          <w:tcPr>
            <w:tcW w:w="429" w:type="dxa"/>
            <w:tcBorders>
              <w:top w:val="nil"/>
              <w:left w:val="nil"/>
              <w:bottom w:val="single" w:sz="4" w:space="0" w:color="auto"/>
              <w:right w:val="single" w:sz="4" w:space="0" w:color="auto"/>
            </w:tcBorders>
            <w:shd w:val="clear" w:color="auto" w:fill="auto"/>
            <w:noWrap/>
            <w:vAlign w:val="center"/>
            <w:hideMark/>
          </w:tcPr>
          <w:p w14:paraId="5B42DB6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783</w:t>
            </w:r>
          </w:p>
        </w:tc>
        <w:tc>
          <w:tcPr>
            <w:tcW w:w="429" w:type="dxa"/>
            <w:tcBorders>
              <w:top w:val="nil"/>
              <w:left w:val="nil"/>
              <w:bottom w:val="single" w:sz="4" w:space="0" w:color="auto"/>
              <w:right w:val="single" w:sz="4" w:space="0" w:color="auto"/>
            </w:tcBorders>
            <w:shd w:val="clear" w:color="auto" w:fill="auto"/>
            <w:noWrap/>
            <w:vAlign w:val="center"/>
            <w:hideMark/>
          </w:tcPr>
          <w:p w14:paraId="2EE82CA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792</w:t>
            </w:r>
          </w:p>
        </w:tc>
        <w:tc>
          <w:tcPr>
            <w:tcW w:w="429" w:type="dxa"/>
            <w:tcBorders>
              <w:top w:val="nil"/>
              <w:left w:val="nil"/>
              <w:bottom w:val="single" w:sz="4" w:space="0" w:color="auto"/>
              <w:right w:val="single" w:sz="4" w:space="0" w:color="auto"/>
            </w:tcBorders>
            <w:shd w:val="clear" w:color="auto" w:fill="auto"/>
            <w:noWrap/>
            <w:vAlign w:val="center"/>
            <w:hideMark/>
          </w:tcPr>
          <w:p w14:paraId="1C04DC08"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801</w:t>
            </w:r>
          </w:p>
        </w:tc>
      </w:tr>
      <w:tr w:rsidR="00F75183" w:rsidRPr="00B85017" w14:paraId="178591D4" w14:textId="77777777" w:rsidTr="000A384C">
        <w:trPr>
          <w:trHeight w:val="199"/>
        </w:trPr>
        <w:tc>
          <w:tcPr>
            <w:tcW w:w="398" w:type="dxa"/>
            <w:vMerge/>
            <w:tcBorders>
              <w:top w:val="nil"/>
              <w:left w:val="single" w:sz="4" w:space="0" w:color="auto"/>
              <w:bottom w:val="single" w:sz="4" w:space="0" w:color="auto"/>
              <w:right w:val="single" w:sz="4" w:space="0" w:color="auto"/>
            </w:tcBorders>
            <w:vAlign w:val="center"/>
            <w:hideMark/>
          </w:tcPr>
          <w:p w14:paraId="39B6C934" w14:textId="77777777" w:rsidR="001C7A69" w:rsidRPr="00B85017" w:rsidRDefault="001C7A69" w:rsidP="000A384C">
            <w:pPr>
              <w:spacing w:before="0" w:after="0"/>
              <w:jc w:val="left"/>
              <w:rPr>
                <w:rFonts w:ascii="Calibri" w:eastAsia="Times New Roman" w:hAnsi="Calibri"/>
                <w:color w:val="000000" w:themeColor="text1"/>
                <w:sz w:val="14"/>
                <w:lang w:eastAsia="ko-KR"/>
              </w:rPr>
            </w:pPr>
          </w:p>
        </w:tc>
        <w:tc>
          <w:tcPr>
            <w:tcW w:w="450" w:type="dxa"/>
            <w:tcBorders>
              <w:top w:val="nil"/>
              <w:left w:val="nil"/>
              <w:bottom w:val="single" w:sz="4" w:space="0" w:color="auto"/>
              <w:right w:val="single" w:sz="4" w:space="0" w:color="auto"/>
            </w:tcBorders>
            <w:shd w:val="clear" w:color="auto" w:fill="auto"/>
            <w:noWrap/>
            <w:vAlign w:val="center"/>
            <w:hideMark/>
          </w:tcPr>
          <w:p w14:paraId="3451B412" w14:textId="77777777" w:rsidR="001C7A69" w:rsidRPr="00B85017" w:rsidRDefault="001C7A69" w:rsidP="000A384C">
            <w:pPr>
              <w:spacing w:before="0" w:after="0"/>
              <w:jc w:val="right"/>
              <w:rPr>
                <w:rFonts w:ascii="Calibri" w:eastAsia="Times New Roman" w:hAnsi="Calibri"/>
                <w:b/>
                <w:bCs/>
                <w:color w:val="000000" w:themeColor="text1"/>
                <w:sz w:val="14"/>
                <w:szCs w:val="14"/>
                <w:lang w:eastAsia="ko-KR"/>
              </w:rPr>
            </w:pPr>
            <w:r w:rsidRPr="00B85017">
              <w:rPr>
                <w:rFonts w:ascii="Calibri" w:eastAsia="Times New Roman" w:hAnsi="Calibri"/>
                <w:b/>
                <w:bCs/>
                <w:color w:val="000000" w:themeColor="text1"/>
                <w:sz w:val="14"/>
                <w:szCs w:val="14"/>
                <w:lang w:eastAsia="ko-KR"/>
              </w:rPr>
              <w:t>600</w:t>
            </w:r>
          </w:p>
        </w:tc>
        <w:tc>
          <w:tcPr>
            <w:tcW w:w="429" w:type="dxa"/>
            <w:tcBorders>
              <w:top w:val="nil"/>
              <w:left w:val="nil"/>
              <w:bottom w:val="single" w:sz="4" w:space="0" w:color="auto"/>
              <w:right w:val="single" w:sz="4" w:space="0" w:color="auto"/>
            </w:tcBorders>
            <w:shd w:val="clear" w:color="auto" w:fill="auto"/>
            <w:noWrap/>
            <w:vAlign w:val="center"/>
            <w:hideMark/>
          </w:tcPr>
          <w:p w14:paraId="3D75F639"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545</w:t>
            </w:r>
          </w:p>
        </w:tc>
        <w:tc>
          <w:tcPr>
            <w:tcW w:w="429" w:type="dxa"/>
            <w:tcBorders>
              <w:top w:val="nil"/>
              <w:left w:val="nil"/>
              <w:bottom w:val="single" w:sz="4" w:space="0" w:color="auto"/>
              <w:right w:val="single" w:sz="4" w:space="0" w:color="auto"/>
            </w:tcBorders>
            <w:shd w:val="clear" w:color="auto" w:fill="auto"/>
            <w:noWrap/>
            <w:vAlign w:val="center"/>
            <w:hideMark/>
          </w:tcPr>
          <w:p w14:paraId="7173C0D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565</w:t>
            </w:r>
          </w:p>
        </w:tc>
        <w:tc>
          <w:tcPr>
            <w:tcW w:w="429" w:type="dxa"/>
            <w:tcBorders>
              <w:top w:val="nil"/>
              <w:left w:val="nil"/>
              <w:bottom w:val="single" w:sz="4" w:space="0" w:color="auto"/>
              <w:right w:val="single" w:sz="4" w:space="0" w:color="auto"/>
            </w:tcBorders>
            <w:shd w:val="clear" w:color="auto" w:fill="auto"/>
            <w:noWrap/>
            <w:vAlign w:val="center"/>
            <w:hideMark/>
          </w:tcPr>
          <w:p w14:paraId="00B9298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583</w:t>
            </w:r>
          </w:p>
        </w:tc>
        <w:tc>
          <w:tcPr>
            <w:tcW w:w="429" w:type="dxa"/>
            <w:tcBorders>
              <w:top w:val="nil"/>
              <w:left w:val="nil"/>
              <w:bottom w:val="single" w:sz="4" w:space="0" w:color="auto"/>
              <w:right w:val="single" w:sz="4" w:space="0" w:color="auto"/>
            </w:tcBorders>
            <w:shd w:val="clear" w:color="auto" w:fill="auto"/>
            <w:noWrap/>
            <w:vAlign w:val="center"/>
            <w:hideMark/>
          </w:tcPr>
          <w:p w14:paraId="5A7A2562"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600</w:t>
            </w:r>
          </w:p>
        </w:tc>
        <w:tc>
          <w:tcPr>
            <w:tcW w:w="429" w:type="dxa"/>
            <w:tcBorders>
              <w:top w:val="nil"/>
              <w:left w:val="nil"/>
              <w:bottom w:val="single" w:sz="4" w:space="0" w:color="auto"/>
              <w:right w:val="single" w:sz="4" w:space="0" w:color="auto"/>
            </w:tcBorders>
            <w:shd w:val="clear" w:color="auto" w:fill="auto"/>
            <w:noWrap/>
            <w:vAlign w:val="center"/>
            <w:hideMark/>
          </w:tcPr>
          <w:p w14:paraId="1AF9138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616</w:t>
            </w:r>
          </w:p>
        </w:tc>
        <w:tc>
          <w:tcPr>
            <w:tcW w:w="429" w:type="dxa"/>
            <w:tcBorders>
              <w:top w:val="nil"/>
              <w:left w:val="nil"/>
              <w:bottom w:val="single" w:sz="4" w:space="0" w:color="auto"/>
              <w:right w:val="single" w:sz="4" w:space="0" w:color="auto"/>
            </w:tcBorders>
            <w:shd w:val="clear" w:color="auto" w:fill="auto"/>
            <w:noWrap/>
            <w:vAlign w:val="center"/>
            <w:hideMark/>
          </w:tcPr>
          <w:p w14:paraId="606F92DC"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632</w:t>
            </w:r>
          </w:p>
        </w:tc>
        <w:tc>
          <w:tcPr>
            <w:tcW w:w="429" w:type="dxa"/>
            <w:tcBorders>
              <w:top w:val="nil"/>
              <w:left w:val="nil"/>
              <w:bottom w:val="single" w:sz="4" w:space="0" w:color="auto"/>
              <w:right w:val="single" w:sz="4" w:space="0" w:color="auto"/>
            </w:tcBorders>
            <w:shd w:val="clear" w:color="auto" w:fill="auto"/>
            <w:noWrap/>
            <w:vAlign w:val="center"/>
            <w:hideMark/>
          </w:tcPr>
          <w:p w14:paraId="3361FA2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646</w:t>
            </w:r>
          </w:p>
        </w:tc>
        <w:tc>
          <w:tcPr>
            <w:tcW w:w="429" w:type="dxa"/>
            <w:tcBorders>
              <w:top w:val="nil"/>
              <w:left w:val="nil"/>
              <w:bottom w:val="single" w:sz="4" w:space="0" w:color="auto"/>
              <w:right w:val="single" w:sz="4" w:space="0" w:color="auto"/>
            </w:tcBorders>
            <w:shd w:val="clear" w:color="auto" w:fill="auto"/>
            <w:noWrap/>
            <w:vAlign w:val="center"/>
            <w:hideMark/>
          </w:tcPr>
          <w:p w14:paraId="50C7A501"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660</w:t>
            </w:r>
          </w:p>
        </w:tc>
        <w:tc>
          <w:tcPr>
            <w:tcW w:w="429" w:type="dxa"/>
            <w:tcBorders>
              <w:top w:val="nil"/>
              <w:left w:val="nil"/>
              <w:bottom w:val="single" w:sz="4" w:space="0" w:color="auto"/>
              <w:right w:val="single" w:sz="4" w:space="0" w:color="auto"/>
            </w:tcBorders>
            <w:shd w:val="clear" w:color="auto" w:fill="auto"/>
            <w:noWrap/>
            <w:vAlign w:val="center"/>
            <w:hideMark/>
          </w:tcPr>
          <w:p w14:paraId="1611FF9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674</w:t>
            </w:r>
          </w:p>
        </w:tc>
        <w:tc>
          <w:tcPr>
            <w:tcW w:w="429" w:type="dxa"/>
            <w:tcBorders>
              <w:top w:val="nil"/>
              <w:left w:val="nil"/>
              <w:bottom w:val="single" w:sz="4" w:space="0" w:color="auto"/>
              <w:right w:val="single" w:sz="4" w:space="0" w:color="auto"/>
            </w:tcBorders>
            <w:shd w:val="clear" w:color="auto" w:fill="auto"/>
            <w:noWrap/>
            <w:vAlign w:val="center"/>
            <w:hideMark/>
          </w:tcPr>
          <w:p w14:paraId="4B8710BB"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687</w:t>
            </w:r>
          </w:p>
        </w:tc>
        <w:tc>
          <w:tcPr>
            <w:tcW w:w="429" w:type="dxa"/>
            <w:tcBorders>
              <w:top w:val="nil"/>
              <w:left w:val="nil"/>
              <w:bottom w:val="single" w:sz="4" w:space="0" w:color="auto"/>
              <w:right w:val="single" w:sz="4" w:space="0" w:color="auto"/>
            </w:tcBorders>
            <w:shd w:val="clear" w:color="auto" w:fill="auto"/>
            <w:noWrap/>
            <w:vAlign w:val="center"/>
            <w:hideMark/>
          </w:tcPr>
          <w:p w14:paraId="1799BDB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699</w:t>
            </w:r>
          </w:p>
        </w:tc>
        <w:tc>
          <w:tcPr>
            <w:tcW w:w="429" w:type="dxa"/>
            <w:tcBorders>
              <w:top w:val="nil"/>
              <w:left w:val="nil"/>
              <w:bottom w:val="single" w:sz="4" w:space="0" w:color="auto"/>
              <w:right w:val="single" w:sz="4" w:space="0" w:color="auto"/>
            </w:tcBorders>
            <w:shd w:val="clear" w:color="auto" w:fill="auto"/>
            <w:noWrap/>
            <w:vAlign w:val="center"/>
            <w:hideMark/>
          </w:tcPr>
          <w:p w14:paraId="000FB88D"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711</w:t>
            </w:r>
          </w:p>
        </w:tc>
        <w:tc>
          <w:tcPr>
            <w:tcW w:w="429" w:type="dxa"/>
            <w:tcBorders>
              <w:top w:val="nil"/>
              <w:left w:val="nil"/>
              <w:bottom w:val="single" w:sz="4" w:space="0" w:color="auto"/>
              <w:right w:val="single" w:sz="4" w:space="0" w:color="auto"/>
            </w:tcBorders>
            <w:shd w:val="clear" w:color="auto" w:fill="auto"/>
            <w:noWrap/>
            <w:vAlign w:val="center"/>
            <w:hideMark/>
          </w:tcPr>
          <w:p w14:paraId="7627ACF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723</w:t>
            </w:r>
          </w:p>
        </w:tc>
        <w:tc>
          <w:tcPr>
            <w:tcW w:w="429" w:type="dxa"/>
            <w:tcBorders>
              <w:top w:val="nil"/>
              <w:left w:val="nil"/>
              <w:bottom w:val="single" w:sz="4" w:space="0" w:color="auto"/>
              <w:right w:val="single" w:sz="4" w:space="0" w:color="auto"/>
            </w:tcBorders>
            <w:shd w:val="clear" w:color="auto" w:fill="auto"/>
            <w:noWrap/>
            <w:vAlign w:val="center"/>
            <w:hideMark/>
          </w:tcPr>
          <w:p w14:paraId="6B24A02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734</w:t>
            </w:r>
          </w:p>
        </w:tc>
        <w:tc>
          <w:tcPr>
            <w:tcW w:w="429" w:type="dxa"/>
            <w:tcBorders>
              <w:top w:val="nil"/>
              <w:left w:val="nil"/>
              <w:bottom w:val="single" w:sz="4" w:space="0" w:color="auto"/>
              <w:right w:val="single" w:sz="4" w:space="0" w:color="auto"/>
            </w:tcBorders>
            <w:shd w:val="clear" w:color="auto" w:fill="auto"/>
            <w:noWrap/>
            <w:vAlign w:val="center"/>
            <w:hideMark/>
          </w:tcPr>
          <w:p w14:paraId="772201C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745</w:t>
            </w:r>
          </w:p>
        </w:tc>
        <w:tc>
          <w:tcPr>
            <w:tcW w:w="429" w:type="dxa"/>
            <w:tcBorders>
              <w:top w:val="nil"/>
              <w:left w:val="nil"/>
              <w:bottom w:val="single" w:sz="4" w:space="0" w:color="auto"/>
              <w:right w:val="single" w:sz="4" w:space="0" w:color="auto"/>
            </w:tcBorders>
            <w:shd w:val="clear" w:color="auto" w:fill="auto"/>
            <w:noWrap/>
            <w:vAlign w:val="center"/>
            <w:hideMark/>
          </w:tcPr>
          <w:p w14:paraId="6EAA9C2F"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756</w:t>
            </w:r>
          </w:p>
        </w:tc>
        <w:tc>
          <w:tcPr>
            <w:tcW w:w="429" w:type="dxa"/>
            <w:tcBorders>
              <w:top w:val="nil"/>
              <w:left w:val="nil"/>
              <w:bottom w:val="single" w:sz="4" w:space="0" w:color="auto"/>
              <w:right w:val="single" w:sz="4" w:space="0" w:color="auto"/>
            </w:tcBorders>
            <w:shd w:val="clear" w:color="auto" w:fill="auto"/>
            <w:noWrap/>
            <w:vAlign w:val="center"/>
            <w:hideMark/>
          </w:tcPr>
          <w:p w14:paraId="2236AB24"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766</w:t>
            </w:r>
          </w:p>
        </w:tc>
        <w:tc>
          <w:tcPr>
            <w:tcW w:w="429" w:type="dxa"/>
            <w:tcBorders>
              <w:top w:val="nil"/>
              <w:left w:val="nil"/>
              <w:bottom w:val="single" w:sz="4" w:space="0" w:color="auto"/>
              <w:right w:val="single" w:sz="4" w:space="0" w:color="auto"/>
            </w:tcBorders>
            <w:shd w:val="clear" w:color="auto" w:fill="auto"/>
            <w:noWrap/>
            <w:vAlign w:val="center"/>
            <w:hideMark/>
          </w:tcPr>
          <w:p w14:paraId="2650457E"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776</w:t>
            </w:r>
          </w:p>
        </w:tc>
        <w:tc>
          <w:tcPr>
            <w:tcW w:w="429" w:type="dxa"/>
            <w:tcBorders>
              <w:top w:val="nil"/>
              <w:left w:val="nil"/>
              <w:bottom w:val="single" w:sz="4" w:space="0" w:color="auto"/>
              <w:right w:val="single" w:sz="4" w:space="0" w:color="auto"/>
            </w:tcBorders>
            <w:shd w:val="clear" w:color="auto" w:fill="auto"/>
            <w:noWrap/>
            <w:vAlign w:val="center"/>
            <w:hideMark/>
          </w:tcPr>
          <w:p w14:paraId="7086BC33"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786</w:t>
            </w:r>
          </w:p>
        </w:tc>
        <w:tc>
          <w:tcPr>
            <w:tcW w:w="429" w:type="dxa"/>
            <w:tcBorders>
              <w:top w:val="nil"/>
              <w:left w:val="nil"/>
              <w:bottom w:val="single" w:sz="4" w:space="0" w:color="auto"/>
              <w:right w:val="single" w:sz="4" w:space="0" w:color="auto"/>
            </w:tcBorders>
            <w:shd w:val="clear" w:color="auto" w:fill="auto"/>
            <w:noWrap/>
            <w:vAlign w:val="center"/>
            <w:hideMark/>
          </w:tcPr>
          <w:p w14:paraId="7BEEF107"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796</w:t>
            </w:r>
          </w:p>
        </w:tc>
        <w:tc>
          <w:tcPr>
            <w:tcW w:w="429" w:type="dxa"/>
            <w:tcBorders>
              <w:top w:val="nil"/>
              <w:left w:val="nil"/>
              <w:bottom w:val="single" w:sz="4" w:space="0" w:color="auto"/>
              <w:right w:val="single" w:sz="4" w:space="0" w:color="auto"/>
            </w:tcBorders>
            <w:shd w:val="clear" w:color="auto" w:fill="auto"/>
            <w:noWrap/>
            <w:vAlign w:val="center"/>
            <w:hideMark/>
          </w:tcPr>
          <w:p w14:paraId="18A1872A"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805</w:t>
            </w:r>
          </w:p>
        </w:tc>
        <w:tc>
          <w:tcPr>
            <w:tcW w:w="429" w:type="dxa"/>
            <w:tcBorders>
              <w:top w:val="nil"/>
              <w:left w:val="nil"/>
              <w:bottom w:val="single" w:sz="4" w:space="0" w:color="auto"/>
              <w:right w:val="single" w:sz="4" w:space="0" w:color="auto"/>
            </w:tcBorders>
            <w:shd w:val="clear" w:color="auto" w:fill="auto"/>
            <w:noWrap/>
            <w:vAlign w:val="center"/>
            <w:hideMark/>
          </w:tcPr>
          <w:p w14:paraId="07CB2636" w14:textId="77777777" w:rsidR="001C7A69" w:rsidRPr="00B85017" w:rsidRDefault="001C7A69" w:rsidP="000A384C">
            <w:pPr>
              <w:spacing w:before="0" w:after="0"/>
              <w:jc w:val="right"/>
              <w:rPr>
                <w:rFonts w:ascii="Calibri" w:eastAsia="Times New Roman" w:hAnsi="Calibri"/>
                <w:color w:val="000000" w:themeColor="text1"/>
                <w:sz w:val="14"/>
                <w:szCs w:val="14"/>
                <w:lang w:eastAsia="ko-KR"/>
              </w:rPr>
            </w:pPr>
            <w:r w:rsidRPr="00B85017">
              <w:rPr>
                <w:rFonts w:ascii="Calibri" w:eastAsia="Times New Roman" w:hAnsi="Calibri"/>
                <w:color w:val="000000" w:themeColor="text1"/>
                <w:sz w:val="14"/>
                <w:szCs w:val="14"/>
                <w:lang w:eastAsia="ko-KR"/>
              </w:rPr>
              <w:t>814</w:t>
            </w:r>
          </w:p>
        </w:tc>
      </w:tr>
    </w:tbl>
    <w:p w14:paraId="053F2CA1" w14:textId="77777777" w:rsidR="00447271" w:rsidRDefault="00447271" w:rsidP="002C4FED">
      <w:pPr>
        <w:pStyle w:val="Heading3"/>
        <w:rPr>
          <w:rFonts w:asciiTheme="minorHAnsi" w:hAnsiTheme="minorHAnsi"/>
        </w:rPr>
      </w:pPr>
      <w:bookmarkStart w:id="241" w:name="_Toc12885980"/>
      <w:bookmarkStart w:id="242" w:name="_Toc12886227"/>
    </w:p>
    <w:p w14:paraId="02FD3F4C" w14:textId="77777777" w:rsidR="00447271" w:rsidRDefault="00447271" w:rsidP="002C4FED">
      <w:pPr>
        <w:pStyle w:val="Heading3"/>
        <w:rPr>
          <w:rFonts w:asciiTheme="minorHAnsi" w:hAnsiTheme="minorHAnsi"/>
        </w:rPr>
      </w:pPr>
    </w:p>
    <w:p w14:paraId="106ECE24" w14:textId="77777777" w:rsidR="00447271" w:rsidRDefault="00447271" w:rsidP="002C4FED">
      <w:pPr>
        <w:pStyle w:val="Heading3"/>
        <w:rPr>
          <w:rFonts w:asciiTheme="minorHAnsi" w:hAnsiTheme="minorHAnsi"/>
        </w:rPr>
      </w:pPr>
    </w:p>
    <w:p w14:paraId="7A382BEF" w14:textId="3795FF45" w:rsidR="001C7A69" w:rsidRPr="00E67B58" w:rsidRDefault="001C7A69" w:rsidP="002C4FED">
      <w:pPr>
        <w:pStyle w:val="Heading3"/>
        <w:rPr>
          <w:rStyle w:val="IntenseEmphasis"/>
          <w:rFonts w:asciiTheme="minorHAnsi" w:hAnsiTheme="minorHAnsi"/>
          <w:b/>
          <w:bCs/>
          <w:i/>
          <w:color w:val="000000" w:themeColor="text1"/>
        </w:rPr>
      </w:pPr>
      <w:bookmarkStart w:id="243" w:name="_Toc13486774"/>
      <w:r w:rsidRPr="00E67B58">
        <w:rPr>
          <w:rFonts w:asciiTheme="minorHAnsi" w:hAnsiTheme="minorHAnsi"/>
        </w:rPr>
        <w:t xml:space="preserve">Table </w:t>
      </w:r>
      <w:r w:rsidR="002C4FED" w:rsidRPr="00E67B58">
        <w:rPr>
          <w:rFonts w:asciiTheme="minorHAnsi" w:hAnsiTheme="minorHAnsi"/>
        </w:rPr>
        <w:t>1</w:t>
      </w:r>
      <w:r w:rsidR="003F19E7" w:rsidRPr="00E67B58">
        <w:rPr>
          <w:rFonts w:asciiTheme="minorHAnsi" w:hAnsiTheme="minorHAnsi"/>
        </w:rPr>
        <w:t>6</w:t>
      </w:r>
      <w:r w:rsidRPr="00E67B58">
        <w:rPr>
          <w:rFonts w:asciiTheme="minorHAnsi" w:hAnsiTheme="minorHAnsi"/>
        </w:rPr>
        <w:t xml:space="preserve"> </w:t>
      </w:r>
      <w:r w:rsidRPr="00E67B58">
        <w:rPr>
          <w:rStyle w:val="IntenseEmphasis"/>
          <w:rFonts w:asciiTheme="minorHAnsi" w:hAnsiTheme="minorHAnsi"/>
          <w:b/>
          <w:bCs/>
          <w:i/>
          <w:color w:val="000000" w:themeColor="text1"/>
        </w:rPr>
        <w:t>Clinical management of prolonged QT interval according to severity grading</w:t>
      </w:r>
      <w:bookmarkEnd w:id="241"/>
      <w:bookmarkEnd w:id="242"/>
      <w:bookmarkEnd w:id="24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1696"/>
        <w:gridCol w:w="1866"/>
        <w:gridCol w:w="1870"/>
        <w:gridCol w:w="1827"/>
        <w:gridCol w:w="1748"/>
      </w:tblGrid>
      <w:tr w:rsidR="001C7A69" w:rsidRPr="00E67B58" w14:paraId="7533AA5F" w14:textId="77777777" w:rsidTr="006A4909">
        <w:trPr>
          <w:tblHeader/>
        </w:trPr>
        <w:tc>
          <w:tcPr>
            <w:tcW w:w="894" w:type="pct"/>
            <w:tcBorders>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57FA5952" w14:textId="77777777" w:rsidR="001C7A69" w:rsidRPr="00E67B58" w:rsidRDefault="001C7A69" w:rsidP="000A384C">
            <w:pPr>
              <w:pStyle w:val="Tabletext"/>
              <w:rPr>
                <w:rFonts w:asciiTheme="minorHAnsi" w:hAnsiTheme="minorHAnsi"/>
                <w:b/>
                <w:bCs/>
                <w:color w:val="FFFFFF" w:themeColor="background1"/>
              </w:rPr>
            </w:pPr>
            <w:r w:rsidRPr="00E67B58">
              <w:rPr>
                <w:rFonts w:asciiTheme="minorHAnsi" w:hAnsiTheme="minorHAnsi"/>
                <w:b/>
                <w:bCs/>
                <w:color w:val="FFFFFF" w:themeColor="background1"/>
              </w:rPr>
              <w:t>Severity grade*</w:t>
            </w:r>
          </w:p>
        </w:tc>
        <w:tc>
          <w:tcPr>
            <w:tcW w:w="1048"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3A419567" w14:textId="77777777" w:rsidR="001C7A69" w:rsidRPr="00E67B58" w:rsidRDefault="001C7A69" w:rsidP="000A384C">
            <w:pPr>
              <w:pStyle w:val="Tabletext"/>
              <w:rPr>
                <w:rFonts w:asciiTheme="minorHAnsi" w:hAnsiTheme="minorHAnsi"/>
                <w:b/>
                <w:bCs/>
                <w:color w:val="FFFFFF" w:themeColor="background1"/>
              </w:rPr>
            </w:pPr>
            <w:r w:rsidRPr="00E67B58">
              <w:rPr>
                <w:rFonts w:asciiTheme="minorHAnsi" w:hAnsiTheme="minorHAnsi"/>
                <w:b/>
                <w:bCs/>
                <w:color w:val="FFFFFF" w:themeColor="background1"/>
              </w:rPr>
              <w:t>Grade 1 Mild</w:t>
            </w:r>
          </w:p>
        </w:tc>
        <w:tc>
          <w:tcPr>
            <w:tcW w:w="1050"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010D5881" w14:textId="77777777" w:rsidR="001C7A69" w:rsidRPr="00E67B58" w:rsidRDefault="001C7A69" w:rsidP="000A384C">
            <w:pPr>
              <w:pStyle w:val="Tabletext"/>
              <w:rPr>
                <w:rFonts w:asciiTheme="minorHAnsi" w:hAnsiTheme="minorHAnsi"/>
                <w:b/>
                <w:bCs/>
                <w:color w:val="FFFFFF" w:themeColor="background1"/>
              </w:rPr>
            </w:pPr>
            <w:r w:rsidRPr="00E67B58">
              <w:rPr>
                <w:rFonts w:asciiTheme="minorHAnsi" w:hAnsiTheme="minorHAnsi"/>
                <w:b/>
                <w:bCs/>
                <w:color w:val="FFFFFF" w:themeColor="background1"/>
              </w:rPr>
              <w:t>Grade 2 Moderate</w:t>
            </w:r>
          </w:p>
        </w:tc>
        <w:tc>
          <w:tcPr>
            <w:tcW w:w="1026"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7808F64C" w14:textId="77777777" w:rsidR="001C7A69" w:rsidRPr="00E67B58" w:rsidRDefault="001C7A69" w:rsidP="000A384C">
            <w:pPr>
              <w:pStyle w:val="Tabletext"/>
              <w:rPr>
                <w:rFonts w:asciiTheme="minorHAnsi" w:hAnsiTheme="minorHAnsi"/>
                <w:b/>
                <w:bCs/>
                <w:color w:val="FFFFFF" w:themeColor="background1"/>
              </w:rPr>
            </w:pPr>
            <w:r w:rsidRPr="00E67B58">
              <w:rPr>
                <w:rFonts w:asciiTheme="minorHAnsi" w:hAnsiTheme="minorHAnsi"/>
                <w:b/>
                <w:bCs/>
                <w:color w:val="FFFFFF" w:themeColor="background1"/>
              </w:rPr>
              <w:t>Grade 3 Severe</w:t>
            </w:r>
          </w:p>
        </w:tc>
        <w:tc>
          <w:tcPr>
            <w:tcW w:w="983"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0ADDAC9D" w14:textId="77777777" w:rsidR="001C7A69" w:rsidRPr="00E67B58" w:rsidRDefault="001C7A69" w:rsidP="000A384C">
            <w:pPr>
              <w:pStyle w:val="Tabletext"/>
              <w:rPr>
                <w:rFonts w:asciiTheme="minorHAnsi" w:hAnsiTheme="minorHAnsi"/>
                <w:b/>
                <w:bCs/>
                <w:color w:val="FFFFFF" w:themeColor="background1"/>
              </w:rPr>
            </w:pPr>
            <w:r w:rsidRPr="00E67B58">
              <w:rPr>
                <w:rFonts w:asciiTheme="minorHAnsi" w:hAnsiTheme="minorHAnsi"/>
                <w:b/>
                <w:bCs/>
                <w:color w:val="FFFFFF" w:themeColor="background1"/>
              </w:rPr>
              <w:t>Grade 4 Life-threatening</w:t>
            </w:r>
          </w:p>
        </w:tc>
      </w:tr>
      <w:tr w:rsidR="001C7A69" w:rsidRPr="00E67B58" w14:paraId="51A49CCD" w14:textId="77777777" w:rsidTr="006A4909">
        <w:tc>
          <w:tcPr>
            <w:tcW w:w="894" w:type="pct"/>
            <w:tcBorders>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A1BE636" w14:textId="77777777"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Electrocardiogram QT Corrected Interval Prolonged</w:t>
            </w:r>
          </w:p>
        </w:tc>
        <w:tc>
          <w:tcPr>
            <w:tcW w:w="1048"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B5B8E70" w14:textId="77777777"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QTcF 450 – 480 ms</w:t>
            </w:r>
            <w:r w:rsidRPr="00E67B58">
              <w:rPr>
                <w:rFonts w:asciiTheme="minorHAnsi" w:hAnsiTheme="minorHAnsi"/>
                <w:color w:val="000000" w:themeColor="text1"/>
                <w:vertAlign w:val="superscript"/>
              </w:rPr>
              <w:t>#</w:t>
            </w:r>
          </w:p>
        </w:tc>
        <w:tc>
          <w:tcPr>
            <w:tcW w:w="1050"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2746351" w14:textId="77777777"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QTcF 481 – 500 ms</w:t>
            </w:r>
            <w:r w:rsidRPr="00E67B58">
              <w:rPr>
                <w:rFonts w:asciiTheme="minorHAnsi" w:hAnsiTheme="minorHAnsi"/>
                <w:color w:val="000000" w:themeColor="text1"/>
                <w:vertAlign w:val="superscript"/>
              </w:rPr>
              <w:t>#</w:t>
            </w:r>
          </w:p>
        </w:tc>
        <w:tc>
          <w:tcPr>
            <w:tcW w:w="1026"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612BB05" w14:textId="77777777"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QTcF &gt;= 501 ms without signs/symptoms of serious arrhythmia</w:t>
            </w:r>
            <w:r w:rsidRPr="00E67B58">
              <w:rPr>
                <w:rFonts w:asciiTheme="minorHAnsi" w:hAnsiTheme="minorHAnsi"/>
                <w:color w:val="000000" w:themeColor="text1"/>
                <w:vertAlign w:val="superscript"/>
              </w:rPr>
              <w:t>#</w:t>
            </w:r>
          </w:p>
        </w:tc>
        <w:tc>
          <w:tcPr>
            <w:tcW w:w="983"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79D892E" w14:textId="77777777"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QTcF &gt;= 501 or &gt;60 ms change from baseline and one of the following: Torsade de pointes or polymorphic ventricular tachycardia or signs/symptoms of serious arrhythmia</w:t>
            </w:r>
            <w:r w:rsidRPr="00E67B58">
              <w:rPr>
                <w:rFonts w:asciiTheme="minorHAnsi" w:hAnsiTheme="minorHAnsi"/>
                <w:color w:val="000000" w:themeColor="text1"/>
                <w:vertAlign w:val="superscript"/>
              </w:rPr>
              <w:t>#</w:t>
            </w:r>
          </w:p>
        </w:tc>
      </w:tr>
      <w:tr w:rsidR="001C7A69" w:rsidRPr="00E67B58" w14:paraId="789ECEF4" w14:textId="77777777" w:rsidTr="006A4909">
        <w:tc>
          <w:tcPr>
            <w:tcW w:w="894" w:type="pct"/>
            <w:tcBorders>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3203E50" w14:textId="77777777"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Action</w:t>
            </w:r>
          </w:p>
        </w:tc>
        <w:tc>
          <w:tcPr>
            <w:tcW w:w="1048"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1193949" w14:textId="77777777" w:rsidR="00A47567"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 xml:space="preserve">Monitor more closely; at least weekly ECG until QTcF has returned to less than grade 1. </w:t>
            </w:r>
          </w:p>
          <w:p w14:paraId="7CD856B4" w14:textId="77777777" w:rsidR="006A4909" w:rsidRDefault="006A4909" w:rsidP="000A384C">
            <w:pPr>
              <w:pStyle w:val="Tabletext"/>
              <w:rPr>
                <w:rFonts w:asciiTheme="minorHAnsi" w:hAnsiTheme="minorHAnsi"/>
                <w:color w:val="000000" w:themeColor="text1"/>
              </w:rPr>
            </w:pPr>
          </w:p>
          <w:p w14:paraId="770354BB" w14:textId="015A360E"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Replete electrolytes as necessary.</w:t>
            </w:r>
          </w:p>
        </w:tc>
        <w:tc>
          <w:tcPr>
            <w:tcW w:w="1050" w:type="pct"/>
            <w:tcBorders>
              <w:right w:val="single" w:sz="8" w:space="0" w:color="000000" w:themeColor="text1"/>
            </w:tcBorders>
            <w:shd w:val="clear" w:color="auto" w:fill="FFFFFF" w:themeFill="background1"/>
            <w:tcMar>
              <w:top w:w="100" w:type="dxa"/>
              <w:left w:w="100" w:type="dxa"/>
              <w:bottom w:w="100" w:type="dxa"/>
              <w:right w:w="100" w:type="dxa"/>
            </w:tcMar>
          </w:tcPr>
          <w:p w14:paraId="768DAF70" w14:textId="77777777" w:rsidR="00A47567"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 xml:space="preserve">Monitor more closely; at least weekly ECG until QTcF has returned to less than grade 1. </w:t>
            </w:r>
          </w:p>
          <w:p w14:paraId="508B0C0D" w14:textId="77777777" w:rsidR="006A4909" w:rsidRDefault="006A4909" w:rsidP="000A384C">
            <w:pPr>
              <w:pStyle w:val="Tabletext"/>
              <w:rPr>
                <w:rFonts w:asciiTheme="minorHAnsi" w:hAnsiTheme="minorHAnsi"/>
                <w:color w:val="000000" w:themeColor="text1"/>
              </w:rPr>
            </w:pPr>
          </w:p>
          <w:p w14:paraId="55D689AF" w14:textId="78EDA976"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Replete electrolytes as necessary.</w:t>
            </w:r>
          </w:p>
        </w:tc>
        <w:tc>
          <w:tcPr>
            <w:tcW w:w="1026" w:type="pct"/>
            <w:tcBorders>
              <w:right w:val="single" w:sz="8" w:space="0" w:color="000000" w:themeColor="text1"/>
            </w:tcBorders>
            <w:shd w:val="clear" w:color="auto" w:fill="FFFFFF" w:themeFill="background1"/>
            <w:tcMar>
              <w:top w:w="100" w:type="dxa"/>
              <w:left w:w="100" w:type="dxa"/>
              <w:bottom w:w="100" w:type="dxa"/>
              <w:right w:w="100" w:type="dxa"/>
            </w:tcMar>
          </w:tcPr>
          <w:p w14:paraId="22066A88" w14:textId="77777777" w:rsidR="006A4909"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 xml:space="preserve">Stop the suspected causative drug(s). </w:t>
            </w:r>
          </w:p>
          <w:p w14:paraId="6B41ED92" w14:textId="77777777" w:rsidR="006A4909" w:rsidRDefault="006A4909" w:rsidP="000A384C">
            <w:pPr>
              <w:pStyle w:val="Tabletext"/>
              <w:rPr>
                <w:rFonts w:asciiTheme="minorHAnsi" w:hAnsiTheme="minorHAnsi"/>
                <w:color w:val="000000" w:themeColor="text1"/>
              </w:rPr>
            </w:pPr>
          </w:p>
          <w:p w14:paraId="226CF33D" w14:textId="6B31A989"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Hospitalize and replete electrolytes as necessary.</w:t>
            </w:r>
          </w:p>
        </w:tc>
        <w:tc>
          <w:tcPr>
            <w:tcW w:w="983" w:type="pct"/>
            <w:tcBorders>
              <w:right w:val="single" w:sz="8" w:space="0" w:color="000000" w:themeColor="text1"/>
            </w:tcBorders>
            <w:shd w:val="clear" w:color="auto" w:fill="FFFFFF" w:themeFill="background1"/>
            <w:tcMar>
              <w:top w:w="100" w:type="dxa"/>
              <w:left w:w="100" w:type="dxa"/>
              <w:bottom w:w="100" w:type="dxa"/>
              <w:right w:w="100" w:type="dxa"/>
            </w:tcMar>
          </w:tcPr>
          <w:p w14:paraId="4CF8F686" w14:textId="77777777" w:rsidR="006A4909"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 xml:space="preserve">Stop the suspected causative drug(s). </w:t>
            </w:r>
          </w:p>
          <w:p w14:paraId="5588A073" w14:textId="77777777" w:rsidR="006A4909" w:rsidRDefault="006A4909" w:rsidP="000A384C">
            <w:pPr>
              <w:pStyle w:val="Tabletext"/>
              <w:rPr>
                <w:rFonts w:asciiTheme="minorHAnsi" w:hAnsiTheme="minorHAnsi"/>
                <w:color w:val="000000" w:themeColor="text1"/>
              </w:rPr>
            </w:pPr>
          </w:p>
          <w:p w14:paraId="48BC3DE1" w14:textId="5B43DD2B"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rPr>
              <w:t>Hospitalize and replete electrolytes as necessary.</w:t>
            </w:r>
          </w:p>
        </w:tc>
      </w:tr>
      <w:tr w:rsidR="001C7A69" w:rsidRPr="00E67B58" w14:paraId="6C217775" w14:textId="77777777" w:rsidTr="000A384C">
        <w:tc>
          <w:tcPr>
            <w:tcW w:w="5000" w:type="pct"/>
            <w:gridSpan w:val="5"/>
            <w:tcBorders>
              <w:left w:val="nil"/>
              <w:bottom w:val="nil"/>
              <w:right w:val="nil"/>
            </w:tcBorders>
            <w:shd w:val="clear" w:color="auto" w:fill="FFFFFF" w:themeFill="background1"/>
            <w:tcMar>
              <w:top w:w="100" w:type="dxa"/>
              <w:left w:w="100" w:type="dxa"/>
              <w:bottom w:w="100" w:type="dxa"/>
              <w:right w:w="100" w:type="dxa"/>
            </w:tcMar>
          </w:tcPr>
          <w:p w14:paraId="7F766E42" w14:textId="77777777" w:rsidR="001C7A69" w:rsidRPr="00E67B58" w:rsidRDefault="001C7A69" w:rsidP="000A384C">
            <w:pPr>
              <w:pStyle w:val="Tabletext"/>
              <w:rPr>
                <w:rFonts w:asciiTheme="minorHAnsi" w:hAnsiTheme="minorHAnsi"/>
                <w:color w:val="000000" w:themeColor="text1"/>
                <w:sz w:val="16"/>
                <w:szCs w:val="20"/>
              </w:rPr>
            </w:pPr>
            <w:r w:rsidRPr="00E67B58">
              <w:rPr>
                <w:rFonts w:asciiTheme="minorHAnsi" w:hAnsiTheme="minorHAnsi"/>
                <w:color w:val="000000" w:themeColor="text1"/>
                <w:sz w:val="16"/>
                <w:szCs w:val="20"/>
              </w:rPr>
              <w:t>* NCI Common Terminology Criteria for Adverse Event, v.4.03 14-Jun-2010.</w:t>
            </w:r>
          </w:p>
          <w:p w14:paraId="7D70D17C" w14:textId="77777777" w:rsidR="001C7A69" w:rsidRPr="00E67B58" w:rsidRDefault="001C7A69" w:rsidP="000A384C">
            <w:pPr>
              <w:pStyle w:val="Tabletext"/>
              <w:rPr>
                <w:rFonts w:asciiTheme="minorHAnsi" w:hAnsiTheme="minorHAnsi"/>
                <w:color w:val="000000" w:themeColor="text1"/>
              </w:rPr>
            </w:pPr>
            <w:r w:rsidRPr="00E67B58">
              <w:rPr>
                <w:rFonts w:asciiTheme="minorHAnsi" w:hAnsiTheme="minorHAnsi"/>
                <w:color w:val="000000" w:themeColor="text1"/>
                <w:sz w:val="16"/>
                <w:szCs w:val="20"/>
                <w:vertAlign w:val="superscript"/>
              </w:rPr>
              <w:t>#</w:t>
            </w:r>
            <w:r w:rsidRPr="00E67B58">
              <w:rPr>
                <w:rFonts w:asciiTheme="minorHAnsi" w:hAnsiTheme="minorHAnsi"/>
                <w:color w:val="000000" w:themeColor="text1"/>
                <w:sz w:val="16"/>
                <w:szCs w:val="20"/>
              </w:rPr>
              <w:t xml:space="preserve"> When multiple ECGs are recorded on a same day, average of the QTcF measures should be used to determine the grade.</w:t>
            </w:r>
          </w:p>
        </w:tc>
      </w:tr>
    </w:tbl>
    <w:p w14:paraId="5AF0B59E" w14:textId="77777777"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lastRenderedPageBreak/>
        <w:t>Checking and repleting serum electrolytes:</w:t>
      </w:r>
    </w:p>
    <w:p w14:paraId="5F7460D0" w14:textId="2418699A"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Serum potassium (K</w:t>
      </w:r>
      <w:r w:rsidRPr="009D1960">
        <w:rPr>
          <w:rFonts w:asciiTheme="minorHAnsi" w:hAnsiTheme="minorHAnsi" w:cstheme="minorHAnsi"/>
          <w:color w:val="000000" w:themeColor="text1"/>
          <w:vertAlign w:val="superscript"/>
        </w:rPr>
        <w:t>+</w:t>
      </w:r>
      <w:r w:rsidRPr="009D1960">
        <w:rPr>
          <w:rFonts w:asciiTheme="minorHAnsi" w:hAnsiTheme="minorHAnsi" w:cstheme="minorHAnsi"/>
          <w:color w:val="000000" w:themeColor="text1"/>
        </w:rPr>
        <w:t>), ionized calcium (ionized Ca</w:t>
      </w:r>
      <w:r w:rsidRPr="009D1960">
        <w:rPr>
          <w:rFonts w:asciiTheme="minorHAnsi" w:hAnsiTheme="minorHAnsi" w:cstheme="minorHAnsi"/>
          <w:color w:val="000000" w:themeColor="text1"/>
          <w:vertAlign w:val="superscript"/>
        </w:rPr>
        <w:t>++</w:t>
      </w:r>
      <w:r w:rsidRPr="009D1960">
        <w:rPr>
          <w:rFonts w:asciiTheme="minorHAnsi" w:hAnsiTheme="minorHAnsi" w:cstheme="minorHAnsi"/>
          <w:color w:val="000000" w:themeColor="text1"/>
        </w:rPr>
        <w:t>), and magnesium (Mg</w:t>
      </w:r>
      <w:r w:rsidRPr="009D1960">
        <w:rPr>
          <w:rFonts w:asciiTheme="minorHAnsi" w:hAnsiTheme="minorHAnsi" w:cstheme="minorHAnsi"/>
          <w:color w:val="000000" w:themeColor="text1"/>
          <w:vertAlign w:val="superscript"/>
        </w:rPr>
        <w:t>++</w:t>
      </w:r>
      <w:r w:rsidRPr="009D1960">
        <w:rPr>
          <w:rFonts w:asciiTheme="minorHAnsi" w:hAnsiTheme="minorHAnsi" w:cstheme="minorHAnsi"/>
          <w:color w:val="000000" w:themeColor="text1"/>
        </w:rPr>
        <w:t>) should be obtained in the event a prolonged QT interval is detected.</w:t>
      </w:r>
      <w:r w:rsidR="002006EA">
        <w:rPr>
          <w:rFonts w:asciiTheme="minorHAnsi" w:hAnsiTheme="minorHAnsi" w:cstheme="minorHAnsi"/>
          <w:color w:val="000000" w:themeColor="text1"/>
        </w:rPr>
        <w:t xml:space="preserve"> In the event that </w:t>
      </w:r>
      <w:r w:rsidR="00DF4021">
        <w:rPr>
          <w:rFonts w:asciiTheme="minorHAnsi" w:hAnsiTheme="minorHAnsi" w:cstheme="minorHAnsi"/>
          <w:color w:val="000000" w:themeColor="text1"/>
        </w:rPr>
        <w:t xml:space="preserve">ionized calcium and magnesium is not able to be checked, give empiric magnesium whenever hypokalemia (low potassium) is found.  </w:t>
      </w:r>
    </w:p>
    <w:p w14:paraId="0EB2F36B" w14:textId="7595606F"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 xml:space="preserve">Abnormal electrolytes </w:t>
      </w:r>
      <w:r w:rsidR="00636B57">
        <w:rPr>
          <w:rFonts w:asciiTheme="minorHAnsi" w:hAnsiTheme="minorHAnsi" w:cstheme="minorHAnsi"/>
          <w:color w:val="000000" w:themeColor="text1"/>
        </w:rPr>
        <w:t xml:space="preserve">in all oral STRs </w:t>
      </w:r>
      <w:r w:rsidRPr="009D1960">
        <w:rPr>
          <w:rFonts w:asciiTheme="minorHAnsi" w:hAnsiTheme="minorHAnsi" w:cstheme="minorHAnsi"/>
          <w:color w:val="000000" w:themeColor="text1"/>
        </w:rPr>
        <w:t>are most commonly due to</w:t>
      </w:r>
      <w:r w:rsidR="00A87CBC">
        <w:rPr>
          <w:rFonts w:asciiTheme="minorHAnsi" w:hAnsiTheme="minorHAnsi" w:cstheme="minorHAnsi"/>
          <w:color w:val="000000" w:themeColor="text1"/>
        </w:rPr>
        <w:t xml:space="preserve"> vomiting or diarrhea</w:t>
      </w:r>
      <w:r w:rsidR="003D43D3">
        <w:rPr>
          <w:rFonts w:asciiTheme="minorHAnsi" w:hAnsiTheme="minorHAnsi" w:cstheme="minorHAnsi"/>
          <w:color w:val="000000" w:themeColor="text1"/>
        </w:rPr>
        <w:t>, as the</w:t>
      </w:r>
      <w:r w:rsidRPr="009D1960">
        <w:rPr>
          <w:rFonts w:asciiTheme="minorHAnsi" w:hAnsiTheme="minorHAnsi" w:cstheme="minorHAnsi"/>
          <w:color w:val="000000" w:themeColor="text1"/>
        </w:rPr>
        <w:t xml:space="preserve"> injectable </w:t>
      </w:r>
      <w:r w:rsidR="003D43D3">
        <w:rPr>
          <w:rFonts w:asciiTheme="minorHAnsi" w:hAnsiTheme="minorHAnsi" w:cstheme="minorHAnsi"/>
          <w:color w:val="000000" w:themeColor="text1"/>
        </w:rPr>
        <w:t>is not used. The vomiting or diarrhea should be assessed and treated</w:t>
      </w:r>
      <w:r w:rsidRPr="009D1960">
        <w:rPr>
          <w:rFonts w:asciiTheme="minorHAnsi" w:hAnsiTheme="minorHAnsi" w:cstheme="minorHAnsi"/>
          <w:color w:val="000000" w:themeColor="text1"/>
        </w:rPr>
        <w:t>.</w:t>
      </w:r>
    </w:p>
    <w:p w14:paraId="0230F9E9" w14:textId="7EA172F0"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 xml:space="preserve">Whenever a low potassium is </w:t>
      </w:r>
      <w:r w:rsidR="000F427E">
        <w:rPr>
          <w:rFonts w:asciiTheme="minorHAnsi" w:hAnsiTheme="minorHAnsi" w:cstheme="minorHAnsi"/>
          <w:color w:val="000000" w:themeColor="text1"/>
        </w:rPr>
        <w:t>found to be Grade 3 or 4,</w:t>
      </w:r>
      <w:r w:rsidR="000F427E" w:rsidRPr="009D196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 xml:space="preserve">it should trigger urgent management with replacement and frequent repeat potassium testing (often daily or multiple times a day) to document </w:t>
      </w:r>
      <w:r w:rsidR="00DF7892">
        <w:rPr>
          <w:rFonts w:asciiTheme="minorHAnsi" w:hAnsiTheme="minorHAnsi" w:cstheme="minorHAnsi"/>
          <w:color w:val="000000" w:themeColor="text1"/>
        </w:rPr>
        <w:t>if</w:t>
      </w:r>
      <w:r w:rsidRPr="009D1960">
        <w:rPr>
          <w:rFonts w:asciiTheme="minorHAnsi" w:hAnsiTheme="minorHAnsi" w:cstheme="minorHAnsi"/>
          <w:color w:val="000000" w:themeColor="text1"/>
        </w:rPr>
        <w:t xml:space="preserve"> potassium is moving in the correct direction.</w:t>
      </w:r>
    </w:p>
    <w:p w14:paraId="3328FEB5" w14:textId="77777777" w:rsidR="006C2EEE" w:rsidRDefault="006C2EEE" w:rsidP="001C7A69">
      <w:pPr>
        <w:rPr>
          <w:rFonts w:asciiTheme="minorHAnsi" w:hAnsiTheme="minorHAnsi" w:cstheme="minorHAnsi"/>
          <w:b/>
          <w:bCs/>
          <w:color w:val="000000" w:themeColor="text1"/>
        </w:rPr>
      </w:pPr>
    </w:p>
    <w:p w14:paraId="7A8B71CA" w14:textId="38EB3A51"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Suggested management strategy:</w:t>
      </w:r>
    </w:p>
    <w:p w14:paraId="52995129" w14:textId="77777777" w:rsidR="001C7A69" w:rsidRPr="009D1960" w:rsidRDefault="001C7A69" w:rsidP="00CB2F8E">
      <w:pPr>
        <w:pStyle w:val="ListNumber"/>
        <w:numPr>
          <w:ilvl w:val="0"/>
          <w:numId w:val="12"/>
        </w:numPr>
        <w:rPr>
          <w:rFonts w:asciiTheme="minorHAnsi" w:hAnsiTheme="minorHAnsi" w:cstheme="minorHAnsi"/>
          <w:color w:val="000000" w:themeColor="text1"/>
        </w:rPr>
      </w:pPr>
      <w:r w:rsidRPr="009D1960">
        <w:rPr>
          <w:rFonts w:asciiTheme="minorHAnsi" w:hAnsiTheme="minorHAnsi" w:cstheme="minorHAnsi"/>
          <w:color w:val="000000" w:themeColor="text1"/>
        </w:rPr>
        <w:t xml:space="preserve">Stop all QT prolonging drugs immediately. ART is usually not stopped unless the patient is severely unstable.  </w:t>
      </w:r>
    </w:p>
    <w:p w14:paraId="5ECB789F" w14:textId="77777777"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 xml:space="preserve">Hospitalize and consider continuous electrocardiac monitoring for Grade 3. Hospitalization should occur in a facility capable in the management of Torsades de Pointes arrhythmia.  </w:t>
      </w:r>
    </w:p>
    <w:p w14:paraId="3EDF46BA" w14:textId="77777777"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 xml:space="preserve">Check electrolytes and manage as described above. </w:t>
      </w:r>
    </w:p>
    <w:p w14:paraId="16A914AE" w14:textId="77777777"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 xml:space="preserve">Check TSH and treat any hypothyroidism found. </w:t>
      </w:r>
    </w:p>
    <w:p w14:paraId="6F8B1925" w14:textId="77777777"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Once stable (QT</w:t>
      </w:r>
      <w:r w:rsidRPr="009D1960">
        <w:rPr>
          <w:rFonts w:asciiTheme="minorHAnsi" w:hAnsiTheme="minorHAnsi" w:cstheme="minorHAnsi"/>
          <w:color w:val="000000" w:themeColor="text1"/>
          <w:vertAlign w:val="subscript"/>
        </w:rPr>
        <w:t>C</w:t>
      </w:r>
      <w:r w:rsidRPr="009D1960">
        <w:rPr>
          <w:rFonts w:asciiTheme="minorHAnsi" w:hAnsiTheme="minorHAnsi" w:cstheme="minorHAnsi"/>
          <w:color w:val="000000" w:themeColor="text1"/>
        </w:rPr>
        <w:t>F interval below 450 and normal electrolytes), critical QT prolonging anti-TB drugs can be added back:</w:t>
      </w:r>
    </w:p>
    <w:p w14:paraId="46509AA6" w14:textId="440A6465" w:rsidR="001C7A69" w:rsidRPr="009D1960" w:rsidRDefault="001C7A69" w:rsidP="00CB2F8E">
      <w:pPr>
        <w:pStyle w:val="ListNumber2"/>
        <w:numPr>
          <w:ilvl w:val="0"/>
          <w:numId w:val="13"/>
        </w:numPr>
        <w:rPr>
          <w:rFonts w:asciiTheme="minorHAnsi" w:hAnsiTheme="minorHAnsi" w:cstheme="minorHAnsi"/>
          <w:color w:val="000000" w:themeColor="text1"/>
        </w:rPr>
      </w:pPr>
      <w:r w:rsidRPr="009D1960">
        <w:rPr>
          <w:rFonts w:asciiTheme="minorHAnsi" w:hAnsiTheme="minorHAnsi" w:cstheme="minorHAnsi"/>
          <w:color w:val="000000" w:themeColor="text1"/>
        </w:rPr>
        <w:t>If the patient is on any non-TB drugs that are prolong the QT interval</w:t>
      </w:r>
      <w:r w:rsidR="006961EE">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consider suspending them. </w:t>
      </w:r>
    </w:p>
    <w:p w14:paraId="1D49B609" w14:textId="7F1C469A" w:rsidR="001C7A69" w:rsidRPr="009D1960" w:rsidRDefault="001C7A69" w:rsidP="00CB2F8E">
      <w:pPr>
        <w:pStyle w:val="ListNumber2"/>
        <w:numPr>
          <w:ilvl w:val="0"/>
          <w:numId w:val="13"/>
        </w:numPr>
        <w:rPr>
          <w:rFonts w:asciiTheme="minorHAnsi" w:hAnsiTheme="minorHAnsi" w:cstheme="minorHAnsi"/>
          <w:color w:val="000000" w:themeColor="text1"/>
        </w:rPr>
      </w:pPr>
      <w:r w:rsidRPr="009D1960">
        <w:rPr>
          <w:rFonts w:asciiTheme="minorHAnsi" w:hAnsiTheme="minorHAnsi" w:cstheme="minorHAnsi"/>
          <w:color w:val="000000" w:themeColor="text1"/>
        </w:rPr>
        <w:t xml:space="preserve">If the patient </w:t>
      </w:r>
      <w:r w:rsidR="006961EE">
        <w:rPr>
          <w:rFonts w:asciiTheme="minorHAnsi" w:hAnsiTheme="minorHAnsi" w:cstheme="minorHAnsi"/>
          <w:color w:val="000000" w:themeColor="text1"/>
        </w:rPr>
        <w:t>is</w:t>
      </w:r>
      <w:r w:rsidRPr="009D1960">
        <w:rPr>
          <w:rFonts w:asciiTheme="minorHAnsi" w:hAnsiTheme="minorHAnsi" w:cstheme="minorHAnsi"/>
          <w:color w:val="000000" w:themeColor="text1"/>
        </w:rPr>
        <w:t xml:space="preserve"> on moxifloxacin</w:t>
      </w:r>
      <w:r w:rsidR="006961EE">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consider using levofloxacin instead. </w:t>
      </w:r>
    </w:p>
    <w:p w14:paraId="2FD9480B" w14:textId="57DF2427" w:rsidR="001C7A69" w:rsidRPr="009D1960" w:rsidRDefault="001C7A69" w:rsidP="00CB2F8E">
      <w:pPr>
        <w:pStyle w:val="ListNumber2"/>
        <w:numPr>
          <w:ilvl w:val="0"/>
          <w:numId w:val="13"/>
        </w:numPr>
        <w:rPr>
          <w:rFonts w:asciiTheme="minorHAnsi" w:hAnsiTheme="minorHAnsi" w:cstheme="minorHAnsi"/>
          <w:color w:val="000000" w:themeColor="text1"/>
        </w:rPr>
      </w:pPr>
      <w:r w:rsidRPr="009D1960">
        <w:rPr>
          <w:rFonts w:asciiTheme="minorHAnsi" w:hAnsiTheme="minorHAnsi" w:cstheme="minorHAnsi"/>
          <w:color w:val="000000" w:themeColor="text1"/>
        </w:rPr>
        <w:t xml:space="preserve">If the patient </w:t>
      </w:r>
      <w:r w:rsidR="006961EE">
        <w:rPr>
          <w:rFonts w:asciiTheme="minorHAnsi" w:hAnsiTheme="minorHAnsi" w:cstheme="minorHAnsi"/>
          <w:color w:val="000000" w:themeColor="text1"/>
        </w:rPr>
        <w:t>is</w:t>
      </w:r>
      <w:r w:rsidRPr="009D1960">
        <w:rPr>
          <w:rFonts w:asciiTheme="minorHAnsi" w:hAnsiTheme="minorHAnsi" w:cstheme="minorHAnsi"/>
          <w:color w:val="000000" w:themeColor="text1"/>
        </w:rPr>
        <w:t xml:space="preserve"> on clofazimine</w:t>
      </w:r>
      <w:r w:rsidR="006961EE">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consider suspending it permanently if not critical to the regimen.</w:t>
      </w:r>
    </w:p>
    <w:p w14:paraId="3DADA07E" w14:textId="7B0D0717" w:rsidR="001C7A69" w:rsidRPr="009D1960" w:rsidRDefault="001C7A69" w:rsidP="00CB2F8E">
      <w:pPr>
        <w:pStyle w:val="ListNumber2"/>
        <w:numPr>
          <w:ilvl w:val="0"/>
          <w:numId w:val="13"/>
        </w:numPr>
        <w:rPr>
          <w:rFonts w:asciiTheme="minorHAnsi" w:hAnsiTheme="minorHAnsi" w:cstheme="minorHAnsi"/>
          <w:color w:val="000000" w:themeColor="text1"/>
        </w:rPr>
      </w:pPr>
      <w:r w:rsidRPr="009D1960">
        <w:rPr>
          <w:rFonts w:asciiTheme="minorHAnsi" w:hAnsiTheme="minorHAnsi" w:cstheme="minorHAnsi"/>
          <w:color w:val="000000" w:themeColor="text1"/>
        </w:rPr>
        <w:t>If the patient i</w:t>
      </w:r>
      <w:r w:rsidR="006961EE">
        <w:rPr>
          <w:rFonts w:asciiTheme="minorHAnsi" w:hAnsiTheme="minorHAnsi" w:cstheme="minorHAnsi"/>
          <w:color w:val="000000" w:themeColor="text1"/>
        </w:rPr>
        <w:t>s</w:t>
      </w:r>
      <w:r w:rsidRPr="009D1960">
        <w:rPr>
          <w:rFonts w:asciiTheme="minorHAnsi" w:hAnsiTheme="minorHAnsi" w:cstheme="minorHAnsi"/>
          <w:color w:val="000000" w:themeColor="text1"/>
        </w:rPr>
        <w:t xml:space="preserve"> on bedaquiline and it is considered critical to the regimen, consider adding the drug back to the patient’s regimen while suspending all other QT prolonging drugs (with the exception of stopping ART, which should not normally be suspended in the management of QT prolongation).  </w:t>
      </w:r>
    </w:p>
    <w:p w14:paraId="48F2DB16" w14:textId="77777777" w:rsidR="001C7A69" w:rsidRPr="009D1960" w:rsidRDefault="001C7A69" w:rsidP="00CB2F8E">
      <w:pPr>
        <w:pStyle w:val="ListNumber2"/>
        <w:numPr>
          <w:ilvl w:val="0"/>
          <w:numId w:val="13"/>
        </w:numPr>
        <w:rPr>
          <w:rFonts w:asciiTheme="minorHAnsi" w:hAnsiTheme="minorHAnsi" w:cstheme="minorHAnsi"/>
          <w:color w:val="000000" w:themeColor="text1"/>
        </w:rPr>
      </w:pPr>
      <w:r w:rsidRPr="009D1960">
        <w:rPr>
          <w:rFonts w:asciiTheme="minorHAnsi" w:hAnsiTheme="minorHAnsi" w:cstheme="minorHAnsi"/>
          <w:color w:val="000000" w:themeColor="text1"/>
        </w:rPr>
        <w:t xml:space="preserve">If the patient is on delamanid and it is considered critical to the regimen, consider adding the drug back to the patient’s regimen while suspending all other QT prolonging drugs (with the exception of stopping ART, which should not normally be suspended in the management of QT prolongation).  </w:t>
      </w:r>
    </w:p>
    <w:p w14:paraId="6F8D10EF" w14:textId="77777777" w:rsidR="003751EA" w:rsidRDefault="003751EA" w:rsidP="003751EA">
      <w:pPr>
        <w:rPr>
          <w:rFonts w:asciiTheme="minorHAnsi" w:hAnsiTheme="minorHAnsi"/>
          <w:b/>
          <w:bCs/>
          <w:i/>
          <w:iCs/>
        </w:rPr>
      </w:pPr>
      <w:bookmarkStart w:id="244" w:name="h.1egqt2p" w:colFirst="0" w:colLast="0"/>
      <w:bookmarkStart w:id="245" w:name="_Toc12792975"/>
      <w:bookmarkStart w:id="246" w:name="_Toc12887215"/>
      <w:bookmarkStart w:id="247" w:name="_Toc12962688"/>
      <w:bookmarkStart w:id="248" w:name="_Toc12966916"/>
      <w:bookmarkEnd w:id="244"/>
    </w:p>
    <w:p w14:paraId="27CBC89D" w14:textId="33E4E760" w:rsidR="001C7A69" w:rsidRPr="003751EA" w:rsidRDefault="001C7A69" w:rsidP="003751EA">
      <w:pPr>
        <w:rPr>
          <w:rFonts w:asciiTheme="minorHAnsi" w:hAnsiTheme="minorHAnsi"/>
          <w:b/>
          <w:bCs/>
          <w:i/>
          <w:iCs/>
        </w:rPr>
      </w:pPr>
      <w:r w:rsidRPr="003751EA">
        <w:rPr>
          <w:rFonts w:asciiTheme="minorHAnsi" w:hAnsiTheme="minorHAnsi"/>
          <w:b/>
          <w:bCs/>
          <w:i/>
          <w:iCs/>
        </w:rPr>
        <w:t>Optic nerve disorder (optic neuritis)</w:t>
      </w:r>
      <w:bookmarkEnd w:id="245"/>
      <w:bookmarkEnd w:id="246"/>
      <w:bookmarkEnd w:id="247"/>
      <w:bookmarkEnd w:id="248"/>
    </w:p>
    <w:p w14:paraId="4FDBFEE8" w14:textId="2EBDBB13"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anti-TB drug causes: Lzd, E, Eto/Pto, rifabutin, H, S</w:t>
      </w:r>
    </w:p>
    <w:p w14:paraId="45CEFC3F" w14:textId="3FBE8ABD"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other causes: ddI</w:t>
      </w:r>
    </w:p>
    <w:p w14:paraId="30AFE14B"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lastRenderedPageBreak/>
        <w:t>Optic neuritis is inflammation of the optic nerve eventually resulting in permanent vision loss. The first sign of optic neuritis is usually the loss of red-green color distinction. This is best tested using the Ishihara test. Other symptoms include central scotomas.</w:t>
      </w:r>
    </w:p>
    <w:p w14:paraId="6662BD01"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Linezolid is by far the most common cause of optic neuritis amongst all of the TB drugs. In a clinical trial of linezolid, 18% of patients eventually developed optic neuritis, mostly after four months of treatment.</w:t>
      </w:r>
    </w:p>
    <w:p w14:paraId="74F9C97E" w14:textId="6D1AF7BB" w:rsidR="001C7A69"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Patients with diabetes are at increased risk for optic neuritis. They should be managed with tight glucose control as a means of prevention. Patients with advanced kidney disease are also at increased risk for optic neuritis.</w:t>
      </w:r>
    </w:p>
    <w:p w14:paraId="3E9EAC28" w14:textId="665D3241" w:rsidR="004C6086" w:rsidRPr="009D1960" w:rsidRDefault="004C6086" w:rsidP="001C7A69">
      <w:pPr>
        <w:pStyle w:val="ListBullet"/>
        <w:rPr>
          <w:rFonts w:asciiTheme="minorHAnsi" w:hAnsiTheme="minorHAnsi" w:cstheme="minorHAnsi"/>
          <w:color w:val="000000" w:themeColor="text1"/>
        </w:rPr>
      </w:pPr>
      <w:r>
        <w:t>Visual acuity may be difficult to formally assess in young children and age-appropriate visual screening tests should be used.  Visual acuity can also be assessed with object tracking, especially using bright objects or toys.  Symptoms of diminished visual acuity in children may include bumping into walls or objects, tripping, and inability to grasp or find objects.</w:t>
      </w:r>
    </w:p>
    <w:p w14:paraId="2DB3E9D3" w14:textId="7C4D84EF" w:rsidR="001C7A69" w:rsidRPr="005B2970" w:rsidRDefault="001C7A69" w:rsidP="002C4FED">
      <w:pPr>
        <w:pStyle w:val="Heading3"/>
        <w:rPr>
          <w:rFonts w:asciiTheme="minorHAnsi" w:hAnsiTheme="minorHAnsi"/>
        </w:rPr>
      </w:pPr>
      <w:bookmarkStart w:id="249" w:name="h.3ygebqi" w:colFirst="0" w:colLast="0"/>
      <w:bookmarkStart w:id="250" w:name="_Toc12885981"/>
      <w:bookmarkStart w:id="251" w:name="_Toc12886228"/>
      <w:bookmarkStart w:id="252" w:name="_Toc13486775"/>
      <w:bookmarkEnd w:id="249"/>
      <w:r w:rsidRPr="005B2970">
        <w:rPr>
          <w:rFonts w:asciiTheme="minorHAnsi" w:hAnsiTheme="minorHAnsi"/>
        </w:rPr>
        <w:t xml:space="preserve">Table </w:t>
      </w:r>
      <w:r w:rsidR="002C4FED" w:rsidRPr="005B2970">
        <w:rPr>
          <w:rFonts w:asciiTheme="minorHAnsi" w:hAnsiTheme="minorHAnsi"/>
        </w:rPr>
        <w:t>1</w:t>
      </w:r>
      <w:r w:rsidR="003F19E7" w:rsidRPr="005B2970">
        <w:rPr>
          <w:rFonts w:asciiTheme="minorHAnsi" w:hAnsiTheme="minorHAnsi"/>
        </w:rPr>
        <w:t>7</w:t>
      </w:r>
      <w:r w:rsidRPr="005B2970">
        <w:rPr>
          <w:rFonts w:asciiTheme="minorHAnsi" w:hAnsiTheme="minorHAnsi"/>
        </w:rPr>
        <w:t xml:space="preserve"> </w:t>
      </w:r>
      <w:r w:rsidRPr="005B2970">
        <w:rPr>
          <w:rStyle w:val="IntenseEmphasis"/>
          <w:rFonts w:asciiTheme="minorHAnsi" w:hAnsiTheme="minorHAnsi"/>
          <w:b/>
          <w:bCs/>
          <w:i/>
          <w:color w:val="000000" w:themeColor="text1"/>
        </w:rPr>
        <w:t>Clinical management of optic nerve disorder according to severity grading</w:t>
      </w:r>
      <w:bookmarkEnd w:id="250"/>
      <w:bookmarkEnd w:id="251"/>
      <w:bookmarkEnd w:id="252"/>
    </w:p>
    <w:tbl>
      <w:tblPr>
        <w:tblW w:w="5261"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1509"/>
        <w:gridCol w:w="1992"/>
        <w:gridCol w:w="1992"/>
        <w:gridCol w:w="1992"/>
        <w:gridCol w:w="1992"/>
      </w:tblGrid>
      <w:tr w:rsidR="001C7A69" w:rsidRPr="005B2970" w14:paraId="136C7F70" w14:textId="77777777" w:rsidTr="00117B2E">
        <w:trPr>
          <w:trHeight w:val="479"/>
          <w:tblHeader/>
        </w:trPr>
        <w:tc>
          <w:tcPr>
            <w:tcW w:w="796" w:type="pct"/>
            <w:tcBorders>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6A1E11A7" w14:textId="77777777" w:rsidR="001C7A69" w:rsidRPr="005B2970" w:rsidRDefault="001C7A69" w:rsidP="000A384C">
            <w:pPr>
              <w:pStyle w:val="Tabletext"/>
              <w:rPr>
                <w:rFonts w:asciiTheme="minorHAnsi" w:hAnsiTheme="minorHAnsi"/>
                <w:b/>
                <w:bCs/>
                <w:color w:val="FFFFFF" w:themeColor="background1"/>
              </w:rPr>
            </w:pPr>
            <w:r w:rsidRPr="005B2970">
              <w:rPr>
                <w:rFonts w:asciiTheme="minorHAnsi" w:hAnsiTheme="minorHAnsi"/>
                <w:b/>
                <w:bCs/>
                <w:color w:val="FFFFFF" w:themeColor="background1"/>
              </w:rPr>
              <w:t>Severity grade*</w:t>
            </w:r>
          </w:p>
        </w:tc>
        <w:tc>
          <w:tcPr>
            <w:tcW w:w="1051"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E9810E2" w14:textId="77777777" w:rsidR="001C7A69" w:rsidRPr="005B2970" w:rsidRDefault="001C7A69" w:rsidP="000A384C">
            <w:pPr>
              <w:pStyle w:val="Tabletext"/>
              <w:rPr>
                <w:rFonts w:asciiTheme="minorHAnsi" w:hAnsiTheme="minorHAnsi"/>
                <w:b/>
                <w:bCs/>
                <w:color w:val="FFFFFF" w:themeColor="background1"/>
              </w:rPr>
            </w:pPr>
            <w:r w:rsidRPr="005B2970">
              <w:rPr>
                <w:rFonts w:asciiTheme="minorHAnsi" w:hAnsiTheme="minorHAnsi"/>
                <w:b/>
                <w:bCs/>
                <w:color w:val="FFFFFF" w:themeColor="background1"/>
              </w:rPr>
              <w:t>Grade 1 Mild</w:t>
            </w:r>
          </w:p>
        </w:tc>
        <w:tc>
          <w:tcPr>
            <w:tcW w:w="1051"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4ACC6014" w14:textId="77777777" w:rsidR="001C7A69" w:rsidRPr="005B2970" w:rsidRDefault="001C7A69" w:rsidP="000A384C">
            <w:pPr>
              <w:pStyle w:val="Tabletext"/>
              <w:rPr>
                <w:rFonts w:asciiTheme="minorHAnsi" w:hAnsiTheme="minorHAnsi"/>
                <w:b/>
                <w:bCs/>
                <w:color w:val="FFFFFF" w:themeColor="background1"/>
              </w:rPr>
            </w:pPr>
            <w:r w:rsidRPr="005B2970">
              <w:rPr>
                <w:rFonts w:asciiTheme="minorHAnsi" w:hAnsiTheme="minorHAnsi"/>
                <w:b/>
                <w:bCs/>
                <w:color w:val="FFFFFF" w:themeColor="background1"/>
              </w:rPr>
              <w:t>Grade 2 Moderate</w:t>
            </w:r>
          </w:p>
        </w:tc>
        <w:tc>
          <w:tcPr>
            <w:tcW w:w="1051"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D8EBF07" w14:textId="77777777" w:rsidR="001C7A69" w:rsidRPr="005B2970" w:rsidRDefault="001C7A69" w:rsidP="000A384C">
            <w:pPr>
              <w:pStyle w:val="Tabletext"/>
              <w:rPr>
                <w:rFonts w:asciiTheme="minorHAnsi" w:hAnsiTheme="minorHAnsi"/>
                <w:b/>
                <w:bCs/>
                <w:color w:val="FFFFFF" w:themeColor="background1"/>
              </w:rPr>
            </w:pPr>
            <w:r w:rsidRPr="005B2970">
              <w:rPr>
                <w:rFonts w:asciiTheme="minorHAnsi" w:hAnsiTheme="minorHAnsi"/>
                <w:b/>
                <w:bCs/>
                <w:color w:val="FFFFFF" w:themeColor="background1"/>
              </w:rPr>
              <w:t>Grade 3 Severe</w:t>
            </w:r>
          </w:p>
        </w:tc>
        <w:tc>
          <w:tcPr>
            <w:tcW w:w="1052"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08432844" w14:textId="77777777" w:rsidR="001C7A69" w:rsidRPr="005B2970" w:rsidRDefault="001C7A69" w:rsidP="000A384C">
            <w:pPr>
              <w:pStyle w:val="Tabletext"/>
              <w:rPr>
                <w:rFonts w:asciiTheme="minorHAnsi" w:hAnsiTheme="minorHAnsi"/>
                <w:b/>
                <w:bCs/>
                <w:color w:val="FFFFFF" w:themeColor="background1"/>
              </w:rPr>
            </w:pPr>
            <w:r w:rsidRPr="005B2970">
              <w:rPr>
                <w:rFonts w:asciiTheme="minorHAnsi" w:hAnsiTheme="minorHAnsi"/>
                <w:b/>
                <w:bCs/>
                <w:color w:val="FFFFFF" w:themeColor="background1"/>
              </w:rPr>
              <w:t>Grade 4 Life-threatening</w:t>
            </w:r>
          </w:p>
        </w:tc>
      </w:tr>
      <w:tr w:rsidR="001C7A69" w:rsidRPr="005B2970" w14:paraId="03504A54" w14:textId="77777777" w:rsidTr="00117B2E">
        <w:trPr>
          <w:trHeight w:val="20"/>
        </w:trPr>
        <w:tc>
          <w:tcPr>
            <w:tcW w:w="796" w:type="pct"/>
            <w:tcBorders>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461B125" w14:textId="77777777"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Optic nerve disorder</w:t>
            </w:r>
          </w:p>
        </w:tc>
        <w:tc>
          <w:tcPr>
            <w:tcW w:w="1051"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2D5C0E3" w14:textId="77777777"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Asymptomatic; clinical or diagnostic observations only</w:t>
            </w:r>
          </w:p>
        </w:tc>
        <w:tc>
          <w:tcPr>
            <w:tcW w:w="1051"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9E7063C" w14:textId="77777777" w:rsidR="007C2732"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Limiting vision of the affected eye</w:t>
            </w:r>
            <w:r w:rsidR="007C2732">
              <w:rPr>
                <w:rFonts w:asciiTheme="minorHAnsi" w:hAnsiTheme="minorHAnsi"/>
                <w:color w:val="000000" w:themeColor="text1"/>
              </w:rPr>
              <w:t>:</w:t>
            </w:r>
          </w:p>
          <w:p w14:paraId="0D55CC9D" w14:textId="05CB8887" w:rsidR="001C7A69" w:rsidRPr="005B2970" w:rsidRDefault="001C7A69" w:rsidP="007C2732">
            <w:pPr>
              <w:pStyle w:val="Tabletext"/>
              <w:rPr>
                <w:rFonts w:asciiTheme="minorHAnsi" w:hAnsiTheme="minorHAnsi"/>
                <w:color w:val="000000" w:themeColor="text1"/>
              </w:rPr>
            </w:pPr>
            <w:r w:rsidRPr="005B2970">
              <w:rPr>
                <w:rFonts w:asciiTheme="minorHAnsi" w:hAnsiTheme="minorHAnsi"/>
                <w:color w:val="000000" w:themeColor="text1"/>
              </w:rPr>
              <w:t>20/40 [6/12]</w:t>
            </w:r>
            <w:r w:rsidR="007C2732">
              <w:rPr>
                <w:rFonts w:asciiTheme="minorHAnsi" w:hAnsiTheme="minorHAnsi"/>
                <w:color w:val="000000" w:themeColor="text1"/>
              </w:rPr>
              <w:t>,</w:t>
            </w:r>
            <w:r w:rsidRPr="005B2970">
              <w:rPr>
                <w:rFonts w:asciiTheme="minorHAnsi" w:hAnsiTheme="minorHAnsi"/>
                <w:color w:val="000000" w:themeColor="text1"/>
              </w:rPr>
              <w:t xml:space="preserve"> or better</w:t>
            </w:r>
          </w:p>
        </w:tc>
        <w:tc>
          <w:tcPr>
            <w:tcW w:w="1051"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A3B5C58" w14:textId="369DC1CB" w:rsidR="007C2732"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Limiting vision in the affected eye</w:t>
            </w:r>
            <w:r w:rsidR="007C2732">
              <w:rPr>
                <w:rFonts w:asciiTheme="minorHAnsi" w:hAnsiTheme="minorHAnsi"/>
                <w:color w:val="000000" w:themeColor="text1"/>
              </w:rPr>
              <w:t>:</w:t>
            </w:r>
          </w:p>
          <w:p w14:paraId="2F975829" w14:textId="5D205BFD" w:rsidR="001C7A69" w:rsidRPr="005B2970" w:rsidRDefault="007C2732" w:rsidP="000A384C">
            <w:pPr>
              <w:pStyle w:val="Tabletext"/>
              <w:rPr>
                <w:rFonts w:asciiTheme="minorHAnsi" w:hAnsiTheme="minorHAnsi"/>
                <w:color w:val="000000" w:themeColor="text1"/>
              </w:rPr>
            </w:pPr>
            <w:r>
              <w:rPr>
                <w:rFonts w:asciiTheme="minorHAnsi" w:hAnsiTheme="minorHAnsi"/>
                <w:color w:val="000000" w:themeColor="text1"/>
              </w:rPr>
              <w:t>W</w:t>
            </w:r>
            <w:r w:rsidR="001C7A69" w:rsidRPr="005B2970">
              <w:rPr>
                <w:rFonts w:asciiTheme="minorHAnsi" w:hAnsiTheme="minorHAnsi"/>
                <w:color w:val="000000" w:themeColor="text1"/>
              </w:rPr>
              <w:t>orse than 20/40 [6/12] but better than 20/200 [6/60]</w:t>
            </w:r>
          </w:p>
        </w:tc>
        <w:tc>
          <w:tcPr>
            <w:tcW w:w="1052"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67B38D7" w14:textId="2ACEAD05" w:rsidR="007C2732"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Blindness</w:t>
            </w:r>
            <w:r w:rsidR="007C2732">
              <w:rPr>
                <w:rFonts w:asciiTheme="minorHAnsi" w:hAnsiTheme="minorHAnsi"/>
                <w:color w:val="000000" w:themeColor="text1"/>
              </w:rPr>
              <w:t xml:space="preserve"> in the affected eye:</w:t>
            </w:r>
          </w:p>
          <w:p w14:paraId="5C1DEE6A" w14:textId="73667C9F"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 xml:space="preserve">20/200 [6/60] or worse </w:t>
            </w:r>
          </w:p>
        </w:tc>
      </w:tr>
      <w:tr w:rsidR="001C7A69" w:rsidRPr="005B2970" w14:paraId="0A41A29E" w14:textId="77777777" w:rsidTr="00117B2E">
        <w:trPr>
          <w:trHeight w:val="1358"/>
        </w:trPr>
        <w:tc>
          <w:tcPr>
            <w:tcW w:w="796" w:type="pct"/>
            <w:tcBorders>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A40289F" w14:textId="77777777"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Action</w:t>
            </w:r>
          </w:p>
        </w:tc>
        <w:tc>
          <w:tcPr>
            <w:tcW w:w="1051"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A6326C4" w14:textId="362AEB1E"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Stop Lzd immediately if there are any suspicions of optic neuritis. Do not restart it.</w:t>
            </w:r>
          </w:p>
        </w:tc>
        <w:tc>
          <w:tcPr>
            <w:tcW w:w="1051"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8D3173A" w14:textId="77777777"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Stop Lzd immediately if there are any suspicions of optic neuritis. Do not restart it.</w:t>
            </w:r>
          </w:p>
        </w:tc>
        <w:tc>
          <w:tcPr>
            <w:tcW w:w="1051"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52EE6BC" w14:textId="77777777"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Stop Lzd immediately if there are any suspicions of optic neuritis. Do not restart it.</w:t>
            </w:r>
          </w:p>
        </w:tc>
        <w:tc>
          <w:tcPr>
            <w:tcW w:w="1052"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3568BE4" w14:textId="77777777"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rPr>
              <w:t>Stop Lzd immediately if there are any suspicions of optic neuritis. Do not restart it.</w:t>
            </w:r>
          </w:p>
        </w:tc>
      </w:tr>
      <w:tr w:rsidR="001C7A69" w:rsidRPr="005B2970" w14:paraId="3CA801FB" w14:textId="77777777" w:rsidTr="00117B2E">
        <w:trPr>
          <w:trHeight w:val="253"/>
        </w:trPr>
        <w:tc>
          <w:tcPr>
            <w:tcW w:w="5000" w:type="pct"/>
            <w:gridSpan w:val="5"/>
            <w:tcBorders>
              <w:left w:val="nil"/>
              <w:bottom w:val="nil"/>
              <w:right w:val="nil"/>
            </w:tcBorders>
            <w:shd w:val="clear" w:color="auto" w:fill="FFFFFF" w:themeFill="background1"/>
            <w:tcMar>
              <w:top w:w="100" w:type="dxa"/>
              <w:left w:w="100" w:type="dxa"/>
              <w:bottom w:w="100" w:type="dxa"/>
              <w:right w:w="100" w:type="dxa"/>
            </w:tcMar>
          </w:tcPr>
          <w:p w14:paraId="13083362" w14:textId="77777777" w:rsidR="001C7A69" w:rsidRPr="005B2970" w:rsidRDefault="001C7A69" w:rsidP="000A384C">
            <w:pPr>
              <w:pStyle w:val="Tabletext"/>
              <w:rPr>
                <w:rFonts w:asciiTheme="minorHAnsi" w:hAnsiTheme="minorHAnsi"/>
                <w:color w:val="000000" w:themeColor="text1"/>
              </w:rPr>
            </w:pPr>
            <w:r w:rsidRPr="005B2970">
              <w:rPr>
                <w:rFonts w:asciiTheme="minorHAnsi" w:hAnsiTheme="minorHAnsi"/>
                <w:color w:val="000000" w:themeColor="text1"/>
                <w:sz w:val="16"/>
                <w:szCs w:val="20"/>
              </w:rPr>
              <w:t>*NCI Common Terminology Criteria for Adverse Event, v.4.03 14-Jun-2010.</w:t>
            </w:r>
          </w:p>
        </w:tc>
      </w:tr>
    </w:tbl>
    <w:p w14:paraId="1460C9AF" w14:textId="77777777"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Suggested management strategy:</w:t>
      </w:r>
    </w:p>
    <w:p w14:paraId="60260DB2"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Do not restart the suspected causative drug (linezolid or ethambutol).</w:t>
      </w:r>
    </w:p>
    <w:p w14:paraId="2EE85EAD"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Refer patient to an ophthalmologist for immediate evaluation and management.</w:t>
      </w:r>
    </w:p>
    <w:p w14:paraId="2384D3BD"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Optic neuritis generally improves following cessation of offending drug, if it can be stopped early enough.</w:t>
      </w:r>
    </w:p>
    <w:p w14:paraId="39BBB8AD"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Consider additional anti-TB drugs to reinforce the regimen.</w:t>
      </w:r>
    </w:p>
    <w:p w14:paraId="103BD963" w14:textId="77777777" w:rsidR="00F10023" w:rsidRDefault="00F10023" w:rsidP="00003170">
      <w:pPr>
        <w:pStyle w:val="Heading3"/>
        <w:rPr>
          <w:rFonts w:asciiTheme="minorHAnsi" w:hAnsiTheme="minorHAnsi" w:cstheme="minorHAnsi"/>
        </w:rPr>
      </w:pPr>
      <w:bookmarkStart w:id="253" w:name="h.2dlolyb" w:colFirst="0" w:colLast="0"/>
      <w:bookmarkStart w:id="254" w:name="_Toc12792976"/>
      <w:bookmarkStart w:id="255" w:name="_Toc12887217"/>
      <w:bookmarkStart w:id="256" w:name="_Toc12962690"/>
      <w:bookmarkStart w:id="257" w:name="_Toc12966918"/>
      <w:bookmarkEnd w:id="253"/>
    </w:p>
    <w:p w14:paraId="71A89578" w14:textId="278ABB30" w:rsidR="001C7A69" w:rsidRPr="009651AD" w:rsidRDefault="001C7A69" w:rsidP="009651AD">
      <w:pPr>
        <w:rPr>
          <w:rFonts w:asciiTheme="minorHAnsi" w:hAnsiTheme="minorHAnsi"/>
          <w:b/>
          <w:bCs/>
          <w:i/>
          <w:iCs/>
        </w:rPr>
      </w:pPr>
      <w:r w:rsidRPr="009651AD">
        <w:rPr>
          <w:rFonts w:asciiTheme="minorHAnsi" w:hAnsiTheme="minorHAnsi"/>
          <w:b/>
          <w:bCs/>
          <w:i/>
          <w:iCs/>
        </w:rPr>
        <w:t>Elevated liver enzymes (hepatotoxicity)</w:t>
      </w:r>
      <w:bookmarkEnd w:id="254"/>
      <w:bookmarkEnd w:id="255"/>
      <w:bookmarkEnd w:id="256"/>
      <w:bookmarkEnd w:id="257"/>
      <w:r w:rsidRPr="009651AD">
        <w:rPr>
          <w:rFonts w:asciiTheme="minorHAnsi" w:hAnsiTheme="minorHAnsi"/>
          <w:b/>
          <w:bCs/>
          <w:i/>
          <w:iCs/>
        </w:rPr>
        <w:t xml:space="preserve"> </w:t>
      </w:r>
    </w:p>
    <w:p w14:paraId="6B7B0784" w14:textId="443BD49F"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 xml:space="preserve">Possible anti-TB drug causes: Z, H, Cfz, PAS, Eto/Pto, Bdq, FQ, Amx/Clv </w:t>
      </w:r>
    </w:p>
    <w:p w14:paraId="69DC3495" w14:textId="7FF3DC0F"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other causes: viral hepatitis (A, B, C), NVP, many other drugs</w:t>
      </w:r>
      <w:r w:rsidR="0009660D">
        <w:rPr>
          <w:rFonts w:asciiTheme="minorHAnsi" w:hAnsiTheme="minorHAnsi" w:cstheme="minorHAnsi"/>
          <w:b/>
          <w:bCs/>
          <w:color w:val="000000" w:themeColor="text1"/>
        </w:rPr>
        <w:t xml:space="preserve">, alcohol </w:t>
      </w:r>
    </w:p>
    <w:p w14:paraId="3FDA2C0B" w14:textId="77777777"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lastRenderedPageBreak/>
        <w:t>Hepatitis is characterized by nausea, vomiting, jaundice, scleral icterus, tea-colored urine, pale stool, and diminished appetite in the setting of elevated liver function tests.</w:t>
      </w:r>
    </w:p>
    <w:p w14:paraId="2FD87BC3" w14:textId="3A09A42E"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Mild elevation of liver enzymes</w:t>
      </w:r>
      <w:r w:rsidR="00542AD0">
        <w:rPr>
          <w:rFonts w:asciiTheme="minorHAnsi" w:hAnsiTheme="minorHAnsi" w:cstheme="minorHAnsi"/>
          <w:color w:val="000000" w:themeColor="text1"/>
        </w:rPr>
        <w:t xml:space="preserve"> (</w:t>
      </w:r>
      <w:r w:rsidRPr="009D1960">
        <w:rPr>
          <w:rFonts w:asciiTheme="minorHAnsi" w:hAnsiTheme="minorHAnsi" w:cstheme="minorHAnsi"/>
          <w:color w:val="000000" w:themeColor="text1"/>
        </w:rPr>
        <w:t>especially at baseline</w:t>
      </w:r>
      <w:r w:rsidR="00542AD0">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may be related to TB rather than an adverse effect of treatment.</w:t>
      </w:r>
    </w:p>
    <w:p w14:paraId="1F10B28C" w14:textId="1EEC5D31"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Generally</w:t>
      </w:r>
      <w:r w:rsidR="00542AD0">
        <w:rPr>
          <w:rFonts w:asciiTheme="minorHAnsi" w:hAnsiTheme="minorHAnsi" w:cstheme="minorHAnsi"/>
          <w:color w:val="000000" w:themeColor="text1"/>
        </w:rPr>
        <w:t>,</w:t>
      </w:r>
      <w:r w:rsidRPr="009D1960">
        <w:rPr>
          <w:rFonts w:asciiTheme="minorHAnsi" w:hAnsiTheme="minorHAnsi" w:cstheme="minorHAnsi"/>
          <w:color w:val="000000" w:themeColor="text1"/>
        </w:rPr>
        <w:t xml:space="preserve"> hepatotoxicity due to medications resolves upon discontinuation of suspected drug.</w:t>
      </w:r>
    </w:p>
    <w:p w14:paraId="5E9E5C01" w14:textId="6CBFEA8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In HIV co</w:t>
      </w:r>
      <w:r w:rsidR="00542AD0">
        <w:rPr>
          <w:rFonts w:asciiTheme="minorHAnsi" w:hAnsiTheme="minorHAnsi" w:cstheme="minorHAnsi"/>
          <w:color w:val="000000" w:themeColor="text1"/>
        </w:rPr>
        <w:t>-</w:t>
      </w:r>
      <w:r w:rsidRPr="009D1960">
        <w:rPr>
          <w:rFonts w:asciiTheme="minorHAnsi" w:hAnsiTheme="minorHAnsi" w:cstheme="minorHAnsi"/>
          <w:color w:val="000000" w:themeColor="text1"/>
        </w:rPr>
        <w:t>infection, cotrimoxazole can be a cause of hepatotoxicity.</w:t>
      </w:r>
    </w:p>
    <w:p w14:paraId="7C3C8693" w14:textId="4C8324ED" w:rsidR="001C7A69"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NVP hepatotoxicity usually occurs shortly after exposure, accompanied by flu-like symptoms with or without rash. It can also happen late as an isolated hepatitis without constitutional symptoms. Patients who experience NVP hepatotoxicity should not be re</w:t>
      </w:r>
      <w:r w:rsidR="00D97DD5">
        <w:rPr>
          <w:rFonts w:asciiTheme="minorHAnsi" w:hAnsiTheme="minorHAnsi" w:cstheme="minorHAnsi"/>
          <w:color w:val="000000" w:themeColor="text1"/>
        </w:rPr>
        <w:t>-</w:t>
      </w:r>
      <w:r w:rsidRPr="009D1960">
        <w:rPr>
          <w:rFonts w:asciiTheme="minorHAnsi" w:hAnsiTheme="minorHAnsi" w:cstheme="minorHAnsi"/>
          <w:color w:val="000000" w:themeColor="text1"/>
        </w:rPr>
        <w:t>challenged.</w:t>
      </w:r>
      <w:bookmarkStart w:id="258" w:name="h.sqyw64" w:colFirst="0" w:colLast="0"/>
      <w:bookmarkEnd w:id="258"/>
    </w:p>
    <w:p w14:paraId="5E2C6C3E" w14:textId="4722A3B7" w:rsidR="00587A9B" w:rsidRPr="009D1960" w:rsidRDefault="006265C4" w:rsidP="001C7A69">
      <w:pPr>
        <w:pStyle w:val="ListBullet"/>
        <w:rPr>
          <w:rFonts w:asciiTheme="minorHAnsi" w:hAnsiTheme="minorHAnsi" w:cstheme="minorHAnsi"/>
          <w:color w:val="000000" w:themeColor="text1"/>
        </w:rPr>
      </w:pPr>
      <w:r>
        <w:rPr>
          <w:rFonts w:asciiTheme="minorHAnsi" w:hAnsiTheme="minorHAnsi" w:cstheme="minorHAnsi"/>
          <w:color w:val="000000" w:themeColor="text1"/>
        </w:rPr>
        <w:t>Chronic a</w:t>
      </w:r>
      <w:r w:rsidR="00587A9B">
        <w:rPr>
          <w:rFonts w:asciiTheme="minorHAnsi" w:hAnsiTheme="minorHAnsi" w:cstheme="minorHAnsi"/>
          <w:color w:val="000000" w:themeColor="text1"/>
        </w:rPr>
        <w:t>lcoholism</w:t>
      </w:r>
      <w:r>
        <w:rPr>
          <w:rFonts w:asciiTheme="minorHAnsi" w:hAnsiTheme="minorHAnsi" w:cstheme="minorHAnsi"/>
          <w:color w:val="000000" w:themeColor="text1"/>
        </w:rPr>
        <w:t xml:space="preserve"> is a major cause of hepatotoxicity in patient with </w:t>
      </w:r>
      <w:r w:rsidR="00B43524">
        <w:rPr>
          <w:rFonts w:asciiTheme="minorHAnsi" w:hAnsiTheme="minorHAnsi" w:cstheme="minorHAnsi"/>
          <w:color w:val="000000" w:themeColor="text1"/>
        </w:rPr>
        <w:t>RR-/MDR-TB.</w:t>
      </w:r>
    </w:p>
    <w:p w14:paraId="3903AB0A" w14:textId="2C2D9C1B" w:rsidR="001C7A69" w:rsidRPr="00542AD0" w:rsidRDefault="001C7A69" w:rsidP="002C4FED">
      <w:pPr>
        <w:pStyle w:val="Heading3"/>
        <w:rPr>
          <w:rStyle w:val="IntenseEmphasis"/>
          <w:rFonts w:asciiTheme="minorHAnsi" w:hAnsiTheme="minorHAnsi"/>
          <w:b/>
          <w:bCs/>
          <w:i/>
          <w:color w:val="000000" w:themeColor="text1"/>
        </w:rPr>
      </w:pPr>
      <w:bookmarkStart w:id="259" w:name="_Toc12885982"/>
      <w:bookmarkStart w:id="260" w:name="_Toc12886229"/>
      <w:bookmarkStart w:id="261" w:name="_Ref12888238"/>
      <w:bookmarkStart w:id="262" w:name="_Ref12888243"/>
      <w:bookmarkStart w:id="263" w:name="_Toc13486776"/>
      <w:r w:rsidRPr="00542AD0">
        <w:rPr>
          <w:rFonts w:asciiTheme="minorHAnsi" w:hAnsiTheme="minorHAnsi"/>
        </w:rPr>
        <w:t xml:space="preserve">Table </w:t>
      </w:r>
      <w:r w:rsidR="002C4FED" w:rsidRPr="00542AD0">
        <w:rPr>
          <w:rFonts w:asciiTheme="minorHAnsi" w:hAnsiTheme="minorHAnsi"/>
        </w:rPr>
        <w:t>1</w:t>
      </w:r>
      <w:r w:rsidR="009C09A0" w:rsidRPr="00542AD0">
        <w:rPr>
          <w:rFonts w:asciiTheme="minorHAnsi" w:hAnsiTheme="minorHAnsi"/>
        </w:rPr>
        <w:t>8</w:t>
      </w:r>
      <w:r w:rsidRPr="00542AD0">
        <w:rPr>
          <w:rFonts w:asciiTheme="minorHAnsi" w:hAnsiTheme="minorHAnsi"/>
        </w:rPr>
        <w:t xml:space="preserve"> </w:t>
      </w:r>
      <w:r w:rsidRPr="00542AD0">
        <w:rPr>
          <w:rStyle w:val="IntenseEmphasis"/>
          <w:rFonts w:asciiTheme="minorHAnsi" w:hAnsiTheme="minorHAnsi"/>
          <w:b/>
          <w:bCs/>
          <w:i/>
          <w:color w:val="000000" w:themeColor="text1"/>
        </w:rPr>
        <w:t>Clinical management of elevated liver enzymes according to severity grading</w:t>
      </w:r>
      <w:bookmarkEnd w:id="259"/>
      <w:bookmarkEnd w:id="260"/>
      <w:bookmarkEnd w:id="261"/>
      <w:bookmarkEnd w:id="262"/>
      <w:bookmarkEnd w:id="263"/>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1581"/>
        <w:gridCol w:w="1845"/>
        <w:gridCol w:w="1845"/>
        <w:gridCol w:w="1845"/>
        <w:gridCol w:w="1891"/>
      </w:tblGrid>
      <w:tr w:rsidR="001C7A69" w:rsidRPr="00542AD0" w14:paraId="64A3646A" w14:textId="77777777" w:rsidTr="00093E2C">
        <w:trPr>
          <w:tblHeader/>
        </w:trPr>
        <w:tc>
          <w:tcPr>
            <w:tcW w:w="878" w:type="pct"/>
            <w:tcBorders>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5CC57F5D" w14:textId="77777777" w:rsidR="001C7A69" w:rsidRPr="00542AD0" w:rsidRDefault="001C7A69" w:rsidP="000A384C">
            <w:pPr>
              <w:pStyle w:val="Tabletext"/>
              <w:rPr>
                <w:rFonts w:asciiTheme="minorHAnsi" w:hAnsiTheme="minorHAnsi"/>
                <w:b/>
                <w:bCs/>
                <w:color w:val="FFFFFF" w:themeColor="background1"/>
              </w:rPr>
            </w:pPr>
            <w:r w:rsidRPr="00542AD0">
              <w:rPr>
                <w:rFonts w:asciiTheme="minorHAnsi" w:hAnsiTheme="minorHAnsi"/>
                <w:b/>
                <w:bCs/>
                <w:color w:val="FFFFFF" w:themeColor="background1"/>
              </w:rPr>
              <w:t>Severity grade*</w:t>
            </w:r>
          </w:p>
        </w:tc>
        <w:tc>
          <w:tcPr>
            <w:tcW w:w="1024"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FB3FFBC" w14:textId="77777777" w:rsidR="001C7A69" w:rsidRPr="00542AD0" w:rsidRDefault="001C7A69" w:rsidP="000A384C">
            <w:pPr>
              <w:pStyle w:val="Tabletext"/>
              <w:rPr>
                <w:rFonts w:asciiTheme="minorHAnsi" w:hAnsiTheme="minorHAnsi"/>
                <w:b/>
                <w:bCs/>
                <w:color w:val="FFFFFF" w:themeColor="background1"/>
              </w:rPr>
            </w:pPr>
            <w:r w:rsidRPr="00542AD0">
              <w:rPr>
                <w:rFonts w:asciiTheme="minorHAnsi" w:hAnsiTheme="minorHAnsi"/>
                <w:b/>
                <w:bCs/>
                <w:color w:val="FFFFFF" w:themeColor="background1"/>
              </w:rPr>
              <w:t>Grade 1 Mild</w:t>
            </w:r>
          </w:p>
        </w:tc>
        <w:tc>
          <w:tcPr>
            <w:tcW w:w="1024"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576686D1" w14:textId="77777777" w:rsidR="001C7A69" w:rsidRPr="00542AD0" w:rsidRDefault="001C7A69" w:rsidP="000A384C">
            <w:pPr>
              <w:pStyle w:val="Tabletext"/>
              <w:rPr>
                <w:rFonts w:asciiTheme="minorHAnsi" w:hAnsiTheme="minorHAnsi"/>
                <w:b/>
                <w:bCs/>
                <w:color w:val="FFFFFF" w:themeColor="background1"/>
              </w:rPr>
            </w:pPr>
            <w:r w:rsidRPr="00542AD0">
              <w:rPr>
                <w:rFonts w:asciiTheme="minorHAnsi" w:hAnsiTheme="minorHAnsi"/>
                <w:b/>
                <w:bCs/>
                <w:color w:val="FFFFFF" w:themeColor="background1"/>
              </w:rPr>
              <w:t>Grade 2 Moderate</w:t>
            </w:r>
          </w:p>
        </w:tc>
        <w:tc>
          <w:tcPr>
            <w:tcW w:w="1024"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34EF09F" w14:textId="77777777" w:rsidR="001C7A69" w:rsidRPr="00542AD0" w:rsidRDefault="001C7A69" w:rsidP="000A384C">
            <w:pPr>
              <w:pStyle w:val="Tabletext"/>
              <w:rPr>
                <w:rFonts w:asciiTheme="minorHAnsi" w:hAnsiTheme="minorHAnsi"/>
                <w:b/>
                <w:bCs/>
                <w:color w:val="FFFFFF" w:themeColor="background1"/>
              </w:rPr>
            </w:pPr>
            <w:r w:rsidRPr="00542AD0">
              <w:rPr>
                <w:rFonts w:asciiTheme="minorHAnsi" w:hAnsiTheme="minorHAnsi"/>
                <w:b/>
                <w:bCs/>
                <w:color w:val="FFFFFF" w:themeColor="background1"/>
              </w:rPr>
              <w:t>Grade 3 Severe</w:t>
            </w:r>
          </w:p>
        </w:tc>
        <w:tc>
          <w:tcPr>
            <w:tcW w:w="1050"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5671BE6E" w14:textId="77777777" w:rsidR="001C7A69" w:rsidRPr="00542AD0" w:rsidRDefault="001C7A69" w:rsidP="000A384C">
            <w:pPr>
              <w:pStyle w:val="Tabletext"/>
              <w:rPr>
                <w:rFonts w:asciiTheme="minorHAnsi" w:hAnsiTheme="minorHAnsi"/>
                <w:b/>
                <w:bCs/>
                <w:color w:val="FFFFFF" w:themeColor="background1"/>
              </w:rPr>
            </w:pPr>
            <w:r w:rsidRPr="00542AD0">
              <w:rPr>
                <w:rFonts w:asciiTheme="minorHAnsi" w:hAnsiTheme="minorHAnsi"/>
                <w:b/>
                <w:bCs/>
                <w:color w:val="FFFFFF" w:themeColor="background1"/>
              </w:rPr>
              <w:t>Grade 4 Life-threatening</w:t>
            </w:r>
          </w:p>
        </w:tc>
      </w:tr>
      <w:tr w:rsidR="001C7A69" w:rsidRPr="00542AD0" w14:paraId="00774AEC" w14:textId="77777777" w:rsidTr="000A384C">
        <w:tc>
          <w:tcPr>
            <w:tcW w:w="878" w:type="pct"/>
            <w:tcBorders>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B502A45"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ALT (SGPT)</w:t>
            </w:r>
          </w:p>
        </w:tc>
        <w:tc>
          <w:tcPr>
            <w:tcW w:w="1024"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D728B41"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&gt;ULN – 3.0 x ULN</w:t>
            </w:r>
          </w:p>
        </w:tc>
        <w:tc>
          <w:tcPr>
            <w:tcW w:w="1024"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E5535EC"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&gt;3.0 – 5.0 x ULN</w:t>
            </w:r>
          </w:p>
        </w:tc>
        <w:tc>
          <w:tcPr>
            <w:tcW w:w="1024"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6027B93"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&gt;5.0 – 20.0 x ULN</w:t>
            </w:r>
          </w:p>
        </w:tc>
        <w:tc>
          <w:tcPr>
            <w:tcW w:w="1050"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84B6BE6"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&gt;20.0 x ULN</w:t>
            </w:r>
          </w:p>
        </w:tc>
      </w:tr>
      <w:tr w:rsidR="001C7A69" w:rsidRPr="00542AD0" w14:paraId="26420AEC" w14:textId="77777777" w:rsidTr="000A384C">
        <w:tc>
          <w:tcPr>
            <w:tcW w:w="878" w:type="pct"/>
            <w:tcBorders>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B81F6A7"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AST (SGOT)</w:t>
            </w:r>
          </w:p>
        </w:tc>
        <w:tc>
          <w:tcPr>
            <w:tcW w:w="1024"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3E06A57"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&gt;ULN – 3.0 x ULN</w:t>
            </w:r>
          </w:p>
        </w:tc>
        <w:tc>
          <w:tcPr>
            <w:tcW w:w="1024"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35C72C9"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&gt;3.0 – 5.0 x ULN</w:t>
            </w:r>
          </w:p>
        </w:tc>
        <w:tc>
          <w:tcPr>
            <w:tcW w:w="1024"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CAC4111"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&gt;5.0 – 20.0 x ULN</w:t>
            </w:r>
          </w:p>
        </w:tc>
        <w:tc>
          <w:tcPr>
            <w:tcW w:w="1050" w:type="pct"/>
            <w:tcBorders>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748FDEB"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&gt;20.0 x ULN</w:t>
            </w:r>
          </w:p>
        </w:tc>
      </w:tr>
      <w:tr w:rsidR="001C7A69" w:rsidRPr="00542AD0" w14:paraId="40B1B9F7" w14:textId="77777777" w:rsidTr="000A384C">
        <w:tc>
          <w:tcPr>
            <w:tcW w:w="878" w:type="pct"/>
            <w:tcBorders>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EA9BE73"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Action</w:t>
            </w:r>
          </w:p>
        </w:tc>
        <w:tc>
          <w:tcPr>
            <w:tcW w:w="1024"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27F231F" w14:textId="77777777" w:rsidR="003244B1"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 xml:space="preserve">Continue treatment regimen. </w:t>
            </w:r>
          </w:p>
          <w:p w14:paraId="60FC1CE3" w14:textId="0FB3743E"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Patients should be followed until resolution (return to baseline) or stabilization of AST/ALT elevation.</w:t>
            </w:r>
          </w:p>
        </w:tc>
        <w:tc>
          <w:tcPr>
            <w:tcW w:w="1024" w:type="pct"/>
            <w:tcBorders>
              <w:right w:val="single" w:sz="8" w:space="0" w:color="000000" w:themeColor="text1"/>
            </w:tcBorders>
            <w:shd w:val="clear" w:color="auto" w:fill="FFFFFF" w:themeFill="background1"/>
            <w:tcMar>
              <w:top w:w="100" w:type="dxa"/>
              <w:left w:w="100" w:type="dxa"/>
              <w:bottom w:w="100" w:type="dxa"/>
              <w:right w:w="100" w:type="dxa"/>
            </w:tcMar>
          </w:tcPr>
          <w:p w14:paraId="6BE0734E" w14:textId="77777777" w:rsidR="003244B1"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 xml:space="preserve">Continue treatment regimen. </w:t>
            </w:r>
          </w:p>
          <w:p w14:paraId="42ED2BDF" w14:textId="127349BC"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Patients should be followed until resolution (return to baseline) or stabilization of AST/ALT elevation.</w:t>
            </w:r>
          </w:p>
        </w:tc>
        <w:tc>
          <w:tcPr>
            <w:tcW w:w="1024" w:type="pct"/>
            <w:tcBorders>
              <w:right w:val="single" w:sz="8" w:space="0" w:color="000000" w:themeColor="text1"/>
            </w:tcBorders>
            <w:shd w:val="clear" w:color="auto" w:fill="FFFFFF" w:themeFill="background1"/>
            <w:tcMar>
              <w:top w:w="100" w:type="dxa"/>
              <w:left w:w="100" w:type="dxa"/>
              <w:bottom w:w="100" w:type="dxa"/>
              <w:right w:w="100" w:type="dxa"/>
            </w:tcMar>
          </w:tcPr>
          <w:p w14:paraId="1FB8EA12"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Stop all drugs, including anti-TB drugs; measure LFTs weekly. Treatment may be reintroduced after toxicity is resolved.</w:t>
            </w:r>
          </w:p>
        </w:tc>
        <w:tc>
          <w:tcPr>
            <w:tcW w:w="1050" w:type="pct"/>
            <w:tcBorders>
              <w:right w:val="single" w:sz="8" w:space="0" w:color="000000" w:themeColor="text1"/>
            </w:tcBorders>
            <w:shd w:val="clear" w:color="auto" w:fill="FFFFFF" w:themeFill="background1"/>
            <w:tcMar>
              <w:top w:w="100" w:type="dxa"/>
              <w:left w:w="100" w:type="dxa"/>
              <w:bottom w:w="100" w:type="dxa"/>
              <w:right w:w="100" w:type="dxa"/>
            </w:tcMar>
          </w:tcPr>
          <w:p w14:paraId="13F88923" w14:textId="77777777" w:rsidR="001C7A69" w:rsidRPr="00542AD0" w:rsidRDefault="001C7A69" w:rsidP="000A384C">
            <w:pPr>
              <w:pStyle w:val="Tabletext"/>
              <w:rPr>
                <w:rFonts w:asciiTheme="minorHAnsi" w:hAnsiTheme="minorHAnsi"/>
                <w:color w:val="000000" w:themeColor="text1"/>
              </w:rPr>
            </w:pPr>
            <w:r w:rsidRPr="00542AD0">
              <w:rPr>
                <w:rFonts w:asciiTheme="minorHAnsi" w:hAnsiTheme="minorHAnsi"/>
                <w:color w:val="000000" w:themeColor="text1"/>
              </w:rPr>
              <w:t>Stop all drugs, including anti-TB drugs; measure LFTs weekly. Treatment may be reintroduced after toxicity is resolved.</w:t>
            </w:r>
          </w:p>
        </w:tc>
      </w:tr>
      <w:tr w:rsidR="001C7A69" w:rsidRPr="00542AD0" w14:paraId="6858DD4D" w14:textId="77777777" w:rsidTr="000A384C">
        <w:trPr>
          <w:trHeight w:val="326"/>
        </w:trPr>
        <w:tc>
          <w:tcPr>
            <w:tcW w:w="5000" w:type="pct"/>
            <w:gridSpan w:val="5"/>
            <w:tcBorders>
              <w:left w:val="nil"/>
              <w:bottom w:val="nil"/>
              <w:right w:val="nil"/>
            </w:tcBorders>
            <w:shd w:val="clear" w:color="auto" w:fill="FFFFFF" w:themeFill="background1"/>
            <w:tcMar>
              <w:top w:w="100" w:type="dxa"/>
              <w:left w:w="100" w:type="dxa"/>
              <w:bottom w:w="100" w:type="dxa"/>
              <w:right w:w="100" w:type="dxa"/>
            </w:tcMar>
          </w:tcPr>
          <w:p w14:paraId="7D37FFAF" w14:textId="77777777" w:rsidR="001C7A69" w:rsidRPr="00542AD0" w:rsidRDefault="001C7A69" w:rsidP="000A384C">
            <w:pPr>
              <w:pStyle w:val="Tabletext"/>
              <w:rPr>
                <w:rFonts w:asciiTheme="minorHAnsi" w:hAnsiTheme="minorHAnsi"/>
                <w:color w:val="000000" w:themeColor="text1"/>
                <w:sz w:val="16"/>
                <w:szCs w:val="20"/>
              </w:rPr>
            </w:pPr>
            <w:r w:rsidRPr="00542AD0">
              <w:rPr>
                <w:rFonts w:asciiTheme="minorHAnsi" w:hAnsiTheme="minorHAnsi"/>
                <w:color w:val="000000" w:themeColor="text1"/>
                <w:sz w:val="16"/>
                <w:szCs w:val="20"/>
              </w:rPr>
              <w:t>* NCI Common Terminology Criteria for Adverse Event, v.4.03 14-Jun-2010.</w:t>
            </w:r>
          </w:p>
        </w:tc>
      </w:tr>
    </w:tbl>
    <w:p w14:paraId="31E2DA77" w14:textId="77777777" w:rsidR="003244B1" w:rsidRPr="009D1960" w:rsidRDefault="003244B1" w:rsidP="003244B1">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Suggested management strategy:</w:t>
      </w:r>
    </w:p>
    <w:p w14:paraId="7E047518"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Reintroduce anti-TB drugs once liver enzymes return to baseline. Anti-TB drugs should be reintroduced in serial fashion by adding a new medicine every three to four days. The least hepatotoxic drugs should be added first, while monitoring liver function tests after each new exposure.</w:t>
      </w:r>
    </w:p>
    <w:p w14:paraId="0C0D08B1" w14:textId="33C4CB62" w:rsidR="001C7A69"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Consider suspending the most likely offending drug permanently if it is not essential to the regimen. This is often the case for pyrazinamide if it is less likely to be effective by clinical history. Consider additional anti-TB drugs to reinforce the regimen.</w:t>
      </w:r>
    </w:p>
    <w:p w14:paraId="1FBB3FE7" w14:textId="26C51390" w:rsidR="00B43524" w:rsidRDefault="00B43524" w:rsidP="001C7A69">
      <w:pPr>
        <w:pStyle w:val="ListBullet"/>
        <w:rPr>
          <w:rFonts w:asciiTheme="minorHAnsi" w:hAnsiTheme="minorHAnsi" w:cstheme="minorHAnsi"/>
          <w:color w:val="000000" w:themeColor="text1"/>
        </w:rPr>
      </w:pPr>
      <w:r>
        <w:rPr>
          <w:rFonts w:asciiTheme="minorHAnsi" w:hAnsiTheme="minorHAnsi" w:cstheme="minorHAnsi"/>
          <w:color w:val="000000" w:themeColor="text1"/>
        </w:rPr>
        <w:t xml:space="preserve">If alcohol is considered to be </w:t>
      </w:r>
      <w:r w:rsidR="00616611">
        <w:rPr>
          <w:rFonts w:asciiTheme="minorHAnsi" w:hAnsiTheme="minorHAnsi" w:cstheme="minorHAnsi"/>
          <w:color w:val="000000" w:themeColor="text1"/>
        </w:rPr>
        <w:t>contributing to the hepatotoxicity, treatment for alcohol addiction may be need</w:t>
      </w:r>
      <w:r w:rsidR="008C750F">
        <w:rPr>
          <w:rFonts w:asciiTheme="minorHAnsi" w:hAnsiTheme="minorHAnsi" w:cstheme="minorHAnsi"/>
          <w:color w:val="000000" w:themeColor="text1"/>
        </w:rPr>
        <w:t xml:space="preserve"> in order to help the patient abstain from alcohol. </w:t>
      </w:r>
    </w:p>
    <w:p w14:paraId="7CBE836C" w14:textId="77777777" w:rsidR="00B43524" w:rsidRPr="009D1960" w:rsidRDefault="00B43524" w:rsidP="00707FF3">
      <w:pPr>
        <w:pStyle w:val="ListBullet"/>
        <w:numPr>
          <w:ilvl w:val="0"/>
          <w:numId w:val="0"/>
        </w:numPr>
        <w:ind w:left="360" w:hanging="360"/>
        <w:rPr>
          <w:rFonts w:asciiTheme="minorHAnsi" w:hAnsiTheme="minorHAnsi" w:cstheme="minorHAnsi"/>
          <w:color w:val="000000" w:themeColor="text1"/>
        </w:rPr>
      </w:pPr>
    </w:p>
    <w:p w14:paraId="630D38FB" w14:textId="77777777" w:rsidR="00DF4203" w:rsidRDefault="00DF4203" w:rsidP="00D6496E">
      <w:pPr>
        <w:rPr>
          <w:rFonts w:asciiTheme="minorHAnsi" w:hAnsiTheme="minorHAnsi"/>
          <w:b/>
          <w:bCs/>
          <w:i/>
          <w:iCs/>
        </w:rPr>
      </w:pPr>
      <w:bookmarkStart w:id="264" w:name="h.sx397iq6otoi" w:colFirst="0" w:colLast="0"/>
      <w:bookmarkStart w:id="265" w:name="_Toc12792977"/>
      <w:bookmarkStart w:id="266" w:name="_Toc12887219"/>
      <w:bookmarkStart w:id="267" w:name="_Toc12962692"/>
      <w:bookmarkStart w:id="268" w:name="_Toc12966920"/>
      <w:bookmarkEnd w:id="264"/>
    </w:p>
    <w:p w14:paraId="326BF229" w14:textId="77777777" w:rsidR="00D5526C" w:rsidRDefault="00D5526C" w:rsidP="00D5526C">
      <w:pPr>
        <w:rPr>
          <w:rFonts w:asciiTheme="minorHAnsi" w:hAnsiTheme="minorHAnsi"/>
          <w:b/>
          <w:bCs/>
          <w:i/>
          <w:iCs/>
        </w:rPr>
      </w:pPr>
      <w:bookmarkStart w:id="269" w:name="_Toc12792979"/>
      <w:bookmarkStart w:id="270" w:name="_Toc12887223"/>
      <w:bookmarkStart w:id="271" w:name="_Toc12962696"/>
      <w:bookmarkStart w:id="272" w:name="_Toc12966924"/>
      <w:bookmarkEnd w:id="265"/>
      <w:bookmarkEnd w:id="266"/>
      <w:bookmarkEnd w:id="267"/>
      <w:bookmarkEnd w:id="268"/>
    </w:p>
    <w:p w14:paraId="3E9C7104" w14:textId="503C3FE4" w:rsidR="001C7A69" w:rsidRPr="00D5526C" w:rsidRDefault="001C7A69" w:rsidP="00D5526C">
      <w:pPr>
        <w:rPr>
          <w:rFonts w:asciiTheme="minorHAnsi" w:hAnsiTheme="minorHAnsi"/>
          <w:b/>
          <w:bCs/>
          <w:i/>
          <w:iCs/>
        </w:rPr>
      </w:pPr>
      <w:r w:rsidRPr="00D5526C">
        <w:rPr>
          <w:rFonts w:asciiTheme="minorHAnsi" w:hAnsiTheme="minorHAnsi"/>
          <w:b/>
          <w:bCs/>
          <w:i/>
          <w:iCs/>
        </w:rPr>
        <w:lastRenderedPageBreak/>
        <w:t>Hypokalemia</w:t>
      </w:r>
      <w:bookmarkEnd w:id="269"/>
      <w:bookmarkEnd w:id="270"/>
      <w:bookmarkEnd w:id="271"/>
      <w:bookmarkEnd w:id="272"/>
    </w:p>
    <w:p w14:paraId="12A8865D" w14:textId="7235CAAF"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anti-TB drug causes: Cm, Km, Am, S</w:t>
      </w:r>
    </w:p>
    <w:p w14:paraId="66376471" w14:textId="74611D5A" w:rsidR="001C7A69"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ART causes: TDF (rare)</w:t>
      </w:r>
    </w:p>
    <w:p w14:paraId="4CB000E1" w14:textId="23BC47EA" w:rsidR="005723D2" w:rsidRPr="009D1960" w:rsidRDefault="005723D2" w:rsidP="001C7A69">
      <w:pPr>
        <w:rPr>
          <w:rFonts w:asciiTheme="minorHAnsi" w:hAnsiTheme="minorHAnsi" w:cstheme="minorHAnsi"/>
          <w:b/>
          <w:bCs/>
          <w:color w:val="000000" w:themeColor="text1"/>
        </w:rPr>
      </w:pPr>
      <w:r>
        <w:rPr>
          <w:rFonts w:asciiTheme="minorHAnsi" w:hAnsiTheme="minorHAnsi" w:cstheme="minorHAnsi"/>
          <w:b/>
          <w:bCs/>
          <w:color w:val="000000" w:themeColor="text1"/>
        </w:rPr>
        <w:t>Other causes: Vomiting, diarrhea</w:t>
      </w:r>
    </w:p>
    <w:p w14:paraId="761527E7"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Hypokalemia and hypomagnesemia are often asymptomatic.</w:t>
      </w:r>
    </w:p>
    <w:p w14:paraId="24A8B57E"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Moderate cases may present with fatigue, myalgia, cramps, paresthesia, lower extremity weakness, behavior or mood changes, somnolence, and confusion.</w:t>
      </w:r>
    </w:p>
    <w:p w14:paraId="77475DE4"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Severe disturbances can lead to tetany, paralysis, and life-threatening cardiac arrhythmias.</w:t>
      </w:r>
    </w:p>
    <w:p w14:paraId="07E9D9BC"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Hypokalemia and hypomagnesemia are common in patients receiving MDR-TB treatment. Common causes in MDR-TB patients are:</w:t>
      </w:r>
    </w:p>
    <w:p w14:paraId="3152B5F9" w14:textId="6539670C"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Vomiting and diarrhea</w:t>
      </w:r>
    </w:p>
    <w:p w14:paraId="4D1BDF88" w14:textId="77CC366C"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Renal tubular toxicity from the injectable (probably more common in capreomycin than the aminoglycosides).</w:t>
      </w:r>
      <w:r w:rsidR="00506410">
        <w:rPr>
          <w:rFonts w:asciiTheme="minorHAnsi" w:hAnsiTheme="minorHAnsi" w:cstheme="minorHAnsi"/>
          <w:color w:val="000000" w:themeColor="text1"/>
        </w:rPr>
        <w:t xml:space="preserve">  </w:t>
      </w:r>
      <w:r w:rsidR="00D47FF2">
        <w:rPr>
          <w:rFonts w:asciiTheme="minorHAnsi" w:hAnsiTheme="minorHAnsi" w:cstheme="minorHAnsi"/>
          <w:color w:val="000000" w:themeColor="text1"/>
        </w:rPr>
        <w:t>None of the commonly used drugs in the all-oral STR cause electrolyte wasting or renal tubular toxicity</w:t>
      </w:r>
    </w:p>
    <w:p w14:paraId="21630441"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Formulations of oral potassium chloride vary by manufacturer and country. Slow-release versions are common in resource-limited settings. The amount of potassium is often different than the tablet size. For example, one 200-mg tablet of Slow-K contains 8 mEq of potassium.</w:t>
      </w:r>
    </w:p>
    <w:p w14:paraId="6EA6E6CF"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Oral potassium and magnesium should be administered either two hours before or four to six hours after fluoroquinolones as they can interfere with fluoroquinolone absorption.</w:t>
      </w:r>
    </w:p>
    <w:p w14:paraId="13F1920E"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Oral potassium can cause nausea and vomiting. Oral magnesium can cause diarrhea.</w:t>
      </w:r>
    </w:p>
    <w:p w14:paraId="357CEA7E"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Dietary intake of potassium should be encouraged. Bananas, oranges, tomatoes are good sources of supplementation.</w:t>
      </w:r>
    </w:p>
    <w:p w14:paraId="79DB5AD9" w14:textId="0F463872" w:rsidR="001C7A69" w:rsidRPr="00987AE0" w:rsidRDefault="001C7A69" w:rsidP="002C4FED">
      <w:pPr>
        <w:pStyle w:val="Heading3"/>
        <w:rPr>
          <w:rStyle w:val="IntenseEmphasis"/>
          <w:rFonts w:asciiTheme="minorHAnsi" w:hAnsiTheme="minorHAnsi"/>
          <w:b/>
          <w:bCs/>
          <w:i/>
          <w:color w:val="000000" w:themeColor="text1"/>
        </w:rPr>
      </w:pPr>
      <w:bookmarkStart w:id="273" w:name="h.bnacjb57lsxx" w:colFirst="0" w:colLast="0"/>
      <w:bookmarkStart w:id="274" w:name="_Toc12885985"/>
      <w:bookmarkStart w:id="275" w:name="_Toc12886232"/>
      <w:bookmarkStart w:id="276" w:name="_Toc13486777"/>
      <w:bookmarkEnd w:id="273"/>
      <w:r w:rsidRPr="00987AE0">
        <w:rPr>
          <w:rFonts w:asciiTheme="minorHAnsi" w:hAnsiTheme="minorHAnsi"/>
        </w:rPr>
        <w:t xml:space="preserve">Table </w:t>
      </w:r>
      <w:r w:rsidR="002C4FED" w:rsidRPr="00987AE0">
        <w:rPr>
          <w:rFonts w:asciiTheme="minorHAnsi" w:hAnsiTheme="minorHAnsi"/>
        </w:rPr>
        <w:t>2</w:t>
      </w:r>
      <w:r w:rsidR="009C09A0" w:rsidRPr="00987AE0">
        <w:rPr>
          <w:rFonts w:asciiTheme="minorHAnsi" w:hAnsiTheme="minorHAnsi"/>
        </w:rPr>
        <w:t>1</w:t>
      </w:r>
      <w:r w:rsidRPr="00987AE0">
        <w:rPr>
          <w:rFonts w:asciiTheme="minorHAnsi" w:hAnsiTheme="minorHAnsi"/>
        </w:rPr>
        <w:t xml:space="preserve"> </w:t>
      </w:r>
      <w:r w:rsidRPr="00987AE0">
        <w:rPr>
          <w:rStyle w:val="IntenseEmphasis"/>
          <w:rFonts w:asciiTheme="minorHAnsi" w:hAnsiTheme="minorHAnsi"/>
          <w:b/>
          <w:bCs/>
          <w:i/>
          <w:color w:val="000000" w:themeColor="text1"/>
        </w:rPr>
        <w:t>Clinical management of hypokalemia according to severity grading</w:t>
      </w:r>
      <w:bookmarkEnd w:id="274"/>
      <w:bookmarkEnd w:id="275"/>
      <w:bookmarkEnd w:id="27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1391"/>
        <w:gridCol w:w="1904"/>
        <w:gridCol w:w="1904"/>
        <w:gridCol w:w="1904"/>
        <w:gridCol w:w="1904"/>
      </w:tblGrid>
      <w:tr w:rsidR="001C7A69" w:rsidRPr="00987AE0" w14:paraId="532E7272" w14:textId="77777777" w:rsidTr="00093E2C">
        <w:tc>
          <w:tcPr>
            <w:tcW w:w="772" w:type="pct"/>
            <w:tcBorders>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6F394259"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Severity grade*</w:t>
            </w:r>
          </w:p>
        </w:tc>
        <w:tc>
          <w:tcPr>
            <w:tcW w:w="1057"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02B33291"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Grade 1 Mild</w:t>
            </w:r>
          </w:p>
        </w:tc>
        <w:tc>
          <w:tcPr>
            <w:tcW w:w="1057"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2FA79D3F"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Grade 2 Moderate</w:t>
            </w:r>
          </w:p>
        </w:tc>
        <w:tc>
          <w:tcPr>
            <w:tcW w:w="1057"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4C48590C"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Grade 3 Severe</w:t>
            </w:r>
          </w:p>
        </w:tc>
        <w:tc>
          <w:tcPr>
            <w:tcW w:w="1057"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0E8D0611"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Grade 4 Life-threatening</w:t>
            </w:r>
          </w:p>
        </w:tc>
      </w:tr>
      <w:tr w:rsidR="001C7A69" w:rsidRPr="00987AE0" w14:paraId="55667770" w14:textId="77777777" w:rsidTr="000A384C">
        <w:tc>
          <w:tcPr>
            <w:tcW w:w="772"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7E96910"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Hypokalemia</w:t>
            </w:r>
          </w:p>
        </w:tc>
        <w:tc>
          <w:tcPr>
            <w:tcW w:w="105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0706900" w14:textId="77777777" w:rsidR="001C7A69" w:rsidRPr="00987AE0" w:rsidRDefault="001C7A69" w:rsidP="000A384C">
            <w:pPr>
              <w:pStyle w:val="Tabletext"/>
              <w:rPr>
                <w:rFonts w:asciiTheme="minorHAnsi" w:hAnsiTheme="minorHAnsi"/>
                <w:color w:val="000000" w:themeColor="text1"/>
                <w:szCs w:val="20"/>
              </w:rPr>
            </w:pPr>
            <w:r w:rsidRPr="00987AE0">
              <w:rPr>
                <w:rFonts w:asciiTheme="minorHAnsi" w:hAnsiTheme="minorHAnsi"/>
                <w:color w:val="000000" w:themeColor="text1"/>
              </w:rPr>
              <w:t>3.4 - 3.0 mmol/L</w:t>
            </w:r>
          </w:p>
        </w:tc>
        <w:tc>
          <w:tcPr>
            <w:tcW w:w="105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378E4D7"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2.9 - 2.5 mmol/L</w:t>
            </w:r>
          </w:p>
        </w:tc>
        <w:tc>
          <w:tcPr>
            <w:tcW w:w="105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FEFDCA8" w14:textId="77777777" w:rsidR="001C7A69" w:rsidRPr="00987AE0" w:rsidRDefault="001C7A69" w:rsidP="000A384C">
            <w:pPr>
              <w:pStyle w:val="Tabletext"/>
              <w:rPr>
                <w:rFonts w:asciiTheme="minorHAnsi" w:hAnsiTheme="minorHAnsi"/>
                <w:color w:val="000000" w:themeColor="text1"/>
                <w:szCs w:val="20"/>
              </w:rPr>
            </w:pPr>
            <w:r w:rsidRPr="00987AE0">
              <w:rPr>
                <w:rFonts w:asciiTheme="minorHAnsi" w:hAnsiTheme="minorHAnsi"/>
                <w:color w:val="000000" w:themeColor="text1"/>
              </w:rPr>
              <w:t>2.4 - 2.0 mmol/L or intensive replacement therapy or hospitalization required</w:t>
            </w:r>
          </w:p>
        </w:tc>
        <w:tc>
          <w:tcPr>
            <w:tcW w:w="105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7FF0D69E" w14:textId="77777777" w:rsidR="001C7A69" w:rsidRPr="00987AE0" w:rsidRDefault="001C7A69" w:rsidP="000A384C">
            <w:pPr>
              <w:pStyle w:val="Tabletext"/>
              <w:rPr>
                <w:rFonts w:asciiTheme="minorHAnsi" w:hAnsiTheme="minorHAnsi"/>
                <w:color w:val="000000" w:themeColor="text1"/>
                <w:szCs w:val="20"/>
              </w:rPr>
            </w:pPr>
            <w:r w:rsidRPr="00987AE0">
              <w:rPr>
                <w:rFonts w:asciiTheme="minorHAnsi" w:hAnsiTheme="minorHAnsi"/>
                <w:color w:val="000000" w:themeColor="text1"/>
              </w:rPr>
              <w:t xml:space="preserve">&lt; 2.0 mmol/L or abnormal potassium </w:t>
            </w:r>
            <w:r w:rsidRPr="00987AE0">
              <w:rPr>
                <w:rFonts w:asciiTheme="minorHAnsi" w:hAnsiTheme="minorHAnsi"/>
                <w:i/>
                <w:iCs/>
                <w:color w:val="000000" w:themeColor="text1"/>
              </w:rPr>
              <w:t xml:space="preserve">with </w:t>
            </w:r>
            <w:r w:rsidRPr="00987AE0">
              <w:rPr>
                <w:rFonts w:asciiTheme="minorHAnsi" w:hAnsiTheme="minorHAnsi"/>
                <w:color w:val="000000" w:themeColor="text1"/>
              </w:rPr>
              <w:t>paresis, ileus or life-threatening arrhythmia</w:t>
            </w:r>
          </w:p>
        </w:tc>
      </w:tr>
      <w:tr w:rsidR="001C7A69" w:rsidRPr="00987AE0" w14:paraId="18778599" w14:textId="77777777" w:rsidTr="000A384C">
        <w:tc>
          <w:tcPr>
            <w:tcW w:w="772" w:type="pct"/>
            <w:tcBorders>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700F042"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Action</w:t>
            </w:r>
          </w:p>
        </w:tc>
        <w:tc>
          <w:tcPr>
            <w:tcW w:w="105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A0DF562" w14:textId="2CD388D5"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Start oral potassium replacement therapy. Check serum magnesium and replace if necessary.</w:t>
            </w:r>
          </w:p>
        </w:tc>
        <w:tc>
          <w:tcPr>
            <w:tcW w:w="105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48B8F89" w14:textId="4A3518C3"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Start aggressive oral potassium replacement therapy. Replace magnesium as necessary.</w:t>
            </w:r>
          </w:p>
        </w:tc>
        <w:tc>
          <w:tcPr>
            <w:tcW w:w="105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90E59ED" w14:textId="7203D252"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Start IV potassium replacement therapy in addition to oral. Replace magnesium and other electrolytes as necessary.</w:t>
            </w:r>
          </w:p>
        </w:tc>
        <w:tc>
          <w:tcPr>
            <w:tcW w:w="105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69CCD2A" w14:textId="17A879B2"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Start IV potassium replacement therapy in addition to oral. Replace magnesium and other electrolytes as necessary.</w:t>
            </w:r>
          </w:p>
        </w:tc>
      </w:tr>
      <w:tr w:rsidR="001C7A69" w:rsidRPr="00987AE0" w14:paraId="712DE141" w14:textId="77777777" w:rsidTr="000A384C">
        <w:tc>
          <w:tcPr>
            <w:tcW w:w="5000" w:type="pct"/>
            <w:gridSpan w:val="5"/>
            <w:tcBorders>
              <w:left w:val="nil"/>
              <w:bottom w:val="nil"/>
              <w:right w:val="nil"/>
            </w:tcBorders>
            <w:shd w:val="clear" w:color="auto" w:fill="FFFFFF" w:themeFill="background1"/>
            <w:tcMar>
              <w:top w:w="100" w:type="dxa"/>
              <w:left w:w="100" w:type="dxa"/>
              <w:bottom w:w="100" w:type="dxa"/>
              <w:right w:w="100" w:type="dxa"/>
            </w:tcMar>
          </w:tcPr>
          <w:p w14:paraId="3C4D010B" w14:textId="77777777" w:rsidR="001C7A69" w:rsidRPr="00987AE0" w:rsidRDefault="001C7A69" w:rsidP="000A384C">
            <w:pPr>
              <w:pStyle w:val="Tabletext"/>
              <w:rPr>
                <w:rFonts w:asciiTheme="minorHAnsi" w:hAnsiTheme="minorHAnsi"/>
                <w:color w:val="000000" w:themeColor="text1"/>
                <w:sz w:val="18"/>
                <w:szCs w:val="21"/>
              </w:rPr>
            </w:pPr>
            <w:r w:rsidRPr="00987AE0">
              <w:rPr>
                <w:rFonts w:asciiTheme="minorHAnsi" w:hAnsiTheme="minorHAnsi"/>
                <w:color w:val="000000" w:themeColor="text1"/>
                <w:sz w:val="16"/>
                <w:szCs w:val="20"/>
              </w:rPr>
              <w:t>*Reference: NIAID Division of Microbiology and Infectious Diseases, severity scale, Nov-2007.</w:t>
            </w:r>
          </w:p>
        </w:tc>
      </w:tr>
    </w:tbl>
    <w:p w14:paraId="082767CA" w14:textId="7E475B34" w:rsidR="001C7A69" w:rsidRPr="00987AE0" w:rsidRDefault="001C7A69" w:rsidP="002C4FED">
      <w:pPr>
        <w:pStyle w:val="Heading3"/>
        <w:rPr>
          <w:rFonts w:asciiTheme="minorHAnsi" w:hAnsiTheme="minorHAnsi"/>
        </w:rPr>
      </w:pPr>
      <w:bookmarkStart w:id="277" w:name="_Toc12885986"/>
      <w:bookmarkStart w:id="278" w:name="_Toc12886233"/>
      <w:bookmarkStart w:id="279" w:name="_Ref12971516"/>
      <w:bookmarkStart w:id="280" w:name="_Toc13486778"/>
      <w:r w:rsidRPr="00987AE0">
        <w:rPr>
          <w:rFonts w:asciiTheme="minorHAnsi" w:hAnsiTheme="minorHAnsi"/>
        </w:rPr>
        <w:lastRenderedPageBreak/>
        <w:t xml:space="preserve">Table </w:t>
      </w:r>
      <w:r w:rsidR="002C4FED" w:rsidRPr="00987AE0">
        <w:rPr>
          <w:rFonts w:asciiTheme="minorHAnsi" w:hAnsiTheme="minorHAnsi"/>
        </w:rPr>
        <w:t>2</w:t>
      </w:r>
      <w:r w:rsidR="009C09A0" w:rsidRPr="00987AE0">
        <w:rPr>
          <w:rFonts w:asciiTheme="minorHAnsi" w:hAnsiTheme="minorHAnsi"/>
        </w:rPr>
        <w:t>2</w:t>
      </w:r>
      <w:r w:rsidRPr="00987AE0">
        <w:rPr>
          <w:rFonts w:asciiTheme="minorHAnsi" w:hAnsiTheme="minorHAnsi"/>
        </w:rPr>
        <w:t xml:space="preserve"> </w:t>
      </w:r>
      <w:r w:rsidRPr="00987AE0">
        <w:rPr>
          <w:rStyle w:val="IntenseEmphasis"/>
          <w:rFonts w:asciiTheme="minorHAnsi" w:hAnsiTheme="minorHAnsi"/>
          <w:b/>
          <w:bCs/>
          <w:i/>
          <w:color w:val="000000" w:themeColor="text1"/>
        </w:rPr>
        <w:t>Clinical management of hypomagnesemia according to severity grading</w:t>
      </w:r>
      <w:bookmarkEnd w:id="277"/>
      <w:bookmarkEnd w:id="278"/>
      <w:bookmarkEnd w:id="279"/>
      <w:bookmarkEnd w:id="28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1660"/>
        <w:gridCol w:w="1836"/>
        <w:gridCol w:w="1837"/>
        <w:gridCol w:w="1837"/>
        <w:gridCol w:w="1837"/>
      </w:tblGrid>
      <w:tr w:rsidR="001C7A69" w:rsidRPr="00987AE0" w14:paraId="0FDC7269" w14:textId="77777777" w:rsidTr="00093E2C">
        <w:tc>
          <w:tcPr>
            <w:tcW w:w="772" w:type="pct"/>
            <w:tcBorders>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6AC55685"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Severity grade*</w:t>
            </w:r>
          </w:p>
        </w:tc>
        <w:tc>
          <w:tcPr>
            <w:tcW w:w="1057"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2F95179D"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Grade 1 Mild</w:t>
            </w:r>
          </w:p>
        </w:tc>
        <w:tc>
          <w:tcPr>
            <w:tcW w:w="1057"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05B7C013"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Grade 2 Moderate</w:t>
            </w:r>
          </w:p>
        </w:tc>
        <w:tc>
          <w:tcPr>
            <w:tcW w:w="1057"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75504ACD"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Grade 3 Severe</w:t>
            </w:r>
          </w:p>
        </w:tc>
        <w:tc>
          <w:tcPr>
            <w:tcW w:w="1057"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245299A1" w14:textId="77777777" w:rsidR="001C7A69" w:rsidRPr="00987AE0" w:rsidRDefault="001C7A69" w:rsidP="00CE10C2">
            <w:pPr>
              <w:pStyle w:val="Tabletext"/>
              <w:jc w:val="center"/>
              <w:rPr>
                <w:rFonts w:asciiTheme="minorHAnsi" w:hAnsiTheme="minorHAnsi"/>
                <w:b/>
                <w:bCs/>
                <w:color w:val="FFFFFF" w:themeColor="background1"/>
              </w:rPr>
            </w:pPr>
            <w:r w:rsidRPr="00987AE0">
              <w:rPr>
                <w:rFonts w:asciiTheme="minorHAnsi" w:hAnsiTheme="minorHAnsi"/>
                <w:b/>
                <w:bCs/>
                <w:color w:val="FFFFFF" w:themeColor="background1"/>
              </w:rPr>
              <w:t>Grade 4 Life-threatening</w:t>
            </w:r>
          </w:p>
        </w:tc>
      </w:tr>
      <w:tr w:rsidR="001C7A69" w:rsidRPr="00987AE0" w14:paraId="1AB85F9D" w14:textId="77777777" w:rsidTr="000A384C">
        <w:tc>
          <w:tcPr>
            <w:tcW w:w="772"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71DCD1C"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Hypomagnesemia</w:t>
            </w:r>
          </w:p>
        </w:tc>
        <w:tc>
          <w:tcPr>
            <w:tcW w:w="105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D527007"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0.70-0.60 mmol/L</w:t>
            </w:r>
          </w:p>
        </w:tc>
        <w:tc>
          <w:tcPr>
            <w:tcW w:w="105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EA0B9FA"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0.59-0.45 mmol/L</w:t>
            </w:r>
          </w:p>
        </w:tc>
        <w:tc>
          <w:tcPr>
            <w:tcW w:w="105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470B61FE"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0.44-0.30 mmol/L</w:t>
            </w:r>
          </w:p>
        </w:tc>
        <w:tc>
          <w:tcPr>
            <w:tcW w:w="1057"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ABB33A1" w14:textId="7D348B0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&lt;</w:t>
            </w:r>
            <w:r w:rsidR="00C966D0">
              <w:rPr>
                <w:rFonts w:asciiTheme="minorHAnsi" w:hAnsiTheme="minorHAnsi"/>
                <w:color w:val="000000" w:themeColor="text1"/>
              </w:rPr>
              <w:t xml:space="preserve"> </w:t>
            </w:r>
            <w:r w:rsidRPr="00987AE0">
              <w:rPr>
                <w:rFonts w:asciiTheme="minorHAnsi" w:hAnsiTheme="minorHAnsi"/>
                <w:color w:val="000000" w:themeColor="text1"/>
              </w:rPr>
              <w:t>0.30 mmol/L</w:t>
            </w:r>
          </w:p>
        </w:tc>
      </w:tr>
      <w:tr w:rsidR="001C7A69" w:rsidRPr="00987AE0" w14:paraId="771623F1" w14:textId="77777777" w:rsidTr="000A384C">
        <w:tc>
          <w:tcPr>
            <w:tcW w:w="772" w:type="pct"/>
            <w:tcBorders>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E38BF63"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Action</w:t>
            </w:r>
          </w:p>
        </w:tc>
        <w:tc>
          <w:tcPr>
            <w:tcW w:w="105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212F907"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Start oral magnesium replacement therapy.</w:t>
            </w:r>
          </w:p>
        </w:tc>
        <w:tc>
          <w:tcPr>
            <w:tcW w:w="105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CE866FF"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Start aggressive oral magnesium replacement therapy.</w:t>
            </w:r>
          </w:p>
        </w:tc>
        <w:tc>
          <w:tcPr>
            <w:tcW w:w="105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AC41C3B"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Start intravenous magnesium replacement therapy in addition to oral. Replace other electrolytes as necessary.</w:t>
            </w:r>
          </w:p>
        </w:tc>
        <w:tc>
          <w:tcPr>
            <w:tcW w:w="1057"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107BC3E0"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rPr>
              <w:t>Start intravenous magnesium replacement therapy in addition to oral. Replace other electrolytes as necessary.</w:t>
            </w:r>
          </w:p>
        </w:tc>
      </w:tr>
      <w:tr w:rsidR="001C7A69" w:rsidRPr="00987AE0" w14:paraId="381B0961" w14:textId="77777777" w:rsidTr="000A384C">
        <w:tc>
          <w:tcPr>
            <w:tcW w:w="5000" w:type="pct"/>
            <w:gridSpan w:val="5"/>
            <w:tcBorders>
              <w:left w:val="nil"/>
              <w:bottom w:val="nil"/>
              <w:right w:val="nil"/>
            </w:tcBorders>
            <w:shd w:val="clear" w:color="auto" w:fill="FFFFFF" w:themeFill="background1"/>
            <w:tcMar>
              <w:top w:w="100" w:type="dxa"/>
              <w:left w:w="100" w:type="dxa"/>
              <w:bottom w:w="100" w:type="dxa"/>
              <w:right w:w="100" w:type="dxa"/>
            </w:tcMar>
          </w:tcPr>
          <w:p w14:paraId="276DBDE7" w14:textId="77777777" w:rsidR="001C7A69" w:rsidRPr="00987AE0" w:rsidRDefault="001C7A69" w:rsidP="000A384C">
            <w:pPr>
              <w:pStyle w:val="Tabletext"/>
              <w:rPr>
                <w:rFonts w:asciiTheme="minorHAnsi" w:hAnsiTheme="minorHAnsi"/>
                <w:color w:val="000000" w:themeColor="text1"/>
              </w:rPr>
            </w:pPr>
            <w:r w:rsidRPr="00987AE0">
              <w:rPr>
                <w:rFonts w:asciiTheme="minorHAnsi" w:hAnsiTheme="minorHAnsi"/>
                <w:color w:val="000000" w:themeColor="text1"/>
                <w:sz w:val="16"/>
                <w:szCs w:val="20"/>
              </w:rPr>
              <w:t>*Reference: NIAID Division of Microbiology and Infectious Diseases, severity scale, Nov-2007.</w:t>
            </w:r>
          </w:p>
        </w:tc>
      </w:tr>
    </w:tbl>
    <w:p w14:paraId="0043AC81" w14:textId="77777777"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Suggested management strategy:</w:t>
      </w:r>
    </w:p>
    <w:p w14:paraId="3F3D714F" w14:textId="77777777" w:rsidR="001C7A69" w:rsidRPr="009D1960" w:rsidRDefault="001C7A69" w:rsidP="00CB2F8E">
      <w:pPr>
        <w:pStyle w:val="ListNumber"/>
        <w:numPr>
          <w:ilvl w:val="0"/>
          <w:numId w:val="14"/>
        </w:numPr>
        <w:rPr>
          <w:rFonts w:asciiTheme="minorHAnsi" w:hAnsiTheme="minorHAnsi" w:cstheme="minorHAnsi"/>
          <w:color w:val="000000" w:themeColor="text1"/>
        </w:rPr>
      </w:pPr>
      <w:r w:rsidRPr="009D1960">
        <w:rPr>
          <w:rFonts w:asciiTheme="minorHAnsi" w:hAnsiTheme="minorHAnsi" w:cstheme="minorHAnsi"/>
          <w:color w:val="000000" w:themeColor="text1"/>
        </w:rPr>
        <w:t>Monitor serum potassium, magnesium, and calcium frequently in patients with vomiting/diarrhea and patients receiving injectables.</w:t>
      </w:r>
    </w:p>
    <w:p w14:paraId="3330B021" w14:textId="77777777" w:rsidR="001C7A69" w:rsidRPr="009D1960" w:rsidRDefault="001C7A69" w:rsidP="00CB2F8E">
      <w:pPr>
        <w:pStyle w:val="ListNumber"/>
        <w:numPr>
          <w:ilvl w:val="0"/>
          <w:numId w:val="14"/>
        </w:numPr>
        <w:rPr>
          <w:rFonts w:asciiTheme="minorHAnsi" w:hAnsiTheme="minorHAnsi" w:cstheme="minorHAnsi"/>
          <w:color w:val="000000" w:themeColor="text1"/>
        </w:rPr>
      </w:pPr>
      <w:r w:rsidRPr="009D1960">
        <w:rPr>
          <w:rFonts w:asciiTheme="minorHAnsi" w:hAnsiTheme="minorHAnsi" w:cstheme="minorHAnsi"/>
          <w:color w:val="000000" w:themeColor="text1"/>
        </w:rPr>
        <w:t>Check for signs of dehydration in patients with vomiting and diarrhea. Start oral or intravenous rehydration therapy immediately until volume status is normal.</w:t>
      </w:r>
    </w:p>
    <w:p w14:paraId="6DE1AE56" w14:textId="77777777" w:rsidR="001C7A69" w:rsidRPr="009D1960" w:rsidRDefault="001C7A69" w:rsidP="00CB2F8E">
      <w:pPr>
        <w:pStyle w:val="ListNumber"/>
        <w:numPr>
          <w:ilvl w:val="0"/>
          <w:numId w:val="14"/>
        </w:numPr>
        <w:rPr>
          <w:rFonts w:asciiTheme="minorHAnsi" w:hAnsiTheme="minorHAnsi" w:cstheme="minorHAnsi"/>
          <w:color w:val="000000" w:themeColor="text1"/>
        </w:rPr>
      </w:pPr>
      <w:r w:rsidRPr="009D1960">
        <w:rPr>
          <w:rFonts w:asciiTheme="minorHAnsi" w:hAnsiTheme="minorHAnsi" w:cstheme="minorHAnsi"/>
          <w:color w:val="000000" w:themeColor="text1"/>
        </w:rPr>
        <w:t>Replete potassium and magnesium.</w:t>
      </w:r>
    </w:p>
    <w:p w14:paraId="05EA1CF8"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Hypokalemia may be refractory if concurrent hypomagnesemia is not also corrected.</w:t>
      </w:r>
    </w:p>
    <w:p w14:paraId="01661629"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If unable to check serum magnesium, give empiric oral replacement therapy in all cases of hypokalemia with magnesium gluconate 1000 mg twice daily.</w:t>
      </w:r>
    </w:p>
    <w:p w14:paraId="446CE1FC" w14:textId="63C67BB5"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In all cases of detected serum electrolyte disturbances (Grade</w:t>
      </w:r>
      <w:r w:rsidR="00C966D0">
        <w:rPr>
          <w:rFonts w:asciiTheme="minorHAnsi" w:hAnsiTheme="minorHAnsi" w:cstheme="minorHAnsi"/>
          <w:color w:val="000000" w:themeColor="text1"/>
        </w:rPr>
        <w:t>s</w:t>
      </w:r>
      <w:r w:rsidRPr="009D1960">
        <w:rPr>
          <w:rFonts w:asciiTheme="minorHAnsi" w:hAnsiTheme="minorHAnsi" w:cstheme="minorHAnsi"/>
          <w:color w:val="000000" w:themeColor="text1"/>
        </w:rPr>
        <w:t xml:space="preserve"> 1-4) obtain an electrocardiogram as soon as possible and then weekly until potassium and other electrolytes return to normal. </w:t>
      </w:r>
    </w:p>
    <w:p w14:paraId="20265824" w14:textId="7A4BFD49"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Drugs that prolong the QT interval should be discontinued in patients with evidence of QT interval prolongation</w:t>
      </w:r>
      <w:r w:rsidR="00060139">
        <w:rPr>
          <w:rFonts w:asciiTheme="minorHAnsi" w:hAnsiTheme="minorHAnsi" w:cstheme="minorHAnsi"/>
          <w:color w:val="000000" w:themeColor="text1"/>
        </w:rPr>
        <w:t xml:space="preserve"> in the presence of Grade 2 or above hypokalemia</w:t>
      </w:r>
      <w:r w:rsidRPr="009D1960">
        <w:rPr>
          <w:rFonts w:asciiTheme="minorHAnsi" w:hAnsiTheme="minorHAnsi" w:cstheme="minorHAnsi"/>
          <w:color w:val="000000" w:themeColor="text1"/>
        </w:rPr>
        <w:t>.</w:t>
      </w:r>
    </w:p>
    <w:p w14:paraId="5900FF19" w14:textId="40772228" w:rsidR="001C7A69" w:rsidRPr="008B72C1" w:rsidRDefault="001C7A69" w:rsidP="002C4FED">
      <w:pPr>
        <w:pStyle w:val="Heading3"/>
        <w:rPr>
          <w:rStyle w:val="IntenseEmphasis"/>
          <w:rFonts w:asciiTheme="minorHAnsi" w:hAnsiTheme="minorHAnsi"/>
          <w:b/>
          <w:bCs/>
          <w:i/>
          <w:color w:val="000000" w:themeColor="text1"/>
        </w:rPr>
      </w:pPr>
      <w:bookmarkStart w:id="281" w:name="h.fyv3be5amebt" w:colFirst="0" w:colLast="0"/>
      <w:bookmarkStart w:id="282" w:name="_Toc12885987"/>
      <w:bookmarkStart w:id="283" w:name="_Toc12886234"/>
      <w:bookmarkStart w:id="284" w:name="_Toc13486779"/>
      <w:bookmarkEnd w:id="281"/>
      <w:r w:rsidRPr="008B72C1">
        <w:rPr>
          <w:rFonts w:asciiTheme="minorHAnsi" w:hAnsiTheme="minorHAnsi"/>
        </w:rPr>
        <w:t xml:space="preserve">Table </w:t>
      </w:r>
      <w:r w:rsidR="002C4FED" w:rsidRPr="008B72C1">
        <w:rPr>
          <w:rFonts w:asciiTheme="minorHAnsi" w:hAnsiTheme="minorHAnsi"/>
        </w:rPr>
        <w:t>2</w:t>
      </w:r>
      <w:r w:rsidR="009C09A0" w:rsidRPr="008B72C1">
        <w:rPr>
          <w:rFonts w:asciiTheme="minorHAnsi" w:hAnsiTheme="minorHAnsi"/>
        </w:rPr>
        <w:t>3</w:t>
      </w:r>
      <w:r w:rsidRPr="008B72C1">
        <w:rPr>
          <w:rFonts w:asciiTheme="minorHAnsi" w:hAnsiTheme="minorHAnsi"/>
        </w:rPr>
        <w:t xml:space="preserve"> </w:t>
      </w:r>
      <w:r w:rsidRPr="008B72C1">
        <w:rPr>
          <w:rStyle w:val="IntenseEmphasis"/>
          <w:rFonts w:asciiTheme="minorHAnsi" w:hAnsiTheme="minorHAnsi"/>
          <w:b/>
          <w:bCs/>
          <w:i/>
          <w:color w:val="000000" w:themeColor="text1"/>
        </w:rPr>
        <w:t>Potassium replacement therapy</w:t>
      </w:r>
      <w:bookmarkEnd w:id="282"/>
      <w:bookmarkEnd w:id="283"/>
      <w:bookmarkEnd w:id="284"/>
    </w:p>
    <w:tbl>
      <w:tblPr>
        <w:tblW w:w="4999" w:type="pct"/>
        <w:tblInd w:w="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65"/>
        <w:gridCol w:w="4391"/>
        <w:gridCol w:w="2849"/>
      </w:tblGrid>
      <w:tr w:rsidR="001C7A69" w:rsidRPr="008B72C1" w14:paraId="2B20C3F8" w14:textId="77777777" w:rsidTr="00093E2C">
        <w:tc>
          <w:tcPr>
            <w:tcW w:w="980"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6473ABA" w14:textId="77777777" w:rsidR="001C7A69" w:rsidRPr="008B72C1" w:rsidRDefault="001C7A69" w:rsidP="00CE10C2">
            <w:pPr>
              <w:pStyle w:val="Tabletext"/>
              <w:jc w:val="center"/>
              <w:rPr>
                <w:rFonts w:asciiTheme="minorHAnsi" w:hAnsiTheme="minorHAnsi"/>
                <w:b/>
                <w:bCs/>
                <w:color w:val="FFFFFF" w:themeColor="background1"/>
              </w:rPr>
            </w:pPr>
            <w:r w:rsidRPr="008B72C1">
              <w:rPr>
                <w:rFonts w:asciiTheme="minorHAnsi" w:hAnsiTheme="minorHAnsi"/>
                <w:b/>
                <w:bCs/>
                <w:color w:val="FFFFFF" w:themeColor="background1"/>
              </w:rPr>
              <w:t>Potassium level (mmol/L)</w:t>
            </w:r>
          </w:p>
        </w:tc>
        <w:tc>
          <w:tcPr>
            <w:tcW w:w="2438" w:type="pct"/>
            <w:tcBorders>
              <w:top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45A4A07A" w14:textId="77777777" w:rsidR="001C7A69" w:rsidRPr="008B72C1" w:rsidRDefault="001C7A69" w:rsidP="00CE10C2">
            <w:pPr>
              <w:pStyle w:val="Tabletext"/>
              <w:jc w:val="center"/>
              <w:rPr>
                <w:rFonts w:asciiTheme="minorHAnsi" w:hAnsiTheme="minorHAnsi"/>
                <w:b/>
                <w:bCs/>
                <w:color w:val="FFFFFF" w:themeColor="background1"/>
              </w:rPr>
            </w:pPr>
            <w:r w:rsidRPr="008B72C1">
              <w:rPr>
                <w:rFonts w:asciiTheme="minorHAnsi" w:hAnsiTheme="minorHAnsi"/>
                <w:b/>
                <w:bCs/>
                <w:color w:val="FFFFFF" w:themeColor="background1"/>
              </w:rPr>
              <w:t>Dosing</w:t>
            </w:r>
          </w:p>
        </w:tc>
        <w:tc>
          <w:tcPr>
            <w:tcW w:w="1581" w:type="pct"/>
            <w:tcBorders>
              <w:top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57AD36EB" w14:textId="77777777" w:rsidR="001C7A69" w:rsidRPr="008B72C1" w:rsidRDefault="001C7A69" w:rsidP="00CE10C2">
            <w:pPr>
              <w:pStyle w:val="Tabletext"/>
              <w:jc w:val="center"/>
              <w:rPr>
                <w:rFonts w:asciiTheme="minorHAnsi" w:hAnsiTheme="minorHAnsi"/>
                <w:b/>
                <w:bCs/>
                <w:color w:val="FFFFFF" w:themeColor="background1"/>
              </w:rPr>
            </w:pPr>
            <w:r w:rsidRPr="008B72C1">
              <w:rPr>
                <w:rFonts w:asciiTheme="minorHAnsi" w:hAnsiTheme="minorHAnsi"/>
                <w:b/>
                <w:bCs/>
                <w:color w:val="FFFFFF" w:themeColor="background1"/>
              </w:rPr>
              <w:t>Monitoring frequency</w:t>
            </w:r>
          </w:p>
        </w:tc>
      </w:tr>
      <w:tr w:rsidR="001C7A69" w:rsidRPr="008B72C1" w14:paraId="3A4B1D12" w14:textId="77777777" w:rsidTr="000A384C">
        <w:tc>
          <w:tcPr>
            <w:tcW w:w="980" w:type="pct"/>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30AB878" w14:textId="713EF784" w:rsidR="001C7A69" w:rsidRPr="008B72C1" w:rsidRDefault="00C966D0" w:rsidP="00C966D0">
            <w:pPr>
              <w:pStyle w:val="Tabletext"/>
              <w:rPr>
                <w:rFonts w:asciiTheme="minorHAnsi" w:hAnsiTheme="minorHAnsi"/>
                <w:color w:val="000000" w:themeColor="text1"/>
              </w:rPr>
            </w:pPr>
            <w:r w:rsidRPr="00C966D0">
              <w:rPr>
                <w:rFonts w:asciiTheme="minorHAnsi" w:hAnsiTheme="minorHAnsi"/>
                <w:color w:val="000000" w:themeColor="text1"/>
              </w:rPr>
              <w:t>&gt;</w:t>
            </w:r>
            <w:r>
              <w:rPr>
                <w:rFonts w:asciiTheme="minorHAnsi" w:hAnsiTheme="minorHAnsi"/>
                <w:color w:val="000000" w:themeColor="text1"/>
              </w:rPr>
              <w:t xml:space="preserve"> </w:t>
            </w:r>
            <w:r w:rsidR="001C7A69" w:rsidRPr="008B72C1">
              <w:rPr>
                <w:rFonts w:asciiTheme="minorHAnsi" w:hAnsiTheme="minorHAnsi"/>
                <w:color w:val="000000" w:themeColor="text1"/>
              </w:rPr>
              <w:t>3.4</w:t>
            </w:r>
          </w:p>
        </w:tc>
        <w:tc>
          <w:tcPr>
            <w:tcW w:w="2438" w:type="pct"/>
            <w:tcBorders>
              <w:bottom w:val="single" w:sz="8" w:space="0" w:color="000000" w:themeColor="text1"/>
              <w:right w:val="single" w:sz="8" w:space="0" w:color="000000" w:themeColor="text1"/>
            </w:tcBorders>
            <w:tcMar>
              <w:top w:w="100" w:type="dxa"/>
              <w:left w:w="100" w:type="dxa"/>
              <w:bottom w:w="100" w:type="dxa"/>
              <w:right w:w="100" w:type="dxa"/>
            </w:tcMar>
          </w:tcPr>
          <w:p w14:paraId="6D538FFC"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None</w:t>
            </w:r>
          </w:p>
        </w:tc>
        <w:tc>
          <w:tcPr>
            <w:tcW w:w="1581" w:type="pct"/>
            <w:tcBorders>
              <w:bottom w:val="single" w:sz="8" w:space="0" w:color="000000" w:themeColor="text1"/>
              <w:right w:val="single" w:sz="8" w:space="0" w:color="000000" w:themeColor="text1"/>
            </w:tcBorders>
            <w:tcMar>
              <w:top w:w="100" w:type="dxa"/>
              <w:left w:w="100" w:type="dxa"/>
              <w:bottom w:w="100" w:type="dxa"/>
              <w:right w:w="100" w:type="dxa"/>
            </w:tcMar>
          </w:tcPr>
          <w:p w14:paraId="39C79FD2"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Monthly</w:t>
            </w:r>
          </w:p>
        </w:tc>
      </w:tr>
      <w:tr w:rsidR="001C7A69" w:rsidRPr="008B72C1" w14:paraId="785CE29F" w14:textId="77777777" w:rsidTr="000A384C">
        <w:tc>
          <w:tcPr>
            <w:tcW w:w="980" w:type="pct"/>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EA716F3"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3.3-3.4</w:t>
            </w:r>
          </w:p>
        </w:tc>
        <w:tc>
          <w:tcPr>
            <w:tcW w:w="2438" w:type="pct"/>
            <w:tcBorders>
              <w:bottom w:val="single" w:sz="8" w:space="0" w:color="000000" w:themeColor="text1"/>
              <w:right w:val="single" w:sz="8" w:space="0" w:color="000000" w:themeColor="text1"/>
            </w:tcBorders>
            <w:tcMar>
              <w:top w:w="100" w:type="dxa"/>
              <w:left w:w="100" w:type="dxa"/>
              <w:bottom w:w="100" w:type="dxa"/>
              <w:right w:w="100" w:type="dxa"/>
            </w:tcMar>
          </w:tcPr>
          <w:p w14:paraId="1B285932"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40 mmol PO in 2-3 divided doses daily</w:t>
            </w:r>
          </w:p>
        </w:tc>
        <w:tc>
          <w:tcPr>
            <w:tcW w:w="1581" w:type="pct"/>
            <w:tcBorders>
              <w:bottom w:val="single" w:sz="8" w:space="0" w:color="000000" w:themeColor="text1"/>
              <w:right w:val="single" w:sz="8" w:space="0" w:color="000000" w:themeColor="text1"/>
            </w:tcBorders>
            <w:tcMar>
              <w:top w:w="100" w:type="dxa"/>
              <w:left w:w="100" w:type="dxa"/>
              <w:bottom w:w="100" w:type="dxa"/>
              <w:right w:w="100" w:type="dxa"/>
            </w:tcMar>
          </w:tcPr>
          <w:p w14:paraId="75F2A2CF"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Monthly</w:t>
            </w:r>
          </w:p>
        </w:tc>
      </w:tr>
      <w:tr w:rsidR="001C7A69" w:rsidRPr="008B72C1" w14:paraId="1C4C59F4" w14:textId="77777777" w:rsidTr="000A384C">
        <w:tc>
          <w:tcPr>
            <w:tcW w:w="980" w:type="pct"/>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E6EDEAE"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2.9-3.2</w:t>
            </w:r>
          </w:p>
        </w:tc>
        <w:tc>
          <w:tcPr>
            <w:tcW w:w="2438" w:type="pct"/>
            <w:tcBorders>
              <w:bottom w:val="single" w:sz="8" w:space="0" w:color="000000" w:themeColor="text1"/>
              <w:right w:val="single" w:sz="8" w:space="0" w:color="000000" w:themeColor="text1"/>
            </w:tcBorders>
            <w:tcMar>
              <w:top w:w="100" w:type="dxa"/>
              <w:left w:w="100" w:type="dxa"/>
              <w:bottom w:w="100" w:type="dxa"/>
              <w:right w:w="100" w:type="dxa"/>
            </w:tcMar>
          </w:tcPr>
          <w:p w14:paraId="1E6188DD"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60-80 mmol PO in 3 divided doses daily</w:t>
            </w:r>
          </w:p>
        </w:tc>
        <w:tc>
          <w:tcPr>
            <w:tcW w:w="1581" w:type="pct"/>
            <w:tcBorders>
              <w:bottom w:val="single" w:sz="8" w:space="0" w:color="000000" w:themeColor="text1"/>
              <w:right w:val="single" w:sz="8" w:space="0" w:color="000000" w:themeColor="text1"/>
            </w:tcBorders>
            <w:tcMar>
              <w:top w:w="100" w:type="dxa"/>
              <w:left w:w="100" w:type="dxa"/>
              <w:bottom w:w="100" w:type="dxa"/>
              <w:right w:w="100" w:type="dxa"/>
            </w:tcMar>
          </w:tcPr>
          <w:p w14:paraId="1ECC3CFC"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Weekly</w:t>
            </w:r>
          </w:p>
        </w:tc>
      </w:tr>
      <w:tr w:rsidR="001C7A69" w:rsidRPr="008B72C1" w14:paraId="498FDF82" w14:textId="77777777" w:rsidTr="000A384C">
        <w:tc>
          <w:tcPr>
            <w:tcW w:w="980" w:type="pct"/>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823A747"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2.7-2.8</w:t>
            </w:r>
          </w:p>
        </w:tc>
        <w:tc>
          <w:tcPr>
            <w:tcW w:w="2438" w:type="pct"/>
            <w:tcBorders>
              <w:bottom w:val="single" w:sz="8" w:space="0" w:color="000000" w:themeColor="text1"/>
              <w:right w:val="single" w:sz="8" w:space="0" w:color="000000" w:themeColor="text1"/>
            </w:tcBorders>
            <w:tcMar>
              <w:top w:w="100" w:type="dxa"/>
              <w:left w:w="100" w:type="dxa"/>
              <w:bottom w:w="100" w:type="dxa"/>
              <w:right w:w="100" w:type="dxa"/>
            </w:tcMar>
          </w:tcPr>
          <w:p w14:paraId="4AD52D21"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60 mmol PO every eight hours</w:t>
            </w:r>
          </w:p>
        </w:tc>
        <w:tc>
          <w:tcPr>
            <w:tcW w:w="1581" w:type="pct"/>
            <w:tcBorders>
              <w:bottom w:val="single" w:sz="8" w:space="0" w:color="000000" w:themeColor="text1"/>
              <w:right w:val="single" w:sz="8" w:space="0" w:color="000000" w:themeColor="text1"/>
            </w:tcBorders>
            <w:tcMar>
              <w:top w:w="100" w:type="dxa"/>
              <w:left w:w="100" w:type="dxa"/>
              <w:bottom w:w="100" w:type="dxa"/>
              <w:right w:w="100" w:type="dxa"/>
            </w:tcMar>
          </w:tcPr>
          <w:p w14:paraId="6F3118C3"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One to two days</w:t>
            </w:r>
          </w:p>
        </w:tc>
      </w:tr>
      <w:tr w:rsidR="001C7A69" w:rsidRPr="008B72C1" w14:paraId="3BFAF989" w14:textId="77777777" w:rsidTr="000A384C">
        <w:tc>
          <w:tcPr>
            <w:tcW w:w="980" w:type="pct"/>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F7E6302"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2.5-2.6</w:t>
            </w:r>
          </w:p>
        </w:tc>
        <w:tc>
          <w:tcPr>
            <w:tcW w:w="2438" w:type="pct"/>
            <w:tcBorders>
              <w:bottom w:val="single" w:sz="8" w:space="0" w:color="000000" w:themeColor="text1"/>
              <w:right w:val="single" w:sz="8" w:space="0" w:color="000000" w:themeColor="text1"/>
            </w:tcBorders>
            <w:tcMar>
              <w:top w:w="100" w:type="dxa"/>
              <w:left w:w="100" w:type="dxa"/>
              <w:bottom w:w="100" w:type="dxa"/>
              <w:right w:w="100" w:type="dxa"/>
            </w:tcMar>
          </w:tcPr>
          <w:p w14:paraId="1EA902F8"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80 mmol PO every eight hours</w:t>
            </w:r>
          </w:p>
        </w:tc>
        <w:tc>
          <w:tcPr>
            <w:tcW w:w="1581" w:type="pct"/>
            <w:tcBorders>
              <w:bottom w:val="single" w:sz="8" w:space="0" w:color="000000" w:themeColor="text1"/>
              <w:right w:val="single" w:sz="8" w:space="0" w:color="000000" w:themeColor="text1"/>
            </w:tcBorders>
            <w:tcMar>
              <w:top w:w="100" w:type="dxa"/>
              <w:left w:w="100" w:type="dxa"/>
              <w:bottom w:w="100" w:type="dxa"/>
              <w:right w:w="100" w:type="dxa"/>
            </w:tcMar>
          </w:tcPr>
          <w:p w14:paraId="54E3A342"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Daily</w:t>
            </w:r>
          </w:p>
        </w:tc>
      </w:tr>
      <w:tr w:rsidR="001C7A69" w:rsidRPr="008B72C1" w14:paraId="4CEB4493" w14:textId="77777777" w:rsidTr="000A384C">
        <w:tc>
          <w:tcPr>
            <w:tcW w:w="980" w:type="pct"/>
            <w:tcBorders>
              <w:left w:val="single" w:sz="8" w:space="0" w:color="000000" w:themeColor="text1"/>
              <w:right w:val="single" w:sz="8" w:space="0" w:color="000000" w:themeColor="text1"/>
            </w:tcBorders>
            <w:tcMar>
              <w:top w:w="100" w:type="dxa"/>
              <w:left w:w="100" w:type="dxa"/>
              <w:bottom w:w="100" w:type="dxa"/>
              <w:right w:w="100" w:type="dxa"/>
            </w:tcMar>
          </w:tcPr>
          <w:p w14:paraId="2643DF74"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&lt; 2.5</w:t>
            </w:r>
          </w:p>
        </w:tc>
        <w:tc>
          <w:tcPr>
            <w:tcW w:w="2438" w:type="pct"/>
            <w:tcBorders>
              <w:right w:val="single" w:sz="8" w:space="0" w:color="000000" w:themeColor="text1"/>
            </w:tcBorders>
            <w:tcMar>
              <w:top w:w="100" w:type="dxa"/>
              <w:left w:w="100" w:type="dxa"/>
              <w:bottom w:w="100" w:type="dxa"/>
              <w:right w:w="100" w:type="dxa"/>
            </w:tcMar>
          </w:tcPr>
          <w:p w14:paraId="14E02116"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 xml:space="preserve">10 mmol/hour IV and 80 mmol PO every six to </w:t>
            </w:r>
            <w:r w:rsidRPr="008B72C1">
              <w:rPr>
                <w:rFonts w:asciiTheme="minorHAnsi" w:hAnsiTheme="minorHAnsi"/>
                <w:color w:val="000000" w:themeColor="text1"/>
              </w:rPr>
              <w:lastRenderedPageBreak/>
              <w:t>eight hours</w:t>
            </w:r>
          </w:p>
        </w:tc>
        <w:tc>
          <w:tcPr>
            <w:tcW w:w="1581" w:type="pct"/>
            <w:tcBorders>
              <w:right w:val="single" w:sz="8" w:space="0" w:color="000000" w:themeColor="text1"/>
            </w:tcBorders>
            <w:tcMar>
              <w:top w:w="100" w:type="dxa"/>
              <w:left w:w="100" w:type="dxa"/>
              <w:bottom w:w="100" w:type="dxa"/>
              <w:right w:w="100" w:type="dxa"/>
            </w:tcMar>
          </w:tcPr>
          <w:p w14:paraId="75620874"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lastRenderedPageBreak/>
              <w:t xml:space="preserve">One hour after infusion, every </w:t>
            </w:r>
            <w:r w:rsidRPr="008B72C1">
              <w:rPr>
                <w:rFonts w:asciiTheme="minorHAnsi" w:hAnsiTheme="minorHAnsi"/>
                <w:color w:val="000000" w:themeColor="text1"/>
              </w:rPr>
              <w:lastRenderedPageBreak/>
              <w:t>six hours with IV replacement</w:t>
            </w:r>
          </w:p>
        </w:tc>
      </w:tr>
      <w:tr w:rsidR="001C7A69" w:rsidRPr="008B72C1" w14:paraId="74F4CA20" w14:textId="77777777" w:rsidTr="000A384C">
        <w:tc>
          <w:tcPr>
            <w:tcW w:w="5000" w:type="pct"/>
            <w:gridSpan w:val="3"/>
            <w:tcBorders>
              <w:left w:val="nil"/>
              <w:bottom w:val="nil"/>
              <w:right w:val="nil"/>
            </w:tcBorders>
            <w:tcMar>
              <w:top w:w="100" w:type="dxa"/>
              <w:left w:w="100" w:type="dxa"/>
              <w:bottom w:w="100" w:type="dxa"/>
              <w:right w:w="100" w:type="dxa"/>
            </w:tcMar>
          </w:tcPr>
          <w:p w14:paraId="78B28DBF"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sz w:val="18"/>
                <w:szCs w:val="21"/>
              </w:rPr>
              <w:lastRenderedPageBreak/>
              <w:t>Note: The normal preparation of a potassium chloride infusion is 40 mmol (3 ampoules) in 1L of NaCl 0.9% infused over 4 hours. Do not exceed an infusion rate of 10 mmol/hour (250 mL/hour). Potassium chloride 10% (100mg/ml) ampoules = 1g per ampoule = 13.4 mmol. Potassium chloride controlled release tablets of 600mg = 8mmol/tablet.</w:t>
            </w:r>
          </w:p>
        </w:tc>
      </w:tr>
    </w:tbl>
    <w:p w14:paraId="6DFB23A2" w14:textId="2C0EDF0A" w:rsidR="001C7A69" w:rsidRPr="008B72C1" w:rsidRDefault="001C7A69" w:rsidP="002C4FED">
      <w:pPr>
        <w:pStyle w:val="Heading3"/>
        <w:rPr>
          <w:rStyle w:val="IntenseEmphasis"/>
          <w:rFonts w:asciiTheme="minorHAnsi" w:hAnsiTheme="minorHAnsi"/>
          <w:b/>
          <w:bCs/>
          <w:i/>
          <w:color w:val="000000" w:themeColor="text1"/>
        </w:rPr>
      </w:pPr>
      <w:bookmarkStart w:id="285" w:name="h.eosi4q2s0kls" w:colFirst="0" w:colLast="0"/>
      <w:bookmarkStart w:id="286" w:name="_Toc12885988"/>
      <w:bookmarkStart w:id="287" w:name="_Toc12886235"/>
      <w:bookmarkStart w:id="288" w:name="_Toc13486780"/>
      <w:bookmarkEnd w:id="285"/>
      <w:r w:rsidRPr="008B72C1">
        <w:rPr>
          <w:rFonts w:asciiTheme="minorHAnsi" w:hAnsiTheme="minorHAnsi"/>
        </w:rPr>
        <w:t xml:space="preserve">Table </w:t>
      </w:r>
      <w:r w:rsidR="002C4FED" w:rsidRPr="008B72C1">
        <w:rPr>
          <w:rFonts w:asciiTheme="minorHAnsi" w:hAnsiTheme="minorHAnsi"/>
          <w:noProof/>
        </w:rPr>
        <w:t>2</w:t>
      </w:r>
      <w:r w:rsidR="009C09A0" w:rsidRPr="008B72C1">
        <w:rPr>
          <w:rFonts w:asciiTheme="minorHAnsi" w:hAnsiTheme="minorHAnsi"/>
          <w:noProof/>
        </w:rPr>
        <w:t>4</w:t>
      </w:r>
      <w:r w:rsidRPr="008B72C1">
        <w:rPr>
          <w:rFonts w:asciiTheme="minorHAnsi" w:hAnsiTheme="minorHAnsi"/>
        </w:rPr>
        <w:t xml:space="preserve"> </w:t>
      </w:r>
      <w:r w:rsidRPr="008B72C1">
        <w:rPr>
          <w:rStyle w:val="IntenseEmphasis"/>
          <w:rFonts w:asciiTheme="minorHAnsi" w:hAnsiTheme="minorHAnsi"/>
          <w:b/>
          <w:bCs/>
          <w:i/>
          <w:color w:val="000000" w:themeColor="text1"/>
        </w:rPr>
        <w:t>Magnesium replacement therapy</w:t>
      </w:r>
      <w:bookmarkEnd w:id="286"/>
      <w:bookmarkEnd w:id="287"/>
      <w:bookmarkEnd w:id="28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01"/>
        <w:gridCol w:w="3003"/>
        <w:gridCol w:w="3003"/>
      </w:tblGrid>
      <w:tr w:rsidR="001C7A69" w:rsidRPr="008B72C1" w14:paraId="6A7554AF" w14:textId="77777777" w:rsidTr="00093E2C">
        <w:trPr>
          <w:tblHeader/>
        </w:trPr>
        <w:tc>
          <w:tcPr>
            <w:tcW w:w="1666"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5693015A" w14:textId="77777777" w:rsidR="001C7A69" w:rsidRPr="008B72C1" w:rsidRDefault="001C7A69" w:rsidP="00CE10C2">
            <w:pPr>
              <w:pStyle w:val="Tabletext"/>
              <w:jc w:val="center"/>
              <w:rPr>
                <w:rFonts w:asciiTheme="minorHAnsi" w:hAnsiTheme="minorHAnsi"/>
                <w:b/>
                <w:bCs/>
                <w:color w:val="FFFFFF" w:themeColor="background1"/>
              </w:rPr>
            </w:pPr>
            <w:r w:rsidRPr="008B72C1">
              <w:rPr>
                <w:rFonts w:asciiTheme="minorHAnsi" w:hAnsiTheme="minorHAnsi"/>
                <w:b/>
                <w:bCs/>
                <w:color w:val="FFFFFF" w:themeColor="background1"/>
              </w:rPr>
              <w:t>Magnesium level (mmol/L)</w:t>
            </w:r>
          </w:p>
        </w:tc>
        <w:tc>
          <w:tcPr>
            <w:tcW w:w="1667" w:type="pct"/>
            <w:tcBorders>
              <w:top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60A7AB24" w14:textId="77777777" w:rsidR="001C7A69" w:rsidRPr="008B72C1" w:rsidRDefault="001C7A69" w:rsidP="00CE10C2">
            <w:pPr>
              <w:pStyle w:val="Tabletext"/>
              <w:jc w:val="center"/>
              <w:rPr>
                <w:rFonts w:asciiTheme="minorHAnsi" w:hAnsiTheme="minorHAnsi"/>
                <w:b/>
                <w:bCs/>
                <w:color w:val="FFFFFF" w:themeColor="background1"/>
              </w:rPr>
            </w:pPr>
            <w:r w:rsidRPr="008B72C1">
              <w:rPr>
                <w:rFonts w:asciiTheme="minorHAnsi" w:hAnsiTheme="minorHAnsi"/>
                <w:b/>
                <w:bCs/>
                <w:color w:val="FFFFFF" w:themeColor="background1"/>
              </w:rPr>
              <w:t>Total daily dose</w:t>
            </w:r>
          </w:p>
        </w:tc>
        <w:tc>
          <w:tcPr>
            <w:tcW w:w="1667" w:type="pct"/>
            <w:tcBorders>
              <w:top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B5D6EEE" w14:textId="77777777" w:rsidR="001C7A69" w:rsidRPr="008B72C1" w:rsidRDefault="001C7A69" w:rsidP="00CE10C2">
            <w:pPr>
              <w:pStyle w:val="Tabletext"/>
              <w:jc w:val="center"/>
              <w:rPr>
                <w:rFonts w:asciiTheme="minorHAnsi" w:hAnsiTheme="minorHAnsi"/>
                <w:b/>
                <w:bCs/>
                <w:color w:val="FFFFFF" w:themeColor="background1"/>
              </w:rPr>
            </w:pPr>
            <w:r w:rsidRPr="008B72C1">
              <w:rPr>
                <w:rFonts w:asciiTheme="minorHAnsi" w:hAnsiTheme="minorHAnsi"/>
                <w:b/>
                <w:bCs/>
                <w:color w:val="FFFFFF" w:themeColor="background1"/>
              </w:rPr>
              <w:t>Monitoring frequency</w:t>
            </w:r>
          </w:p>
        </w:tc>
      </w:tr>
      <w:tr w:rsidR="001C7A69" w:rsidRPr="008B72C1" w14:paraId="772BCF52" w14:textId="77777777" w:rsidTr="000A384C">
        <w:tc>
          <w:tcPr>
            <w:tcW w:w="1666" w:type="pct"/>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23EAE91" w14:textId="6A7208BE" w:rsidR="001C7A69" w:rsidRPr="008B72C1" w:rsidRDefault="00C966D0" w:rsidP="00C966D0">
            <w:pPr>
              <w:pStyle w:val="Tabletext"/>
              <w:rPr>
                <w:rFonts w:asciiTheme="minorHAnsi" w:hAnsiTheme="minorHAnsi"/>
                <w:color w:val="000000" w:themeColor="text1"/>
              </w:rPr>
            </w:pPr>
            <w:r w:rsidRPr="00C966D0">
              <w:rPr>
                <w:rFonts w:asciiTheme="minorHAnsi" w:hAnsiTheme="minorHAnsi"/>
                <w:color w:val="000000" w:themeColor="text1"/>
              </w:rPr>
              <w:t>&gt;</w:t>
            </w:r>
            <w:r>
              <w:rPr>
                <w:rFonts w:asciiTheme="minorHAnsi" w:hAnsiTheme="minorHAnsi"/>
                <w:color w:val="000000" w:themeColor="text1"/>
              </w:rPr>
              <w:t xml:space="preserve"> </w:t>
            </w:r>
            <w:r w:rsidR="001C7A69" w:rsidRPr="008B72C1">
              <w:rPr>
                <w:rFonts w:asciiTheme="minorHAnsi" w:hAnsiTheme="minorHAnsi"/>
                <w:color w:val="000000" w:themeColor="text1"/>
              </w:rPr>
              <w:t>0.70 or more</w:t>
            </w:r>
          </w:p>
        </w:tc>
        <w:tc>
          <w:tcPr>
            <w:tcW w:w="1667" w:type="pct"/>
            <w:tcBorders>
              <w:bottom w:val="single" w:sz="8" w:space="0" w:color="000000" w:themeColor="text1"/>
              <w:right w:val="single" w:sz="8" w:space="0" w:color="000000" w:themeColor="text1"/>
            </w:tcBorders>
            <w:tcMar>
              <w:top w:w="100" w:type="dxa"/>
              <w:left w:w="100" w:type="dxa"/>
              <w:bottom w:w="100" w:type="dxa"/>
              <w:right w:w="100" w:type="dxa"/>
            </w:tcMar>
          </w:tcPr>
          <w:p w14:paraId="29BBC738"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None</w:t>
            </w:r>
            <w:r w:rsidRPr="008B72C1">
              <w:rPr>
                <w:rFonts w:asciiTheme="minorHAnsi" w:hAnsiTheme="minorHAnsi"/>
                <w:color w:val="000000" w:themeColor="text1"/>
              </w:rPr>
              <w:tab/>
            </w:r>
          </w:p>
        </w:tc>
        <w:tc>
          <w:tcPr>
            <w:tcW w:w="1667" w:type="pct"/>
            <w:tcBorders>
              <w:bottom w:val="single" w:sz="8" w:space="0" w:color="000000" w:themeColor="text1"/>
              <w:right w:val="single" w:sz="8" w:space="0" w:color="000000" w:themeColor="text1"/>
            </w:tcBorders>
            <w:tcMar>
              <w:top w:w="100" w:type="dxa"/>
              <w:left w:w="100" w:type="dxa"/>
              <w:bottom w:w="100" w:type="dxa"/>
              <w:right w:w="100" w:type="dxa"/>
            </w:tcMar>
          </w:tcPr>
          <w:p w14:paraId="23D68151"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Monthly</w:t>
            </w:r>
          </w:p>
        </w:tc>
      </w:tr>
      <w:tr w:rsidR="001C7A69" w:rsidRPr="008B72C1" w14:paraId="12B80858" w14:textId="77777777" w:rsidTr="000A384C">
        <w:tc>
          <w:tcPr>
            <w:tcW w:w="1666" w:type="pct"/>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6BD8741"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0.60-0.70</w:t>
            </w:r>
          </w:p>
        </w:tc>
        <w:tc>
          <w:tcPr>
            <w:tcW w:w="1667" w:type="pct"/>
            <w:tcBorders>
              <w:bottom w:val="single" w:sz="8" w:space="0" w:color="000000" w:themeColor="text1"/>
              <w:right w:val="single" w:sz="8" w:space="0" w:color="000000" w:themeColor="text1"/>
            </w:tcBorders>
            <w:tcMar>
              <w:top w:w="100" w:type="dxa"/>
              <w:left w:w="100" w:type="dxa"/>
              <w:bottom w:w="100" w:type="dxa"/>
              <w:right w:w="100" w:type="dxa"/>
            </w:tcMar>
          </w:tcPr>
          <w:p w14:paraId="0FFABC3B" w14:textId="3E882075"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1,000 mg</w:t>
            </w:r>
            <w:r w:rsidR="00C966D0">
              <w:rPr>
                <w:rFonts w:asciiTheme="minorHAnsi" w:hAnsiTheme="minorHAnsi"/>
                <w:color w:val="000000" w:themeColor="text1"/>
              </w:rPr>
              <w:t xml:space="preserve"> – 1,200 </w:t>
            </w:r>
            <w:r w:rsidRPr="008B72C1">
              <w:rPr>
                <w:rFonts w:asciiTheme="minorHAnsi" w:hAnsiTheme="minorHAnsi"/>
                <w:color w:val="000000" w:themeColor="text1"/>
              </w:rPr>
              <w:t>mg</w:t>
            </w:r>
          </w:p>
        </w:tc>
        <w:tc>
          <w:tcPr>
            <w:tcW w:w="1667" w:type="pct"/>
            <w:tcBorders>
              <w:bottom w:val="single" w:sz="8" w:space="0" w:color="000000" w:themeColor="text1"/>
              <w:right w:val="single" w:sz="8" w:space="0" w:color="000000" w:themeColor="text1"/>
            </w:tcBorders>
            <w:tcMar>
              <w:top w:w="100" w:type="dxa"/>
              <w:left w:w="100" w:type="dxa"/>
              <w:bottom w:w="100" w:type="dxa"/>
              <w:right w:w="100" w:type="dxa"/>
            </w:tcMar>
          </w:tcPr>
          <w:p w14:paraId="2113E154"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Monthly</w:t>
            </w:r>
          </w:p>
        </w:tc>
      </w:tr>
      <w:tr w:rsidR="001C7A69" w:rsidRPr="008B72C1" w14:paraId="19715AB6" w14:textId="77777777" w:rsidTr="000A384C">
        <w:tc>
          <w:tcPr>
            <w:tcW w:w="1666" w:type="pct"/>
            <w:tcBorders>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924CD9E"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0.45-0.59</w:t>
            </w:r>
          </w:p>
        </w:tc>
        <w:tc>
          <w:tcPr>
            <w:tcW w:w="1667" w:type="pct"/>
            <w:tcBorders>
              <w:bottom w:val="single" w:sz="8" w:space="0" w:color="000000" w:themeColor="text1"/>
              <w:right w:val="single" w:sz="8" w:space="0" w:color="000000" w:themeColor="text1"/>
            </w:tcBorders>
            <w:tcMar>
              <w:top w:w="100" w:type="dxa"/>
              <w:left w:w="100" w:type="dxa"/>
              <w:bottom w:w="100" w:type="dxa"/>
              <w:right w:w="100" w:type="dxa"/>
            </w:tcMar>
          </w:tcPr>
          <w:p w14:paraId="53F10256"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2,000 mg</w:t>
            </w:r>
          </w:p>
        </w:tc>
        <w:tc>
          <w:tcPr>
            <w:tcW w:w="1667" w:type="pct"/>
            <w:tcBorders>
              <w:bottom w:val="single" w:sz="8" w:space="0" w:color="000000" w:themeColor="text1"/>
              <w:right w:val="single" w:sz="8" w:space="0" w:color="000000" w:themeColor="text1"/>
            </w:tcBorders>
            <w:tcMar>
              <w:top w:w="100" w:type="dxa"/>
              <w:left w:w="100" w:type="dxa"/>
              <w:bottom w:w="100" w:type="dxa"/>
              <w:right w:w="100" w:type="dxa"/>
            </w:tcMar>
          </w:tcPr>
          <w:p w14:paraId="5FF37236"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One to seven days</w:t>
            </w:r>
          </w:p>
        </w:tc>
      </w:tr>
      <w:tr w:rsidR="001C7A69" w:rsidRPr="008B72C1" w14:paraId="6083A287" w14:textId="77777777" w:rsidTr="000A384C">
        <w:tc>
          <w:tcPr>
            <w:tcW w:w="1666" w:type="pct"/>
            <w:tcBorders>
              <w:left w:val="single" w:sz="8" w:space="0" w:color="000000" w:themeColor="text1"/>
              <w:right w:val="single" w:sz="8" w:space="0" w:color="000000" w:themeColor="text1"/>
            </w:tcBorders>
            <w:tcMar>
              <w:top w:w="100" w:type="dxa"/>
              <w:left w:w="100" w:type="dxa"/>
              <w:bottom w:w="100" w:type="dxa"/>
              <w:right w:w="100" w:type="dxa"/>
            </w:tcMar>
          </w:tcPr>
          <w:p w14:paraId="2CB1AA78"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&lt; 0.45</w:t>
            </w:r>
          </w:p>
        </w:tc>
        <w:tc>
          <w:tcPr>
            <w:tcW w:w="1667" w:type="pct"/>
            <w:tcBorders>
              <w:right w:val="single" w:sz="8" w:space="0" w:color="000000" w:themeColor="text1"/>
            </w:tcBorders>
            <w:tcMar>
              <w:top w:w="100" w:type="dxa"/>
              <w:left w:w="100" w:type="dxa"/>
              <w:bottom w:w="100" w:type="dxa"/>
              <w:right w:w="100" w:type="dxa"/>
            </w:tcMar>
          </w:tcPr>
          <w:p w14:paraId="36E599D5" w14:textId="7FDFF35A"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3,000 mg</w:t>
            </w:r>
            <w:r w:rsidR="00C966D0">
              <w:rPr>
                <w:rFonts w:asciiTheme="minorHAnsi" w:hAnsiTheme="minorHAnsi"/>
                <w:color w:val="000000" w:themeColor="text1"/>
              </w:rPr>
              <w:t xml:space="preserve"> – </w:t>
            </w:r>
            <w:r w:rsidRPr="008B72C1">
              <w:rPr>
                <w:rFonts w:asciiTheme="minorHAnsi" w:hAnsiTheme="minorHAnsi"/>
                <w:color w:val="000000" w:themeColor="text1"/>
              </w:rPr>
              <w:t>6,000 mg</w:t>
            </w:r>
          </w:p>
        </w:tc>
        <w:tc>
          <w:tcPr>
            <w:tcW w:w="1667" w:type="pct"/>
            <w:tcBorders>
              <w:right w:val="single" w:sz="8" w:space="0" w:color="000000" w:themeColor="text1"/>
            </w:tcBorders>
            <w:tcMar>
              <w:top w:w="100" w:type="dxa"/>
              <w:left w:w="100" w:type="dxa"/>
              <w:bottom w:w="100" w:type="dxa"/>
              <w:right w:w="100" w:type="dxa"/>
            </w:tcMar>
          </w:tcPr>
          <w:p w14:paraId="214B4ADC" w14:textId="77777777" w:rsidR="001C7A69" w:rsidRPr="008B72C1" w:rsidRDefault="001C7A69" w:rsidP="000A384C">
            <w:pPr>
              <w:pStyle w:val="Tabletext"/>
              <w:rPr>
                <w:rFonts w:asciiTheme="minorHAnsi" w:hAnsiTheme="minorHAnsi"/>
                <w:color w:val="000000" w:themeColor="text1"/>
              </w:rPr>
            </w:pPr>
            <w:r w:rsidRPr="008B72C1">
              <w:rPr>
                <w:rFonts w:asciiTheme="minorHAnsi" w:hAnsiTheme="minorHAnsi"/>
                <w:color w:val="000000" w:themeColor="text1"/>
              </w:rPr>
              <w:t>Daily</w:t>
            </w:r>
          </w:p>
        </w:tc>
      </w:tr>
      <w:tr w:rsidR="001C7A69" w:rsidRPr="008B72C1" w14:paraId="332D8521" w14:textId="77777777" w:rsidTr="000A384C">
        <w:tc>
          <w:tcPr>
            <w:tcW w:w="5000" w:type="pct"/>
            <w:gridSpan w:val="3"/>
            <w:tcBorders>
              <w:left w:val="nil"/>
              <w:bottom w:val="nil"/>
              <w:right w:val="nil"/>
            </w:tcBorders>
            <w:tcMar>
              <w:top w:w="100" w:type="dxa"/>
              <w:left w:w="100" w:type="dxa"/>
              <w:bottom w:w="100" w:type="dxa"/>
              <w:right w:w="100" w:type="dxa"/>
            </w:tcMar>
          </w:tcPr>
          <w:p w14:paraId="34FEEF42" w14:textId="77777777" w:rsidR="001C7A69" w:rsidRPr="008B72C1" w:rsidRDefault="001C7A69" w:rsidP="000A384C">
            <w:pPr>
              <w:pStyle w:val="Tabletext"/>
              <w:rPr>
                <w:rFonts w:asciiTheme="minorHAnsi" w:hAnsiTheme="minorHAnsi"/>
                <w:color w:val="000000" w:themeColor="text1"/>
              </w:rPr>
            </w:pPr>
            <w:r w:rsidRPr="00C966D0">
              <w:rPr>
                <w:rFonts w:asciiTheme="minorHAnsi" w:hAnsiTheme="minorHAnsi"/>
                <w:color w:val="000000" w:themeColor="text1"/>
                <w:sz w:val="18"/>
                <w:szCs w:val="21"/>
              </w:rPr>
              <w:t>Note: Quantities greater than 2,000 mg are usually given IV or IM. The normal preparation is magnesium sulfate 2 g in 100 mL or 4 g in 250 mL of normal saline. Do not exceed an infusion rate of 150 mg/min (2 g in 100 mL administered over one to two hours, 4 g in 250 mL administered over two to four hours).</w:t>
            </w:r>
          </w:p>
        </w:tc>
      </w:tr>
    </w:tbl>
    <w:p w14:paraId="745907C5" w14:textId="77777777" w:rsidR="001C7A69" w:rsidRPr="001C2795" w:rsidRDefault="001C7A69" w:rsidP="001C2795">
      <w:pPr>
        <w:rPr>
          <w:rFonts w:asciiTheme="minorHAnsi" w:hAnsiTheme="minorHAnsi"/>
          <w:b/>
          <w:bCs/>
          <w:i/>
          <w:iCs/>
        </w:rPr>
      </w:pPr>
      <w:bookmarkStart w:id="289" w:name="h.jxagky45wu6j" w:colFirst="0" w:colLast="0"/>
      <w:bookmarkStart w:id="290" w:name="_Toc12792980"/>
      <w:bookmarkStart w:id="291" w:name="_Toc12887228"/>
      <w:bookmarkStart w:id="292" w:name="_Toc12962701"/>
      <w:bookmarkStart w:id="293" w:name="_Toc12966929"/>
      <w:bookmarkEnd w:id="289"/>
      <w:r w:rsidRPr="001C2795">
        <w:rPr>
          <w:rFonts w:asciiTheme="minorHAnsi" w:hAnsiTheme="minorHAnsi"/>
          <w:b/>
          <w:bCs/>
          <w:i/>
          <w:iCs/>
        </w:rPr>
        <w:t>Hypothyroidism</w:t>
      </w:r>
      <w:bookmarkEnd w:id="290"/>
      <w:bookmarkEnd w:id="291"/>
      <w:bookmarkEnd w:id="292"/>
      <w:bookmarkEnd w:id="293"/>
    </w:p>
    <w:p w14:paraId="168C0708" w14:textId="48800142"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anti-TB drug causes: Eto/Pto, PAS</w:t>
      </w:r>
    </w:p>
    <w:p w14:paraId="14F67821" w14:textId="71BD2082"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Possible ART causes: d4T</w:t>
      </w:r>
    </w:p>
    <w:p w14:paraId="1CB7828C" w14:textId="1F06B044" w:rsidR="002F1778" w:rsidRDefault="002F1778" w:rsidP="002F1778">
      <w:pPr>
        <w:pStyle w:val="ListBullet"/>
        <w:rPr>
          <w:rFonts w:asciiTheme="minorHAnsi" w:hAnsiTheme="minorHAnsi" w:cstheme="minorHAnsi"/>
          <w:color w:val="000000" w:themeColor="text1"/>
        </w:rPr>
      </w:pPr>
      <w:r>
        <w:rPr>
          <w:rFonts w:asciiTheme="minorHAnsi" w:hAnsiTheme="minorHAnsi" w:cstheme="minorHAnsi"/>
          <w:color w:val="000000" w:themeColor="text1"/>
        </w:rPr>
        <w:t xml:space="preserve">None of the drugs commonly used in the all-oral STR are associated with thyroid toxicity; however, patient may have a history of receiving TB drugs that are thyroid toxic. </w:t>
      </w:r>
    </w:p>
    <w:p w14:paraId="4E6B42A2"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Ethionamide (or prothionamide) and PAS have a direct toxic effect on the thyroid that interferes with thyroid hormone synthesis. The exact incidence of hypothyroidism is unknown, but it is probably more common than traditionally thought.</w:t>
      </w:r>
    </w:p>
    <w:p w14:paraId="03E826FC"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Patients may develop symptoms as soon as a few weeks after exposure to offending medications.</w:t>
      </w:r>
    </w:p>
    <w:p w14:paraId="7C2C34C3"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Symptoms of hypothyroidism include fatigue, somnolence, cold intolerance, dry skin, coarse hair, and constipation, as well as depression and inability to concentrate. Thyromegaly and delayed deep tendon reflexes may be encountered on exam.</w:t>
      </w:r>
    </w:p>
    <w:p w14:paraId="46F104EA"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In primary hypothyroidism, the diagnosis is confirmed by a serum level of TSH greater than 10.0 mU/L, indicating suppression of the thyroid hormone production by the thyroid gland. No other thyroid tests (e.g., free T</w:t>
      </w:r>
      <w:r w:rsidRPr="009D1960">
        <w:rPr>
          <w:rFonts w:asciiTheme="minorHAnsi" w:hAnsiTheme="minorHAnsi" w:cstheme="minorHAnsi"/>
          <w:color w:val="000000" w:themeColor="text1"/>
          <w:vertAlign w:val="subscript"/>
        </w:rPr>
        <w:t>4</w:t>
      </w:r>
      <w:r w:rsidRPr="009D1960">
        <w:rPr>
          <w:rFonts w:asciiTheme="minorHAnsi" w:hAnsiTheme="minorHAnsi" w:cstheme="minorHAnsi"/>
          <w:color w:val="000000" w:themeColor="text1"/>
        </w:rPr>
        <w:t>, T</w:t>
      </w:r>
      <w:r w:rsidRPr="009D1960">
        <w:rPr>
          <w:rFonts w:asciiTheme="minorHAnsi" w:hAnsiTheme="minorHAnsi" w:cstheme="minorHAnsi"/>
          <w:color w:val="000000" w:themeColor="text1"/>
          <w:vertAlign w:val="subscript"/>
        </w:rPr>
        <w:t>3</w:t>
      </w:r>
      <w:r w:rsidRPr="009D1960">
        <w:rPr>
          <w:rFonts w:asciiTheme="minorHAnsi" w:hAnsiTheme="minorHAnsi" w:cstheme="minorHAnsi"/>
          <w:color w:val="000000" w:themeColor="text1"/>
        </w:rPr>
        <w:t>) are necessary for diagnosis or treatment monitoring.</w:t>
      </w:r>
    </w:p>
    <w:p w14:paraId="27566A63"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In HIV coinfected patients there is some evidence that subclinical hypothyroidism may be associated with some ARVs, particularly stavudine (d4T).</w:t>
      </w:r>
    </w:p>
    <w:p w14:paraId="393C2897" w14:textId="77777777" w:rsidR="001C7A69" w:rsidRPr="009D1960" w:rsidRDefault="001C7A69" w:rsidP="001C7A69">
      <w:pPr>
        <w:pStyle w:val="ListBullet"/>
        <w:rPr>
          <w:rFonts w:asciiTheme="minorHAnsi" w:hAnsiTheme="minorHAnsi" w:cstheme="minorHAnsi"/>
          <w:color w:val="000000" w:themeColor="text1"/>
        </w:rPr>
      </w:pPr>
      <w:r w:rsidRPr="009D1960">
        <w:rPr>
          <w:rFonts w:asciiTheme="minorHAnsi" w:hAnsiTheme="minorHAnsi" w:cstheme="minorHAnsi"/>
          <w:color w:val="000000" w:themeColor="text1"/>
        </w:rPr>
        <w:t xml:space="preserve">Hypothyroidism can result in QT interval prolongation.  Check an ECG whenever hypothyroidism is found and if QT interval prolongation or an arrhythmia is found refer for hospitalization and appropriate management. </w:t>
      </w:r>
    </w:p>
    <w:p w14:paraId="53EDED6A" w14:textId="0206D4B7" w:rsidR="001C7A69" w:rsidRPr="001C2795" w:rsidRDefault="001C7A69" w:rsidP="002C4FED">
      <w:pPr>
        <w:pStyle w:val="Heading3"/>
        <w:rPr>
          <w:rFonts w:asciiTheme="minorHAnsi" w:hAnsiTheme="minorHAnsi"/>
        </w:rPr>
      </w:pPr>
      <w:bookmarkStart w:id="294" w:name="h.rla1tqvzdt1" w:colFirst="0" w:colLast="0"/>
      <w:bookmarkStart w:id="295" w:name="_Toc12885989"/>
      <w:bookmarkStart w:id="296" w:name="_Toc12886236"/>
      <w:bookmarkStart w:id="297" w:name="_Toc13486781"/>
      <w:bookmarkEnd w:id="294"/>
      <w:r w:rsidRPr="001C2795">
        <w:rPr>
          <w:rFonts w:asciiTheme="minorHAnsi" w:hAnsiTheme="minorHAnsi"/>
        </w:rPr>
        <w:t xml:space="preserve">Table </w:t>
      </w:r>
      <w:r w:rsidR="002C4FED" w:rsidRPr="001C2795">
        <w:rPr>
          <w:rFonts w:asciiTheme="minorHAnsi" w:hAnsiTheme="minorHAnsi"/>
        </w:rPr>
        <w:t>2</w:t>
      </w:r>
      <w:r w:rsidR="009C09A0" w:rsidRPr="001C2795">
        <w:rPr>
          <w:rFonts w:asciiTheme="minorHAnsi" w:hAnsiTheme="minorHAnsi"/>
        </w:rPr>
        <w:t>5</w:t>
      </w:r>
      <w:r w:rsidRPr="001C2795">
        <w:rPr>
          <w:rFonts w:asciiTheme="minorHAnsi" w:hAnsiTheme="minorHAnsi"/>
        </w:rPr>
        <w:t xml:space="preserve"> </w:t>
      </w:r>
      <w:r w:rsidRPr="001C2795">
        <w:rPr>
          <w:rStyle w:val="IntenseEmphasis"/>
          <w:rFonts w:asciiTheme="minorHAnsi" w:hAnsiTheme="minorHAnsi"/>
          <w:b/>
          <w:bCs/>
          <w:i/>
          <w:color w:val="000000" w:themeColor="text1"/>
        </w:rPr>
        <w:t>Clinical management of hypothyroidism according to severity grading</w:t>
      </w:r>
      <w:bookmarkEnd w:id="295"/>
      <w:bookmarkEnd w:id="296"/>
      <w:bookmarkEnd w:id="297"/>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01" w:type="dxa"/>
          <w:left w:w="101" w:type="dxa"/>
          <w:bottom w:w="101" w:type="dxa"/>
          <w:right w:w="101" w:type="dxa"/>
        </w:tblCellMar>
        <w:tblLook w:val="0000" w:firstRow="0" w:lastRow="0" w:firstColumn="0" w:lastColumn="0" w:noHBand="0" w:noVBand="0"/>
      </w:tblPr>
      <w:tblGrid>
        <w:gridCol w:w="1546"/>
        <w:gridCol w:w="1863"/>
        <w:gridCol w:w="1866"/>
        <w:gridCol w:w="1866"/>
        <w:gridCol w:w="1866"/>
      </w:tblGrid>
      <w:tr w:rsidR="001C7A69" w:rsidRPr="001C2795" w14:paraId="73B6BFE9" w14:textId="77777777" w:rsidTr="00093E2C">
        <w:tc>
          <w:tcPr>
            <w:tcW w:w="858" w:type="pct"/>
            <w:tcBorders>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69B9DD10" w14:textId="77777777" w:rsidR="001C7A69" w:rsidRPr="001C2795" w:rsidRDefault="001C7A69" w:rsidP="00CE10C2">
            <w:pPr>
              <w:pStyle w:val="Tabletext"/>
              <w:jc w:val="center"/>
              <w:rPr>
                <w:rFonts w:asciiTheme="minorHAnsi" w:hAnsiTheme="minorHAnsi"/>
                <w:b/>
                <w:bCs/>
                <w:color w:val="FFFFFF" w:themeColor="background1"/>
              </w:rPr>
            </w:pPr>
            <w:r w:rsidRPr="001C2795">
              <w:rPr>
                <w:rFonts w:asciiTheme="minorHAnsi" w:hAnsiTheme="minorHAnsi"/>
                <w:b/>
                <w:bCs/>
                <w:color w:val="FFFFFF" w:themeColor="background1"/>
              </w:rPr>
              <w:lastRenderedPageBreak/>
              <w:t>Severity grade*</w:t>
            </w:r>
          </w:p>
        </w:tc>
        <w:tc>
          <w:tcPr>
            <w:tcW w:w="1034"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A629BB0" w14:textId="77777777" w:rsidR="001C7A69" w:rsidRPr="001C2795" w:rsidRDefault="001C7A69" w:rsidP="00CE10C2">
            <w:pPr>
              <w:pStyle w:val="Tabletext"/>
              <w:jc w:val="center"/>
              <w:rPr>
                <w:rFonts w:asciiTheme="minorHAnsi" w:hAnsiTheme="minorHAnsi"/>
                <w:b/>
                <w:bCs/>
                <w:color w:val="FFFFFF" w:themeColor="background1"/>
              </w:rPr>
            </w:pPr>
            <w:r w:rsidRPr="001C2795">
              <w:rPr>
                <w:rFonts w:asciiTheme="minorHAnsi" w:hAnsiTheme="minorHAnsi"/>
                <w:b/>
                <w:bCs/>
                <w:color w:val="FFFFFF" w:themeColor="background1"/>
              </w:rPr>
              <w:t>Grade 1 Mild</w:t>
            </w:r>
          </w:p>
        </w:tc>
        <w:tc>
          <w:tcPr>
            <w:tcW w:w="1036"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53FB5F7D" w14:textId="77777777" w:rsidR="001C7A69" w:rsidRPr="001C2795" w:rsidRDefault="001C7A69" w:rsidP="00CE10C2">
            <w:pPr>
              <w:pStyle w:val="Tabletext"/>
              <w:jc w:val="center"/>
              <w:rPr>
                <w:rFonts w:asciiTheme="minorHAnsi" w:hAnsiTheme="minorHAnsi"/>
                <w:b/>
                <w:bCs/>
                <w:color w:val="FFFFFF" w:themeColor="background1"/>
              </w:rPr>
            </w:pPr>
            <w:r w:rsidRPr="001C2795">
              <w:rPr>
                <w:rFonts w:asciiTheme="minorHAnsi" w:hAnsiTheme="minorHAnsi"/>
                <w:b/>
                <w:bCs/>
                <w:color w:val="FFFFFF" w:themeColor="background1"/>
              </w:rPr>
              <w:t>Grade 2 Moderate</w:t>
            </w:r>
          </w:p>
        </w:tc>
        <w:tc>
          <w:tcPr>
            <w:tcW w:w="1036"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6D8B3339" w14:textId="77777777" w:rsidR="001C7A69" w:rsidRPr="001C2795" w:rsidRDefault="001C7A69" w:rsidP="00CE10C2">
            <w:pPr>
              <w:pStyle w:val="Tabletext"/>
              <w:jc w:val="center"/>
              <w:rPr>
                <w:rFonts w:asciiTheme="minorHAnsi" w:hAnsiTheme="minorHAnsi"/>
                <w:b/>
                <w:bCs/>
                <w:color w:val="FFFFFF" w:themeColor="background1"/>
              </w:rPr>
            </w:pPr>
            <w:r w:rsidRPr="001C2795">
              <w:rPr>
                <w:rFonts w:asciiTheme="minorHAnsi" w:hAnsiTheme="minorHAnsi"/>
                <w:b/>
                <w:bCs/>
                <w:color w:val="FFFFFF" w:themeColor="background1"/>
              </w:rPr>
              <w:t>Grade 3 Severe</w:t>
            </w:r>
          </w:p>
        </w:tc>
        <w:tc>
          <w:tcPr>
            <w:tcW w:w="1035" w:type="pct"/>
            <w:tcBorders>
              <w:bottom w:val="single" w:sz="8" w:space="0" w:color="000000" w:themeColor="text1"/>
              <w:right w:val="single" w:sz="8" w:space="0" w:color="000000" w:themeColor="text1"/>
            </w:tcBorders>
            <w:shd w:val="clear" w:color="auto" w:fill="235868"/>
            <w:tcMar>
              <w:top w:w="100" w:type="dxa"/>
              <w:left w:w="100" w:type="dxa"/>
              <w:bottom w:w="100" w:type="dxa"/>
              <w:right w:w="100" w:type="dxa"/>
            </w:tcMar>
          </w:tcPr>
          <w:p w14:paraId="1038F25E" w14:textId="77777777" w:rsidR="001C7A69" w:rsidRPr="001C2795" w:rsidRDefault="001C7A69" w:rsidP="00CE10C2">
            <w:pPr>
              <w:pStyle w:val="Tabletext"/>
              <w:jc w:val="center"/>
              <w:rPr>
                <w:rFonts w:asciiTheme="minorHAnsi" w:hAnsiTheme="minorHAnsi"/>
                <w:b/>
                <w:bCs/>
                <w:color w:val="FFFFFF" w:themeColor="background1"/>
              </w:rPr>
            </w:pPr>
            <w:r w:rsidRPr="001C2795">
              <w:rPr>
                <w:rFonts w:asciiTheme="minorHAnsi" w:hAnsiTheme="minorHAnsi"/>
                <w:b/>
                <w:bCs/>
                <w:color w:val="FFFFFF" w:themeColor="background1"/>
              </w:rPr>
              <w:t>Grade 4 Life-threatening</w:t>
            </w:r>
          </w:p>
        </w:tc>
      </w:tr>
      <w:tr w:rsidR="001C7A69" w:rsidRPr="001C2795" w14:paraId="234C3AE3" w14:textId="77777777" w:rsidTr="000A384C">
        <w:tc>
          <w:tcPr>
            <w:tcW w:w="858" w:type="pct"/>
            <w:shd w:val="clear" w:color="auto" w:fill="FFFFFF" w:themeFill="background1"/>
          </w:tcPr>
          <w:p w14:paraId="44ED3D96"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Hypothyroidism</w:t>
            </w:r>
          </w:p>
        </w:tc>
        <w:tc>
          <w:tcPr>
            <w:tcW w:w="1034" w:type="pct"/>
            <w:shd w:val="clear" w:color="auto" w:fill="FFFFFF" w:themeFill="background1"/>
          </w:tcPr>
          <w:p w14:paraId="5C608BB7"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Asymptomatic; clinical or diagnostic observations only; intervention not indicated</w:t>
            </w:r>
          </w:p>
        </w:tc>
        <w:tc>
          <w:tcPr>
            <w:tcW w:w="1036" w:type="pct"/>
            <w:shd w:val="clear" w:color="auto" w:fill="FFFFFF" w:themeFill="background1"/>
          </w:tcPr>
          <w:p w14:paraId="7EDCDEB7"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Symptomatic; thyroid replacement indicated; limiting instrumental ADL</w:t>
            </w:r>
          </w:p>
        </w:tc>
        <w:tc>
          <w:tcPr>
            <w:tcW w:w="1036" w:type="pct"/>
            <w:shd w:val="clear" w:color="auto" w:fill="FFFFFF" w:themeFill="background1"/>
          </w:tcPr>
          <w:p w14:paraId="7A59209E"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Severe symptoms; limiting self care ADL hospitalization indicated</w:t>
            </w:r>
          </w:p>
        </w:tc>
        <w:tc>
          <w:tcPr>
            <w:tcW w:w="1035" w:type="pct"/>
            <w:shd w:val="clear" w:color="auto" w:fill="FFFFFF" w:themeFill="background1"/>
          </w:tcPr>
          <w:p w14:paraId="48453D44"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Life-threatening consequences; urgent intervention indicated</w:t>
            </w:r>
          </w:p>
        </w:tc>
      </w:tr>
      <w:tr w:rsidR="001C7A69" w:rsidRPr="001C2795" w14:paraId="314D8FF5" w14:textId="77777777" w:rsidTr="000A384C">
        <w:tc>
          <w:tcPr>
            <w:tcW w:w="858" w:type="pct"/>
            <w:tcBorders>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E7BE07F"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Action</w:t>
            </w:r>
          </w:p>
        </w:tc>
        <w:tc>
          <w:tcPr>
            <w:tcW w:w="1034"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1602D4C"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Continue anti-TB drugs.</w:t>
            </w:r>
          </w:p>
        </w:tc>
        <w:tc>
          <w:tcPr>
            <w:tcW w:w="1036"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1B6892F"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Continue anti-TB drugs. Start thyroxine.</w:t>
            </w:r>
          </w:p>
        </w:tc>
        <w:tc>
          <w:tcPr>
            <w:tcW w:w="1036"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2B9C257"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Continue anti-TB drugs. Start thyroxine.</w:t>
            </w:r>
          </w:p>
        </w:tc>
        <w:tc>
          <w:tcPr>
            <w:tcW w:w="1035" w:type="pct"/>
            <w:tcBorders>
              <w:top w:val="single" w:sz="8" w:space="0" w:color="000000" w:themeColor="text1"/>
              <w:left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B615D86"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rPr>
              <w:t>Stop all anti-TB drugs. Start thyroxine.</w:t>
            </w:r>
          </w:p>
        </w:tc>
      </w:tr>
      <w:tr w:rsidR="001C7A69" w:rsidRPr="001C2795" w14:paraId="00576F09" w14:textId="77777777" w:rsidTr="000A384C">
        <w:tc>
          <w:tcPr>
            <w:tcW w:w="5000" w:type="pct"/>
            <w:gridSpan w:val="5"/>
            <w:tcBorders>
              <w:left w:val="nil"/>
              <w:bottom w:val="nil"/>
              <w:right w:val="nil"/>
            </w:tcBorders>
            <w:shd w:val="clear" w:color="auto" w:fill="FFFFFF" w:themeFill="background1"/>
            <w:tcMar>
              <w:top w:w="100" w:type="dxa"/>
              <w:left w:w="100" w:type="dxa"/>
              <w:bottom w:w="100" w:type="dxa"/>
              <w:right w:w="100" w:type="dxa"/>
            </w:tcMar>
          </w:tcPr>
          <w:p w14:paraId="07987F47" w14:textId="77777777" w:rsidR="001C7A69" w:rsidRPr="001C2795" w:rsidRDefault="001C7A69" w:rsidP="000A384C">
            <w:pPr>
              <w:pStyle w:val="Tabletext"/>
              <w:rPr>
                <w:rFonts w:asciiTheme="minorHAnsi" w:hAnsiTheme="minorHAnsi"/>
                <w:color w:val="000000" w:themeColor="text1"/>
              </w:rPr>
            </w:pPr>
            <w:r w:rsidRPr="001C2795">
              <w:rPr>
                <w:rFonts w:asciiTheme="minorHAnsi" w:hAnsiTheme="minorHAnsi"/>
                <w:color w:val="000000" w:themeColor="text1"/>
                <w:sz w:val="16"/>
                <w:szCs w:val="20"/>
              </w:rPr>
              <w:t>*NCI Common Terminology Criteria for Adverse Event, v.4.03 14-Jun-2010.</w:t>
            </w:r>
          </w:p>
        </w:tc>
      </w:tr>
    </w:tbl>
    <w:p w14:paraId="354B4E23" w14:textId="77777777" w:rsidR="001C7A69" w:rsidRPr="009D1960" w:rsidRDefault="001C7A69" w:rsidP="001C7A69">
      <w:pPr>
        <w:rPr>
          <w:rFonts w:asciiTheme="minorHAnsi" w:hAnsiTheme="minorHAnsi" w:cstheme="minorHAnsi"/>
          <w:b/>
          <w:bCs/>
          <w:color w:val="000000" w:themeColor="text1"/>
        </w:rPr>
      </w:pPr>
      <w:r w:rsidRPr="009D1960">
        <w:rPr>
          <w:rFonts w:asciiTheme="minorHAnsi" w:hAnsiTheme="minorHAnsi" w:cstheme="minorHAnsi"/>
          <w:b/>
          <w:bCs/>
          <w:color w:val="000000" w:themeColor="text1"/>
        </w:rPr>
        <w:t>Suggested management strategy:</w:t>
      </w:r>
    </w:p>
    <w:p w14:paraId="25017274" w14:textId="77777777" w:rsidR="001C7A69" w:rsidRPr="009D1960" w:rsidRDefault="001C7A69" w:rsidP="00CB2F8E">
      <w:pPr>
        <w:pStyle w:val="ListNumber"/>
        <w:numPr>
          <w:ilvl w:val="0"/>
          <w:numId w:val="15"/>
        </w:numPr>
        <w:rPr>
          <w:rFonts w:asciiTheme="minorHAnsi" w:hAnsiTheme="minorHAnsi" w:cstheme="minorHAnsi"/>
          <w:color w:val="000000" w:themeColor="text1"/>
        </w:rPr>
      </w:pPr>
      <w:r w:rsidRPr="009D1960">
        <w:rPr>
          <w:rFonts w:asciiTheme="minorHAnsi" w:hAnsiTheme="minorHAnsi" w:cstheme="minorHAnsi"/>
          <w:color w:val="000000" w:themeColor="text1"/>
        </w:rPr>
        <w:t>In patients with hypothyroidism, most adults will require 100 to 150 mcg of levothyroxine daily.</w:t>
      </w:r>
    </w:p>
    <w:p w14:paraId="439096EB"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Young healthy adults can be started on 75 to 100 mcg daily.</w:t>
      </w:r>
    </w:p>
    <w:p w14:paraId="1CFA99DA"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Older patients should begin treatment with 50 mcg daily.</w:t>
      </w:r>
    </w:p>
    <w:p w14:paraId="54ED09EC"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Patients with significant cardiovascular disease should start at 25 mcg daily.</w:t>
      </w:r>
    </w:p>
    <w:p w14:paraId="24A298C0" w14:textId="77777777"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Children clear thyroxine faster than adults, so daily replacement doses may be higher.</w:t>
      </w:r>
    </w:p>
    <w:p w14:paraId="0CCAB473"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Children (4-15 years): 4 mcg/kg/day (maximum dose is 200 mcg).</w:t>
      </w:r>
    </w:p>
    <w:p w14:paraId="57796A2E" w14:textId="77777777" w:rsidR="001C7A69" w:rsidRPr="009D1960" w:rsidRDefault="001C7A69" w:rsidP="001C7A69">
      <w:pPr>
        <w:pStyle w:val="ListBullet2"/>
        <w:rPr>
          <w:rFonts w:asciiTheme="minorHAnsi" w:hAnsiTheme="minorHAnsi" w:cstheme="minorHAnsi"/>
          <w:color w:val="000000" w:themeColor="text1"/>
        </w:rPr>
      </w:pPr>
      <w:r w:rsidRPr="009D1960">
        <w:rPr>
          <w:rFonts w:asciiTheme="minorHAnsi" w:hAnsiTheme="minorHAnsi" w:cstheme="minorHAnsi"/>
          <w:color w:val="000000" w:themeColor="text1"/>
        </w:rPr>
        <w:t>Infants (1-3 years): 10-15 mcg/kg/day (maximum dose is 200 mcg).</w:t>
      </w:r>
    </w:p>
    <w:p w14:paraId="67EB4EB6" w14:textId="42BEC5DB"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 xml:space="preserve">Monitor TSH every </w:t>
      </w:r>
      <w:r w:rsidR="001C2795">
        <w:rPr>
          <w:rFonts w:asciiTheme="minorHAnsi" w:hAnsiTheme="minorHAnsi" w:cstheme="minorHAnsi"/>
          <w:color w:val="000000" w:themeColor="text1"/>
        </w:rPr>
        <w:t>1 to 2</w:t>
      </w:r>
      <w:r w:rsidRPr="009D1960">
        <w:rPr>
          <w:rFonts w:asciiTheme="minorHAnsi" w:hAnsiTheme="minorHAnsi" w:cstheme="minorHAnsi"/>
          <w:color w:val="000000" w:themeColor="text1"/>
        </w:rPr>
        <w:t xml:space="preserve"> months and increase dose by 25 to 50 mcg until TSH is in normal range. Adjust dose more slowly in the elderly and patients with cardiac conditions.</w:t>
      </w:r>
    </w:p>
    <w:p w14:paraId="49377A74" w14:textId="77777777" w:rsidR="001C7A69" w:rsidRPr="009D1960" w:rsidRDefault="001C7A69" w:rsidP="001C7A69">
      <w:pPr>
        <w:pStyle w:val="ListNumber"/>
        <w:rPr>
          <w:rFonts w:asciiTheme="minorHAnsi" w:hAnsiTheme="minorHAnsi" w:cstheme="minorHAnsi"/>
          <w:color w:val="000000" w:themeColor="text1"/>
        </w:rPr>
      </w:pPr>
      <w:r w:rsidRPr="009D1960">
        <w:rPr>
          <w:rFonts w:asciiTheme="minorHAnsi" w:hAnsiTheme="minorHAnsi" w:cstheme="minorHAnsi"/>
          <w:color w:val="000000" w:themeColor="text1"/>
        </w:rPr>
        <w:t>Hypothyroidism is reversible upon discontinuation of ethionamide/prothionamide or PAS. As a result, thyroid hormone replacement may be stopped several months after completion of MDR-TB treatment.</w:t>
      </w:r>
      <w:bookmarkStart w:id="298" w:name="h.3cqmetx" w:colFirst="0" w:colLast="0"/>
      <w:bookmarkStart w:id="299" w:name="h.1rvwp1q" w:colFirst="0" w:colLast="0"/>
      <w:bookmarkStart w:id="300" w:name="h.4bvk7pj" w:colFirst="0" w:colLast="0"/>
      <w:bookmarkStart w:id="301" w:name="h.2r0uhxc" w:colFirst="0" w:colLast="0"/>
      <w:bookmarkStart w:id="302" w:name="h.1664s55" w:colFirst="0" w:colLast="0"/>
      <w:bookmarkStart w:id="303" w:name="h.9tudlhc0407b" w:colFirst="0" w:colLast="0"/>
      <w:bookmarkStart w:id="304" w:name="h.8vyjo9dhgsx0" w:colFirst="0" w:colLast="0"/>
      <w:bookmarkEnd w:id="298"/>
      <w:bookmarkEnd w:id="299"/>
      <w:bookmarkEnd w:id="300"/>
      <w:bookmarkEnd w:id="301"/>
      <w:bookmarkEnd w:id="302"/>
      <w:bookmarkEnd w:id="303"/>
      <w:bookmarkEnd w:id="304"/>
    </w:p>
    <w:p w14:paraId="706181EA" w14:textId="77777777" w:rsidR="001C7A69" w:rsidRPr="00B85017" w:rsidRDefault="001C7A69" w:rsidP="00003170">
      <w:pPr>
        <w:pStyle w:val="Heading2"/>
        <w:sectPr w:rsidR="001C7A69" w:rsidRPr="00B85017" w:rsidSect="00F35C5B">
          <w:pgSz w:w="11907" w:h="16839"/>
          <w:pgMar w:top="1440" w:right="1440" w:bottom="1440" w:left="1440" w:header="720" w:footer="720" w:gutter="0"/>
          <w:cols w:space="720"/>
        </w:sectPr>
      </w:pPr>
    </w:p>
    <w:p w14:paraId="67C1DCAD" w14:textId="77777777" w:rsidR="001C7A69" w:rsidRPr="00003170" w:rsidRDefault="001C7A69" w:rsidP="00003170">
      <w:pPr>
        <w:pStyle w:val="Heading2"/>
      </w:pPr>
      <w:bookmarkStart w:id="305" w:name="_Toc12792981"/>
      <w:bookmarkStart w:id="306" w:name="_Toc12952383"/>
      <w:bookmarkStart w:id="307" w:name="_Toc13486732"/>
      <w:r w:rsidRPr="00003170">
        <w:lastRenderedPageBreak/>
        <w:t>Frequent adverse events</w:t>
      </w:r>
      <w:bookmarkEnd w:id="305"/>
      <w:bookmarkEnd w:id="306"/>
      <w:bookmarkEnd w:id="307"/>
    </w:p>
    <w:p w14:paraId="133BBDA1" w14:textId="77777777" w:rsidR="001C7A69" w:rsidRPr="009D1960" w:rsidRDefault="001C7A69" w:rsidP="001C7A69">
      <w:pPr>
        <w:rPr>
          <w:rFonts w:asciiTheme="minorHAnsi" w:hAnsiTheme="minorHAnsi" w:cstheme="minorHAnsi"/>
          <w:color w:val="000000" w:themeColor="text1"/>
        </w:rPr>
      </w:pPr>
      <w:r w:rsidRPr="009D1960">
        <w:rPr>
          <w:rFonts w:asciiTheme="minorHAnsi" w:hAnsiTheme="minorHAnsi" w:cstheme="minorHAnsi"/>
          <w:color w:val="000000" w:themeColor="text1"/>
        </w:rPr>
        <w:t xml:space="preserve">This table is extracted from the full Severity Grading Scale, which is available at </w:t>
      </w:r>
      <w:hyperlink r:id="rId38" w:history="1">
        <w:r w:rsidRPr="009D1960">
          <w:rPr>
            <w:rStyle w:val="Hyperlink"/>
            <w:rFonts w:asciiTheme="minorHAnsi" w:hAnsiTheme="minorHAnsi" w:cstheme="minorHAnsi"/>
            <w:color w:val="000000" w:themeColor="text1"/>
          </w:rPr>
          <w:t>http://endtb.org/resources/pharmacovigilance</w:t>
        </w:r>
      </w:hyperlink>
      <w:r w:rsidRPr="009D1960">
        <w:rPr>
          <w:rFonts w:asciiTheme="minorHAnsi" w:hAnsiTheme="minorHAnsi" w:cstheme="minorHAnsi"/>
          <w:color w:val="000000" w:themeColor="text1"/>
        </w:rPr>
        <w:t xml:space="preserve">. The following table does not include the adverse events of interest; for those grading scales, refer to the relevant section. </w:t>
      </w:r>
    </w:p>
    <w:p w14:paraId="75E688BA" w14:textId="385C80EA" w:rsidR="001C7A69" w:rsidRPr="006226EF" w:rsidRDefault="001C7A69" w:rsidP="002C4FED">
      <w:pPr>
        <w:pStyle w:val="Heading3"/>
        <w:rPr>
          <w:rFonts w:asciiTheme="minorHAnsi" w:hAnsiTheme="minorHAnsi"/>
        </w:rPr>
      </w:pPr>
      <w:bookmarkStart w:id="308" w:name="_Ref12888345"/>
      <w:bookmarkStart w:id="309" w:name="_Ref12888375"/>
      <w:bookmarkStart w:id="310" w:name="_Toc13486782"/>
      <w:bookmarkStart w:id="311" w:name="_Toc299357214"/>
      <w:r w:rsidRPr="006226EF">
        <w:rPr>
          <w:rFonts w:asciiTheme="minorHAnsi" w:hAnsiTheme="minorHAnsi"/>
        </w:rPr>
        <w:t>Table 2</w:t>
      </w:r>
      <w:r w:rsidR="009C09A0" w:rsidRPr="006226EF">
        <w:rPr>
          <w:rFonts w:asciiTheme="minorHAnsi" w:hAnsiTheme="minorHAnsi"/>
        </w:rPr>
        <w:t>6</w:t>
      </w:r>
      <w:r w:rsidRPr="006226EF">
        <w:rPr>
          <w:rFonts w:asciiTheme="minorHAnsi" w:hAnsiTheme="minorHAnsi"/>
        </w:rPr>
        <w:t xml:space="preserve"> List of </w:t>
      </w:r>
      <w:r w:rsidRPr="006226EF">
        <w:rPr>
          <w:rFonts w:asciiTheme="minorHAnsi" w:eastAsiaTheme="minorEastAsia" w:hAnsiTheme="minorHAnsi"/>
          <w:lang w:eastAsia="ko-KR"/>
        </w:rPr>
        <w:t>most frequent</w:t>
      </w:r>
      <w:r w:rsidRPr="006226EF">
        <w:rPr>
          <w:rFonts w:asciiTheme="minorHAnsi" w:hAnsiTheme="minorHAnsi"/>
        </w:rPr>
        <w:t xml:space="preserve"> adverse events</w:t>
      </w:r>
      <w:bookmarkEnd w:id="308"/>
      <w:bookmarkEnd w:id="309"/>
      <w:bookmarkEnd w:id="310"/>
      <w:r w:rsidRPr="006226EF">
        <w:rPr>
          <w:rFonts w:asciiTheme="minorHAnsi" w:hAnsiTheme="minorHAnsi"/>
        </w:rPr>
        <w:t xml:space="preserve"> </w:t>
      </w:r>
      <w:bookmarkEnd w:id="311"/>
    </w:p>
    <w:tbl>
      <w:tblPr>
        <w:tblW w:w="0" w:type="auto"/>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954"/>
        <w:gridCol w:w="2930"/>
        <w:gridCol w:w="2303"/>
        <w:gridCol w:w="2010"/>
        <w:gridCol w:w="2921"/>
        <w:gridCol w:w="1825"/>
      </w:tblGrid>
      <w:tr w:rsidR="001C7A69" w:rsidRPr="006A7E8A" w14:paraId="01EBF681" w14:textId="77777777" w:rsidTr="00093E2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35868"/>
            <w:tcMar>
              <w:top w:w="30" w:type="dxa"/>
              <w:left w:w="45" w:type="dxa"/>
              <w:bottom w:w="30" w:type="dxa"/>
              <w:right w:w="45" w:type="dxa"/>
            </w:tcMar>
            <w:hideMark/>
          </w:tcPr>
          <w:p w14:paraId="28182D1A" w14:textId="77777777" w:rsidR="001C7A69" w:rsidRPr="006A7E8A" w:rsidRDefault="001C7A69" w:rsidP="00CE10C2">
            <w:pPr>
              <w:pStyle w:val="Tabletext"/>
              <w:jc w:val="center"/>
              <w:rPr>
                <w:rFonts w:asciiTheme="minorHAnsi" w:hAnsiTheme="minorHAnsi" w:cstheme="minorHAnsi"/>
                <w:b/>
                <w:color w:val="FFFFFF" w:themeColor="background1"/>
              </w:rPr>
            </w:pPr>
            <w:r w:rsidRPr="006A7E8A">
              <w:rPr>
                <w:rFonts w:asciiTheme="minorHAnsi" w:hAnsiTheme="minorHAnsi" w:cstheme="minorHAnsi"/>
                <w:b/>
                <w:color w:val="FFFFFF" w:themeColor="background1"/>
              </w:rPr>
              <w:t>Adverse event</w:t>
            </w:r>
          </w:p>
        </w:tc>
        <w:tc>
          <w:tcPr>
            <w:tcW w:w="0" w:type="auto"/>
            <w:tcBorders>
              <w:top w:val="single" w:sz="6" w:space="0" w:color="000000" w:themeColor="text1"/>
              <w:left w:val="single" w:sz="6" w:space="0" w:color="CCCCCC"/>
              <w:bottom w:val="single" w:sz="6" w:space="0" w:color="000000" w:themeColor="text1"/>
              <w:right w:val="single" w:sz="6" w:space="0" w:color="000000" w:themeColor="text1"/>
            </w:tcBorders>
            <w:shd w:val="clear" w:color="auto" w:fill="235868"/>
            <w:tcMar>
              <w:top w:w="30" w:type="dxa"/>
              <w:left w:w="45" w:type="dxa"/>
              <w:bottom w:w="30" w:type="dxa"/>
              <w:right w:w="45" w:type="dxa"/>
            </w:tcMar>
            <w:hideMark/>
          </w:tcPr>
          <w:p w14:paraId="4286F6B7" w14:textId="77777777" w:rsidR="001C7A69" w:rsidRPr="006A7E8A" w:rsidRDefault="001C7A69" w:rsidP="00CE10C2">
            <w:pPr>
              <w:pStyle w:val="Tabletext"/>
              <w:jc w:val="center"/>
              <w:rPr>
                <w:rFonts w:asciiTheme="minorHAnsi" w:hAnsiTheme="minorHAnsi" w:cstheme="minorHAnsi"/>
                <w:b/>
                <w:color w:val="FFFFFF" w:themeColor="background1"/>
              </w:rPr>
            </w:pPr>
            <w:r w:rsidRPr="006A7E8A">
              <w:rPr>
                <w:rFonts w:asciiTheme="minorHAnsi" w:hAnsiTheme="minorHAnsi" w:cstheme="minorHAnsi"/>
                <w:b/>
                <w:color w:val="FFFFFF" w:themeColor="background1"/>
              </w:rPr>
              <w:t>Definition</w:t>
            </w:r>
          </w:p>
        </w:tc>
        <w:tc>
          <w:tcPr>
            <w:tcW w:w="0" w:type="auto"/>
            <w:tcBorders>
              <w:top w:val="single" w:sz="6" w:space="0" w:color="000000" w:themeColor="text1"/>
              <w:left w:val="single" w:sz="6" w:space="0" w:color="CCCCCC"/>
              <w:bottom w:val="single" w:sz="6" w:space="0" w:color="000000" w:themeColor="text1"/>
              <w:right w:val="single" w:sz="6" w:space="0" w:color="000000" w:themeColor="text1"/>
            </w:tcBorders>
            <w:shd w:val="clear" w:color="auto" w:fill="235868"/>
            <w:tcMar>
              <w:top w:w="30" w:type="dxa"/>
              <w:left w:w="45" w:type="dxa"/>
              <w:bottom w:w="30" w:type="dxa"/>
              <w:right w:w="45" w:type="dxa"/>
            </w:tcMar>
            <w:hideMark/>
          </w:tcPr>
          <w:p w14:paraId="4EB3B421" w14:textId="77777777" w:rsidR="001C7A69" w:rsidRPr="006A7E8A" w:rsidRDefault="001C7A69" w:rsidP="00CE10C2">
            <w:pPr>
              <w:pStyle w:val="Tabletext"/>
              <w:jc w:val="center"/>
              <w:rPr>
                <w:rFonts w:asciiTheme="minorHAnsi" w:hAnsiTheme="minorHAnsi" w:cstheme="minorHAnsi"/>
                <w:b/>
                <w:color w:val="FFFFFF" w:themeColor="background1"/>
              </w:rPr>
            </w:pPr>
            <w:r w:rsidRPr="006A7E8A">
              <w:rPr>
                <w:rFonts w:asciiTheme="minorHAnsi" w:hAnsiTheme="minorHAnsi" w:cstheme="minorHAnsi"/>
                <w:b/>
                <w:color w:val="FFFFFF" w:themeColor="background1"/>
              </w:rPr>
              <w:t>Grade 1</w:t>
            </w:r>
          </w:p>
        </w:tc>
        <w:tc>
          <w:tcPr>
            <w:tcW w:w="0" w:type="auto"/>
            <w:tcBorders>
              <w:top w:val="single" w:sz="6" w:space="0" w:color="000000" w:themeColor="text1"/>
              <w:left w:val="single" w:sz="6" w:space="0" w:color="CCCCCC"/>
              <w:bottom w:val="single" w:sz="6" w:space="0" w:color="000000" w:themeColor="text1"/>
              <w:right w:val="single" w:sz="6" w:space="0" w:color="000000" w:themeColor="text1"/>
            </w:tcBorders>
            <w:shd w:val="clear" w:color="auto" w:fill="235868"/>
            <w:tcMar>
              <w:top w:w="30" w:type="dxa"/>
              <w:left w:w="45" w:type="dxa"/>
              <w:bottom w:w="30" w:type="dxa"/>
              <w:right w:w="45" w:type="dxa"/>
            </w:tcMar>
            <w:hideMark/>
          </w:tcPr>
          <w:p w14:paraId="5F12342C" w14:textId="77777777" w:rsidR="001C7A69" w:rsidRPr="006A7E8A" w:rsidRDefault="001C7A69" w:rsidP="00CE10C2">
            <w:pPr>
              <w:pStyle w:val="Tabletext"/>
              <w:jc w:val="center"/>
              <w:rPr>
                <w:rFonts w:asciiTheme="minorHAnsi" w:hAnsiTheme="minorHAnsi" w:cstheme="minorHAnsi"/>
                <w:b/>
                <w:color w:val="FFFFFF" w:themeColor="background1"/>
              </w:rPr>
            </w:pPr>
            <w:r w:rsidRPr="006A7E8A">
              <w:rPr>
                <w:rFonts w:asciiTheme="minorHAnsi" w:hAnsiTheme="minorHAnsi" w:cstheme="minorHAnsi"/>
                <w:b/>
                <w:color w:val="FFFFFF" w:themeColor="background1"/>
              </w:rPr>
              <w:t>Grade 2</w:t>
            </w:r>
          </w:p>
        </w:tc>
        <w:tc>
          <w:tcPr>
            <w:tcW w:w="0" w:type="auto"/>
            <w:tcBorders>
              <w:top w:val="single" w:sz="6" w:space="0" w:color="000000" w:themeColor="text1"/>
              <w:left w:val="single" w:sz="6" w:space="0" w:color="CCCCCC"/>
              <w:bottom w:val="single" w:sz="6" w:space="0" w:color="000000" w:themeColor="text1"/>
              <w:right w:val="single" w:sz="6" w:space="0" w:color="000000" w:themeColor="text1"/>
            </w:tcBorders>
            <w:shd w:val="clear" w:color="auto" w:fill="235868"/>
            <w:tcMar>
              <w:top w:w="30" w:type="dxa"/>
              <w:left w:w="45" w:type="dxa"/>
              <w:bottom w:w="30" w:type="dxa"/>
              <w:right w:w="45" w:type="dxa"/>
            </w:tcMar>
            <w:hideMark/>
          </w:tcPr>
          <w:p w14:paraId="5868622F" w14:textId="77777777" w:rsidR="001C7A69" w:rsidRPr="006A7E8A" w:rsidRDefault="001C7A69" w:rsidP="00CE10C2">
            <w:pPr>
              <w:pStyle w:val="Tabletext"/>
              <w:jc w:val="center"/>
              <w:rPr>
                <w:rFonts w:asciiTheme="minorHAnsi" w:hAnsiTheme="minorHAnsi" w:cstheme="minorHAnsi"/>
                <w:b/>
                <w:color w:val="FFFFFF" w:themeColor="background1"/>
              </w:rPr>
            </w:pPr>
            <w:r w:rsidRPr="006A7E8A">
              <w:rPr>
                <w:rFonts w:asciiTheme="minorHAnsi" w:hAnsiTheme="minorHAnsi" w:cstheme="minorHAnsi"/>
                <w:b/>
                <w:color w:val="FFFFFF" w:themeColor="background1"/>
              </w:rPr>
              <w:t>Grade 3</w:t>
            </w:r>
          </w:p>
        </w:tc>
        <w:tc>
          <w:tcPr>
            <w:tcW w:w="0" w:type="auto"/>
            <w:tcBorders>
              <w:top w:val="single" w:sz="6" w:space="0" w:color="000000" w:themeColor="text1"/>
              <w:left w:val="single" w:sz="6" w:space="0" w:color="CCCCCC"/>
              <w:bottom w:val="single" w:sz="6" w:space="0" w:color="000000" w:themeColor="text1"/>
              <w:right w:val="single" w:sz="6" w:space="0" w:color="000000" w:themeColor="text1"/>
            </w:tcBorders>
            <w:shd w:val="clear" w:color="auto" w:fill="235868"/>
            <w:tcMar>
              <w:top w:w="30" w:type="dxa"/>
              <w:left w:w="45" w:type="dxa"/>
              <w:bottom w:w="30" w:type="dxa"/>
              <w:right w:w="45" w:type="dxa"/>
            </w:tcMar>
            <w:hideMark/>
          </w:tcPr>
          <w:p w14:paraId="378B9BFC" w14:textId="77777777" w:rsidR="001C7A69" w:rsidRPr="006A7E8A" w:rsidRDefault="001C7A69" w:rsidP="00CE10C2">
            <w:pPr>
              <w:pStyle w:val="Tabletext"/>
              <w:jc w:val="center"/>
              <w:rPr>
                <w:rFonts w:asciiTheme="minorHAnsi" w:hAnsiTheme="minorHAnsi" w:cstheme="minorHAnsi"/>
                <w:b/>
                <w:color w:val="FFFFFF" w:themeColor="background1"/>
              </w:rPr>
            </w:pPr>
            <w:r w:rsidRPr="006A7E8A">
              <w:rPr>
                <w:rFonts w:asciiTheme="minorHAnsi" w:hAnsiTheme="minorHAnsi" w:cstheme="minorHAnsi"/>
                <w:b/>
                <w:color w:val="FFFFFF" w:themeColor="background1"/>
              </w:rPr>
              <w:t>Grade 4</w:t>
            </w:r>
          </w:p>
        </w:tc>
      </w:tr>
      <w:tr w:rsidR="001C7A69" w:rsidRPr="006A7E8A" w14:paraId="799514D8"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545C722D"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Cardiovascular disorders</w:t>
            </w:r>
          </w:p>
        </w:tc>
      </w:tr>
      <w:tr w:rsidR="001C7A69" w:rsidRPr="006A7E8A" w14:paraId="43C45281"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74D93E8"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Cardiac rhythm</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6302BC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Abnormality in cardiac rhythm other than QT Interval Prolongation.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10C853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85EE4CB"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Asymptomatic, transient signs, no treatment required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B7C35D5"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Recurrent/persistent; symptomatic treatment required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72A106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Unstable dysrhythmia; hospitalization and treatment required</w:t>
            </w:r>
          </w:p>
        </w:tc>
      </w:tr>
      <w:tr w:rsidR="001C7A69" w:rsidRPr="006A7E8A" w14:paraId="0DD4202A"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5D9DE7D8"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Chemistry</w:t>
            </w:r>
          </w:p>
        </w:tc>
      </w:tr>
      <w:tr w:rsidR="001C7A69" w:rsidRPr="006A7E8A" w14:paraId="712A151D"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DE2A4C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Lactate increased (lactic acidosis)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AD9397F"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Increase in blood lactate accompanied or not with blood acidification.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A7F7BA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ULN to &lt; 2.0 x ULN without acidosis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7B695B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2.0 x ULN without acidosis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299AF1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Increased lactate with pH &lt; 7.3 without life threatening consequences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CDE2478"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Increased lactate with pH &lt; 7.3 with life threatening consequences</w:t>
            </w:r>
          </w:p>
        </w:tc>
      </w:tr>
      <w:tr w:rsidR="001C7A69" w:rsidRPr="006A7E8A" w14:paraId="1845AE1A"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7678EDBF" w14:textId="77777777" w:rsidR="001C7A69" w:rsidRPr="006A7E8A" w:rsidRDefault="001C7A69" w:rsidP="000A384C">
            <w:pPr>
              <w:pStyle w:val="Tabletext"/>
              <w:rPr>
                <w:rFonts w:asciiTheme="minorHAnsi" w:hAnsiTheme="minorHAnsi" w:cstheme="minorHAnsi"/>
                <w:b/>
                <w:i/>
                <w:color w:val="000000" w:themeColor="text1"/>
              </w:rPr>
            </w:pPr>
            <w:r w:rsidRPr="006A7E8A">
              <w:rPr>
                <w:rFonts w:asciiTheme="minorHAnsi" w:hAnsiTheme="minorHAnsi" w:cstheme="minorHAnsi"/>
                <w:b/>
                <w:i/>
                <w:color w:val="000000" w:themeColor="text1"/>
              </w:rPr>
              <w:t>Ear Disorders</w:t>
            </w:r>
          </w:p>
        </w:tc>
      </w:tr>
      <w:tr w:rsidR="000C4CD4" w:rsidRPr="006A7E8A" w14:paraId="6FA58CB6"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48EC6D6D" w14:textId="4435EE84" w:rsidR="000C4CD4" w:rsidRPr="006A7E8A" w:rsidRDefault="000C4CD4" w:rsidP="000C4CD4">
            <w:pPr>
              <w:pStyle w:val="Tabletext"/>
              <w:rPr>
                <w:rFonts w:asciiTheme="minorHAnsi" w:hAnsiTheme="minorHAnsi" w:cstheme="minorHAnsi"/>
                <w:color w:val="000000" w:themeColor="text1"/>
              </w:rPr>
            </w:pPr>
            <w:r w:rsidRPr="00E20600">
              <w:rPr>
                <w:rFonts w:asciiTheme="minorHAnsi" w:hAnsiTheme="minorHAnsi"/>
                <w:color w:val="000000" w:themeColor="text1"/>
              </w:rPr>
              <w:t>Hearing Impaired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312EDC72" w14:textId="7C613DD0" w:rsidR="000C4CD4" w:rsidRPr="006A7E8A" w:rsidRDefault="00A5318C" w:rsidP="000C4CD4">
            <w:pPr>
              <w:pStyle w:val="Tabletext"/>
              <w:rPr>
                <w:rFonts w:asciiTheme="minorHAnsi" w:hAnsiTheme="minorHAnsi" w:cstheme="minorHAnsi"/>
                <w:color w:val="000000" w:themeColor="text1"/>
              </w:rPr>
            </w:pPr>
            <w:r w:rsidRPr="009D1960">
              <w:rPr>
                <w:rFonts w:asciiTheme="minorHAnsi" w:hAnsiTheme="minorHAnsi" w:cstheme="minorHAnsi"/>
                <w:color w:val="000000" w:themeColor="text1"/>
              </w:rPr>
              <w:t>An audiogram that demonstrates hearing loss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5BCCC41F" w14:textId="77777777" w:rsidR="000C4CD4" w:rsidRPr="00E20600" w:rsidRDefault="000C4CD4" w:rsidP="000C4CD4">
            <w:pPr>
              <w:pStyle w:val="Tabletext"/>
              <w:rPr>
                <w:rFonts w:asciiTheme="minorHAnsi" w:hAnsiTheme="minorHAnsi"/>
                <w:color w:val="000000" w:themeColor="text1"/>
              </w:rPr>
            </w:pPr>
            <w:r w:rsidRPr="00E56FBA">
              <w:rPr>
                <w:rFonts w:asciiTheme="minorHAnsi" w:hAnsiTheme="minorHAnsi"/>
                <w:color w:val="000000" w:themeColor="text1"/>
                <w:u w:val="single"/>
              </w:rPr>
              <w:t>Adult enrolled</w:t>
            </w:r>
            <w:r w:rsidRPr="00E20600">
              <w:rPr>
                <w:rFonts w:asciiTheme="minorHAnsi" w:hAnsiTheme="minorHAnsi"/>
                <w:color w:val="000000" w:themeColor="text1"/>
              </w:rPr>
              <w:t xml:space="preserve"> on a </w:t>
            </w:r>
            <w:r>
              <w:rPr>
                <w:rFonts w:asciiTheme="minorHAnsi" w:hAnsiTheme="minorHAnsi"/>
                <w:color w:val="000000" w:themeColor="text1"/>
              </w:rPr>
              <w:t>m</w:t>
            </w:r>
            <w:r w:rsidRPr="00E20600">
              <w:rPr>
                <w:rFonts w:asciiTheme="minorHAnsi" w:hAnsiTheme="minorHAnsi"/>
                <w:color w:val="000000" w:themeColor="text1"/>
              </w:rPr>
              <w:t xml:space="preserve">onitoring </w:t>
            </w:r>
            <w:r>
              <w:rPr>
                <w:rFonts w:asciiTheme="minorHAnsi" w:hAnsiTheme="minorHAnsi"/>
                <w:color w:val="000000" w:themeColor="text1"/>
              </w:rPr>
              <w:t>p</w:t>
            </w:r>
            <w:r w:rsidRPr="00E20600">
              <w:rPr>
                <w:rFonts w:asciiTheme="minorHAnsi" w:hAnsiTheme="minorHAnsi"/>
                <w:color w:val="000000" w:themeColor="text1"/>
              </w:rPr>
              <w:t>rogram (on a 1, 2, 4, 3, 6 and 8 kHz audiogram): threshold shift of 15 - 25 dB averaged at 2 contiguous test frequencies in at least one ear or subjective change in the absence of a Grade 1 Threshold shift.</w:t>
            </w:r>
          </w:p>
          <w:p w14:paraId="598CC0D0" w14:textId="77777777" w:rsidR="000C4CD4" w:rsidRDefault="000C4CD4" w:rsidP="000C4CD4">
            <w:pPr>
              <w:pStyle w:val="Tabletext"/>
              <w:rPr>
                <w:rFonts w:asciiTheme="minorHAnsi" w:hAnsiTheme="minorHAnsi"/>
                <w:color w:val="000000" w:themeColor="text1"/>
              </w:rPr>
            </w:pPr>
          </w:p>
          <w:p w14:paraId="6DCBBFD4" w14:textId="07CDDD75" w:rsidR="000C4CD4" w:rsidRPr="006A7E8A" w:rsidRDefault="000C4CD4" w:rsidP="000C4CD4">
            <w:pPr>
              <w:pStyle w:val="Tabletext"/>
              <w:rPr>
                <w:rFonts w:asciiTheme="minorHAnsi" w:hAnsiTheme="minorHAnsi" w:cstheme="minorHAnsi"/>
                <w:color w:val="000000" w:themeColor="text1"/>
              </w:rPr>
            </w:pPr>
            <w:r w:rsidRPr="00E56FBA">
              <w:rPr>
                <w:rFonts w:asciiTheme="minorHAnsi" w:hAnsiTheme="minorHAnsi"/>
                <w:color w:val="000000" w:themeColor="text1"/>
                <w:u w:val="single"/>
              </w:rPr>
              <w:t>Minor</w:t>
            </w:r>
            <w:r>
              <w:rPr>
                <w:rFonts w:asciiTheme="minorHAnsi" w:hAnsiTheme="minorHAnsi"/>
                <w:color w:val="000000" w:themeColor="text1"/>
              </w:rPr>
              <w:t xml:space="preserve"> enrolled on a monitoring program</w:t>
            </w:r>
            <w:r w:rsidRPr="00E20600">
              <w:rPr>
                <w:rFonts w:asciiTheme="minorHAnsi" w:hAnsiTheme="minorHAnsi"/>
                <w:color w:val="000000" w:themeColor="text1"/>
              </w:rPr>
              <w:t xml:space="preserve"> (on a 1, 2, 4, 3, 6 and 8 kHz audiogram): threshold shift &gt;20 dB at 8 kHz in at least one ear.</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25C646E2" w14:textId="77777777" w:rsidR="000C4CD4" w:rsidRPr="00E20600" w:rsidRDefault="000C4CD4" w:rsidP="000C4CD4">
            <w:pPr>
              <w:pStyle w:val="Tabletext"/>
              <w:rPr>
                <w:rFonts w:asciiTheme="minorHAnsi" w:hAnsiTheme="minorHAnsi"/>
                <w:color w:val="000000" w:themeColor="text1"/>
              </w:rPr>
            </w:pPr>
            <w:r w:rsidRPr="00E56FBA">
              <w:rPr>
                <w:rFonts w:asciiTheme="minorHAnsi" w:hAnsiTheme="minorHAnsi"/>
                <w:color w:val="000000" w:themeColor="text1"/>
                <w:u w:val="single"/>
              </w:rPr>
              <w:lastRenderedPageBreak/>
              <w:t>Adult enrolled</w:t>
            </w:r>
            <w:r w:rsidRPr="00E20600">
              <w:rPr>
                <w:rFonts w:asciiTheme="minorHAnsi" w:hAnsiTheme="minorHAnsi"/>
                <w:color w:val="000000" w:themeColor="text1"/>
              </w:rPr>
              <w:t xml:space="preserve"> in monitoring program (on a 1, 2, 3, 4, 6 and 8 kHz audiogram): threshold shift of &gt;25 dB averaged at 2 contiguous test frequencies in at least one ear.</w:t>
            </w:r>
          </w:p>
          <w:p w14:paraId="429A0978" w14:textId="77777777" w:rsidR="000C4CD4" w:rsidRDefault="000C4CD4" w:rsidP="000C4CD4">
            <w:pPr>
              <w:pStyle w:val="Tabletext"/>
              <w:rPr>
                <w:rFonts w:asciiTheme="minorHAnsi" w:hAnsiTheme="minorHAnsi"/>
                <w:color w:val="000000" w:themeColor="text1"/>
              </w:rPr>
            </w:pPr>
          </w:p>
          <w:p w14:paraId="2A6A115E" w14:textId="77777777" w:rsidR="000C4CD4" w:rsidRPr="00E20600" w:rsidRDefault="000C4CD4" w:rsidP="000C4CD4">
            <w:pPr>
              <w:pStyle w:val="Tabletext"/>
              <w:rPr>
                <w:rFonts w:asciiTheme="minorHAnsi" w:hAnsiTheme="minorHAnsi"/>
                <w:color w:val="000000" w:themeColor="text1"/>
              </w:rPr>
            </w:pPr>
            <w:r w:rsidRPr="00E56FBA">
              <w:rPr>
                <w:rFonts w:asciiTheme="minorHAnsi" w:hAnsiTheme="minorHAnsi"/>
                <w:color w:val="000000" w:themeColor="text1"/>
                <w:u w:val="single"/>
              </w:rPr>
              <w:lastRenderedPageBreak/>
              <w:t>Adult not enrolled</w:t>
            </w:r>
            <w:r w:rsidRPr="00E20600">
              <w:rPr>
                <w:rFonts w:asciiTheme="minorHAnsi" w:hAnsiTheme="minorHAnsi"/>
                <w:color w:val="000000" w:themeColor="text1"/>
              </w:rPr>
              <w:t xml:space="preserve"> in monitoring program: hearing loss but hearing aid or intervention not indicated; limiting instrumental ADL.</w:t>
            </w:r>
          </w:p>
          <w:p w14:paraId="422915A5" w14:textId="77777777" w:rsidR="000C4CD4" w:rsidRDefault="000C4CD4" w:rsidP="000C4CD4">
            <w:pPr>
              <w:pStyle w:val="Tabletext"/>
              <w:rPr>
                <w:rFonts w:asciiTheme="minorHAnsi" w:hAnsiTheme="minorHAnsi"/>
                <w:color w:val="000000" w:themeColor="text1"/>
              </w:rPr>
            </w:pPr>
          </w:p>
          <w:p w14:paraId="3C8B0D9E" w14:textId="3D303442" w:rsidR="000C4CD4" w:rsidRPr="006A7E8A" w:rsidRDefault="000C4CD4" w:rsidP="000C4CD4">
            <w:pPr>
              <w:pStyle w:val="Tabletext"/>
              <w:rPr>
                <w:rFonts w:asciiTheme="minorHAnsi" w:hAnsiTheme="minorHAnsi" w:cstheme="minorHAnsi"/>
                <w:color w:val="000000" w:themeColor="text1"/>
              </w:rPr>
            </w:pPr>
            <w:r w:rsidRPr="00E56FBA">
              <w:rPr>
                <w:rFonts w:asciiTheme="minorHAnsi" w:hAnsiTheme="minorHAnsi"/>
                <w:color w:val="000000" w:themeColor="text1"/>
                <w:u w:val="single"/>
              </w:rPr>
              <w:t>Minor</w:t>
            </w:r>
            <w:r>
              <w:rPr>
                <w:rFonts w:asciiTheme="minorHAnsi" w:hAnsiTheme="minorHAnsi"/>
                <w:color w:val="000000" w:themeColor="text1"/>
              </w:rPr>
              <w:t xml:space="preserve"> enrolled on a monitoring program</w:t>
            </w:r>
            <w:r w:rsidRPr="00E20600">
              <w:rPr>
                <w:rFonts w:asciiTheme="minorHAnsi" w:hAnsiTheme="minorHAnsi"/>
                <w:color w:val="000000" w:themeColor="text1"/>
              </w:rPr>
              <w:t xml:space="preserve"> (on a 1, 2, 3, 4, 6 and 8 kHz audiogram): threshold shift &gt;20 dB at 4 kHz and above in at least one ear.</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758C45D4" w14:textId="77777777" w:rsidR="000C4CD4" w:rsidRPr="00E20600" w:rsidRDefault="000C4CD4" w:rsidP="000C4CD4">
            <w:pPr>
              <w:pStyle w:val="Tabletext"/>
              <w:rPr>
                <w:rFonts w:asciiTheme="minorHAnsi" w:hAnsiTheme="minorHAnsi"/>
                <w:color w:val="000000" w:themeColor="text1"/>
              </w:rPr>
            </w:pPr>
            <w:r w:rsidRPr="00E56FBA">
              <w:rPr>
                <w:rFonts w:asciiTheme="minorHAnsi" w:hAnsiTheme="minorHAnsi"/>
                <w:color w:val="000000" w:themeColor="text1"/>
                <w:u w:val="single"/>
              </w:rPr>
              <w:lastRenderedPageBreak/>
              <w:t>Adult enrolled</w:t>
            </w:r>
            <w:r w:rsidRPr="00E20600">
              <w:rPr>
                <w:rFonts w:asciiTheme="minorHAnsi" w:hAnsiTheme="minorHAnsi"/>
                <w:color w:val="000000" w:themeColor="text1"/>
              </w:rPr>
              <w:t xml:space="preserve"> in monitoring program (on a 1, 2, 3, 4, 6 and 8 kHz audiogram): threshold shift of &gt;25 dB averaged at 3 contiguous test frequencies in at least one ear; therapeutic intervention indicated.</w:t>
            </w:r>
          </w:p>
          <w:p w14:paraId="215FD9E4" w14:textId="77777777" w:rsidR="000C4CD4" w:rsidRDefault="000C4CD4" w:rsidP="000C4CD4">
            <w:pPr>
              <w:pStyle w:val="Tabletext"/>
              <w:rPr>
                <w:rFonts w:asciiTheme="minorHAnsi" w:hAnsiTheme="minorHAnsi"/>
                <w:color w:val="000000" w:themeColor="text1"/>
              </w:rPr>
            </w:pPr>
          </w:p>
          <w:p w14:paraId="7536CDAD" w14:textId="77777777" w:rsidR="000C4CD4" w:rsidRPr="00E20600" w:rsidRDefault="000C4CD4" w:rsidP="000C4CD4">
            <w:pPr>
              <w:pStyle w:val="Tabletext"/>
              <w:rPr>
                <w:rFonts w:asciiTheme="minorHAnsi" w:hAnsiTheme="minorHAnsi"/>
                <w:color w:val="000000" w:themeColor="text1"/>
              </w:rPr>
            </w:pPr>
            <w:r w:rsidRPr="00E56FBA">
              <w:rPr>
                <w:rFonts w:asciiTheme="minorHAnsi" w:hAnsiTheme="minorHAnsi"/>
                <w:color w:val="000000" w:themeColor="text1"/>
                <w:u w:val="single"/>
              </w:rPr>
              <w:t>Adult not enrolled</w:t>
            </w:r>
            <w:r w:rsidRPr="00E20600">
              <w:rPr>
                <w:rFonts w:asciiTheme="minorHAnsi" w:hAnsiTheme="minorHAnsi"/>
                <w:color w:val="000000" w:themeColor="text1"/>
              </w:rPr>
              <w:t xml:space="preserve"> in monitoring program: hearing loss with </w:t>
            </w:r>
            <w:r w:rsidRPr="00E20600">
              <w:rPr>
                <w:rFonts w:asciiTheme="minorHAnsi" w:hAnsiTheme="minorHAnsi"/>
                <w:color w:val="000000" w:themeColor="text1"/>
              </w:rPr>
              <w:lastRenderedPageBreak/>
              <w:t>hearing aid or intervention indicated; limiting self care ADL.</w:t>
            </w:r>
          </w:p>
          <w:p w14:paraId="527D5B7C" w14:textId="77777777" w:rsidR="000C4CD4" w:rsidRDefault="000C4CD4" w:rsidP="000C4CD4">
            <w:pPr>
              <w:pStyle w:val="Tabletext"/>
              <w:rPr>
                <w:rFonts w:asciiTheme="minorHAnsi" w:hAnsiTheme="minorHAnsi"/>
                <w:color w:val="000000" w:themeColor="text1"/>
              </w:rPr>
            </w:pPr>
          </w:p>
          <w:p w14:paraId="3D964BED" w14:textId="2E2B84C8" w:rsidR="000C4CD4" w:rsidRPr="006A7E8A" w:rsidRDefault="000C4CD4" w:rsidP="000C4CD4">
            <w:pPr>
              <w:pStyle w:val="Tabletext"/>
              <w:rPr>
                <w:rFonts w:asciiTheme="minorHAnsi" w:hAnsiTheme="minorHAnsi" w:cstheme="minorHAnsi"/>
                <w:color w:val="000000" w:themeColor="text1"/>
              </w:rPr>
            </w:pPr>
            <w:r w:rsidRPr="00E56FBA">
              <w:rPr>
                <w:rFonts w:asciiTheme="minorHAnsi" w:hAnsiTheme="minorHAnsi"/>
                <w:color w:val="000000" w:themeColor="text1"/>
                <w:u w:val="single"/>
              </w:rPr>
              <w:t>Minor enrolled</w:t>
            </w:r>
            <w:r>
              <w:rPr>
                <w:rFonts w:asciiTheme="minorHAnsi" w:hAnsiTheme="minorHAnsi"/>
                <w:color w:val="000000" w:themeColor="text1"/>
              </w:rPr>
              <w:t xml:space="preserve"> on a monitoring program</w:t>
            </w:r>
            <w:r w:rsidRPr="00E20600">
              <w:rPr>
                <w:rFonts w:asciiTheme="minorHAnsi" w:hAnsiTheme="minorHAnsi"/>
                <w:color w:val="000000" w:themeColor="text1"/>
              </w:rPr>
              <w:t xml:space="preserve"> (on a 1, 2, 3, 4, 6 and 8kHz audiogram): hearing loss sufficient to indicate therapeutic intervention, including hearing aids): Threshold shift &gt;20 dB at 3 kHz and above in at least one ear; additional speech-language related services indicated.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2E96090C" w14:textId="77777777" w:rsidR="000C4CD4" w:rsidRPr="00E20600" w:rsidRDefault="000C4CD4" w:rsidP="000C4CD4">
            <w:pPr>
              <w:pStyle w:val="Tabletext"/>
              <w:rPr>
                <w:rFonts w:asciiTheme="minorHAnsi" w:hAnsiTheme="minorHAnsi"/>
                <w:color w:val="000000" w:themeColor="text1"/>
              </w:rPr>
            </w:pPr>
            <w:r w:rsidRPr="00E56FBA">
              <w:rPr>
                <w:rFonts w:asciiTheme="minorHAnsi" w:hAnsiTheme="minorHAnsi"/>
                <w:color w:val="000000" w:themeColor="text1"/>
                <w:u w:val="single"/>
              </w:rPr>
              <w:lastRenderedPageBreak/>
              <w:t>Adult</w:t>
            </w:r>
            <w:r w:rsidRPr="00E20600">
              <w:rPr>
                <w:rFonts w:asciiTheme="minorHAnsi" w:hAnsiTheme="minorHAnsi"/>
                <w:color w:val="000000" w:themeColor="text1"/>
              </w:rPr>
              <w:t>: profound bilateral hearing loss (</w:t>
            </w:r>
            <w:r>
              <w:rPr>
                <w:rFonts w:asciiTheme="minorHAnsi" w:hAnsiTheme="minorHAnsi"/>
                <w:color w:val="000000" w:themeColor="text1"/>
              </w:rPr>
              <w:t>t</w:t>
            </w:r>
            <w:r w:rsidRPr="00E20600">
              <w:rPr>
                <w:rFonts w:asciiTheme="minorHAnsi" w:hAnsiTheme="minorHAnsi"/>
                <w:color w:val="000000" w:themeColor="text1"/>
              </w:rPr>
              <w:t>hreshold &gt;80 dB HL at 2 kHz and above); nonservicable hearing</w:t>
            </w:r>
          </w:p>
          <w:p w14:paraId="4CE5DBB0" w14:textId="77777777" w:rsidR="000C4CD4" w:rsidRDefault="000C4CD4" w:rsidP="000C4CD4">
            <w:pPr>
              <w:pStyle w:val="Tabletext"/>
              <w:rPr>
                <w:rFonts w:asciiTheme="minorHAnsi" w:hAnsiTheme="minorHAnsi"/>
                <w:color w:val="000000" w:themeColor="text1"/>
              </w:rPr>
            </w:pPr>
          </w:p>
          <w:p w14:paraId="49EBA1A8" w14:textId="2929CFF9" w:rsidR="000C4CD4" w:rsidRPr="006A7E8A" w:rsidRDefault="000C4CD4" w:rsidP="000C4CD4">
            <w:pPr>
              <w:pStyle w:val="Tabletext"/>
              <w:rPr>
                <w:rFonts w:asciiTheme="minorHAnsi" w:hAnsiTheme="minorHAnsi" w:cstheme="minorHAnsi"/>
                <w:color w:val="000000" w:themeColor="text1"/>
              </w:rPr>
            </w:pPr>
            <w:r w:rsidRPr="00E56FBA">
              <w:rPr>
                <w:rFonts w:asciiTheme="minorHAnsi" w:hAnsiTheme="minorHAnsi"/>
                <w:color w:val="000000" w:themeColor="text1"/>
                <w:u w:val="single"/>
              </w:rPr>
              <w:t>Minor</w:t>
            </w:r>
            <w:r w:rsidRPr="00E20600">
              <w:rPr>
                <w:rFonts w:asciiTheme="minorHAnsi" w:hAnsiTheme="minorHAnsi"/>
                <w:color w:val="000000" w:themeColor="text1"/>
              </w:rPr>
              <w:t xml:space="preserve">: audiologic indication for cochlear implant and </w:t>
            </w:r>
            <w:r w:rsidRPr="00E20600">
              <w:rPr>
                <w:rFonts w:asciiTheme="minorHAnsi" w:hAnsiTheme="minorHAnsi"/>
                <w:color w:val="000000" w:themeColor="text1"/>
              </w:rPr>
              <w:lastRenderedPageBreak/>
              <w:t>additional speech-language related services indicated.</w:t>
            </w:r>
          </w:p>
        </w:tc>
      </w:tr>
      <w:tr w:rsidR="004633CB" w:rsidRPr="006A7E8A" w14:paraId="36DAE0A2"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23441359" w14:textId="1B95A509" w:rsidR="004633CB" w:rsidRPr="00E20600" w:rsidRDefault="004633CB" w:rsidP="004633CB">
            <w:pPr>
              <w:pStyle w:val="Tabletext"/>
              <w:rPr>
                <w:rFonts w:asciiTheme="minorHAnsi" w:hAnsiTheme="minorHAnsi"/>
                <w:color w:val="000000" w:themeColor="text1"/>
              </w:rPr>
            </w:pPr>
            <w:r w:rsidRPr="006A7E8A">
              <w:rPr>
                <w:rFonts w:asciiTheme="minorHAnsi" w:hAnsiTheme="minorHAnsi" w:cstheme="minorHAnsi"/>
                <w:color w:val="000000" w:themeColor="text1"/>
              </w:rPr>
              <w:lastRenderedPageBreak/>
              <w:t>Tinnitus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05A6FBE7" w14:textId="768BED32" w:rsidR="004633CB" w:rsidRPr="00E56FBA" w:rsidRDefault="004633CB" w:rsidP="004633CB">
            <w:pPr>
              <w:pStyle w:val="Tabletext"/>
              <w:rPr>
                <w:rFonts w:asciiTheme="minorHAnsi" w:hAnsiTheme="minorHAnsi"/>
                <w:color w:val="000000" w:themeColor="text1"/>
                <w:u w:val="single"/>
              </w:rPr>
            </w:pPr>
            <w:r w:rsidRPr="006A7E8A">
              <w:rPr>
                <w:rFonts w:asciiTheme="minorHAnsi" w:hAnsiTheme="minorHAnsi" w:cstheme="minorHAnsi"/>
                <w:color w:val="000000" w:themeColor="text1"/>
              </w:rPr>
              <w:t>A disorder characterized by noise in the ears, such as ringing, buzzing, roaring or clicking</w:t>
            </w:r>
            <w:r>
              <w:rPr>
                <w:rFonts w:asciiTheme="minorHAnsi" w:hAnsiTheme="minorHAnsi" w:cstheme="minorHAnsi"/>
                <w:color w:val="000000" w:themeColor="text1"/>
              </w:rPr>
              <w: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721A73BA" w14:textId="7117817C" w:rsidR="004633CB" w:rsidRPr="00E56FBA" w:rsidRDefault="004633CB" w:rsidP="004633CB">
            <w:pPr>
              <w:pStyle w:val="Tabletext"/>
              <w:rPr>
                <w:rFonts w:asciiTheme="minorHAnsi" w:hAnsiTheme="minorHAnsi"/>
                <w:color w:val="000000" w:themeColor="text1"/>
                <w:u w:val="single"/>
              </w:rPr>
            </w:pPr>
            <w:r w:rsidRPr="006A7E8A">
              <w:rPr>
                <w:rFonts w:asciiTheme="minorHAnsi" w:hAnsiTheme="minorHAnsi" w:cstheme="minorHAnsi"/>
                <w:color w:val="000000" w:themeColor="text1"/>
              </w:rPr>
              <w:t>Mild symptoms; intervention not indicated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7BD6AA37" w14:textId="2DCF68A9" w:rsidR="004633CB" w:rsidRPr="00E56FBA" w:rsidRDefault="004633CB" w:rsidP="004633CB">
            <w:pPr>
              <w:pStyle w:val="Tabletext"/>
              <w:rPr>
                <w:rFonts w:asciiTheme="minorHAnsi" w:hAnsiTheme="minorHAnsi"/>
                <w:color w:val="000000" w:themeColor="text1"/>
                <w:u w:val="single"/>
              </w:rPr>
            </w:pPr>
            <w:r w:rsidRPr="006A7E8A">
              <w:rPr>
                <w:rFonts w:asciiTheme="minorHAnsi" w:hAnsiTheme="minorHAnsi" w:cstheme="minorHAnsi"/>
                <w:color w:val="000000" w:themeColor="text1"/>
              </w:rPr>
              <w:t>Moderate symptoms; limiting instrumental ADL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754D05B9" w14:textId="08EEE38E" w:rsidR="004633CB" w:rsidRPr="00E56FBA" w:rsidRDefault="004633CB" w:rsidP="004633CB">
            <w:pPr>
              <w:pStyle w:val="Tabletext"/>
              <w:rPr>
                <w:rFonts w:asciiTheme="minorHAnsi" w:hAnsiTheme="minorHAnsi"/>
                <w:color w:val="000000" w:themeColor="text1"/>
                <w:u w:val="single"/>
              </w:rPr>
            </w:pPr>
            <w:r w:rsidRPr="006A7E8A">
              <w:rPr>
                <w:rFonts w:asciiTheme="minorHAnsi" w:hAnsiTheme="minorHAnsi" w:cstheme="minorHAnsi"/>
                <w:color w:val="000000" w:themeColor="text1"/>
              </w:rPr>
              <w:t>Severe symptoms; limiting self</w:t>
            </w:r>
            <w:r>
              <w:rPr>
                <w:rFonts w:asciiTheme="minorHAnsi" w:hAnsiTheme="minorHAnsi" w:cstheme="minorHAnsi"/>
                <w:color w:val="000000" w:themeColor="text1"/>
              </w:rPr>
              <w:t>-</w:t>
            </w:r>
            <w:r w:rsidRPr="006A7E8A">
              <w:rPr>
                <w:rFonts w:asciiTheme="minorHAnsi" w:hAnsiTheme="minorHAnsi" w:cstheme="minorHAnsi"/>
                <w:color w:val="000000" w:themeColor="text1"/>
              </w:rPr>
              <w:t>care ADL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26E19341" w14:textId="4F9C6EFD" w:rsidR="004633CB" w:rsidRPr="00E20600" w:rsidRDefault="004633CB" w:rsidP="004633CB">
            <w:pPr>
              <w:pStyle w:val="Tabletext"/>
              <w:rPr>
                <w:rFonts w:asciiTheme="minorHAnsi" w:hAnsiTheme="minorHAnsi"/>
                <w:color w:val="000000" w:themeColor="text1"/>
              </w:rPr>
            </w:pPr>
            <w:r w:rsidRPr="006A7E8A">
              <w:rPr>
                <w:rFonts w:asciiTheme="minorHAnsi" w:hAnsiTheme="minorHAnsi" w:cstheme="minorHAnsi"/>
                <w:color w:val="000000" w:themeColor="text1"/>
              </w:rPr>
              <w:t>N/A</w:t>
            </w:r>
          </w:p>
        </w:tc>
      </w:tr>
      <w:tr w:rsidR="001C7A69" w:rsidRPr="006A7E8A" w14:paraId="1D7DFBD3"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364449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Vestibular Disorder</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8A931A5"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dizziness, imbalance, nausea, and vision problems.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DE2757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3C106A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Symptomatic; limiting iADL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F285BBB" w14:textId="41413E69"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symptoms; limiting self</w:t>
            </w:r>
            <w:r w:rsidR="00487263">
              <w:rPr>
                <w:rFonts w:asciiTheme="minorHAnsi" w:hAnsiTheme="minorHAnsi" w:cstheme="minorHAnsi"/>
                <w:color w:val="000000" w:themeColor="text1"/>
              </w:rPr>
              <w:t>-</w:t>
            </w:r>
            <w:r w:rsidRPr="006A7E8A">
              <w:rPr>
                <w:rFonts w:asciiTheme="minorHAnsi" w:hAnsiTheme="minorHAnsi" w:cstheme="minorHAnsi"/>
                <w:color w:val="000000" w:themeColor="text1"/>
              </w:rPr>
              <w:t>care ADL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A53D77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r>
      <w:tr w:rsidR="001C7A69" w:rsidRPr="006A7E8A" w14:paraId="7FD82667"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05329058"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Gastrointestinal Disorders</w:t>
            </w:r>
          </w:p>
        </w:tc>
      </w:tr>
      <w:tr w:rsidR="001C7A69" w:rsidRPr="006A7E8A" w14:paraId="0B7DAB8C"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2464497"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Diarrhea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CC22267"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frequent and watery bowel movements.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EAEC98C"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Mild or transient; 3-4 loose stools/day or mild diarrhea last &lt; 1 week</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276CAB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or persistent; 5-7 loose stools/day or diarrhea lasting &gt;1 week</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24B939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&gt;7 loose stools/day or bloody diarrhea; or orthostatic hypotension or electrolyte imbalance or &gt;2L IV fluids required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868E74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Hypotensive shock or physiologic consequences requiring hospitalization</w:t>
            </w:r>
          </w:p>
        </w:tc>
      </w:tr>
      <w:tr w:rsidR="001C7A69" w:rsidRPr="006A7E8A" w14:paraId="2473A3C4"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F2ACD08"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Dyspepsia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808AE6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A disorder characterized by an uncomfortable, often painful feeling in the stomach, resulting </w:t>
            </w:r>
            <w:r w:rsidRPr="006A7E8A">
              <w:rPr>
                <w:rFonts w:asciiTheme="minorHAnsi" w:hAnsiTheme="minorHAnsi" w:cstheme="minorHAnsi"/>
                <w:color w:val="000000" w:themeColor="text1"/>
              </w:rPr>
              <w:lastRenderedPageBreak/>
              <w:t>from impaired digestion. Symptoms include burning stomach, bloating, heartburn, nausea and vomiting.</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0189BFC"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lastRenderedPageBreak/>
              <w:t>Mild symptoms; intervention not indicated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B24ED3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symptoms; medical intervention indicated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2AD0237"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symptoms; surgical intervention indicated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23ACA68"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r>
      <w:tr w:rsidR="001C7A69" w:rsidRPr="006A7E8A" w14:paraId="3CC947CA"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35E619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Nausea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6D277A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a queasy sensation and/or the urge to vomit.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34447E8"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Mild or transient; maintains reasonable intake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D87891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discomfort; intake decreased significantly; some activity limited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3A404B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No significant intake; requires IV fluids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6559887"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Hospitalization required</w:t>
            </w:r>
          </w:p>
        </w:tc>
      </w:tr>
      <w:tr w:rsidR="001C7A69" w:rsidRPr="006A7E8A" w14:paraId="28034B2D"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0D3D492"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Oral Discomfort/Dysphagia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98EA3C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difficulty in swallowing.</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02CFE3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Mild discomfort; no difficulty swallowing</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921CC1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Some limits on eating/drinking</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0A05497"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Eating/talking very limited; unable to swallow solid foods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1DA1FD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Unable to drink fluids; requires IV fluids</w:t>
            </w:r>
          </w:p>
        </w:tc>
      </w:tr>
      <w:tr w:rsidR="001C7A69" w:rsidRPr="006A7E8A" w14:paraId="03F3214B"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167C44F"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Pancreatitis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4E2D5B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inflammation of the pancreas.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D2D2D6A"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933F8E0"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Enzyme elevation or radiologic findings only</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9DF7A2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pain; vomiting; medical intervention indicated (e.g. analgesia, nutritional support)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D5DD64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Life-threatening consequences; urgent intervention indicated</w:t>
            </w:r>
          </w:p>
        </w:tc>
      </w:tr>
      <w:tr w:rsidR="001C7A69" w:rsidRPr="006A7E8A" w14:paraId="5EE36901"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150DB2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Vomiting</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5F3C3F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the reflexive act of ejecting the contents of the stomach through the mouth.</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3B1333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1 episode in 24 hours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007B5E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2-5 episodes in 24 hours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2DB2E38"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&gt;6 episodes in 24 hours or needing IV fluids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D89147B"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Physiologic consequences requiring hospitalization or requiring parenteral nutrition</w:t>
            </w:r>
          </w:p>
        </w:tc>
      </w:tr>
      <w:tr w:rsidR="001C7A69" w:rsidRPr="006A7E8A" w14:paraId="1CD6BFEA"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tcPr>
          <w:p w14:paraId="55403FA7"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General Disorders</w:t>
            </w:r>
          </w:p>
        </w:tc>
      </w:tr>
      <w:tr w:rsidR="001C7A69" w:rsidRPr="006A7E8A" w14:paraId="0493C022"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758D2A1A"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Headache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43952D3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a sensation of marked discomfort in various parts of the head, not confined to the area of distribution of any nerve.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4CF3937B"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Mild, no treatment required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376DB7F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Transient, moderate; treatment required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07384AB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Severe; responds to initial narcotic therapy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159808BC"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Intractable; requires repeated narcotic therapy </w:t>
            </w:r>
          </w:p>
        </w:tc>
      </w:tr>
      <w:tr w:rsidR="001C7A69" w:rsidRPr="006A7E8A" w14:paraId="0305647E"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333E95CB"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Immune Disorders</w:t>
            </w:r>
          </w:p>
        </w:tc>
      </w:tr>
      <w:tr w:rsidR="001C7A69" w:rsidRPr="006A7E8A" w14:paraId="6B4F790B"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0ECDDCA"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lastRenderedPageBreak/>
              <w:t>Allergic Reaction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A0541B7"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an adverse local or general response from exposure to an allergen. Worst stage 'anaphylaxis' is characterized by an acute inflammatory reaction resulting from the release of histamine and histamine-like substances from mast cells, causing a hypersensitivity immune response. Clinically, it presents with breathing difficulty, dizziness, hypotension, cyanosis and loss of consciousness and may lead to death.</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6B6BDD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Pruritus without rash</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B9E19A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Localized urticaria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B4A4C2B"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Generalized urticaria; angioedema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C58F22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Anaphylaxis</w:t>
            </w:r>
          </w:p>
        </w:tc>
      </w:tr>
      <w:tr w:rsidR="001C7A69" w:rsidRPr="006A7E8A" w14:paraId="4EA0BDE6"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62E38CE3"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Musculoskeletal Disorders</w:t>
            </w:r>
          </w:p>
        </w:tc>
      </w:tr>
      <w:tr w:rsidR="001C7A69" w:rsidRPr="006A7E8A" w14:paraId="1E93B3DB"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7A20DC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Arthralgia (joint pain)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EF844D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a sensation of marked discomfort in a joint.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576D8DB"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Mild pain not interfering with function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B6A2C1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pain, analgesics and/or pain interfering with function but not with ADL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32A42BA"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pain; pain and/or analgesics interfering with ADL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74EA16C"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Disabling pain</w:t>
            </w:r>
          </w:p>
        </w:tc>
      </w:tr>
      <w:tr w:rsidR="001C7A69" w:rsidRPr="006A7E8A" w14:paraId="137D424B"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367A9B5"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Arthritis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AE653BA"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inflammation involving a joint.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126F1A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Mild pain with inflammation, erythema or joint swelling, but not interfering with function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E111012"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pain with inflammation, erythema or joint swelling; interfering with function, but not with ADL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FA2672B"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pain with inflammation, erythema or joint swelling and interfering with ADL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45CB44A"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Permanent and/or disabling joint destruction</w:t>
            </w:r>
          </w:p>
        </w:tc>
      </w:tr>
      <w:tr w:rsidR="001C7A69" w:rsidRPr="006A7E8A" w14:paraId="64B1A2B5" w14:textId="77777777" w:rsidTr="000A384C">
        <w:trPr>
          <w:trHeight w:val="1143"/>
        </w:trPr>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764EEB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lastRenderedPageBreak/>
              <w:t>Myalgia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625E607"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marked discomfort sensation originating from a muscle or group of muscles.</w:t>
            </w:r>
          </w:p>
          <w:p w14:paraId="76F65954" w14:textId="77777777" w:rsidR="001C7A69" w:rsidRPr="006A7E8A" w:rsidRDefault="001C7A69" w:rsidP="000A384C">
            <w:pPr>
              <w:pStyle w:val="Tabletext"/>
              <w:rPr>
                <w:rFonts w:asciiTheme="minorHAnsi" w:hAnsiTheme="minorHAnsi" w:cstheme="minorHAnsi"/>
                <w:color w:val="000000" w:themeColor="text1"/>
              </w:rPr>
            </w:pP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3CDF3F5"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Myalgia with no limitation of activity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F14F55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Muscle tenderness (at other than injection site) or with moderate impairment of activity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215D830"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Severe muscle tenderness with marked impairment of activity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B13766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Frank myonecrosis </w:t>
            </w:r>
          </w:p>
        </w:tc>
      </w:tr>
      <w:tr w:rsidR="001C7A69" w:rsidRPr="006A7E8A" w14:paraId="1743FF88"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DBBE59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Tendinopathy</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C6320D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Tendon injuries from mild inflammation, partial tear to rupture.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1F02CFB" w14:textId="25506114"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Stretched tendon fibers (no tear)</w:t>
            </w:r>
            <w:r w:rsidR="00B44979">
              <w:rPr>
                <w:rFonts w:asciiTheme="minorHAnsi" w:hAnsiTheme="minorHAnsi" w:cstheme="minorHAnsi"/>
                <w:color w:val="000000" w:themeColor="text1"/>
              </w:rPr>
              <w:t>;</w:t>
            </w:r>
            <w:r w:rsidRPr="006A7E8A">
              <w:rPr>
                <w:rFonts w:asciiTheme="minorHAnsi" w:hAnsiTheme="minorHAnsi" w:cstheme="minorHAnsi"/>
                <w:color w:val="000000" w:themeColor="text1"/>
              </w:rPr>
              <w:t xml:space="preserve"> </w:t>
            </w:r>
            <w:r w:rsidR="00B44979">
              <w:rPr>
                <w:rFonts w:asciiTheme="minorHAnsi" w:hAnsiTheme="minorHAnsi" w:cstheme="minorHAnsi"/>
                <w:color w:val="000000" w:themeColor="text1"/>
              </w:rPr>
              <w:t>t</w:t>
            </w:r>
            <w:r w:rsidRPr="006A7E8A">
              <w:rPr>
                <w:rFonts w:asciiTheme="minorHAnsi" w:hAnsiTheme="minorHAnsi" w:cstheme="minorHAnsi"/>
                <w:color w:val="000000" w:themeColor="text1"/>
              </w:rPr>
              <w:t>enderness and swelling</w:t>
            </w:r>
            <w:r w:rsidR="00B44979">
              <w:rPr>
                <w:rFonts w:asciiTheme="minorHAnsi" w:hAnsiTheme="minorHAnsi" w:cstheme="minorHAnsi"/>
                <w:color w:val="000000" w:themeColor="text1"/>
              </w:rPr>
              <w:t>; j</w:t>
            </w:r>
            <w:r w:rsidRPr="006A7E8A">
              <w:rPr>
                <w:rFonts w:asciiTheme="minorHAnsi" w:hAnsiTheme="minorHAnsi" w:cstheme="minorHAnsi"/>
                <w:color w:val="000000" w:themeColor="text1"/>
              </w:rPr>
              <w:t>oint stable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5FA4E4E" w14:textId="2B615FB2"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Partial tendon tear</w:t>
            </w:r>
            <w:r w:rsidR="00B44979">
              <w:rPr>
                <w:rFonts w:asciiTheme="minorHAnsi" w:hAnsiTheme="minorHAnsi" w:cstheme="minorHAnsi"/>
                <w:color w:val="000000" w:themeColor="text1"/>
              </w:rPr>
              <w:t>;</w:t>
            </w:r>
            <w:r w:rsidRPr="006A7E8A">
              <w:rPr>
                <w:rFonts w:asciiTheme="minorHAnsi" w:hAnsiTheme="minorHAnsi" w:cstheme="minorHAnsi"/>
                <w:color w:val="000000" w:themeColor="text1"/>
              </w:rPr>
              <w:t xml:space="preserve"> </w:t>
            </w:r>
            <w:r w:rsidR="00B44979">
              <w:rPr>
                <w:rFonts w:asciiTheme="minorHAnsi" w:hAnsiTheme="minorHAnsi" w:cstheme="minorHAnsi"/>
                <w:color w:val="000000" w:themeColor="text1"/>
              </w:rPr>
              <w:t>m</w:t>
            </w:r>
            <w:r w:rsidRPr="006A7E8A">
              <w:rPr>
                <w:rFonts w:asciiTheme="minorHAnsi" w:hAnsiTheme="minorHAnsi" w:cstheme="minorHAnsi"/>
                <w:color w:val="000000" w:themeColor="text1"/>
              </w:rPr>
              <w:t>oderate tenderness and swelling</w:t>
            </w:r>
            <w:r w:rsidR="00B44979">
              <w:rPr>
                <w:rFonts w:asciiTheme="minorHAnsi" w:hAnsiTheme="minorHAnsi" w:cstheme="minorHAnsi"/>
                <w:color w:val="000000" w:themeColor="text1"/>
              </w:rPr>
              <w:t>; j</w:t>
            </w:r>
            <w:r w:rsidRPr="006A7E8A">
              <w:rPr>
                <w:rFonts w:asciiTheme="minorHAnsi" w:hAnsiTheme="minorHAnsi" w:cstheme="minorHAnsi"/>
                <w:color w:val="000000" w:themeColor="text1"/>
              </w:rPr>
              <w:t>oint unstable or gives away during activity</w:t>
            </w:r>
            <w:r w:rsidR="00B44979">
              <w:rPr>
                <w:rFonts w:asciiTheme="minorHAnsi" w:hAnsiTheme="minorHAnsi" w:cstheme="minorHAnsi"/>
                <w:color w:val="000000" w:themeColor="text1"/>
              </w:rPr>
              <w:t>;</w:t>
            </w:r>
            <w:r w:rsidRPr="006A7E8A">
              <w:rPr>
                <w:rFonts w:asciiTheme="minorHAnsi" w:hAnsiTheme="minorHAnsi" w:cstheme="minorHAnsi"/>
                <w:color w:val="000000" w:themeColor="text1"/>
              </w:rPr>
              <w:t xml:space="preserve"> decreased range of motion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E9AFE3A" w14:textId="51A0EA7B"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Complete tendon tear/rupture, </w:t>
            </w:r>
            <w:r w:rsidR="005C0F1D">
              <w:rPr>
                <w:rFonts w:asciiTheme="minorHAnsi" w:hAnsiTheme="minorHAnsi" w:cstheme="minorHAnsi"/>
                <w:color w:val="000000" w:themeColor="text1"/>
              </w:rPr>
              <w:t>s</w:t>
            </w:r>
            <w:r w:rsidRPr="006A7E8A">
              <w:rPr>
                <w:rFonts w:asciiTheme="minorHAnsi" w:hAnsiTheme="minorHAnsi" w:cstheme="minorHAnsi"/>
                <w:color w:val="000000" w:themeColor="text1"/>
              </w:rPr>
              <w:t>ignificant tenderness and swelling</w:t>
            </w:r>
            <w:r w:rsidR="00B44979">
              <w:rPr>
                <w:rFonts w:asciiTheme="minorHAnsi" w:hAnsiTheme="minorHAnsi" w:cstheme="minorHAnsi"/>
                <w:color w:val="000000" w:themeColor="text1"/>
              </w:rPr>
              <w:t>;</w:t>
            </w:r>
            <w:r w:rsidRPr="006A7E8A">
              <w:rPr>
                <w:rFonts w:asciiTheme="minorHAnsi" w:hAnsiTheme="minorHAnsi" w:cstheme="minorHAnsi"/>
                <w:color w:val="000000" w:themeColor="text1"/>
              </w:rPr>
              <w:t xml:space="preserve"> </w:t>
            </w:r>
            <w:r w:rsidR="00B44979">
              <w:rPr>
                <w:rFonts w:asciiTheme="minorHAnsi" w:hAnsiTheme="minorHAnsi" w:cstheme="minorHAnsi"/>
                <w:color w:val="000000" w:themeColor="text1"/>
              </w:rPr>
              <w:t>j</w:t>
            </w:r>
            <w:r w:rsidRPr="006A7E8A">
              <w:rPr>
                <w:rFonts w:asciiTheme="minorHAnsi" w:hAnsiTheme="minorHAnsi" w:cstheme="minorHAnsi"/>
                <w:color w:val="000000" w:themeColor="text1"/>
              </w:rPr>
              <w:t>oint unstable</w:t>
            </w:r>
            <w:r w:rsidR="00B44979">
              <w:rPr>
                <w:rFonts w:asciiTheme="minorHAnsi" w:hAnsiTheme="minorHAnsi" w:cstheme="minorHAnsi"/>
                <w:color w:val="000000" w:themeColor="text1"/>
              </w:rPr>
              <w:t>; n</w:t>
            </w:r>
            <w:r w:rsidRPr="006A7E8A">
              <w:rPr>
                <w:rFonts w:asciiTheme="minorHAnsi" w:hAnsiTheme="minorHAnsi" w:cstheme="minorHAnsi"/>
                <w:color w:val="000000" w:themeColor="text1"/>
              </w:rPr>
              <w:t>o joint movement on muscle contraction</w:t>
            </w:r>
            <w:r w:rsidR="00B44979">
              <w:rPr>
                <w:rFonts w:asciiTheme="minorHAnsi" w:hAnsiTheme="minorHAnsi" w:cstheme="minorHAnsi"/>
                <w:color w:val="000000" w:themeColor="text1"/>
              </w:rPr>
              <w:t>;</w:t>
            </w:r>
            <w:r w:rsidRPr="006A7E8A">
              <w:rPr>
                <w:rFonts w:asciiTheme="minorHAnsi" w:hAnsiTheme="minorHAnsi" w:cstheme="minorHAnsi"/>
                <w:color w:val="000000" w:themeColor="text1"/>
              </w:rPr>
              <w:t xml:space="preserve"> </w:t>
            </w:r>
            <w:r w:rsidR="00B44979">
              <w:rPr>
                <w:rFonts w:asciiTheme="minorHAnsi" w:hAnsiTheme="minorHAnsi" w:cstheme="minorHAnsi"/>
                <w:color w:val="000000" w:themeColor="text1"/>
              </w:rPr>
              <w:t>s</w:t>
            </w:r>
            <w:r w:rsidRPr="006A7E8A">
              <w:rPr>
                <w:rFonts w:asciiTheme="minorHAnsi" w:hAnsiTheme="minorHAnsi" w:cstheme="minorHAnsi"/>
                <w:color w:val="000000" w:themeColor="text1"/>
              </w:rPr>
              <w:t>urgery required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B17B33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Life-threatening complication from surgery.</w:t>
            </w:r>
          </w:p>
        </w:tc>
      </w:tr>
      <w:tr w:rsidR="001C7A69" w:rsidRPr="006A7E8A" w14:paraId="1AD947DC"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26AECC1D"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Neurological Disorders</w:t>
            </w:r>
          </w:p>
        </w:tc>
      </w:tr>
      <w:tr w:rsidR="001C7A69" w:rsidRPr="006A7E8A" w14:paraId="2A9F76F9"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CA675C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Dysgeusia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901F9C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abnormal sensual experience with the taste of foodstuffs; it can be related to a decrease in the sense of smell.</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BD781D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Altered taste but no change in diet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59CB9F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Altered taste with change in diet (e.g. oral supplements); noxious or unpleasant taste; loss of taste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8974705"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E8C622F"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r>
      <w:tr w:rsidR="001C7A69" w:rsidRPr="006A7E8A" w14:paraId="59F89CA4"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2A3F66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Seizure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7301C3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a sudden, involuntary skeletal muscular contractions of cerebral or brain stem origin.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BB650A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Brief partial seizure; no loss of consciousness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C41E4A0"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Brief generalized seizure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6EC97A2"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Multiple seizures despite medical intervention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D81DC98"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Life-threatening; prolonged repetitive seizures</w:t>
            </w:r>
          </w:p>
        </w:tc>
      </w:tr>
      <w:tr w:rsidR="001C7A69" w:rsidRPr="006A7E8A" w14:paraId="1C8669E9"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319E2F39"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Psychiatric Disorders</w:t>
            </w:r>
          </w:p>
        </w:tc>
      </w:tr>
      <w:tr w:rsidR="001C7A69" w:rsidRPr="006A7E8A" w14:paraId="0B581742"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B99DF1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Anxiety</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90F7DB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apprehension of danger and dread accompanied by restlessness, tension, tachycardia, and dyspnea unattached to a clearly identifiable stimulus.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255EC82" w14:textId="0260290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Mild symptoms; intervention not indicated; and/or Hamilton Anxiety Rating Scale score 1-17</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55EFEB6" w14:textId="694809EA"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symptoms; limiting instrumental ADL; and/or Hamilton Anxiety Rating Scale score 18-24</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85E4A88" w14:textId="7B639119"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symptoms; limiting self</w:t>
            </w:r>
            <w:r w:rsidR="00D070D2">
              <w:rPr>
                <w:rFonts w:asciiTheme="minorHAnsi" w:hAnsiTheme="minorHAnsi" w:cstheme="minorHAnsi"/>
                <w:color w:val="000000" w:themeColor="text1"/>
              </w:rPr>
              <w:t>-</w:t>
            </w:r>
            <w:r w:rsidRPr="006A7E8A">
              <w:rPr>
                <w:rFonts w:asciiTheme="minorHAnsi" w:hAnsiTheme="minorHAnsi" w:cstheme="minorHAnsi"/>
                <w:color w:val="000000" w:themeColor="text1"/>
              </w:rPr>
              <w:t>care ADL; hospitalization not indicated; and/or Hamilton Anxiety Rating Scale score 25-30</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45E2902" w14:textId="000B8F79"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Life-threatening; Hamilton Anxiety Rating Scale score &gt;30; and/or hospitalization indicated</w:t>
            </w:r>
          </w:p>
        </w:tc>
      </w:tr>
      <w:tr w:rsidR="001C7A69" w:rsidRPr="006A7E8A" w14:paraId="32C83F4E" w14:textId="77777777" w:rsidTr="000A384C">
        <w:trPr>
          <w:trHeight w:val="531"/>
        </w:trPr>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D80F72C" w14:textId="77777777" w:rsidR="001C7A69" w:rsidRPr="006A7E8A" w:rsidRDefault="001C7A69" w:rsidP="000A384C">
            <w:pPr>
              <w:pStyle w:val="Tabletext"/>
              <w:rPr>
                <w:rFonts w:asciiTheme="minorHAnsi" w:eastAsiaTheme="minorEastAsia" w:hAnsiTheme="minorHAnsi" w:cstheme="minorHAnsi"/>
                <w:color w:val="000000" w:themeColor="text1"/>
                <w:lang w:eastAsia="ko-KR"/>
              </w:rPr>
            </w:pPr>
            <w:r w:rsidRPr="006A7E8A">
              <w:rPr>
                <w:rFonts w:asciiTheme="minorHAnsi" w:hAnsiTheme="minorHAnsi" w:cstheme="minorHAnsi"/>
                <w:color w:val="000000" w:themeColor="text1"/>
              </w:rPr>
              <w:lastRenderedPageBreak/>
              <w:t>Depression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79735AA"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melancholic feelings of grief or unhappiness.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EF29D11" w14:textId="441982C6"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Mild depressive symptoms; and/or PHQ9 depression score 1-9</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C8054A4" w14:textId="21BAB608"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depressive symptoms; limiting instrumental ADL; and/or PHQ9 depression score 10-14</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23BEBA6" w14:textId="12E60B0E"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depressive symptoms; limiting self</w:t>
            </w:r>
            <w:r w:rsidR="00D070D2">
              <w:rPr>
                <w:rFonts w:asciiTheme="minorHAnsi" w:hAnsiTheme="minorHAnsi" w:cstheme="minorHAnsi"/>
                <w:color w:val="000000" w:themeColor="text1"/>
              </w:rPr>
              <w:t>-</w:t>
            </w:r>
            <w:r w:rsidRPr="006A7E8A">
              <w:rPr>
                <w:rFonts w:asciiTheme="minorHAnsi" w:hAnsiTheme="minorHAnsi" w:cstheme="minorHAnsi"/>
                <w:color w:val="000000" w:themeColor="text1"/>
              </w:rPr>
              <w:t>care ADL; hospitalization not indicated; and/or PHQ9 depression score 15-19</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FCC1180"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Life-threatening consequences, threats of harm to self or others; PHQ9 depression score 20-27; and/or hospitalization indicated</w:t>
            </w:r>
          </w:p>
        </w:tc>
      </w:tr>
      <w:tr w:rsidR="001C7A69" w:rsidRPr="006A7E8A" w14:paraId="66773D50"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7316B1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Psychosis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DE5ACA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A disorder characterized by personality change, impaired functioning, and loss of touch with reality.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F1CE944"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Mild psychotic symptoms </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32DBFC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psychotic symptoms (e.g., disorganized speech; impaired reality testing)</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D23FD1A"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psychotic symptoms (e.g., paranoid; extreme disorganization); hospitalization not indicated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8B1C24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Life-threatening consequences, threats of harm to self or others; hospitalization indicated</w:t>
            </w:r>
          </w:p>
        </w:tc>
      </w:tr>
      <w:tr w:rsidR="001C7A69" w:rsidRPr="006A7E8A" w14:paraId="58561812"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7781B41"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Suicidal ideation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5BA436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thoughts of taking one's own life.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5B7FE56"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Increased thoughts of death but no wish to kill oneself</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EA50D1F"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Suicidal ideation with no specific plan or intent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CF53D0D"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Specific plan to commit suicide without serious intent to die which may not require</w:t>
            </w:r>
            <w:r w:rsidRPr="006A7E8A">
              <w:rPr>
                <w:rFonts w:asciiTheme="minorHAnsi" w:hAnsiTheme="minorHAnsi" w:cstheme="minorHAnsi"/>
                <w:color w:val="000000" w:themeColor="text1"/>
              </w:rPr>
              <w:br/>
              <w:t>hospitalization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733C695"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Specific plan to commit suicide with serious intent to die which requires hospitalization</w:t>
            </w:r>
          </w:p>
        </w:tc>
      </w:tr>
      <w:tr w:rsidR="001C7A69" w:rsidRPr="006A7E8A" w14:paraId="13D11848"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79E6517D" w14:textId="77777777" w:rsidR="001C7A69" w:rsidRPr="006A7E8A" w:rsidRDefault="001C7A69" w:rsidP="000A384C">
            <w:pPr>
              <w:pStyle w:val="Tabletext"/>
              <w:rPr>
                <w:rFonts w:asciiTheme="minorHAnsi" w:hAnsiTheme="minorHAnsi" w:cstheme="minorHAnsi"/>
                <w:b/>
                <w:color w:val="000000" w:themeColor="text1"/>
              </w:rPr>
            </w:pPr>
            <w:r w:rsidRPr="006A7E8A">
              <w:rPr>
                <w:rFonts w:asciiTheme="minorHAnsi" w:hAnsiTheme="minorHAnsi" w:cstheme="minorHAnsi"/>
                <w:b/>
                <w:color w:val="000000" w:themeColor="text1"/>
              </w:rPr>
              <w:t>Reproductive system and breast disorders</w:t>
            </w:r>
          </w:p>
        </w:tc>
      </w:tr>
      <w:tr w:rsidR="001C7A69" w:rsidRPr="006A7E8A" w14:paraId="08DF5414"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79D3CF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Gynecomastia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6390CD9"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excessive development of the breasts in males.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5AECC5B"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Asymptomatic breast enlargement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DE28BA2"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Symptomatic (e.g. pain or psychosocial impact)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713B81E"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Severe symptoms; elective operative intervention indicated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A8B30E3" w14:textId="77777777" w:rsidR="001C7A69" w:rsidRPr="006A7E8A" w:rsidRDefault="001C7A69" w:rsidP="000A384C">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r>
      <w:tr w:rsidR="00340432" w:rsidRPr="006A7E8A" w14:paraId="7DAFCB88"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7889B26B" w14:textId="2CFA1CB8" w:rsidR="00340432" w:rsidRPr="006A7E8A" w:rsidRDefault="00340432" w:rsidP="00340432">
            <w:pPr>
              <w:pStyle w:val="Tabletext"/>
              <w:rPr>
                <w:rFonts w:asciiTheme="minorHAnsi" w:hAnsiTheme="minorHAnsi" w:cstheme="minorHAnsi"/>
                <w:color w:val="000000" w:themeColor="text1"/>
              </w:rPr>
            </w:pPr>
            <w:r w:rsidRPr="00550E78">
              <w:rPr>
                <w:rFonts w:asciiTheme="minorHAnsi" w:hAnsiTheme="minorHAnsi"/>
                <w:color w:val="000000" w:themeColor="text1"/>
              </w:rPr>
              <w:t>Acute Kidney Injury</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558EB8EB" w14:textId="726A2037" w:rsidR="00340432" w:rsidRPr="006A7E8A" w:rsidRDefault="00340432" w:rsidP="00340432">
            <w:pPr>
              <w:pStyle w:val="Tabletext"/>
              <w:rPr>
                <w:rFonts w:asciiTheme="minorHAnsi" w:hAnsiTheme="minorHAnsi" w:cstheme="minorHAnsi"/>
                <w:color w:val="000000" w:themeColor="text1"/>
              </w:rPr>
            </w:pPr>
            <w:r>
              <w:rPr>
                <w:rFonts w:asciiTheme="minorHAnsi" w:hAnsiTheme="minorHAnsi"/>
                <w:color w:val="000000" w:themeColor="text1"/>
              </w:rPr>
              <w:t>A disorder demonstrated by decreased renal function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5F58E78F" w14:textId="03DF8F6A" w:rsidR="00340432" w:rsidRPr="006A7E8A" w:rsidRDefault="00340432" w:rsidP="00340432">
            <w:pPr>
              <w:pStyle w:val="Tabletext"/>
              <w:rPr>
                <w:rFonts w:asciiTheme="minorHAnsi" w:hAnsiTheme="minorHAnsi" w:cstheme="minorHAnsi"/>
                <w:color w:val="000000" w:themeColor="text1"/>
              </w:rPr>
            </w:pPr>
            <w:r w:rsidRPr="00550E78">
              <w:rPr>
                <w:rFonts w:asciiTheme="minorHAnsi" w:hAnsiTheme="minorHAnsi"/>
                <w:color w:val="000000" w:themeColor="text1"/>
              </w:rPr>
              <w:t>Creatinine level increase of &gt;</w:t>
            </w:r>
            <w:r>
              <w:rPr>
                <w:rFonts w:asciiTheme="minorHAnsi" w:hAnsiTheme="minorHAnsi"/>
                <w:color w:val="000000" w:themeColor="text1"/>
              </w:rPr>
              <w:t xml:space="preserve"> </w:t>
            </w:r>
            <w:r w:rsidRPr="00550E78">
              <w:rPr>
                <w:rFonts w:asciiTheme="minorHAnsi" w:hAnsiTheme="minorHAnsi"/>
                <w:color w:val="000000" w:themeColor="text1"/>
              </w:rPr>
              <w:t>0.3 mg/dL; creatinine 1.5 - 2.0 x above baseline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70B85122" w14:textId="44342245" w:rsidR="00340432" w:rsidRPr="006A7E8A" w:rsidRDefault="00340432" w:rsidP="00340432">
            <w:pPr>
              <w:pStyle w:val="Tabletext"/>
              <w:rPr>
                <w:rFonts w:asciiTheme="minorHAnsi" w:hAnsiTheme="minorHAnsi" w:cstheme="minorHAnsi"/>
                <w:color w:val="000000" w:themeColor="text1"/>
              </w:rPr>
            </w:pPr>
            <w:r w:rsidRPr="00550E78">
              <w:rPr>
                <w:rFonts w:asciiTheme="minorHAnsi" w:hAnsiTheme="minorHAnsi"/>
                <w:color w:val="000000" w:themeColor="text1"/>
              </w:rPr>
              <w:t>Creatinine 2 - 3 x above baseline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6A0D6CAD" w14:textId="4963535F" w:rsidR="00340432" w:rsidRPr="006A7E8A" w:rsidRDefault="00340432" w:rsidP="00340432">
            <w:pPr>
              <w:pStyle w:val="Tabletext"/>
              <w:rPr>
                <w:rFonts w:asciiTheme="minorHAnsi" w:hAnsiTheme="minorHAnsi" w:cstheme="minorHAnsi"/>
                <w:color w:val="000000" w:themeColor="text1"/>
              </w:rPr>
            </w:pPr>
            <w:r w:rsidRPr="00550E78">
              <w:rPr>
                <w:rFonts w:asciiTheme="minorHAnsi" w:hAnsiTheme="minorHAnsi"/>
                <w:color w:val="000000" w:themeColor="text1"/>
              </w:rPr>
              <w:t>Creatinine &gt;</w:t>
            </w:r>
            <w:r>
              <w:rPr>
                <w:rFonts w:asciiTheme="minorHAnsi" w:hAnsiTheme="minorHAnsi"/>
                <w:color w:val="000000" w:themeColor="text1"/>
              </w:rPr>
              <w:t xml:space="preserve"> </w:t>
            </w:r>
            <w:r w:rsidRPr="00550E78">
              <w:rPr>
                <w:rFonts w:asciiTheme="minorHAnsi" w:hAnsiTheme="minorHAnsi"/>
                <w:color w:val="000000" w:themeColor="text1"/>
              </w:rPr>
              <w:t>3 x baseline or &gt;</w:t>
            </w:r>
            <w:r>
              <w:rPr>
                <w:rFonts w:asciiTheme="minorHAnsi" w:hAnsiTheme="minorHAnsi"/>
                <w:color w:val="000000" w:themeColor="text1"/>
              </w:rPr>
              <w:t xml:space="preserve"> </w:t>
            </w:r>
            <w:r w:rsidRPr="00550E78">
              <w:rPr>
                <w:rFonts w:asciiTheme="minorHAnsi" w:hAnsiTheme="minorHAnsi"/>
                <w:color w:val="000000" w:themeColor="text1"/>
              </w:rPr>
              <w:t>4.0 mg/dL; hospitalization indicated</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tcPr>
          <w:p w14:paraId="200F1545" w14:textId="02823437" w:rsidR="00340432" w:rsidRPr="006A7E8A" w:rsidRDefault="00340432" w:rsidP="00340432">
            <w:pPr>
              <w:pStyle w:val="Tabletext"/>
              <w:rPr>
                <w:rFonts w:asciiTheme="minorHAnsi" w:hAnsiTheme="minorHAnsi" w:cstheme="minorHAnsi"/>
                <w:color w:val="000000" w:themeColor="text1"/>
              </w:rPr>
            </w:pPr>
            <w:r w:rsidRPr="00550E78">
              <w:rPr>
                <w:rFonts w:asciiTheme="minorHAnsi" w:hAnsiTheme="minorHAnsi"/>
                <w:color w:val="000000" w:themeColor="text1"/>
              </w:rPr>
              <w:t>Life-threatening consequences; dialysis indicated</w:t>
            </w:r>
          </w:p>
        </w:tc>
      </w:tr>
      <w:tr w:rsidR="003F59CD" w:rsidRPr="006A7E8A" w14:paraId="475877B2" w14:textId="77777777" w:rsidTr="00093E2C">
        <w:tc>
          <w:tcPr>
            <w:tcW w:w="0" w:type="auto"/>
            <w:gridSpan w:val="6"/>
            <w:tcBorders>
              <w:top w:val="single" w:sz="6" w:space="0" w:color="CCCCCC"/>
              <w:left w:val="single" w:sz="6" w:space="0" w:color="000000" w:themeColor="text1"/>
              <w:bottom w:val="single" w:sz="6" w:space="0" w:color="000000" w:themeColor="text1"/>
              <w:right w:val="single" w:sz="6" w:space="0" w:color="000000" w:themeColor="text1"/>
            </w:tcBorders>
            <w:shd w:val="clear" w:color="auto" w:fill="B6DDE9"/>
            <w:tcMar>
              <w:top w:w="30" w:type="dxa"/>
              <w:left w:w="45" w:type="dxa"/>
              <w:bottom w:w="30" w:type="dxa"/>
              <w:right w:w="45" w:type="dxa"/>
            </w:tcMar>
            <w:hideMark/>
          </w:tcPr>
          <w:p w14:paraId="7AA92E0C" w14:textId="77777777" w:rsidR="003F59CD" w:rsidRPr="006A7E8A" w:rsidRDefault="003F59CD" w:rsidP="003F59CD">
            <w:pPr>
              <w:pStyle w:val="Tabletext"/>
              <w:tabs>
                <w:tab w:val="left" w:pos="1785"/>
              </w:tabs>
              <w:rPr>
                <w:rFonts w:asciiTheme="minorHAnsi" w:hAnsiTheme="minorHAnsi" w:cstheme="minorHAnsi"/>
                <w:b/>
                <w:color w:val="000000" w:themeColor="text1"/>
              </w:rPr>
            </w:pPr>
            <w:r w:rsidRPr="006A7E8A">
              <w:rPr>
                <w:rFonts w:asciiTheme="minorHAnsi" w:hAnsiTheme="minorHAnsi" w:cstheme="minorHAnsi"/>
                <w:b/>
                <w:color w:val="000000" w:themeColor="text1"/>
              </w:rPr>
              <w:t>Skin Disorders</w:t>
            </w:r>
            <w:r w:rsidRPr="006A7E8A">
              <w:rPr>
                <w:rFonts w:asciiTheme="minorHAnsi" w:hAnsiTheme="minorHAnsi" w:cstheme="minorHAnsi"/>
                <w:b/>
                <w:color w:val="000000" w:themeColor="text1"/>
              </w:rPr>
              <w:tab/>
            </w:r>
          </w:p>
        </w:tc>
      </w:tr>
      <w:tr w:rsidR="003F59CD" w:rsidRPr="006A7E8A" w14:paraId="521231E1"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7F4D2E3"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Mucocutaneous Symptoms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64B2587"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General scale for skin disorders from signs and symptoms (e.g. </w:t>
            </w:r>
            <w:r w:rsidRPr="006A7E8A">
              <w:rPr>
                <w:rFonts w:asciiTheme="minorHAnsi" w:hAnsiTheme="minorHAnsi" w:cstheme="minorHAnsi"/>
                <w:color w:val="000000" w:themeColor="text1"/>
              </w:rPr>
              <w:lastRenderedPageBreak/>
              <w:t>itching) to life-threatening skin conditions (e.g. Steven Johnson syndrome).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BEBAECB"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lastRenderedPageBreak/>
              <w:t>Erythema; pruritus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B9D7A3C" w14:textId="2961FDBB"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Diffuse, maculopapular rash, dry </w:t>
            </w:r>
            <w:r w:rsidRPr="006A7E8A">
              <w:rPr>
                <w:rFonts w:asciiTheme="minorHAnsi" w:hAnsiTheme="minorHAnsi" w:cstheme="minorHAnsi"/>
                <w:color w:val="000000" w:themeColor="text1"/>
              </w:rPr>
              <w:lastRenderedPageBreak/>
              <w:t>desquamation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3673D7E"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lastRenderedPageBreak/>
              <w:t>Vesiculation or moist desquamation or ulceration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AAEE19D"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 xml:space="preserve">Exfoliative dermatitis, mucous </w:t>
            </w:r>
            <w:r w:rsidRPr="006A7E8A">
              <w:rPr>
                <w:rFonts w:asciiTheme="minorHAnsi" w:hAnsiTheme="minorHAnsi" w:cstheme="minorHAnsi"/>
                <w:color w:val="000000" w:themeColor="text1"/>
              </w:rPr>
              <w:lastRenderedPageBreak/>
              <w:t>membrane involvement or erythema, multiforme or suspected Stevens-Johnson or necrosis requiring surgery</w:t>
            </w:r>
          </w:p>
        </w:tc>
      </w:tr>
      <w:tr w:rsidR="003F59CD" w:rsidRPr="006A7E8A" w14:paraId="45FE26B7"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1F106985"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lastRenderedPageBreak/>
              <w:t>Pruritus</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3ACD28E"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an intense itching sensation.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816771E"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Slight itching at injection site</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00E47219"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Moderate itching at injection extremity</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56F9E566"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Itching over entire body</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BE25C5D"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r>
      <w:tr w:rsidR="003F59CD" w:rsidRPr="006A7E8A" w14:paraId="212787D6" w14:textId="77777777" w:rsidTr="000A384C">
        <w:tc>
          <w:tcPr>
            <w:tcW w:w="0" w:type="auto"/>
            <w:tcBorders>
              <w:top w:val="single" w:sz="6" w:space="0" w:color="CCCCCC"/>
              <w:left w:val="single" w:sz="6" w:space="0" w:color="000000" w:themeColor="text1"/>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42200688"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Skin Hypo- or Hyper- Pigmentation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1A77741"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A disorder characterized by loss of skin pigment or a darkening of the skin due to excessive melanin deposition.</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7096EF5F"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Hypo- / Hyper- pigmentation or depigmentation covering &lt;10% BSA; no psychosocial impact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696A0BE4"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Hypo- / Hyper- pigmentation or depigmentation covering &gt;10% BSA; associated psychosocial impact</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245717C0"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c>
          <w:tcPr>
            <w:tcW w:w="0" w:type="auto"/>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30" w:type="dxa"/>
              <w:left w:w="45" w:type="dxa"/>
              <w:bottom w:w="30" w:type="dxa"/>
              <w:right w:w="45" w:type="dxa"/>
            </w:tcMar>
            <w:hideMark/>
          </w:tcPr>
          <w:p w14:paraId="3C36E622" w14:textId="77777777" w:rsidR="003F59CD" w:rsidRPr="006A7E8A" w:rsidRDefault="003F59CD" w:rsidP="003F59CD">
            <w:pPr>
              <w:pStyle w:val="Tabletext"/>
              <w:rPr>
                <w:rFonts w:asciiTheme="minorHAnsi" w:hAnsiTheme="minorHAnsi" w:cstheme="minorHAnsi"/>
                <w:color w:val="000000" w:themeColor="text1"/>
              </w:rPr>
            </w:pPr>
            <w:r w:rsidRPr="006A7E8A">
              <w:rPr>
                <w:rFonts w:asciiTheme="minorHAnsi" w:hAnsiTheme="minorHAnsi" w:cstheme="minorHAnsi"/>
                <w:color w:val="000000" w:themeColor="text1"/>
              </w:rPr>
              <w:t>N/A</w:t>
            </w:r>
          </w:p>
        </w:tc>
      </w:tr>
    </w:tbl>
    <w:p w14:paraId="0492DC49" w14:textId="77777777" w:rsidR="001C7A69" w:rsidRPr="00B85017" w:rsidRDefault="001C7A69" w:rsidP="001C7A69">
      <w:pPr>
        <w:rPr>
          <w:color w:val="000000" w:themeColor="text1"/>
        </w:rPr>
        <w:sectPr w:rsidR="001C7A69" w:rsidRPr="00B85017" w:rsidSect="00163FCA">
          <w:pgSz w:w="16839" w:h="11907" w:orient="landscape"/>
          <w:pgMar w:top="1440" w:right="1440" w:bottom="1440" w:left="1440" w:header="720" w:footer="720" w:gutter="0"/>
          <w:cols w:space="720"/>
          <w:docGrid w:linePitch="299"/>
        </w:sectPr>
      </w:pPr>
    </w:p>
    <w:p w14:paraId="11199133" w14:textId="77777777" w:rsidR="001C7A69" w:rsidRPr="00003170" w:rsidRDefault="001C7A69" w:rsidP="00003170">
      <w:pPr>
        <w:pStyle w:val="Heading1"/>
      </w:pPr>
      <w:bookmarkStart w:id="312" w:name="_Toc12792982"/>
      <w:bookmarkStart w:id="313" w:name="_Toc12952384"/>
      <w:bookmarkStart w:id="314" w:name="_Toc13486733"/>
      <w:r w:rsidRPr="00003170">
        <w:lastRenderedPageBreak/>
        <w:t>References</w:t>
      </w:r>
      <w:bookmarkEnd w:id="312"/>
      <w:bookmarkEnd w:id="313"/>
      <w:bookmarkEnd w:id="314"/>
    </w:p>
    <w:p w14:paraId="1CE3F93E" w14:textId="77777777" w:rsidR="001C7A69" w:rsidRPr="00732782" w:rsidRDefault="001C7A69" w:rsidP="001C7A69">
      <w:pPr>
        <w:rPr>
          <w:rFonts w:asciiTheme="minorHAnsi" w:hAnsiTheme="minorHAnsi" w:cstheme="minorHAnsi"/>
          <w:color w:val="000000" w:themeColor="text1"/>
        </w:rPr>
      </w:pPr>
      <w:r w:rsidRPr="00732782">
        <w:rPr>
          <w:rFonts w:asciiTheme="minorHAnsi" w:hAnsiTheme="minorHAnsi" w:cstheme="minorHAnsi"/>
          <w:color w:val="000000" w:themeColor="text1"/>
        </w:rPr>
        <w:t>Relevant references to produce this guide include:</w:t>
      </w:r>
    </w:p>
    <w:p w14:paraId="70DD7D56" w14:textId="77777777" w:rsidR="001C7A69" w:rsidRPr="00732782" w:rsidRDefault="002C65F9" w:rsidP="001C7A69">
      <w:pPr>
        <w:pStyle w:val="ListBullet"/>
        <w:rPr>
          <w:rFonts w:asciiTheme="minorHAnsi" w:hAnsiTheme="minorHAnsi" w:cstheme="minorHAnsi"/>
          <w:color w:val="000000" w:themeColor="text1"/>
        </w:rPr>
      </w:pPr>
      <w:hyperlink r:id="rId39">
        <w:r w:rsidR="001C7A69" w:rsidRPr="00732782">
          <w:rPr>
            <w:rStyle w:val="Hyperlink"/>
            <w:rFonts w:asciiTheme="minorHAnsi" w:hAnsiTheme="minorHAnsi" w:cstheme="minorHAnsi"/>
            <w:i/>
            <w:color w:val="000000" w:themeColor="text1"/>
            <w:u w:val="none"/>
          </w:rPr>
          <w:t>Com</w:t>
        </w:r>
        <w:bookmarkStart w:id="315" w:name="_Hlt13062594"/>
        <w:r w:rsidR="001C7A69" w:rsidRPr="00732782">
          <w:rPr>
            <w:rStyle w:val="Hyperlink"/>
            <w:rFonts w:asciiTheme="minorHAnsi" w:hAnsiTheme="minorHAnsi" w:cstheme="minorHAnsi"/>
            <w:i/>
            <w:color w:val="000000" w:themeColor="text1"/>
            <w:u w:val="none"/>
          </w:rPr>
          <w:t>p</w:t>
        </w:r>
        <w:bookmarkEnd w:id="315"/>
        <w:r w:rsidR="001C7A69" w:rsidRPr="00732782">
          <w:rPr>
            <w:rStyle w:val="Hyperlink"/>
            <w:rFonts w:asciiTheme="minorHAnsi" w:hAnsiTheme="minorHAnsi" w:cstheme="minorHAnsi"/>
            <w:i/>
            <w:color w:val="000000" w:themeColor="text1"/>
            <w:u w:val="none"/>
          </w:rPr>
          <w:t>anion handbook to the WHO 2011 guidelines for the programmatic management of drug-resistant tuberculosis, 2</w:t>
        </w:r>
        <w:r w:rsidR="001C7A69" w:rsidRPr="00732782">
          <w:rPr>
            <w:rStyle w:val="Hyperlink"/>
            <w:rFonts w:asciiTheme="minorHAnsi" w:hAnsiTheme="minorHAnsi" w:cstheme="minorHAnsi"/>
            <w:i/>
            <w:color w:val="000000" w:themeColor="text1"/>
            <w:u w:val="none"/>
            <w:vertAlign w:val="superscript"/>
          </w:rPr>
          <w:t>nd</w:t>
        </w:r>
        <w:r w:rsidR="001C7A69" w:rsidRPr="00732782">
          <w:rPr>
            <w:rStyle w:val="Hyperlink"/>
            <w:rFonts w:asciiTheme="minorHAnsi" w:hAnsiTheme="minorHAnsi" w:cstheme="minorHAnsi"/>
            <w:i/>
            <w:color w:val="000000" w:themeColor="text1"/>
            <w:u w:val="none"/>
          </w:rPr>
          <w:t xml:space="preserve"> edition</w:t>
        </w:r>
      </w:hyperlink>
      <w:r w:rsidR="001C7A69" w:rsidRPr="00732782">
        <w:rPr>
          <w:rFonts w:asciiTheme="minorHAnsi" w:hAnsiTheme="minorHAnsi" w:cstheme="minorHAnsi"/>
          <w:color w:val="000000" w:themeColor="text1"/>
        </w:rPr>
        <w:t xml:space="preserve"> (WHO/HTM/TB/2014.11). WHO, Geneva. 2015.</w:t>
      </w:r>
    </w:p>
    <w:p w14:paraId="7C1E46D2" w14:textId="77777777" w:rsidR="001C7A69" w:rsidRPr="00732782" w:rsidRDefault="002C65F9" w:rsidP="001C7A69">
      <w:pPr>
        <w:pStyle w:val="ListBullet"/>
        <w:rPr>
          <w:rFonts w:asciiTheme="minorHAnsi" w:hAnsiTheme="minorHAnsi" w:cstheme="minorHAnsi"/>
          <w:color w:val="000000" w:themeColor="text1"/>
        </w:rPr>
      </w:pPr>
      <w:hyperlink r:id="rId40">
        <w:r w:rsidR="001C7A69" w:rsidRPr="00732782">
          <w:rPr>
            <w:rFonts w:asciiTheme="minorHAnsi" w:hAnsiTheme="minorHAnsi" w:cstheme="minorHAnsi"/>
            <w:i/>
            <w:color w:val="000000" w:themeColor="text1"/>
          </w:rPr>
          <w:t>PIH Guide to the Medical Management of MDR-TB, 2</w:t>
        </w:r>
      </w:hyperlink>
      <w:hyperlink r:id="rId41">
        <w:r w:rsidR="001C7A69" w:rsidRPr="00732782">
          <w:rPr>
            <w:rFonts w:asciiTheme="minorHAnsi" w:hAnsiTheme="minorHAnsi" w:cstheme="minorHAnsi"/>
            <w:i/>
            <w:color w:val="000000" w:themeColor="text1"/>
            <w:vertAlign w:val="superscript"/>
          </w:rPr>
          <w:t>nd</w:t>
        </w:r>
      </w:hyperlink>
      <w:hyperlink r:id="rId42">
        <w:r w:rsidR="001C7A69" w:rsidRPr="00732782">
          <w:rPr>
            <w:rFonts w:asciiTheme="minorHAnsi" w:hAnsiTheme="minorHAnsi" w:cstheme="minorHAnsi"/>
            <w:i/>
            <w:color w:val="000000" w:themeColor="text1"/>
          </w:rPr>
          <w:t xml:space="preserve"> Edition</w:t>
        </w:r>
      </w:hyperlink>
      <w:r w:rsidR="001C7A69" w:rsidRPr="00732782">
        <w:rPr>
          <w:rFonts w:asciiTheme="minorHAnsi" w:hAnsiTheme="minorHAnsi" w:cstheme="minorHAnsi"/>
          <w:color w:val="000000" w:themeColor="text1"/>
        </w:rPr>
        <w:t>. Partners In Health, Boston, USA. USAID TB CARE II. 2013.</w:t>
      </w:r>
    </w:p>
    <w:p w14:paraId="308FECC9" w14:textId="77777777" w:rsidR="001C7A69" w:rsidRPr="00732782" w:rsidRDefault="001C7A69" w:rsidP="001C7A69">
      <w:pPr>
        <w:pStyle w:val="ListBullet"/>
        <w:rPr>
          <w:rFonts w:asciiTheme="minorHAnsi" w:hAnsiTheme="minorHAnsi" w:cstheme="minorHAnsi"/>
          <w:i/>
          <w:color w:val="000000" w:themeColor="text1"/>
          <w:u w:val="single"/>
        </w:rPr>
      </w:pPr>
      <w:r w:rsidRPr="00732782">
        <w:rPr>
          <w:rFonts w:asciiTheme="minorHAnsi" w:hAnsiTheme="minorHAnsi" w:cstheme="minorHAnsi"/>
          <w:i/>
          <w:color w:val="000000" w:themeColor="text1"/>
        </w:rPr>
        <w:t>Report of the Guideline Development Group Meeting on the use of bedaquiline in the treatment of multidrug-resistant tuberculosis: A review of available evidence (2016)</w:t>
      </w:r>
      <w:r w:rsidRPr="00732782">
        <w:rPr>
          <w:rFonts w:asciiTheme="minorHAnsi" w:hAnsiTheme="minorHAnsi" w:cstheme="minorHAnsi"/>
          <w:color w:val="000000" w:themeColor="text1"/>
        </w:rPr>
        <w:t xml:space="preserve"> (WHO/HTM/TB/2017.01). WHO, Geneva. 2017. </w:t>
      </w:r>
    </w:p>
    <w:p w14:paraId="1C7BB6A9" w14:textId="77777777" w:rsidR="001C7A69" w:rsidRPr="00732782" w:rsidRDefault="002C65F9" w:rsidP="001C7A69">
      <w:pPr>
        <w:pStyle w:val="ListBullet"/>
        <w:rPr>
          <w:rFonts w:asciiTheme="minorHAnsi" w:hAnsiTheme="minorHAnsi" w:cstheme="minorHAnsi"/>
          <w:color w:val="000000" w:themeColor="text1"/>
        </w:rPr>
      </w:pPr>
      <w:hyperlink r:id="rId43">
        <w:r w:rsidR="001C7A69" w:rsidRPr="00732782">
          <w:rPr>
            <w:rFonts w:asciiTheme="minorHAnsi" w:hAnsiTheme="minorHAnsi" w:cstheme="minorHAnsi"/>
            <w:i/>
            <w:color w:val="000000" w:themeColor="text1"/>
          </w:rPr>
          <w:t>Tuberculosis: practical guide for clinicians, nurses, laboratory technicians and medical auxiliares. 2014 Edition</w:t>
        </w:r>
      </w:hyperlink>
      <w:r w:rsidR="001C7A69" w:rsidRPr="00732782">
        <w:rPr>
          <w:rFonts w:asciiTheme="minorHAnsi" w:hAnsiTheme="minorHAnsi" w:cstheme="minorHAnsi"/>
          <w:color w:val="000000" w:themeColor="text1"/>
        </w:rPr>
        <w:t>. Médecins Sans Frontières and Partners In Health.</w:t>
      </w:r>
    </w:p>
    <w:p w14:paraId="511B2A7D" w14:textId="77777777" w:rsidR="001C7A69" w:rsidRPr="00732782" w:rsidRDefault="002C65F9" w:rsidP="001C7A69">
      <w:pPr>
        <w:pStyle w:val="ListBullet"/>
        <w:rPr>
          <w:rFonts w:asciiTheme="minorHAnsi" w:hAnsiTheme="minorHAnsi" w:cstheme="minorHAnsi"/>
          <w:color w:val="000000" w:themeColor="text1"/>
        </w:rPr>
      </w:pPr>
      <w:hyperlink r:id="rId44">
        <w:r w:rsidR="001C7A69" w:rsidRPr="00732782">
          <w:rPr>
            <w:rFonts w:asciiTheme="minorHAnsi" w:hAnsiTheme="minorHAnsi" w:cstheme="minorHAnsi"/>
            <w:i/>
            <w:color w:val="000000" w:themeColor="text1"/>
          </w:rPr>
          <w:t>The use of bedaquiline in the treatment of MDR-TB: interim policy guidance</w:t>
        </w:r>
      </w:hyperlink>
      <w:r w:rsidR="001C7A69" w:rsidRPr="00732782">
        <w:rPr>
          <w:rFonts w:asciiTheme="minorHAnsi" w:hAnsiTheme="minorHAnsi" w:cstheme="minorHAnsi"/>
          <w:color w:val="000000" w:themeColor="text1"/>
        </w:rPr>
        <w:t xml:space="preserve"> (WHO/HTMTB/2013.6). WHO, Geneva. 2013.</w:t>
      </w:r>
    </w:p>
    <w:p w14:paraId="1A39E6FD" w14:textId="77777777" w:rsidR="001C7A69" w:rsidRPr="00732782" w:rsidRDefault="002C65F9" w:rsidP="001C7A69">
      <w:pPr>
        <w:pStyle w:val="ListBullet"/>
        <w:rPr>
          <w:rFonts w:asciiTheme="minorHAnsi" w:hAnsiTheme="minorHAnsi" w:cstheme="minorHAnsi"/>
          <w:color w:val="000000" w:themeColor="text1"/>
        </w:rPr>
      </w:pPr>
      <w:hyperlink r:id="rId45">
        <w:r w:rsidR="001C7A69" w:rsidRPr="00732782">
          <w:rPr>
            <w:rFonts w:asciiTheme="minorHAnsi" w:hAnsiTheme="minorHAnsi" w:cstheme="minorHAnsi"/>
            <w:i/>
            <w:color w:val="000000" w:themeColor="text1"/>
          </w:rPr>
          <w:t>The use of delamanid in the treatment of MDR-TB: interim policy guidance</w:t>
        </w:r>
      </w:hyperlink>
      <w:r w:rsidR="001C7A69" w:rsidRPr="00732782">
        <w:rPr>
          <w:rFonts w:asciiTheme="minorHAnsi" w:hAnsiTheme="minorHAnsi" w:cstheme="minorHAnsi"/>
          <w:color w:val="000000" w:themeColor="text1"/>
        </w:rPr>
        <w:t xml:space="preserve"> (WHO/HTM/TB2014.23). WHO, Geneva. 2014.</w:t>
      </w:r>
    </w:p>
    <w:p w14:paraId="3A5F28C4" w14:textId="77777777" w:rsidR="001C7A69" w:rsidRPr="00732782" w:rsidRDefault="001C7A69" w:rsidP="001C7A69">
      <w:pPr>
        <w:pStyle w:val="ListBullet"/>
        <w:rPr>
          <w:rFonts w:asciiTheme="minorHAnsi" w:hAnsiTheme="minorHAnsi" w:cstheme="minorHAnsi"/>
          <w:i/>
          <w:color w:val="000000" w:themeColor="text1"/>
          <w:u w:val="single"/>
        </w:rPr>
      </w:pPr>
      <w:r w:rsidRPr="00732782">
        <w:rPr>
          <w:rFonts w:asciiTheme="minorHAnsi" w:hAnsiTheme="minorHAnsi" w:cstheme="minorHAnsi"/>
          <w:i/>
          <w:color w:val="000000" w:themeColor="text1"/>
        </w:rPr>
        <w:t>The use of delamanid in the treatment of multidrug-resistant tuberculosis in children and adolescents: interim policy guidance</w:t>
      </w:r>
      <w:r w:rsidRPr="00732782">
        <w:rPr>
          <w:rFonts w:asciiTheme="minorHAnsi" w:hAnsiTheme="minorHAnsi" w:cstheme="minorHAnsi"/>
          <w:color w:val="000000" w:themeColor="text1"/>
        </w:rPr>
        <w:t xml:space="preserve"> (WHO/HTM/TB/2016.14). WHO, Geneva. 2016.</w:t>
      </w:r>
    </w:p>
    <w:p w14:paraId="6FABAB29" w14:textId="77777777" w:rsidR="001C7A69" w:rsidRPr="00732782" w:rsidRDefault="001C7A69" w:rsidP="001C7A69">
      <w:pPr>
        <w:pStyle w:val="ListBullet"/>
        <w:rPr>
          <w:rFonts w:asciiTheme="minorHAnsi" w:hAnsiTheme="minorHAnsi" w:cstheme="minorHAnsi"/>
          <w:color w:val="000000" w:themeColor="text1"/>
        </w:rPr>
      </w:pPr>
      <w:r w:rsidRPr="00732782">
        <w:rPr>
          <w:rFonts w:asciiTheme="minorHAnsi" w:hAnsiTheme="minorHAnsi" w:cstheme="minorHAnsi"/>
          <w:i/>
          <w:color w:val="000000" w:themeColor="text1"/>
        </w:rPr>
        <w:t>WHO treatment guidelines for drug-resistant tuberculosis, 2016 update</w:t>
      </w:r>
      <w:r w:rsidRPr="00732782">
        <w:rPr>
          <w:rFonts w:asciiTheme="minorHAnsi" w:hAnsiTheme="minorHAnsi" w:cstheme="minorHAnsi"/>
          <w:color w:val="000000" w:themeColor="text1"/>
        </w:rPr>
        <w:t xml:space="preserve"> (</w:t>
      </w:r>
      <w:r w:rsidRPr="00732782">
        <w:rPr>
          <w:rFonts w:asciiTheme="minorHAnsi" w:hAnsiTheme="minorHAnsi" w:cstheme="minorHAnsi"/>
          <w:color w:val="000000" w:themeColor="text1"/>
          <w:lang w:eastAsia="ko-KR"/>
        </w:rPr>
        <w:t>WHO/HTM/TB/2016.04</w:t>
      </w:r>
      <w:r w:rsidRPr="00732782">
        <w:rPr>
          <w:rFonts w:asciiTheme="minorHAnsi" w:hAnsiTheme="minorHAnsi" w:cstheme="minorHAnsi"/>
          <w:color w:val="000000" w:themeColor="text1"/>
        </w:rPr>
        <w:t>). WHO, Geneva. 2016.</w:t>
      </w:r>
    </w:p>
    <w:p w14:paraId="27D23A6F" w14:textId="77777777" w:rsidR="001C7A69" w:rsidRPr="00732782" w:rsidRDefault="001C7A69" w:rsidP="001C7A69">
      <w:pPr>
        <w:pStyle w:val="ListBullet"/>
        <w:rPr>
          <w:rFonts w:asciiTheme="minorHAnsi" w:hAnsiTheme="minorHAnsi" w:cstheme="minorHAnsi"/>
          <w:color w:val="000000" w:themeColor="text1"/>
        </w:rPr>
      </w:pPr>
      <w:r w:rsidRPr="00732782">
        <w:rPr>
          <w:rFonts w:asciiTheme="minorHAnsi" w:hAnsiTheme="minorHAnsi" w:cstheme="minorHAnsi"/>
          <w:i/>
          <w:color w:val="000000" w:themeColor="text1"/>
        </w:rPr>
        <w:t>WHO best-practice statement on the off-label use of bedaquiline and delamanid for the treatment of multidrug-resistant tuberculosis</w:t>
      </w:r>
      <w:r w:rsidRPr="00732782">
        <w:rPr>
          <w:rFonts w:asciiTheme="minorHAnsi" w:hAnsiTheme="minorHAnsi" w:cstheme="minorHAnsi"/>
          <w:color w:val="000000" w:themeColor="text1"/>
        </w:rPr>
        <w:t xml:space="preserve"> (WHO/HTM/TB/2017.20). WHO, Geneva.  2017. </w:t>
      </w:r>
    </w:p>
    <w:p w14:paraId="47187596" w14:textId="77777777" w:rsidR="001C7A69" w:rsidRPr="00B85017" w:rsidRDefault="001C7A69" w:rsidP="001C7A69">
      <w:pPr>
        <w:rPr>
          <w:color w:val="000000" w:themeColor="text1"/>
        </w:rPr>
      </w:pPr>
    </w:p>
    <w:p w14:paraId="1063DD5A" w14:textId="77777777" w:rsidR="001C7A69" w:rsidRPr="00B85017" w:rsidRDefault="001C7A69" w:rsidP="001C7A69">
      <w:pPr>
        <w:rPr>
          <w:color w:val="000000" w:themeColor="text1"/>
        </w:rPr>
      </w:pPr>
    </w:p>
    <w:p w14:paraId="622F81B6" w14:textId="77777777" w:rsidR="001C7A69" w:rsidRPr="00B85017" w:rsidRDefault="001C7A69" w:rsidP="001C7A69">
      <w:pPr>
        <w:rPr>
          <w:color w:val="000000" w:themeColor="text1"/>
        </w:rPr>
      </w:pPr>
    </w:p>
    <w:p w14:paraId="34E22054" w14:textId="52B6413D" w:rsidR="00C6469D" w:rsidRPr="00B85017" w:rsidRDefault="00C6469D" w:rsidP="002C212F">
      <w:pPr>
        <w:rPr>
          <w:color w:val="000000" w:themeColor="text1"/>
        </w:rPr>
      </w:pPr>
    </w:p>
    <w:p w14:paraId="34F1B47A" w14:textId="37A574B4" w:rsidR="004305C4" w:rsidRPr="00B85017" w:rsidRDefault="004305C4" w:rsidP="002C212F">
      <w:pPr>
        <w:rPr>
          <w:color w:val="000000" w:themeColor="text1"/>
        </w:rPr>
      </w:pPr>
    </w:p>
    <w:p w14:paraId="617AE2B3" w14:textId="71688E42" w:rsidR="004305C4" w:rsidRPr="00B85017" w:rsidRDefault="004305C4">
      <w:pPr>
        <w:spacing w:before="0" w:after="0"/>
        <w:jc w:val="left"/>
        <w:rPr>
          <w:color w:val="000000" w:themeColor="text1"/>
        </w:rPr>
      </w:pPr>
      <w:r w:rsidRPr="00B85017">
        <w:rPr>
          <w:color w:val="000000" w:themeColor="text1"/>
        </w:rPr>
        <w:br w:type="page"/>
      </w:r>
    </w:p>
    <w:p w14:paraId="0211F3CD" w14:textId="2EE2DD48" w:rsidR="004305C4" w:rsidRPr="00817D66" w:rsidRDefault="004305C4" w:rsidP="00817D66">
      <w:pPr>
        <w:pStyle w:val="Heading4"/>
      </w:pPr>
      <w:bookmarkStart w:id="316" w:name="_Toc12950491"/>
      <w:bookmarkStart w:id="317" w:name="_Ref12951032"/>
      <w:bookmarkStart w:id="318" w:name="_Toc13076958"/>
      <w:r w:rsidRPr="00817D66">
        <w:lastRenderedPageBreak/>
        <w:t>Appendix 1: Pediatric Dosing Recommendations</w:t>
      </w:r>
      <w:bookmarkEnd w:id="316"/>
      <w:bookmarkEnd w:id="317"/>
      <w:bookmarkEnd w:id="318"/>
    </w:p>
    <w:p w14:paraId="171EBF90" w14:textId="6FA93B76" w:rsidR="004305C4" w:rsidRPr="00B85017" w:rsidRDefault="004305C4" w:rsidP="00003170">
      <w:pPr>
        <w:pStyle w:val="Heading2"/>
        <w:numPr>
          <w:ilvl w:val="0"/>
          <w:numId w:val="0"/>
        </w:numPr>
        <w:ind w:left="576"/>
      </w:pPr>
      <w:bookmarkStart w:id="319" w:name="_Toc12792983"/>
      <w:bookmarkStart w:id="320" w:name="_Toc12952385"/>
      <w:bookmarkStart w:id="321" w:name="_Toc13486734"/>
      <w:r w:rsidRPr="00B85017">
        <w:t>Weight-Based Dosing in Children</w:t>
      </w:r>
      <w:bookmarkEnd w:id="319"/>
      <w:bookmarkEnd w:id="320"/>
      <w:bookmarkEnd w:id="321"/>
    </w:p>
    <w:p w14:paraId="677DA685" w14:textId="504FCDE6" w:rsidR="004305C4" w:rsidRPr="00B85017" w:rsidRDefault="004305C4" w:rsidP="004305C4">
      <w:pPr>
        <w:ind w:left="400"/>
        <w:rPr>
          <w:rFonts w:asciiTheme="minorHAnsi" w:hAnsiTheme="minorHAnsi" w:cstheme="minorHAnsi"/>
          <w:b/>
          <w:color w:val="000000" w:themeColor="text1"/>
          <w:sz w:val="23"/>
          <w:szCs w:val="23"/>
          <w:u w:val="single"/>
        </w:rPr>
      </w:pPr>
      <w:r w:rsidRPr="00B85017">
        <w:rPr>
          <w:rFonts w:asciiTheme="minorHAnsi" w:hAnsiTheme="minorHAnsi" w:cstheme="minorHAnsi"/>
          <w:b/>
          <w:color w:val="000000" w:themeColor="text1"/>
          <w:sz w:val="23"/>
          <w:szCs w:val="23"/>
          <w:u w:val="single"/>
        </w:rPr>
        <w:t>GROUP A DRUGS</w:t>
      </w:r>
    </w:p>
    <w:p w14:paraId="5A6A2434" w14:textId="42466C55" w:rsidR="004305C4" w:rsidRPr="00B85017" w:rsidRDefault="004305C4" w:rsidP="004305C4">
      <w:pPr>
        <w:ind w:left="400"/>
        <w:rPr>
          <w:rFonts w:asciiTheme="minorHAnsi" w:hAnsiTheme="minorHAnsi" w:cstheme="minorHAnsi"/>
          <w:color w:val="000000" w:themeColor="text1"/>
          <w:sz w:val="23"/>
          <w:szCs w:val="23"/>
        </w:rPr>
      </w:pPr>
      <w:r w:rsidRPr="00B85017">
        <w:rPr>
          <w:rFonts w:asciiTheme="minorHAnsi" w:hAnsiTheme="minorHAnsi" w:cstheme="minorHAnsi"/>
          <w:color w:val="000000" w:themeColor="text1"/>
          <w:sz w:val="23"/>
          <w:szCs w:val="23"/>
        </w:rPr>
        <w:t>The following dosing tables (1a-1n)</w:t>
      </w:r>
      <w:r w:rsidR="00082D00">
        <w:rPr>
          <w:rFonts w:asciiTheme="minorHAnsi" w:hAnsiTheme="minorHAnsi" w:cstheme="minorHAnsi"/>
          <w:color w:val="000000" w:themeColor="text1"/>
          <w:sz w:val="23"/>
          <w:szCs w:val="23"/>
        </w:rPr>
        <w:t xml:space="preserve"> </w:t>
      </w:r>
      <w:r w:rsidRPr="00B85017">
        <w:rPr>
          <w:rFonts w:asciiTheme="minorHAnsi" w:hAnsiTheme="minorHAnsi" w:cstheme="minorHAnsi"/>
          <w:color w:val="000000" w:themeColor="text1"/>
          <w:sz w:val="23"/>
          <w:szCs w:val="23"/>
        </w:rPr>
        <w:t>are meant to assist in optimal treatment of children with MDR-TB. The dosing ranges are based on the latest available pharmacokinetic data. However, it is important to realize that dosing recommendations can change quickly as additional studies are completed, and these recommendations could change. The weight-based dosing coincides with what is recommended by the WHO in their 2018 MDR-TB guidance. Some of the weight bands, however</w:t>
      </w:r>
      <w:r w:rsidR="00C072C0">
        <w:rPr>
          <w:rFonts w:asciiTheme="minorHAnsi" w:hAnsiTheme="minorHAnsi" w:cstheme="minorHAnsi"/>
          <w:color w:val="000000" w:themeColor="text1"/>
          <w:sz w:val="23"/>
          <w:szCs w:val="23"/>
        </w:rPr>
        <w:t>,</w:t>
      </w:r>
      <w:r w:rsidRPr="00B85017">
        <w:rPr>
          <w:rFonts w:asciiTheme="minorHAnsi" w:hAnsiTheme="minorHAnsi" w:cstheme="minorHAnsi"/>
          <w:color w:val="000000" w:themeColor="text1"/>
          <w:sz w:val="23"/>
          <w:szCs w:val="23"/>
        </w:rPr>
        <w:t xml:space="preserve"> are different and the WHO starts their weight-bands at </w:t>
      </w:r>
      <w:r w:rsidRPr="00082D00">
        <w:rPr>
          <w:rFonts w:asciiTheme="minorHAnsi" w:hAnsiTheme="minorHAnsi" w:cstheme="minorHAnsi"/>
          <w:color w:val="000000" w:themeColor="text1"/>
          <w:sz w:val="23"/>
          <w:szCs w:val="23"/>
        </w:rPr>
        <w:t>5</w:t>
      </w:r>
      <w:r w:rsidR="006C529B">
        <w:rPr>
          <w:rFonts w:asciiTheme="minorHAnsi" w:hAnsiTheme="minorHAnsi" w:cstheme="minorHAnsi"/>
          <w:color w:val="000000" w:themeColor="text1"/>
          <w:sz w:val="23"/>
          <w:szCs w:val="23"/>
        </w:rPr>
        <w:t xml:space="preserve"> </w:t>
      </w:r>
      <w:r w:rsidRPr="00082D00">
        <w:rPr>
          <w:rFonts w:asciiTheme="minorHAnsi" w:hAnsiTheme="minorHAnsi" w:cstheme="minorHAnsi"/>
          <w:color w:val="000000" w:themeColor="text1"/>
          <w:sz w:val="23"/>
          <w:szCs w:val="23"/>
        </w:rPr>
        <w:t>kg.</w:t>
      </w:r>
      <w:r w:rsidRPr="00B85017">
        <w:rPr>
          <w:rFonts w:asciiTheme="minorHAnsi" w:hAnsiTheme="minorHAnsi" w:cstheme="minorHAnsi"/>
          <w:color w:val="000000" w:themeColor="text1"/>
          <w:sz w:val="23"/>
          <w:szCs w:val="23"/>
        </w:rPr>
        <w:t xml:space="preserve"> This is because when the dispersible tablets are used, more precise dosing can be achieved within more narrow weight bands.</w:t>
      </w:r>
    </w:p>
    <w:p w14:paraId="34FBC5FE" w14:textId="77777777" w:rsidR="004305C4" w:rsidRPr="00B85017" w:rsidRDefault="004305C4" w:rsidP="004305C4">
      <w:pPr>
        <w:rPr>
          <w:color w:val="000000" w:themeColor="text1"/>
          <w:sz w:val="24"/>
          <w:szCs w:val="24"/>
        </w:rPr>
      </w:pPr>
    </w:p>
    <w:p w14:paraId="000EDD5A" w14:textId="229241D3" w:rsidR="004305C4" w:rsidRPr="00817D66" w:rsidRDefault="004305C4" w:rsidP="00817D66">
      <w:pPr>
        <w:pStyle w:val="Heading6"/>
      </w:pPr>
      <w:bookmarkStart w:id="322" w:name="_Toc12950601"/>
      <w:bookmarkStart w:id="323" w:name="_Toc13076959"/>
      <w:r w:rsidRPr="00817D66">
        <w:t>Table 1a: Levofloxacin</w:t>
      </w:r>
      <w:bookmarkEnd w:id="322"/>
      <w:bookmarkEnd w:id="323"/>
    </w:p>
    <w:tbl>
      <w:tblPr>
        <w:tblStyle w:val="TableGrid"/>
        <w:tblW w:w="4279" w:type="pct"/>
        <w:tblInd w:w="988" w:type="dxa"/>
        <w:tblLook w:val="04A0" w:firstRow="1" w:lastRow="0" w:firstColumn="1" w:lastColumn="0" w:noHBand="0" w:noVBand="1"/>
      </w:tblPr>
      <w:tblGrid>
        <w:gridCol w:w="1237"/>
        <w:gridCol w:w="1380"/>
        <w:gridCol w:w="3388"/>
        <w:gridCol w:w="1712"/>
      </w:tblGrid>
      <w:tr w:rsidR="004305C4" w:rsidRPr="00C072C0" w14:paraId="770B064E" w14:textId="77777777" w:rsidTr="00FB1DBA">
        <w:trPr>
          <w:trHeight w:val="843"/>
        </w:trPr>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554E6324" w14:textId="5A4BB3B0" w:rsidR="004305C4" w:rsidRPr="00C072C0" w:rsidRDefault="004305C4" w:rsidP="00727AA7">
            <w:pPr>
              <w:jc w:val="center"/>
              <w:rPr>
                <w:rFonts w:asciiTheme="minorHAnsi" w:hAnsiTheme="minorHAnsi" w:cstheme="minorHAnsi"/>
                <w:b/>
                <w:color w:val="000000" w:themeColor="text1"/>
                <w:sz w:val="20"/>
                <w:szCs w:val="24"/>
              </w:rPr>
            </w:pPr>
            <w:r w:rsidRPr="00C072C0">
              <w:rPr>
                <w:rFonts w:asciiTheme="minorHAnsi" w:hAnsiTheme="minorHAnsi" w:cstheme="minorHAnsi"/>
                <w:b/>
                <w:color w:val="000000" w:themeColor="text1"/>
                <w:sz w:val="20"/>
                <w:szCs w:val="24"/>
              </w:rPr>
              <w:t>Levofloxacin 100</w:t>
            </w:r>
            <w:r w:rsidR="006C529B">
              <w:rPr>
                <w:rFonts w:asciiTheme="minorHAnsi" w:hAnsiTheme="minorHAnsi" w:cstheme="minorHAnsi"/>
                <w:b/>
                <w:color w:val="000000" w:themeColor="text1"/>
                <w:sz w:val="20"/>
                <w:szCs w:val="24"/>
              </w:rPr>
              <w:t xml:space="preserve"> </w:t>
            </w:r>
            <w:r w:rsidRPr="00C072C0">
              <w:rPr>
                <w:rFonts w:asciiTheme="minorHAnsi" w:hAnsiTheme="minorHAnsi" w:cstheme="minorHAnsi"/>
                <w:b/>
                <w:color w:val="000000" w:themeColor="text1"/>
                <w:sz w:val="20"/>
                <w:szCs w:val="24"/>
              </w:rPr>
              <w:t>mg scored, dispersible tablets</w:t>
            </w:r>
          </w:p>
          <w:p w14:paraId="3B3E44AE" w14:textId="22B6CFB9" w:rsidR="004305C4" w:rsidRPr="00C072C0" w:rsidRDefault="004305C4" w:rsidP="00727AA7">
            <w:pPr>
              <w:jc w:val="center"/>
              <w:rPr>
                <w:rFonts w:asciiTheme="minorHAnsi" w:hAnsiTheme="minorHAnsi" w:cstheme="minorHAnsi"/>
                <w:color w:val="000000" w:themeColor="text1"/>
                <w:sz w:val="20"/>
                <w:szCs w:val="24"/>
              </w:rPr>
            </w:pPr>
            <w:r w:rsidRPr="00C072C0">
              <w:rPr>
                <w:rFonts w:asciiTheme="minorHAnsi" w:hAnsiTheme="minorHAnsi" w:cstheme="minorHAnsi"/>
                <w:color w:val="000000" w:themeColor="text1"/>
                <w:sz w:val="20"/>
                <w:szCs w:val="24"/>
              </w:rPr>
              <w:t>Recommended dosing: 15-20</w:t>
            </w:r>
            <w:r w:rsidR="006C529B">
              <w:rPr>
                <w:rFonts w:asciiTheme="minorHAnsi" w:hAnsiTheme="minorHAnsi" w:cstheme="minorHAnsi"/>
                <w:color w:val="000000" w:themeColor="text1"/>
                <w:sz w:val="20"/>
                <w:szCs w:val="24"/>
              </w:rPr>
              <w:t xml:space="preserve"> </w:t>
            </w:r>
            <w:r w:rsidRPr="00C072C0">
              <w:rPr>
                <w:rFonts w:asciiTheme="minorHAnsi" w:hAnsiTheme="minorHAnsi" w:cstheme="minorHAnsi"/>
                <w:color w:val="000000" w:themeColor="text1"/>
                <w:sz w:val="20"/>
                <w:szCs w:val="24"/>
              </w:rPr>
              <w:t>mg/kg/day</w:t>
            </w:r>
          </w:p>
          <w:p w14:paraId="5EDD9E33" w14:textId="77777777" w:rsidR="004305C4" w:rsidRPr="00C072C0" w:rsidRDefault="004305C4" w:rsidP="00727AA7">
            <w:pPr>
              <w:jc w:val="center"/>
              <w:rPr>
                <w:rFonts w:asciiTheme="minorHAnsi" w:hAnsiTheme="minorHAnsi" w:cstheme="minorHAnsi"/>
                <w:b/>
                <w:color w:val="000000" w:themeColor="text1"/>
                <w:sz w:val="20"/>
                <w:szCs w:val="20"/>
              </w:rPr>
            </w:pPr>
            <w:r w:rsidRPr="00C072C0">
              <w:rPr>
                <w:rFonts w:asciiTheme="minorHAnsi" w:hAnsiTheme="minorHAnsi" w:cstheme="minorHAnsi"/>
                <w:color w:val="000000" w:themeColor="text1"/>
                <w:sz w:val="20"/>
                <w:szCs w:val="24"/>
              </w:rPr>
              <w:t>Weight-based dosing</w:t>
            </w:r>
          </w:p>
        </w:tc>
      </w:tr>
      <w:tr w:rsidR="004305C4" w:rsidRPr="00C072C0" w14:paraId="369186BD" w14:textId="77777777" w:rsidTr="00727AA7">
        <w:trPr>
          <w:trHeight w:val="277"/>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DE13B" w14:textId="77777777" w:rsidR="004305C4" w:rsidRPr="00C072C0" w:rsidRDefault="004305C4" w:rsidP="00727AA7">
            <w:pPr>
              <w:jc w:val="center"/>
              <w:rPr>
                <w:rFonts w:asciiTheme="minorHAnsi" w:hAnsiTheme="minorHAnsi" w:cstheme="minorHAnsi"/>
                <w:b/>
                <w:color w:val="000000" w:themeColor="text1"/>
                <w:sz w:val="20"/>
                <w:szCs w:val="20"/>
              </w:rPr>
            </w:pPr>
            <w:r w:rsidRPr="00C072C0">
              <w:rPr>
                <w:rFonts w:asciiTheme="minorHAnsi" w:hAnsiTheme="minorHAnsi" w:cstheme="minorHAnsi"/>
                <w:b/>
                <w:color w:val="000000" w:themeColor="text1"/>
                <w:sz w:val="20"/>
                <w:szCs w:val="20"/>
              </w:rPr>
              <w:t>Weight Band (kg)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B6A13A" w14:textId="77777777" w:rsidR="004305C4" w:rsidRPr="00C072C0" w:rsidRDefault="004305C4" w:rsidP="00727AA7">
            <w:pPr>
              <w:jc w:val="center"/>
              <w:rPr>
                <w:rFonts w:asciiTheme="minorHAnsi" w:hAnsiTheme="minorHAnsi" w:cstheme="minorHAnsi"/>
                <w:b/>
                <w:color w:val="000000" w:themeColor="text1"/>
                <w:sz w:val="20"/>
                <w:szCs w:val="20"/>
              </w:rPr>
            </w:pPr>
            <w:r w:rsidRPr="00C072C0">
              <w:rPr>
                <w:rFonts w:asciiTheme="minorHAnsi" w:hAnsiTheme="minorHAnsi" w:cstheme="minorHAnsi"/>
                <w:b/>
                <w:color w:val="000000" w:themeColor="text1"/>
                <w:sz w:val="20"/>
                <w:szCs w:val="20"/>
              </w:rPr>
              <w:t>Dose</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53ED3D" w14:textId="25394BB8" w:rsidR="004305C4" w:rsidRPr="00C072C0" w:rsidRDefault="004305C4" w:rsidP="00727AA7">
            <w:pPr>
              <w:jc w:val="center"/>
              <w:rPr>
                <w:rFonts w:asciiTheme="minorHAnsi" w:hAnsiTheme="minorHAnsi" w:cstheme="minorHAnsi"/>
                <w:b/>
                <w:color w:val="000000" w:themeColor="text1"/>
                <w:sz w:val="20"/>
                <w:szCs w:val="20"/>
              </w:rPr>
            </w:pPr>
            <w:r w:rsidRPr="00C072C0">
              <w:rPr>
                <w:rFonts w:asciiTheme="minorHAnsi" w:hAnsiTheme="minorHAnsi" w:cstheme="minorHAnsi"/>
                <w:b/>
                <w:color w:val="000000" w:themeColor="text1"/>
                <w:sz w:val="20"/>
                <w:szCs w:val="20"/>
              </w:rPr>
              <w:t>Number of 100</w:t>
            </w:r>
            <w:r w:rsidR="006C529B">
              <w:rPr>
                <w:rFonts w:asciiTheme="minorHAnsi" w:hAnsiTheme="minorHAnsi" w:cstheme="minorHAnsi"/>
                <w:b/>
                <w:color w:val="000000" w:themeColor="text1"/>
                <w:sz w:val="20"/>
                <w:szCs w:val="20"/>
              </w:rPr>
              <w:t xml:space="preserve"> </w:t>
            </w:r>
            <w:r w:rsidRPr="00C072C0">
              <w:rPr>
                <w:rFonts w:asciiTheme="minorHAnsi" w:hAnsiTheme="minorHAnsi" w:cstheme="minorHAnsi"/>
                <w:b/>
                <w:color w:val="000000" w:themeColor="text1"/>
                <w:sz w:val="20"/>
                <w:szCs w:val="20"/>
              </w:rPr>
              <w:t>mg tablets</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C0F55B" w14:textId="77777777" w:rsidR="004305C4" w:rsidRPr="00C072C0" w:rsidRDefault="004305C4" w:rsidP="00727AA7">
            <w:pPr>
              <w:jc w:val="center"/>
              <w:rPr>
                <w:rFonts w:asciiTheme="minorHAnsi" w:hAnsiTheme="minorHAnsi" w:cstheme="minorHAnsi"/>
                <w:b/>
                <w:color w:val="000000" w:themeColor="text1"/>
                <w:sz w:val="20"/>
                <w:szCs w:val="20"/>
              </w:rPr>
            </w:pPr>
            <w:r w:rsidRPr="00C072C0">
              <w:rPr>
                <w:rFonts w:asciiTheme="minorHAnsi" w:hAnsiTheme="minorHAnsi" w:cstheme="minorHAnsi"/>
                <w:b/>
                <w:color w:val="000000" w:themeColor="text1"/>
                <w:sz w:val="20"/>
                <w:szCs w:val="20"/>
              </w:rPr>
              <w:t>Number of 250 mg tablets</w:t>
            </w:r>
          </w:p>
        </w:tc>
      </w:tr>
      <w:tr w:rsidR="004305C4" w:rsidRPr="00C072C0" w14:paraId="11F941E6" w14:textId="77777777" w:rsidTr="00727AA7">
        <w:trPr>
          <w:trHeight w:val="555"/>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EAE2F8" w14:textId="221A9116"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12038F" w14:textId="703CB82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1F5905" w14:textId="3788F951"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Mix 100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 tablet in 10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ml of water and administer 2</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ml of mixture immediately</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A6E704"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w:t>
            </w:r>
          </w:p>
        </w:tc>
      </w:tr>
      <w:tr w:rsidR="004305C4" w:rsidRPr="00C072C0" w14:paraId="150C46E6" w14:textId="77777777" w:rsidTr="00727AA7">
        <w:trPr>
          <w:trHeight w:val="566"/>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61C5EF" w14:textId="1CD1762A"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F33034" w14:textId="2AAEE5A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40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CEE37" w14:textId="0F77B368"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Mix 100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 tablet in 10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ml of water and administer 4</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ml of mixture immediately</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B9E14"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w:t>
            </w:r>
          </w:p>
        </w:tc>
      </w:tr>
      <w:tr w:rsidR="004305C4" w:rsidRPr="00C072C0" w14:paraId="00EF635A" w14:textId="77777777" w:rsidTr="00727AA7">
        <w:trPr>
          <w:trHeight w:val="277"/>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08B309" w14:textId="7E2A451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3</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C90CB4" w14:textId="36A978EB"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50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F92436"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0.5</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F2F1D"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w:t>
            </w:r>
          </w:p>
        </w:tc>
      </w:tr>
      <w:tr w:rsidR="004305C4" w:rsidRPr="00C072C0" w14:paraId="5D7C5682" w14:textId="77777777" w:rsidTr="00727AA7">
        <w:trPr>
          <w:trHeight w:val="289"/>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311D0" w14:textId="1E90A910"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4-6</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8F5984" w14:textId="2EB28E8D"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100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69F333"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3A1A0"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0.5</w:t>
            </w:r>
          </w:p>
        </w:tc>
      </w:tr>
      <w:tr w:rsidR="004305C4" w:rsidRPr="00C072C0" w14:paraId="6159A4BF" w14:textId="77777777" w:rsidTr="00727AA7">
        <w:trPr>
          <w:trHeight w:val="289"/>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0F9BD6" w14:textId="0D017F0D"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7-9</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DA15B8"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150 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7FF76F"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1.5</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40AA8"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0.5</w:t>
            </w:r>
          </w:p>
        </w:tc>
      </w:tr>
      <w:tr w:rsidR="004305C4" w:rsidRPr="00C072C0" w14:paraId="2DFAAF9A" w14:textId="77777777" w:rsidTr="00727AA7">
        <w:trPr>
          <w:trHeight w:val="289"/>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122BCC" w14:textId="0D73BE43"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10-12</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706FB" w14:textId="2C56CE15"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200-250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4384CE"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2.0 to 2.5</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4AA076"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w:t>
            </w:r>
          </w:p>
        </w:tc>
      </w:tr>
      <w:tr w:rsidR="004305C4" w:rsidRPr="00C072C0" w14:paraId="27151BF7" w14:textId="77777777" w:rsidTr="00727AA7">
        <w:trPr>
          <w:trHeight w:val="277"/>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2F6D88" w14:textId="192CC8E2"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13-15</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89B1EF" w14:textId="662343FE"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300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7BC1CA"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3</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6436A"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1-1.5</w:t>
            </w:r>
          </w:p>
        </w:tc>
      </w:tr>
      <w:tr w:rsidR="004305C4" w:rsidRPr="00C072C0" w14:paraId="4B8248A4" w14:textId="77777777" w:rsidTr="00727AA7">
        <w:trPr>
          <w:trHeight w:val="277"/>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DEA021" w14:textId="71F44275"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16-18</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B2042E" w14:textId="42A684E1"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300-350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72BA9"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3-3.5</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32A8CA"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1.5</w:t>
            </w:r>
          </w:p>
        </w:tc>
      </w:tr>
      <w:tr w:rsidR="004305C4" w:rsidRPr="00C072C0" w14:paraId="242F886B" w14:textId="77777777" w:rsidTr="00727AA7">
        <w:trPr>
          <w:trHeight w:val="289"/>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298DC6" w14:textId="094487AE"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19-20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30C8BC" w14:textId="2515CCD1"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400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91AC0A"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4</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81CA03"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1.5</w:t>
            </w:r>
          </w:p>
        </w:tc>
      </w:tr>
      <w:tr w:rsidR="004305C4" w:rsidRPr="00C072C0" w14:paraId="5869596E" w14:textId="77777777" w:rsidTr="00727AA7">
        <w:trPr>
          <w:trHeight w:val="289"/>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91349B" w14:textId="505F4704"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21-23</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9BFFF1" w14:textId="72343D2A"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400-450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68E08"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4-4.5</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737557"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w:t>
            </w:r>
          </w:p>
        </w:tc>
      </w:tr>
      <w:tr w:rsidR="004305C4" w:rsidRPr="00C072C0" w14:paraId="34578594" w14:textId="77777777" w:rsidTr="00727AA7">
        <w:trPr>
          <w:trHeight w:val="289"/>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98C519"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24-25 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CE3EC0" w14:textId="591B76DB"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500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4A3074"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5</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31B0C6"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w:t>
            </w:r>
          </w:p>
        </w:tc>
      </w:tr>
      <w:tr w:rsidR="004305C4" w:rsidRPr="00C072C0" w14:paraId="49FFCDA4" w14:textId="77777777" w:rsidTr="00727AA7">
        <w:trPr>
          <w:trHeight w:val="289"/>
        </w:trPr>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AC5CF4" w14:textId="0DABA07B"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26-35</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kg</w:t>
            </w: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76BC7B" w14:textId="0C3837E6"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750</w:t>
            </w:r>
            <w:r w:rsidR="006C529B">
              <w:rPr>
                <w:rFonts w:asciiTheme="minorHAnsi" w:hAnsiTheme="minorHAnsi" w:cstheme="minorHAnsi"/>
                <w:color w:val="000000" w:themeColor="text1"/>
                <w:sz w:val="20"/>
                <w:szCs w:val="20"/>
              </w:rPr>
              <w:t xml:space="preserve"> </w:t>
            </w:r>
            <w:r w:rsidRPr="00C072C0">
              <w:rPr>
                <w:rFonts w:asciiTheme="minorHAnsi" w:hAnsiTheme="minorHAnsi" w:cstheme="minorHAnsi"/>
                <w:color w:val="000000" w:themeColor="text1"/>
                <w:sz w:val="20"/>
                <w:szCs w:val="20"/>
              </w:rPr>
              <w:t>mg</w:t>
            </w: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98B3C"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w:t>
            </w: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CF3A64" w14:textId="77777777" w:rsidR="004305C4" w:rsidRPr="00C072C0" w:rsidRDefault="004305C4" w:rsidP="00727AA7">
            <w:pPr>
              <w:jc w:val="center"/>
              <w:rPr>
                <w:rFonts w:asciiTheme="minorHAnsi" w:hAnsiTheme="minorHAnsi" w:cstheme="minorHAnsi"/>
                <w:color w:val="000000" w:themeColor="text1"/>
                <w:sz w:val="20"/>
                <w:szCs w:val="20"/>
              </w:rPr>
            </w:pPr>
            <w:r w:rsidRPr="00C072C0">
              <w:rPr>
                <w:rFonts w:asciiTheme="minorHAnsi" w:hAnsiTheme="minorHAnsi" w:cstheme="minorHAnsi"/>
                <w:color w:val="000000" w:themeColor="text1"/>
                <w:sz w:val="20"/>
                <w:szCs w:val="20"/>
              </w:rPr>
              <w:t>3</w:t>
            </w:r>
          </w:p>
        </w:tc>
      </w:tr>
      <w:tr w:rsidR="004305C4" w:rsidRPr="00C072C0" w14:paraId="56E03DB2" w14:textId="77777777" w:rsidTr="00727AA7">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0F912" w14:textId="77777777" w:rsidR="004305C4" w:rsidRPr="00C072C0" w:rsidRDefault="004305C4" w:rsidP="00727AA7">
            <w:pPr>
              <w:jc w:val="center"/>
              <w:rPr>
                <w:rFonts w:asciiTheme="minorHAnsi" w:hAnsiTheme="minorHAnsi" w:cstheme="minorHAnsi"/>
                <w:color w:val="000000" w:themeColor="text1"/>
                <w:sz w:val="20"/>
                <w:szCs w:val="20"/>
              </w:rPr>
            </w:pP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E02857" w14:textId="77777777" w:rsidR="004305C4" w:rsidRPr="00C072C0" w:rsidRDefault="004305C4" w:rsidP="00727AA7">
            <w:pPr>
              <w:jc w:val="center"/>
              <w:rPr>
                <w:rFonts w:asciiTheme="minorHAnsi" w:hAnsiTheme="minorHAnsi" w:cstheme="minorHAnsi"/>
                <w:color w:val="000000" w:themeColor="text1"/>
                <w:sz w:val="20"/>
                <w:szCs w:val="20"/>
              </w:rPr>
            </w:pP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7874BD" w14:textId="77777777" w:rsidR="004305C4" w:rsidRPr="00C072C0" w:rsidRDefault="004305C4" w:rsidP="00727AA7">
            <w:pPr>
              <w:jc w:val="center"/>
              <w:rPr>
                <w:rFonts w:asciiTheme="minorHAnsi" w:hAnsiTheme="minorHAnsi" w:cstheme="minorHAnsi"/>
                <w:color w:val="000000" w:themeColor="text1"/>
                <w:sz w:val="20"/>
                <w:szCs w:val="20"/>
              </w:rPr>
            </w:pP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23361F" w14:textId="77777777" w:rsidR="004305C4" w:rsidRPr="00C072C0" w:rsidRDefault="004305C4" w:rsidP="00727AA7">
            <w:pPr>
              <w:jc w:val="center"/>
              <w:rPr>
                <w:rFonts w:asciiTheme="minorHAnsi" w:hAnsiTheme="minorHAnsi" w:cstheme="minorHAnsi"/>
                <w:color w:val="000000" w:themeColor="text1"/>
                <w:sz w:val="20"/>
                <w:szCs w:val="20"/>
              </w:rPr>
            </w:pPr>
          </w:p>
        </w:tc>
      </w:tr>
      <w:tr w:rsidR="004305C4" w:rsidRPr="00C072C0" w14:paraId="317430E6" w14:textId="77777777" w:rsidTr="00727AA7">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BA802" w14:textId="77777777" w:rsidR="004305C4" w:rsidRPr="00C072C0" w:rsidRDefault="004305C4" w:rsidP="00727AA7">
            <w:pPr>
              <w:jc w:val="center"/>
              <w:rPr>
                <w:rFonts w:asciiTheme="minorHAnsi" w:hAnsiTheme="minorHAnsi" w:cstheme="minorHAnsi"/>
                <w:color w:val="000000" w:themeColor="text1"/>
                <w:sz w:val="20"/>
                <w:szCs w:val="20"/>
              </w:rPr>
            </w:pP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94678" w14:textId="77777777" w:rsidR="004305C4" w:rsidRPr="00C072C0" w:rsidRDefault="004305C4" w:rsidP="00727AA7">
            <w:pPr>
              <w:jc w:val="center"/>
              <w:rPr>
                <w:rFonts w:asciiTheme="minorHAnsi" w:hAnsiTheme="minorHAnsi" w:cstheme="minorHAnsi"/>
                <w:color w:val="000000" w:themeColor="text1"/>
                <w:sz w:val="20"/>
                <w:szCs w:val="20"/>
              </w:rPr>
            </w:pP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F1393E" w14:textId="77777777" w:rsidR="004305C4" w:rsidRPr="00C072C0" w:rsidRDefault="004305C4" w:rsidP="00727AA7">
            <w:pPr>
              <w:jc w:val="center"/>
              <w:rPr>
                <w:rFonts w:asciiTheme="minorHAnsi" w:hAnsiTheme="minorHAnsi" w:cstheme="minorHAnsi"/>
                <w:color w:val="000000" w:themeColor="text1"/>
                <w:sz w:val="20"/>
                <w:szCs w:val="20"/>
              </w:rPr>
            </w:pP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2DDC96" w14:textId="77777777" w:rsidR="004305C4" w:rsidRPr="00C072C0" w:rsidRDefault="004305C4" w:rsidP="00727AA7">
            <w:pPr>
              <w:jc w:val="center"/>
              <w:rPr>
                <w:rFonts w:asciiTheme="minorHAnsi" w:hAnsiTheme="minorHAnsi" w:cstheme="minorHAnsi"/>
                <w:color w:val="000000" w:themeColor="text1"/>
                <w:sz w:val="20"/>
                <w:szCs w:val="20"/>
              </w:rPr>
            </w:pPr>
          </w:p>
        </w:tc>
      </w:tr>
      <w:tr w:rsidR="004305C4" w:rsidRPr="00C072C0" w14:paraId="11B6190C" w14:textId="77777777" w:rsidTr="00727AA7">
        <w:tc>
          <w:tcPr>
            <w:tcW w:w="8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84A931" w14:textId="77777777" w:rsidR="004305C4" w:rsidRPr="00C072C0" w:rsidRDefault="004305C4" w:rsidP="00727AA7">
            <w:pPr>
              <w:jc w:val="center"/>
              <w:rPr>
                <w:rFonts w:asciiTheme="minorHAnsi" w:hAnsiTheme="minorHAnsi" w:cstheme="minorHAnsi"/>
                <w:color w:val="000000" w:themeColor="text1"/>
                <w:sz w:val="20"/>
                <w:szCs w:val="20"/>
              </w:rPr>
            </w:pPr>
          </w:p>
        </w:tc>
        <w:tc>
          <w:tcPr>
            <w:tcW w:w="8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5B9B22" w14:textId="77777777" w:rsidR="004305C4" w:rsidRPr="00C072C0" w:rsidRDefault="004305C4" w:rsidP="00727AA7">
            <w:pPr>
              <w:jc w:val="center"/>
              <w:rPr>
                <w:rFonts w:asciiTheme="minorHAnsi" w:hAnsiTheme="minorHAnsi" w:cstheme="minorHAnsi"/>
                <w:color w:val="000000" w:themeColor="text1"/>
                <w:sz w:val="20"/>
                <w:szCs w:val="20"/>
              </w:rPr>
            </w:pPr>
          </w:p>
        </w:tc>
        <w:tc>
          <w:tcPr>
            <w:tcW w:w="21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5B5B7D" w14:textId="77777777" w:rsidR="004305C4" w:rsidRPr="00C072C0" w:rsidRDefault="004305C4" w:rsidP="00727AA7">
            <w:pPr>
              <w:jc w:val="center"/>
              <w:rPr>
                <w:rFonts w:asciiTheme="minorHAnsi" w:hAnsiTheme="minorHAnsi" w:cstheme="minorHAnsi"/>
                <w:color w:val="000000" w:themeColor="text1"/>
                <w:sz w:val="20"/>
                <w:szCs w:val="20"/>
              </w:rPr>
            </w:pPr>
          </w:p>
        </w:tc>
        <w:tc>
          <w:tcPr>
            <w:tcW w:w="110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1B915" w14:textId="77777777" w:rsidR="004305C4" w:rsidRPr="00C072C0" w:rsidRDefault="004305C4" w:rsidP="00727AA7">
            <w:pPr>
              <w:jc w:val="center"/>
              <w:rPr>
                <w:rFonts w:asciiTheme="minorHAnsi" w:hAnsiTheme="minorHAnsi" w:cstheme="minorHAnsi"/>
                <w:color w:val="000000" w:themeColor="text1"/>
                <w:sz w:val="20"/>
                <w:szCs w:val="20"/>
              </w:rPr>
            </w:pPr>
          </w:p>
        </w:tc>
      </w:tr>
    </w:tbl>
    <w:p w14:paraId="11EBA09A" w14:textId="77777777" w:rsidR="004305C4" w:rsidRPr="00B85017" w:rsidRDefault="004305C4" w:rsidP="004305C4">
      <w:pPr>
        <w:rPr>
          <w:color w:val="000000" w:themeColor="text1"/>
        </w:rPr>
      </w:pPr>
    </w:p>
    <w:p w14:paraId="177CF31D" w14:textId="5FF40AC6" w:rsidR="004305C4" w:rsidRPr="00B85017" w:rsidRDefault="004305C4" w:rsidP="004305C4">
      <w:pPr>
        <w:rPr>
          <w:color w:val="000000" w:themeColor="text1"/>
        </w:rPr>
      </w:pPr>
    </w:p>
    <w:p w14:paraId="763D839C" w14:textId="23EB9931" w:rsidR="004305C4" w:rsidRPr="00B85017" w:rsidRDefault="004305C4" w:rsidP="00CE10C2">
      <w:pPr>
        <w:pStyle w:val="Heading6"/>
      </w:pPr>
      <w:bookmarkStart w:id="324" w:name="_Toc12950602"/>
      <w:bookmarkStart w:id="325" w:name="_Toc13076960"/>
      <w:r w:rsidRPr="00B85017">
        <w:t>Table 1b: Moxifloxacin</w:t>
      </w:r>
      <w:bookmarkEnd w:id="324"/>
      <w:bookmarkEnd w:id="325"/>
    </w:p>
    <w:tbl>
      <w:tblPr>
        <w:tblStyle w:val="TableGrid"/>
        <w:tblW w:w="0" w:type="auto"/>
        <w:tblInd w:w="988" w:type="dxa"/>
        <w:tblLook w:val="04A0" w:firstRow="1" w:lastRow="0" w:firstColumn="1" w:lastColumn="0" w:noHBand="0" w:noVBand="1"/>
      </w:tblPr>
      <w:tblGrid>
        <w:gridCol w:w="1099"/>
        <w:gridCol w:w="1116"/>
        <w:gridCol w:w="2656"/>
        <w:gridCol w:w="3158"/>
      </w:tblGrid>
      <w:tr w:rsidR="004305C4" w:rsidRPr="006C529B" w14:paraId="3ECE79E3" w14:textId="77777777" w:rsidTr="00FB1DBA">
        <w:tc>
          <w:tcPr>
            <w:tcW w:w="1077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30EF0058" w14:textId="77777777" w:rsidR="004305C4" w:rsidRPr="006C529B" w:rsidRDefault="004305C4" w:rsidP="00727AA7">
            <w:pPr>
              <w:jc w:val="center"/>
              <w:rPr>
                <w:rFonts w:asciiTheme="minorHAnsi" w:hAnsiTheme="minorHAnsi" w:cstheme="minorHAnsi"/>
                <w:b/>
                <w:color w:val="000000" w:themeColor="text1"/>
                <w:sz w:val="20"/>
              </w:rPr>
            </w:pPr>
            <w:r w:rsidRPr="006C529B">
              <w:rPr>
                <w:rFonts w:asciiTheme="minorHAnsi" w:hAnsiTheme="minorHAnsi" w:cstheme="minorHAnsi"/>
                <w:color w:val="000000" w:themeColor="text1"/>
              </w:rPr>
              <w:br w:type="page"/>
            </w:r>
            <w:r w:rsidRPr="006C529B">
              <w:rPr>
                <w:rFonts w:asciiTheme="minorHAnsi" w:hAnsiTheme="minorHAnsi" w:cstheme="minorHAnsi"/>
                <w:b/>
                <w:color w:val="000000" w:themeColor="text1"/>
                <w:sz w:val="20"/>
              </w:rPr>
              <w:t>Moxifloxacin</w:t>
            </w:r>
          </w:p>
          <w:p w14:paraId="5BECEF6E" w14:textId="63C52248" w:rsidR="004305C4" w:rsidRPr="006C529B" w:rsidRDefault="004305C4" w:rsidP="00727AA7">
            <w:pPr>
              <w:jc w:val="center"/>
              <w:rPr>
                <w:rFonts w:asciiTheme="minorHAnsi" w:hAnsiTheme="minorHAnsi" w:cstheme="minorHAnsi"/>
                <w:color w:val="000000" w:themeColor="text1"/>
                <w:sz w:val="20"/>
              </w:rPr>
            </w:pPr>
            <w:r w:rsidRPr="006C529B">
              <w:rPr>
                <w:rFonts w:asciiTheme="minorHAnsi" w:hAnsiTheme="minorHAnsi" w:cstheme="minorHAnsi"/>
                <w:color w:val="000000" w:themeColor="text1"/>
                <w:sz w:val="20"/>
              </w:rPr>
              <w:t>Recommended dosing: 10-15</w:t>
            </w:r>
            <w:r w:rsidR="006C529B">
              <w:rPr>
                <w:rFonts w:asciiTheme="minorHAnsi" w:hAnsiTheme="minorHAnsi" w:cstheme="minorHAnsi"/>
                <w:color w:val="000000" w:themeColor="text1"/>
                <w:sz w:val="20"/>
              </w:rPr>
              <w:t xml:space="preserve"> </w:t>
            </w:r>
            <w:r w:rsidRPr="006C529B">
              <w:rPr>
                <w:rFonts w:asciiTheme="minorHAnsi" w:hAnsiTheme="minorHAnsi" w:cstheme="minorHAnsi"/>
                <w:color w:val="000000" w:themeColor="text1"/>
                <w:sz w:val="20"/>
              </w:rPr>
              <w:t>mg/kg/day</w:t>
            </w:r>
          </w:p>
          <w:p w14:paraId="2BAA4965" w14:textId="77777777" w:rsidR="004305C4" w:rsidRPr="006C529B" w:rsidRDefault="004305C4" w:rsidP="00727AA7">
            <w:pPr>
              <w:jc w:val="center"/>
              <w:rPr>
                <w:rFonts w:asciiTheme="minorHAnsi" w:hAnsiTheme="minorHAnsi" w:cstheme="minorHAnsi"/>
                <w:b/>
                <w:color w:val="000000" w:themeColor="text1"/>
                <w:sz w:val="20"/>
                <w:szCs w:val="20"/>
              </w:rPr>
            </w:pPr>
            <w:r w:rsidRPr="006C529B">
              <w:rPr>
                <w:rFonts w:asciiTheme="minorHAnsi" w:hAnsiTheme="minorHAnsi" w:cstheme="minorHAnsi"/>
                <w:color w:val="000000" w:themeColor="text1"/>
                <w:sz w:val="20"/>
              </w:rPr>
              <w:t>Weight-based dosing</w:t>
            </w:r>
          </w:p>
        </w:tc>
      </w:tr>
      <w:tr w:rsidR="004305C4" w:rsidRPr="006C529B" w14:paraId="152C728E"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6DD46" w14:textId="3AC9BFAC" w:rsidR="004305C4" w:rsidRPr="006C529B" w:rsidRDefault="004305C4" w:rsidP="00727AA7">
            <w:pPr>
              <w:jc w:val="center"/>
              <w:rPr>
                <w:rFonts w:asciiTheme="minorHAnsi" w:hAnsiTheme="minorHAnsi" w:cstheme="minorHAnsi"/>
                <w:b/>
                <w:color w:val="000000" w:themeColor="text1"/>
                <w:sz w:val="20"/>
                <w:szCs w:val="20"/>
              </w:rPr>
            </w:pPr>
            <w:r w:rsidRPr="006C529B">
              <w:rPr>
                <w:rFonts w:asciiTheme="minorHAnsi" w:hAnsiTheme="minorHAnsi" w:cstheme="minorHAnsi"/>
                <w:b/>
                <w:color w:val="000000" w:themeColor="text1"/>
                <w:sz w:val="20"/>
                <w:szCs w:val="20"/>
              </w:rPr>
              <w:t>Weight Band (kg)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0377CE" w14:textId="77777777" w:rsidR="004305C4" w:rsidRPr="006C529B" w:rsidRDefault="004305C4" w:rsidP="00727AA7">
            <w:pPr>
              <w:jc w:val="center"/>
              <w:rPr>
                <w:rFonts w:asciiTheme="minorHAnsi" w:hAnsiTheme="minorHAnsi" w:cstheme="minorHAnsi"/>
                <w:b/>
                <w:color w:val="000000" w:themeColor="text1"/>
                <w:sz w:val="20"/>
                <w:szCs w:val="20"/>
              </w:rPr>
            </w:pPr>
            <w:r w:rsidRPr="006C529B">
              <w:rPr>
                <w:rFonts w:asciiTheme="minorHAnsi" w:hAnsiTheme="minorHAnsi" w:cstheme="minorHAnsi"/>
                <w:b/>
                <w:color w:val="000000" w:themeColor="text1"/>
                <w:sz w:val="20"/>
                <w:szCs w:val="20"/>
              </w:rPr>
              <w:t>Dose</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180E93" w14:textId="1CC1190C" w:rsidR="004305C4" w:rsidRPr="006C529B" w:rsidRDefault="004305C4" w:rsidP="00727AA7">
            <w:pPr>
              <w:jc w:val="center"/>
              <w:rPr>
                <w:rFonts w:asciiTheme="minorHAnsi" w:hAnsiTheme="minorHAnsi" w:cstheme="minorHAnsi"/>
                <w:b/>
                <w:color w:val="000000" w:themeColor="text1"/>
                <w:sz w:val="20"/>
                <w:szCs w:val="20"/>
              </w:rPr>
            </w:pPr>
            <w:r w:rsidRPr="006C529B">
              <w:rPr>
                <w:rFonts w:asciiTheme="minorHAnsi" w:hAnsiTheme="minorHAnsi" w:cstheme="minorHAnsi"/>
                <w:b/>
                <w:color w:val="000000" w:themeColor="text1"/>
                <w:sz w:val="20"/>
                <w:szCs w:val="20"/>
              </w:rPr>
              <w:t>Number of 100</w:t>
            </w:r>
            <w:r w:rsidR="006C529B">
              <w:rPr>
                <w:rFonts w:asciiTheme="minorHAnsi" w:hAnsiTheme="minorHAnsi" w:cstheme="minorHAnsi"/>
                <w:b/>
                <w:color w:val="000000" w:themeColor="text1"/>
                <w:sz w:val="20"/>
                <w:szCs w:val="20"/>
              </w:rPr>
              <w:t xml:space="preserve"> </w:t>
            </w:r>
            <w:r w:rsidRPr="006C529B">
              <w:rPr>
                <w:rFonts w:asciiTheme="minorHAnsi" w:hAnsiTheme="minorHAnsi" w:cstheme="minorHAnsi"/>
                <w:b/>
                <w:color w:val="000000" w:themeColor="text1"/>
                <w:sz w:val="20"/>
                <w:szCs w:val="20"/>
              </w:rPr>
              <w:t>mg tablets</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F3F73F" w14:textId="36EAA29F" w:rsidR="004305C4" w:rsidRPr="006C529B" w:rsidRDefault="004305C4" w:rsidP="00727AA7">
            <w:pPr>
              <w:jc w:val="center"/>
              <w:rPr>
                <w:rFonts w:asciiTheme="minorHAnsi" w:hAnsiTheme="minorHAnsi" w:cstheme="minorHAnsi"/>
                <w:b/>
                <w:color w:val="000000" w:themeColor="text1"/>
                <w:sz w:val="20"/>
                <w:szCs w:val="20"/>
              </w:rPr>
            </w:pPr>
            <w:r w:rsidRPr="006C529B">
              <w:rPr>
                <w:rFonts w:asciiTheme="minorHAnsi" w:hAnsiTheme="minorHAnsi" w:cstheme="minorHAnsi"/>
                <w:b/>
                <w:color w:val="000000" w:themeColor="text1"/>
                <w:sz w:val="20"/>
                <w:szCs w:val="20"/>
              </w:rPr>
              <w:t>Number of 400</w:t>
            </w:r>
            <w:r w:rsidR="006C529B">
              <w:rPr>
                <w:rFonts w:asciiTheme="minorHAnsi" w:hAnsiTheme="minorHAnsi" w:cstheme="minorHAnsi"/>
                <w:b/>
                <w:color w:val="000000" w:themeColor="text1"/>
                <w:sz w:val="20"/>
                <w:szCs w:val="20"/>
              </w:rPr>
              <w:t xml:space="preserve"> </w:t>
            </w:r>
            <w:r w:rsidRPr="006C529B">
              <w:rPr>
                <w:rFonts w:asciiTheme="minorHAnsi" w:hAnsiTheme="minorHAnsi" w:cstheme="minorHAnsi"/>
                <w:b/>
                <w:color w:val="000000" w:themeColor="text1"/>
                <w:sz w:val="20"/>
                <w:szCs w:val="20"/>
              </w:rPr>
              <w:t>mg tablets</w:t>
            </w:r>
          </w:p>
          <w:p w14:paraId="6360D732" w14:textId="626D8F9E" w:rsidR="004305C4" w:rsidRPr="006C529B" w:rsidRDefault="004305C4" w:rsidP="00727AA7">
            <w:pPr>
              <w:jc w:val="center"/>
              <w:rPr>
                <w:rFonts w:asciiTheme="minorHAnsi" w:hAnsiTheme="minorHAnsi" w:cstheme="minorHAnsi"/>
                <w:b/>
                <w:color w:val="000000" w:themeColor="text1"/>
                <w:sz w:val="20"/>
                <w:szCs w:val="20"/>
              </w:rPr>
            </w:pPr>
            <w:r w:rsidRPr="006C529B">
              <w:rPr>
                <w:rFonts w:asciiTheme="minorHAnsi" w:hAnsiTheme="minorHAnsi" w:cstheme="minorHAnsi"/>
                <w:b/>
                <w:color w:val="000000" w:themeColor="text1"/>
                <w:sz w:val="20"/>
                <w:szCs w:val="20"/>
              </w:rPr>
              <w:t>(dissolve in 10</w:t>
            </w:r>
            <w:r w:rsidR="006C529B">
              <w:rPr>
                <w:rFonts w:asciiTheme="minorHAnsi" w:hAnsiTheme="minorHAnsi" w:cstheme="minorHAnsi"/>
                <w:b/>
                <w:color w:val="000000" w:themeColor="text1"/>
                <w:sz w:val="20"/>
                <w:szCs w:val="20"/>
              </w:rPr>
              <w:t xml:space="preserve"> </w:t>
            </w:r>
            <w:r w:rsidRPr="006C529B">
              <w:rPr>
                <w:rFonts w:asciiTheme="minorHAnsi" w:hAnsiTheme="minorHAnsi" w:cstheme="minorHAnsi"/>
                <w:b/>
                <w:color w:val="000000" w:themeColor="text1"/>
                <w:sz w:val="20"/>
                <w:szCs w:val="20"/>
              </w:rPr>
              <w:t>ml water)</w:t>
            </w:r>
          </w:p>
        </w:tc>
      </w:tr>
      <w:tr w:rsidR="004305C4" w:rsidRPr="006C529B" w14:paraId="553F977E"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337FCF" w14:textId="202B82C8"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1</w:t>
            </w:r>
            <w:r w:rsidR="006C529B">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BB1A52" w14:textId="4044F91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10</w:t>
            </w:r>
            <w:r w:rsidR="006C529B">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ED6167" w14:textId="73C18D90"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Mix 100</w:t>
            </w:r>
            <w:r w:rsidR="006C529B">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 tablet in 10</w:t>
            </w:r>
            <w:r w:rsidR="006C529B">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 of water and administer 1</w:t>
            </w:r>
            <w:r w:rsidR="006C529B">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 of mixture immediately</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BE8D4D"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w:t>
            </w:r>
          </w:p>
        </w:tc>
      </w:tr>
      <w:tr w:rsidR="004305C4" w:rsidRPr="006C529B" w14:paraId="516C5336"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3926C" w14:textId="71191534"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2</w:t>
            </w:r>
            <w:r w:rsidR="006C529B">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34DDF3" w14:textId="03B64943"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20</w:t>
            </w:r>
            <w:r w:rsidR="006C529B">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338D44" w14:textId="5978E86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Mix 100</w:t>
            </w:r>
            <w:r w:rsidR="006C529B">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 tablet in 10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 of water and administer 2</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 of mixture immediately</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F494F"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w:t>
            </w:r>
          </w:p>
        </w:tc>
      </w:tr>
      <w:tr w:rsidR="004305C4" w:rsidRPr="006C529B" w14:paraId="28773415"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10DAB" w14:textId="0E788D9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3</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624CC" w14:textId="41DC88FC"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30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2E917C" w14:textId="27AB3A80"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Mix 100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 tablet in 10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 of water and administer 3</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 of mixture immediately</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000B0"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w:t>
            </w:r>
          </w:p>
        </w:tc>
      </w:tr>
      <w:tr w:rsidR="004305C4" w:rsidRPr="006C529B" w14:paraId="321BE1CF"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5E2CC" w14:textId="6EF018D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4-6</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AA656D" w14:textId="0BF5CFDE"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50-80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020514"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0.5-0.75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89A8C1" w14:textId="70343084"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2</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w:t>
            </w:r>
          </w:p>
        </w:tc>
      </w:tr>
      <w:tr w:rsidR="004305C4" w:rsidRPr="006C529B" w14:paraId="6A98E5E2"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B2990A" w14:textId="1D3632FD"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7-9</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A6027A" w14:textId="606ED34C"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150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B9E740"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E94F6D" w14:textId="75CEE6D8"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3</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w:t>
            </w:r>
          </w:p>
        </w:tc>
      </w:tr>
      <w:tr w:rsidR="004305C4" w:rsidRPr="006C529B" w14:paraId="2DAFDC64"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B7EE6A"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10-15 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420DC8" w14:textId="0B8F2595"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200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17911D"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26EF1B" w14:textId="0DA18353"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4</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ml</w:t>
            </w:r>
          </w:p>
        </w:tc>
      </w:tr>
      <w:tr w:rsidR="004305C4" w:rsidRPr="006C529B" w14:paraId="420558ED"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A6AC4A"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16-19 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2C630E" w14:textId="0837B17E"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300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E0F790"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86234E" w14:textId="5BA0D3F0"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0.5-.75 of a 400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 tablet</w:t>
            </w:r>
          </w:p>
        </w:tc>
      </w:tr>
      <w:tr w:rsidR="004305C4" w:rsidRPr="006C529B" w14:paraId="384D3102"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316405" w14:textId="43EF7BA0"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20-25</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D7118C" w14:textId="55667002"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400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8F9C2"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24F68"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1</w:t>
            </w:r>
          </w:p>
        </w:tc>
      </w:tr>
      <w:tr w:rsidR="004305C4" w:rsidRPr="006C529B" w14:paraId="55F5F43D" w14:textId="77777777" w:rsidTr="00727AA7">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5DE69B" w14:textId="55E3D01F"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26-35</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kg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489B9" w14:textId="1FB41579"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400</w:t>
            </w:r>
            <w:r w:rsidR="00DA6FD3">
              <w:rPr>
                <w:rFonts w:asciiTheme="minorHAnsi" w:hAnsiTheme="minorHAnsi" w:cstheme="minorHAnsi"/>
                <w:color w:val="000000" w:themeColor="text1"/>
                <w:sz w:val="20"/>
                <w:szCs w:val="20"/>
              </w:rPr>
              <w:t xml:space="preserve"> </w:t>
            </w:r>
            <w:r w:rsidRPr="006C529B">
              <w:rPr>
                <w:rFonts w:asciiTheme="minorHAnsi" w:hAnsiTheme="minorHAnsi" w:cstheme="minorHAnsi"/>
                <w:color w:val="000000" w:themeColor="text1"/>
                <w:sz w:val="20"/>
                <w:szCs w:val="20"/>
              </w:rPr>
              <w:t>mg</w:t>
            </w:r>
          </w:p>
        </w:tc>
        <w:tc>
          <w:tcPr>
            <w:tcW w:w="3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0447A3"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3D125B" w14:textId="77777777" w:rsidR="004305C4" w:rsidRPr="006C529B" w:rsidRDefault="004305C4" w:rsidP="00727AA7">
            <w:pPr>
              <w:jc w:val="center"/>
              <w:rPr>
                <w:rFonts w:asciiTheme="minorHAnsi" w:hAnsiTheme="minorHAnsi" w:cstheme="minorHAnsi"/>
                <w:color w:val="000000" w:themeColor="text1"/>
                <w:sz w:val="20"/>
                <w:szCs w:val="20"/>
              </w:rPr>
            </w:pPr>
            <w:r w:rsidRPr="006C529B">
              <w:rPr>
                <w:rFonts w:asciiTheme="minorHAnsi" w:hAnsiTheme="minorHAnsi" w:cstheme="minorHAnsi"/>
                <w:color w:val="000000" w:themeColor="text1"/>
                <w:sz w:val="20"/>
                <w:szCs w:val="20"/>
              </w:rPr>
              <w:t>1</w:t>
            </w:r>
          </w:p>
        </w:tc>
      </w:tr>
    </w:tbl>
    <w:p w14:paraId="57A7B76D" w14:textId="2DF54A11" w:rsidR="004305C4" w:rsidRPr="00B85017" w:rsidRDefault="004305C4" w:rsidP="004305C4">
      <w:pPr>
        <w:rPr>
          <w:color w:val="000000" w:themeColor="text1"/>
        </w:rPr>
      </w:pPr>
    </w:p>
    <w:p w14:paraId="36273ECD" w14:textId="77777777" w:rsidR="004305C4" w:rsidRPr="00B85017" w:rsidRDefault="004305C4">
      <w:pPr>
        <w:spacing w:before="0" w:after="0"/>
        <w:jc w:val="left"/>
        <w:rPr>
          <w:color w:val="000000" w:themeColor="text1"/>
        </w:rPr>
      </w:pPr>
      <w:r w:rsidRPr="00B85017">
        <w:rPr>
          <w:color w:val="000000" w:themeColor="text1"/>
        </w:rPr>
        <w:br w:type="page"/>
      </w:r>
    </w:p>
    <w:p w14:paraId="46044C70" w14:textId="77777777" w:rsidR="004305C4" w:rsidRPr="00B85017" w:rsidRDefault="004305C4" w:rsidP="004305C4">
      <w:pPr>
        <w:rPr>
          <w:color w:val="000000" w:themeColor="text1"/>
        </w:rPr>
      </w:pPr>
    </w:p>
    <w:p w14:paraId="7BB70B9A" w14:textId="2060BF86" w:rsidR="004305C4" w:rsidRPr="00B85017" w:rsidRDefault="004305C4" w:rsidP="00CE10C2">
      <w:pPr>
        <w:pStyle w:val="Heading6"/>
      </w:pPr>
      <w:bookmarkStart w:id="326" w:name="_Toc12950603"/>
      <w:bookmarkStart w:id="327" w:name="_Toc13076961"/>
      <w:r w:rsidRPr="00B85017">
        <w:t>Table 1c: Linezolid</w:t>
      </w:r>
      <w:bookmarkEnd w:id="326"/>
      <w:bookmarkEnd w:id="327"/>
    </w:p>
    <w:tbl>
      <w:tblPr>
        <w:tblStyle w:val="TableGrid"/>
        <w:tblW w:w="5187" w:type="pct"/>
        <w:tblLook w:val="04A0" w:firstRow="1" w:lastRow="0" w:firstColumn="1" w:lastColumn="0" w:noHBand="0" w:noVBand="1"/>
      </w:tblPr>
      <w:tblGrid>
        <w:gridCol w:w="1426"/>
        <w:gridCol w:w="1583"/>
        <w:gridCol w:w="3917"/>
        <w:gridCol w:w="1079"/>
        <w:gridCol w:w="1349"/>
      </w:tblGrid>
      <w:tr w:rsidR="004305C4" w:rsidRPr="002E6D3B" w14:paraId="768D5A33" w14:textId="77777777" w:rsidTr="00FB1DBA">
        <w:tc>
          <w:tcPr>
            <w:tcW w:w="5000"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3844FF98" w14:textId="77777777" w:rsidR="004305C4" w:rsidRPr="002E6D3B" w:rsidRDefault="004305C4" w:rsidP="00727AA7">
            <w:pPr>
              <w:jc w:val="center"/>
              <w:rPr>
                <w:rFonts w:asciiTheme="minorHAnsi" w:hAnsiTheme="minorHAnsi" w:cstheme="minorHAnsi"/>
                <w:b/>
                <w:color w:val="000000" w:themeColor="text1"/>
                <w:sz w:val="20"/>
              </w:rPr>
            </w:pPr>
            <w:r w:rsidRPr="002E6D3B">
              <w:rPr>
                <w:rFonts w:asciiTheme="minorHAnsi" w:hAnsiTheme="minorHAnsi" w:cstheme="minorHAnsi"/>
                <w:b/>
                <w:color w:val="000000" w:themeColor="text1"/>
                <w:sz w:val="20"/>
              </w:rPr>
              <w:t xml:space="preserve">Linezolid </w:t>
            </w:r>
          </w:p>
          <w:p w14:paraId="4A0E2C61" w14:textId="267D7BCD"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 xml:space="preserve">Dose: 10-12 mg/kg/day </w:t>
            </w:r>
            <w:r w:rsidRPr="002E6D3B">
              <w:rPr>
                <w:rFonts w:asciiTheme="minorHAnsi" w:hAnsiTheme="minorHAnsi" w:cstheme="minorHAnsi"/>
                <w:color w:val="000000" w:themeColor="text1"/>
                <w:sz w:val="20"/>
                <w:u w:val="single"/>
              </w:rPr>
              <w:t>&gt;</w:t>
            </w:r>
            <w:r w:rsidRPr="002E6D3B">
              <w:rPr>
                <w:rFonts w:asciiTheme="minorHAnsi" w:hAnsiTheme="minorHAnsi" w:cstheme="minorHAnsi"/>
                <w:color w:val="000000" w:themeColor="text1"/>
                <w:sz w:val="20"/>
              </w:rPr>
              <w:t xml:space="preserve"> 16kg; 15</w:t>
            </w:r>
            <w:r w:rsidR="002E6D3B" w:rsidRP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 xml:space="preserve">mg/kg once daily in children &lt; 16 kg </w:t>
            </w:r>
          </w:p>
          <w:p w14:paraId="1CC96DFE" w14:textId="77777777" w:rsidR="004305C4" w:rsidRPr="002E6D3B" w:rsidRDefault="004305C4" w:rsidP="00727AA7">
            <w:pPr>
              <w:jc w:val="center"/>
              <w:rPr>
                <w:rFonts w:asciiTheme="minorHAnsi" w:hAnsiTheme="minorHAnsi" w:cstheme="minorHAnsi"/>
                <w:b/>
                <w:color w:val="000000" w:themeColor="text1"/>
                <w:sz w:val="20"/>
                <w:szCs w:val="20"/>
              </w:rPr>
            </w:pPr>
            <w:r w:rsidRPr="002E6D3B">
              <w:rPr>
                <w:rFonts w:asciiTheme="minorHAnsi" w:hAnsiTheme="minorHAnsi" w:cstheme="minorHAnsi"/>
                <w:color w:val="000000" w:themeColor="text1"/>
                <w:sz w:val="20"/>
              </w:rPr>
              <w:t>Weight-based dosing</w:t>
            </w:r>
          </w:p>
        </w:tc>
      </w:tr>
      <w:tr w:rsidR="00727AA7" w:rsidRPr="002E6D3B" w14:paraId="71FB91BE"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CA47D2" w14:textId="77777777" w:rsidR="004305C4" w:rsidRPr="002E6D3B" w:rsidRDefault="004305C4" w:rsidP="00727AA7">
            <w:pPr>
              <w:jc w:val="center"/>
              <w:rPr>
                <w:rFonts w:asciiTheme="minorHAnsi" w:hAnsiTheme="minorHAnsi" w:cstheme="minorHAnsi"/>
                <w:b/>
                <w:color w:val="000000" w:themeColor="text1"/>
                <w:sz w:val="20"/>
                <w:szCs w:val="20"/>
              </w:rPr>
            </w:pPr>
            <w:r w:rsidRPr="002E6D3B">
              <w:rPr>
                <w:rFonts w:asciiTheme="minorHAnsi" w:hAnsiTheme="minorHAnsi" w:cstheme="minorHAnsi"/>
                <w:b/>
                <w:color w:val="000000" w:themeColor="text1"/>
                <w:sz w:val="20"/>
                <w:szCs w:val="20"/>
              </w:rPr>
              <w:t>Weight Band (kg)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320F58" w14:textId="77777777" w:rsidR="004305C4" w:rsidRPr="002E6D3B" w:rsidRDefault="004305C4" w:rsidP="00727AA7">
            <w:pPr>
              <w:jc w:val="center"/>
              <w:rPr>
                <w:rFonts w:asciiTheme="minorHAnsi" w:hAnsiTheme="minorHAnsi" w:cstheme="minorHAnsi"/>
                <w:b/>
                <w:color w:val="000000" w:themeColor="text1"/>
                <w:sz w:val="20"/>
                <w:szCs w:val="20"/>
              </w:rPr>
            </w:pPr>
            <w:r w:rsidRPr="002E6D3B">
              <w:rPr>
                <w:rFonts w:asciiTheme="minorHAnsi" w:hAnsiTheme="minorHAnsi" w:cstheme="minorHAnsi"/>
                <w:b/>
                <w:color w:val="000000" w:themeColor="text1"/>
                <w:sz w:val="20"/>
                <w:szCs w:val="20"/>
              </w:rPr>
              <w:t>Dose</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836475" w14:textId="37032105" w:rsidR="004305C4" w:rsidRPr="002E6D3B" w:rsidRDefault="004305C4" w:rsidP="00727AA7">
            <w:pPr>
              <w:jc w:val="center"/>
              <w:rPr>
                <w:rFonts w:asciiTheme="minorHAnsi" w:hAnsiTheme="minorHAnsi" w:cstheme="minorHAnsi"/>
                <w:b/>
                <w:color w:val="000000" w:themeColor="text1"/>
                <w:sz w:val="20"/>
                <w:szCs w:val="20"/>
              </w:rPr>
            </w:pPr>
            <w:r w:rsidRPr="002E6D3B">
              <w:rPr>
                <w:rFonts w:asciiTheme="minorHAnsi" w:hAnsiTheme="minorHAnsi" w:cstheme="minorHAnsi"/>
                <w:b/>
                <w:color w:val="000000" w:themeColor="text1"/>
                <w:sz w:val="20"/>
                <w:szCs w:val="20"/>
              </w:rPr>
              <w:t>150</w:t>
            </w:r>
            <w:r w:rsidR="002E6D3B" w:rsidRPr="002E6D3B">
              <w:rPr>
                <w:rFonts w:asciiTheme="minorHAnsi" w:hAnsiTheme="minorHAnsi" w:cstheme="minorHAnsi"/>
                <w:b/>
                <w:color w:val="000000" w:themeColor="text1"/>
                <w:sz w:val="20"/>
                <w:szCs w:val="20"/>
              </w:rPr>
              <w:t xml:space="preserve"> </w:t>
            </w:r>
            <w:r w:rsidRPr="002E6D3B">
              <w:rPr>
                <w:rFonts w:asciiTheme="minorHAnsi" w:hAnsiTheme="minorHAnsi" w:cstheme="minorHAnsi"/>
                <w:b/>
                <w:color w:val="000000" w:themeColor="text1"/>
                <w:sz w:val="20"/>
                <w:szCs w:val="20"/>
              </w:rPr>
              <w:t>mg tablets (not yet available)</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B1ACE6" w14:textId="0E16837A" w:rsidR="004305C4" w:rsidRPr="002E6D3B" w:rsidRDefault="004305C4" w:rsidP="00727AA7">
            <w:pPr>
              <w:jc w:val="center"/>
              <w:rPr>
                <w:rFonts w:asciiTheme="minorHAnsi" w:hAnsiTheme="minorHAnsi" w:cstheme="minorHAnsi"/>
                <w:b/>
                <w:color w:val="000000" w:themeColor="text1"/>
                <w:sz w:val="20"/>
                <w:szCs w:val="20"/>
              </w:rPr>
            </w:pPr>
            <w:r w:rsidRPr="002E6D3B">
              <w:rPr>
                <w:rFonts w:asciiTheme="minorHAnsi" w:hAnsiTheme="minorHAnsi" w:cstheme="minorHAnsi"/>
                <w:b/>
                <w:color w:val="000000" w:themeColor="text1"/>
                <w:sz w:val="20"/>
                <w:szCs w:val="20"/>
              </w:rPr>
              <w:t>600</w:t>
            </w:r>
            <w:r w:rsidR="002E6D3B" w:rsidRPr="002E6D3B">
              <w:rPr>
                <w:rFonts w:asciiTheme="minorHAnsi" w:hAnsiTheme="minorHAnsi" w:cstheme="minorHAnsi"/>
                <w:b/>
                <w:color w:val="000000" w:themeColor="text1"/>
                <w:sz w:val="20"/>
                <w:szCs w:val="20"/>
              </w:rPr>
              <w:t xml:space="preserve"> </w:t>
            </w:r>
            <w:r w:rsidRPr="002E6D3B">
              <w:rPr>
                <w:rFonts w:asciiTheme="minorHAnsi" w:hAnsiTheme="minorHAnsi" w:cstheme="minorHAnsi"/>
                <w:b/>
                <w:color w:val="000000" w:themeColor="text1"/>
                <w:sz w:val="20"/>
                <w:szCs w:val="20"/>
              </w:rPr>
              <w:t>mg tablet</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42EFF0" w14:textId="10BE9DD0" w:rsidR="004305C4" w:rsidRPr="002E6D3B" w:rsidRDefault="004305C4" w:rsidP="00727AA7">
            <w:pPr>
              <w:jc w:val="center"/>
              <w:rPr>
                <w:rFonts w:asciiTheme="minorHAnsi" w:hAnsiTheme="minorHAnsi" w:cstheme="minorHAnsi"/>
                <w:b/>
                <w:color w:val="000000" w:themeColor="text1"/>
                <w:sz w:val="20"/>
                <w:szCs w:val="20"/>
              </w:rPr>
            </w:pPr>
            <w:r w:rsidRPr="002E6D3B">
              <w:rPr>
                <w:rFonts w:asciiTheme="minorHAnsi" w:hAnsiTheme="minorHAnsi" w:cstheme="minorHAnsi"/>
                <w:b/>
                <w:color w:val="000000" w:themeColor="text1"/>
                <w:sz w:val="20"/>
                <w:szCs w:val="20"/>
              </w:rPr>
              <w:t>20</w:t>
            </w:r>
            <w:r w:rsidR="002E6D3B" w:rsidRPr="002E6D3B">
              <w:rPr>
                <w:rFonts w:asciiTheme="minorHAnsi" w:hAnsiTheme="minorHAnsi" w:cstheme="minorHAnsi"/>
                <w:b/>
                <w:color w:val="000000" w:themeColor="text1"/>
                <w:sz w:val="20"/>
                <w:szCs w:val="20"/>
              </w:rPr>
              <w:t xml:space="preserve"> </w:t>
            </w:r>
            <w:r w:rsidRPr="002E6D3B">
              <w:rPr>
                <w:rFonts w:asciiTheme="minorHAnsi" w:hAnsiTheme="minorHAnsi" w:cstheme="minorHAnsi"/>
                <w:b/>
                <w:color w:val="000000" w:themeColor="text1"/>
                <w:sz w:val="20"/>
                <w:szCs w:val="20"/>
              </w:rPr>
              <w:t>mg/ml suspension</w:t>
            </w:r>
          </w:p>
        </w:tc>
      </w:tr>
      <w:tr w:rsidR="00727AA7" w:rsidRPr="002E6D3B" w14:paraId="4BC945FB"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1311C5" w14:textId="7BB8FAC4"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w:t>
            </w:r>
            <w:r w:rsidR="002E6D3B" w:rsidRP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9D9434" w14:textId="2FF9CF1F"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4B3602" w14:textId="3D9B3108"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Mix 150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tablet in 15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 of water and administer 1.5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 of mixture immediately</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39729"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ACEB7" w14:textId="77777777" w:rsidR="004305C4" w:rsidRPr="002E6D3B" w:rsidRDefault="004305C4" w:rsidP="00727AA7">
            <w:pPr>
              <w:jc w:val="center"/>
              <w:rPr>
                <w:rFonts w:asciiTheme="minorHAnsi" w:hAnsiTheme="minorHAnsi" w:cstheme="minorHAnsi"/>
                <w:color w:val="000000" w:themeColor="text1"/>
                <w:sz w:val="20"/>
                <w:szCs w:val="20"/>
              </w:rPr>
            </w:pPr>
          </w:p>
        </w:tc>
      </w:tr>
      <w:tr w:rsidR="00727AA7" w:rsidRPr="002E6D3B" w14:paraId="218B050A"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8E7FA2" w14:textId="05B4DAA6"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2</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32E57" w14:textId="0634C483"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30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D573D5" w14:textId="50D376C3"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Mix 150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tablet in 15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 of water and administer 3 ml of mixture immediately</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C97D02"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D8C46" w14:textId="77777777" w:rsidR="004305C4" w:rsidRPr="002E6D3B" w:rsidRDefault="004305C4" w:rsidP="00727AA7">
            <w:pPr>
              <w:jc w:val="center"/>
              <w:rPr>
                <w:rFonts w:asciiTheme="minorHAnsi" w:hAnsiTheme="minorHAnsi" w:cstheme="minorHAnsi"/>
                <w:color w:val="000000" w:themeColor="text1"/>
                <w:sz w:val="20"/>
                <w:szCs w:val="20"/>
              </w:rPr>
            </w:pPr>
          </w:p>
        </w:tc>
      </w:tr>
      <w:tr w:rsidR="00727AA7" w:rsidRPr="002E6D3B" w14:paraId="05E8FAB0"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4D1F88" w14:textId="5B80050F"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3</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BF8883" w14:textId="594EF1B4"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45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4D6D7" w14:textId="1542A31F"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Mix 150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tablet in 15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 of water and administer 4.5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 of mixture immediately</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2DA5D"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FD69D" w14:textId="77777777" w:rsidR="004305C4" w:rsidRPr="002E6D3B" w:rsidRDefault="004305C4" w:rsidP="00727AA7">
            <w:pPr>
              <w:jc w:val="center"/>
              <w:rPr>
                <w:rFonts w:asciiTheme="minorHAnsi" w:hAnsiTheme="minorHAnsi" w:cstheme="minorHAnsi"/>
                <w:color w:val="000000" w:themeColor="text1"/>
                <w:sz w:val="20"/>
                <w:szCs w:val="20"/>
              </w:rPr>
            </w:pPr>
          </w:p>
        </w:tc>
      </w:tr>
      <w:tr w:rsidR="00727AA7" w:rsidRPr="002E6D3B" w14:paraId="692CEB68"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E5E783" w14:textId="3878A4A5"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4</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EF618E" w14:textId="07511341"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60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7E840A" w14:textId="04016AF4"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Mix 150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tablet in 15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 of water and administer 6</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 of mixture immediately</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9C4C6D"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CAE70" w14:textId="77777777" w:rsidR="004305C4" w:rsidRPr="002E6D3B" w:rsidRDefault="004305C4" w:rsidP="00727AA7">
            <w:pPr>
              <w:jc w:val="center"/>
              <w:rPr>
                <w:rFonts w:asciiTheme="minorHAnsi" w:hAnsiTheme="minorHAnsi" w:cstheme="minorHAnsi"/>
                <w:color w:val="000000" w:themeColor="text1"/>
                <w:sz w:val="20"/>
                <w:szCs w:val="20"/>
              </w:rPr>
            </w:pPr>
          </w:p>
        </w:tc>
      </w:tr>
      <w:tr w:rsidR="00727AA7" w:rsidRPr="002E6D3B" w14:paraId="1EFE548F"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4FE41F" w14:textId="4570BDE0"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EF7651" w14:textId="11310CCD"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75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9AE168" w14:textId="21C4C075"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0.5 of 150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 xml:space="preserve">mg tablet </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C646C6"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95D44C" w14:textId="141813E3"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4</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w:t>
            </w:r>
          </w:p>
        </w:tc>
      </w:tr>
      <w:tr w:rsidR="00727AA7" w:rsidRPr="002E6D3B" w14:paraId="063F43DE"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EA979" w14:textId="7ABF9499"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6</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B85149" w14:textId="22B4A712"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90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133E8E" w14:textId="75976253"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Mix 150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tablet in 15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 of water and administer 9 ml of mixture immediately</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389AF"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0.25</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D5A59D" w14:textId="4BA3EF88"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4</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w:t>
            </w:r>
          </w:p>
        </w:tc>
      </w:tr>
      <w:tr w:rsidR="00727AA7" w:rsidRPr="002E6D3B" w14:paraId="5BBFB89D"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1B483B" w14:textId="6B29051A"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7-9</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AEDC31" w14:textId="1FB5A85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75-150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423F10"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0.5-1.0 tablet</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9F493"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0.25</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A861E0" w14:textId="1707C8AE"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6</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w:t>
            </w:r>
          </w:p>
        </w:tc>
      </w:tr>
      <w:tr w:rsidR="00727AA7" w:rsidRPr="002E6D3B" w14:paraId="13075614"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1A3F51" w14:textId="20AA8218"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10-15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BEFED" w14:textId="484DA61D"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150-225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02758"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1-1.5 tablet</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496A"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0.25</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A73774" w14:textId="757C58DB"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8</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w:t>
            </w:r>
          </w:p>
        </w:tc>
      </w:tr>
      <w:tr w:rsidR="00727AA7" w:rsidRPr="002E6D3B" w14:paraId="100A5CAC"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7DF756" w14:textId="3E69BEE6"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16-20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866F50" w14:textId="79CD4269"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225-250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693E6F"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1.5-2 tablet</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8CF128"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0.5</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0C5449" w14:textId="4F097C1C"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11</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w:t>
            </w:r>
          </w:p>
        </w:tc>
      </w:tr>
      <w:tr w:rsidR="00727AA7" w:rsidRPr="002E6D3B" w14:paraId="76C6CCBA"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1F864" w14:textId="39EB2499"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21-25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F3003A" w14:textId="0CE7E70A"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300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 if &lt; 12 years of age</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5C7A21"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2</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C5FB48"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0.5</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45FB4E" w14:textId="37971BDD"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14</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ml</w:t>
            </w:r>
          </w:p>
        </w:tc>
      </w:tr>
      <w:tr w:rsidR="00727AA7" w:rsidRPr="002E6D3B" w14:paraId="4ED978D3" w14:textId="77777777" w:rsidTr="00727AA7">
        <w:tc>
          <w:tcPr>
            <w:tcW w:w="76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A90344" w14:textId="3B14ADB9"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36-35</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kg</w:t>
            </w:r>
          </w:p>
        </w:tc>
        <w:tc>
          <w:tcPr>
            <w:tcW w:w="84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F1FBE" w14:textId="23597424"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300</w:t>
            </w:r>
            <w:r w:rsidR="002E6D3B">
              <w:rPr>
                <w:rFonts w:asciiTheme="minorHAnsi" w:hAnsiTheme="minorHAnsi" w:cstheme="minorHAnsi"/>
                <w:color w:val="000000" w:themeColor="text1"/>
                <w:sz w:val="20"/>
                <w:szCs w:val="20"/>
              </w:rPr>
              <w:t xml:space="preserve"> </w:t>
            </w:r>
            <w:r w:rsidRPr="002E6D3B">
              <w:rPr>
                <w:rFonts w:asciiTheme="minorHAnsi" w:hAnsiTheme="minorHAnsi" w:cstheme="minorHAnsi"/>
                <w:color w:val="000000" w:themeColor="text1"/>
                <w:sz w:val="20"/>
                <w:szCs w:val="20"/>
              </w:rPr>
              <w:t>mg once daily if &lt; 12 years of age</w:t>
            </w:r>
            <w:r w:rsidRPr="002E6D3B" w:rsidDel="00705AD3">
              <w:rPr>
                <w:rFonts w:asciiTheme="minorHAnsi" w:hAnsiTheme="minorHAnsi" w:cstheme="minorHAnsi"/>
                <w:color w:val="000000" w:themeColor="text1"/>
                <w:sz w:val="20"/>
                <w:szCs w:val="20"/>
              </w:rPr>
              <w:t xml:space="preserve"> </w:t>
            </w:r>
          </w:p>
        </w:tc>
        <w:tc>
          <w:tcPr>
            <w:tcW w:w="20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A1A647"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w:t>
            </w:r>
          </w:p>
        </w:tc>
        <w:tc>
          <w:tcPr>
            <w:tcW w:w="5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7494A3"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0.5</w:t>
            </w:r>
          </w:p>
        </w:tc>
        <w:tc>
          <w:tcPr>
            <w:tcW w:w="7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76F673" w14:textId="77777777" w:rsidR="004305C4" w:rsidRPr="002E6D3B" w:rsidRDefault="004305C4" w:rsidP="00727AA7">
            <w:pPr>
              <w:jc w:val="center"/>
              <w:rPr>
                <w:rFonts w:asciiTheme="minorHAnsi" w:hAnsiTheme="minorHAnsi" w:cstheme="minorHAnsi"/>
                <w:color w:val="000000" w:themeColor="text1"/>
                <w:sz w:val="20"/>
                <w:szCs w:val="20"/>
              </w:rPr>
            </w:pPr>
            <w:r w:rsidRPr="002E6D3B">
              <w:rPr>
                <w:rFonts w:asciiTheme="minorHAnsi" w:hAnsiTheme="minorHAnsi" w:cstheme="minorHAnsi"/>
                <w:color w:val="000000" w:themeColor="text1"/>
                <w:sz w:val="20"/>
                <w:szCs w:val="20"/>
              </w:rPr>
              <w:t>-</w:t>
            </w:r>
          </w:p>
        </w:tc>
      </w:tr>
    </w:tbl>
    <w:p w14:paraId="07FD0D20" w14:textId="77777777" w:rsidR="004305C4" w:rsidRPr="00B85017" w:rsidRDefault="004305C4" w:rsidP="004305C4">
      <w:pPr>
        <w:rPr>
          <w:color w:val="000000" w:themeColor="text1"/>
        </w:rPr>
      </w:pPr>
    </w:p>
    <w:p w14:paraId="11ED2945" w14:textId="1AA10309" w:rsidR="004305C4" w:rsidRPr="00B85017" w:rsidRDefault="004305C4">
      <w:pPr>
        <w:spacing w:before="0" w:after="0"/>
        <w:jc w:val="left"/>
        <w:rPr>
          <w:color w:val="000000" w:themeColor="text1"/>
          <w:sz w:val="24"/>
        </w:rPr>
      </w:pPr>
      <w:r w:rsidRPr="00B85017">
        <w:rPr>
          <w:color w:val="000000" w:themeColor="text1"/>
          <w:sz w:val="24"/>
        </w:rPr>
        <w:br w:type="page"/>
      </w:r>
    </w:p>
    <w:p w14:paraId="2DFE2B77" w14:textId="77777777" w:rsidR="004305C4" w:rsidRPr="00B85017" w:rsidRDefault="004305C4" w:rsidP="004305C4">
      <w:pPr>
        <w:ind w:left="993"/>
        <w:rPr>
          <w:color w:val="000000" w:themeColor="text1"/>
          <w:sz w:val="24"/>
        </w:rPr>
      </w:pPr>
    </w:p>
    <w:p w14:paraId="1E70E4F0" w14:textId="3AA03F89" w:rsidR="004305C4" w:rsidRPr="00B85017" w:rsidRDefault="004305C4" w:rsidP="00CE10C2">
      <w:pPr>
        <w:pStyle w:val="Heading6"/>
      </w:pPr>
      <w:bookmarkStart w:id="328" w:name="_Toc12950604"/>
      <w:bookmarkStart w:id="329" w:name="_Toc13076962"/>
      <w:r w:rsidRPr="00B85017">
        <w:t>Table 1d: Bedaquiline</w:t>
      </w:r>
      <w:bookmarkEnd w:id="328"/>
      <w:bookmarkEnd w:id="329"/>
    </w:p>
    <w:tbl>
      <w:tblPr>
        <w:tblStyle w:val="TableGrid"/>
        <w:tblW w:w="9576" w:type="dxa"/>
        <w:tblInd w:w="-5" w:type="dxa"/>
        <w:tblLook w:val="04A0" w:firstRow="1" w:lastRow="0" w:firstColumn="1" w:lastColumn="0" w:noHBand="0" w:noVBand="1"/>
      </w:tblPr>
      <w:tblGrid>
        <w:gridCol w:w="1705"/>
        <w:gridCol w:w="4680"/>
        <w:gridCol w:w="3191"/>
      </w:tblGrid>
      <w:tr w:rsidR="004305C4" w:rsidRPr="002E6D3B" w14:paraId="1DDC78A8" w14:textId="77777777" w:rsidTr="00FB1DBA">
        <w:tc>
          <w:tcPr>
            <w:tcW w:w="95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6C0B9BF5" w14:textId="77777777" w:rsidR="004305C4" w:rsidRPr="002E6D3B" w:rsidRDefault="004305C4" w:rsidP="00727AA7">
            <w:pPr>
              <w:jc w:val="center"/>
              <w:rPr>
                <w:rFonts w:asciiTheme="minorHAnsi" w:hAnsiTheme="minorHAnsi" w:cstheme="minorHAnsi"/>
                <w:b/>
                <w:color w:val="000000" w:themeColor="text1"/>
                <w:sz w:val="20"/>
              </w:rPr>
            </w:pPr>
            <w:r w:rsidRPr="002E6D3B">
              <w:rPr>
                <w:rFonts w:asciiTheme="minorHAnsi" w:hAnsiTheme="minorHAnsi" w:cstheme="minorHAnsi"/>
                <w:b/>
                <w:color w:val="000000" w:themeColor="text1"/>
                <w:sz w:val="20"/>
              </w:rPr>
              <w:t>Bedaquiline</w:t>
            </w:r>
          </w:p>
          <w:p w14:paraId="146AFEDE" w14:textId="2E825E0C"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Dose: 6</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mg/kg/day for 14 days followed by 3-4</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 xml:space="preserve">mg/kg thrice weekly </w:t>
            </w:r>
          </w:p>
          <w:p w14:paraId="67C03DAC"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 xml:space="preserve">(dose extrapolated from adult dosing for those less than 16 kg) </w:t>
            </w:r>
          </w:p>
          <w:p w14:paraId="550AE412"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Weight-based dosing</w:t>
            </w:r>
          </w:p>
        </w:tc>
      </w:tr>
      <w:tr w:rsidR="004305C4" w:rsidRPr="002E6D3B" w14:paraId="64369871"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0D9103" w14:textId="77777777" w:rsidR="004305C4" w:rsidRPr="002E6D3B" w:rsidRDefault="004305C4" w:rsidP="00727AA7">
            <w:pPr>
              <w:jc w:val="center"/>
              <w:rPr>
                <w:rFonts w:asciiTheme="minorHAnsi" w:hAnsiTheme="minorHAnsi" w:cstheme="minorHAnsi"/>
                <w:b/>
                <w:color w:val="000000" w:themeColor="text1"/>
                <w:sz w:val="20"/>
              </w:rPr>
            </w:pPr>
            <w:r w:rsidRPr="002E6D3B">
              <w:rPr>
                <w:rFonts w:asciiTheme="minorHAnsi" w:hAnsiTheme="minorHAnsi" w:cstheme="minorHAnsi"/>
                <w:b/>
                <w:color w:val="000000" w:themeColor="text1"/>
                <w:sz w:val="20"/>
              </w:rPr>
              <w:t>Weight band</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80DA9C" w14:textId="77777777" w:rsidR="004305C4" w:rsidRPr="002E6D3B" w:rsidRDefault="004305C4" w:rsidP="00727AA7">
            <w:pPr>
              <w:jc w:val="center"/>
              <w:rPr>
                <w:rFonts w:asciiTheme="minorHAnsi" w:hAnsiTheme="minorHAnsi" w:cstheme="minorHAnsi"/>
                <w:b/>
                <w:color w:val="000000" w:themeColor="text1"/>
                <w:sz w:val="20"/>
              </w:rPr>
            </w:pPr>
            <w:r w:rsidRPr="002E6D3B">
              <w:rPr>
                <w:rFonts w:asciiTheme="minorHAnsi" w:hAnsiTheme="minorHAnsi" w:cstheme="minorHAnsi"/>
                <w:b/>
                <w:color w:val="000000" w:themeColor="text1"/>
                <w:sz w:val="20"/>
              </w:rPr>
              <w:t>Dose</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4F6731" w14:textId="7DDE7F76" w:rsidR="004305C4" w:rsidRPr="002E6D3B" w:rsidRDefault="004305C4" w:rsidP="00727AA7">
            <w:pPr>
              <w:jc w:val="center"/>
              <w:rPr>
                <w:rFonts w:asciiTheme="minorHAnsi" w:hAnsiTheme="minorHAnsi" w:cstheme="minorHAnsi"/>
                <w:b/>
                <w:color w:val="000000" w:themeColor="text1"/>
                <w:sz w:val="20"/>
              </w:rPr>
            </w:pPr>
            <w:r w:rsidRPr="002E6D3B">
              <w:rPr>
                <w:rFonts w:asciiTheme="minorHAnsi" w:hAnsiTheme="minorHAnsi" w:cstheme="minorHAnsi"/>
                <w:b/>
                <w:color w:val="000000" w:themeColor="text1"/>
                <w:sz w:val="20"/>
              </w:rPr>
              <w:t>100</w:t>
            </w:r>
            <w:r w:rsidR="002E6D3B">
              <w:rPr>
                <w:rFonts w:asciiTheme="minorHAnsi" w:hAnsiTheme="minorHAnsi" w:cstheme="minorHAnsi"/>
                <w:b/>
                <w:color w:val="000000" w:themeColor="text1"/>
                <w:sz w:val="20"/>
              </w:rPr>
              <w:t xml:space="preserve"> </w:t>
            </w:r>
            <w:r w:rsidRPr="002E6D3B">
              <w:rPr>
                <w:rFonts w:asciiTheme="minorHAnsi" w:hAnsiTheme="minorHAnsi" w:cstheme="minorHAnsi"/>
                <w:b/>
                <w:color w:val="000000" w:themeColor="text1"/>
                <w:sz w:val="20"/>
              </w:rPr>
              <w:t>mg tablet</w:t>
            </w:r>
          </w:p>
        </w:tc>
      </w:tr>
      <w:tr w:rsidR="004305C4" w:rsidRPr="002E6D3B" w14:paraId="3D410FED"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83187F" w14:textId="5A5EB1F9"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1-10</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kg</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4F73C3"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Consult with specialist</w:t>
            </w:r>
            <w:r w:rsidRPr="002E6D3B">
              <w:rPr>
                <w:rStyle w:val="FootnoteReference"/>
                <w:rFonts w:asciiTheme="minorHAnsi" w:hAnsiTheme="minorHAnsi" w:cstheme="minorHAnsi"/>
                <w:color w:val="000000" w:themeColor="text1"/>
              </w:rPr>
              <w:footnoteReference w:id="35"/>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8DF74" w14:textId="77777777" w:rsidR="004305C4" w:rsidRPr="002E6D3B" w:rsidRDefault="004305C4" w:rsidP="00727AA7">
            <w:pPr>
              <w:jc w:val="center"/>
              <w:rPr>
                <w:rFonts w:asciiTheme="minorHAnsi" w:hAnsiTheme="minorHAnsi" w:cstheme="minorHAnsi"/>
                <w:color w:val="000000" w:themeColor="text1"/>
                <w:sz w:val="20"/>
              </w:rPr>
            </w:pPr>
          </w:p>
        </w:tc>
      </w:tr>
      <w:tr w:rsidR="004305C4" w:rsidRPr="002E6D3B" w14:paraId="6BC17621"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0CC613" w14:textId="5BCCC22F"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10-15</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kg</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178B9C"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 xml:space="preserve">Consult with specialist </w:t>
            </w:r>
          </w:p>
          <w:p w14:paraId="1753CF2B" w14:textId="594269B4" w:rsidR="004305C4" w:rsidRPr="002E6D3B" w:rsidRDefault="004305C4" w:rsidP="00727AA7">
            <w:pPr>
              <w:jc w:val="center"/>
              <w:rPr>
                <w:rFonts w:asciiTheme="minorHAnsi" w:hAnsiTheme="minorHAnsi" w:cstheme="minorHAnsi"/>
                <w:i/>
                <w:color w:val="000000" w:themeColor="text1"/>
                <w:sz w:val="20"/>
              </w:rPr>
            </w:pPr>
            <w:r w:rsidRPr="002E6D3B">
              <w:rPr>
                <w:rFonts w:asciiTheme="minorHAnsi" w:hAnsiTheme="minorHAnsi" w:cstheme="minorHAnsi"/>
                <w:i/>
                <w:color w:val="000000" w:themeColor="text1"/>
                <w:sz w:val="20"/>
              </w:rPr>
              <w:t>Likely recommended dose is 100</w:t>
            </w:r>
            <w:r w:rsidR="002E6D3B">
              <w:rPr>
                <w:rFonts w:asciiTheme="minorHAnsi" w:hAnsiTheme="minorHAnsi" w:cstheme="minorHAnsi"/>
                <w:i/>
                <w:color w:val="000000" w:themeColor="text1"/>
                <w:sz w:val="20"/>
              </w:rPr>
              <w:t xml:space="preserve"> </w:t>
            </w:r>
            <w:r w:rsidRPr="002E6D3B">
              <w:rPr>
                <w:rFonts w:asciiTheme="minorHAnsi" w:hAnsiTheme="minorHAnsi" w:cstheme="minorHAnsi"/>
                <w:i/>
                <w:color w:val="000000" w:themeColor="text1"/>
                <w:sz w:val="20"/>
              </w:rPr>
              <w:t xml:space="preserve">mg daily for 14 days followed by 50 mg thrice weekly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F62E4"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1 tablet daily for 14 days followed by 0.5 tablet thrice weekly (i.e. M/W/F)</w:t>
            </w:r>
          </w:p>
        </w:tc>
      </w:tr>
      <w:tr w:rsidR="004305C4" w:rsidRPr="002E6D3B" w14:paraId="1F7FCC71"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DDBDC1" w14:textId="63DDF60E"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16-23</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kg</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C5995D" w14:textId="3BB378C3"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200</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 daily for 14 days followed by 100</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 thrice weekly (i.e. M/W/F)</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994F31"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2 tablets daily for 14 days followed by 1 tablet thrice weekly (i.e. M/W/F)</w:t>
            </w:r>
          </w:p>
        </w:tc>
      </w:tr>
      <w:tr w:rsidR="004305C4" w:rsidRPr="002E6D3B" w14:paraId="364C3867"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D2C307" w14:textId="398510AB"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24-30</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kg</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08AF5" w14:textId="0237CD64"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200</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 daily for 14 days followed by 100</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 thrice weekly (i.e. M/W/F)</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2FA14F"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2 tablets daily for 14 days followed by 1 tablet thrice weekly (i.e. M/W/F)</w:t>
            </w:r>
          </w:p>
        </w:tc>
      </w:tr>
      <w:tr w:rsidR="004305C4" w:rsidRPr="002E6D3B" w14:paraId="4231FEDE"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1CA60E" w14:textId="3CE55488"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31-34</w:t>
            </w:r>
            <w:r w:rsidR="002E6D3B">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kg</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1B2A5F" w14:textId="66D54EBA"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400</w:t>
            </w:r>
            <w:r w:rsidR="004A7CC0">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 daily for 14 days followed by 200</w:t>
            </w:r>
            <w:r w:rsidR="004A7CC0">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 thrice weekly (I.e. M/W/F)</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355CB2" w14:textId="203A16E8"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4 tablets daily for 14 days followed by 2 tablet</w:t>
            </w:r>
            <w:r w:rsidR="004A7CC0">
              <w:rPr>
                <w:rFonts w:asciiTheme="minorHAnsi" w:hAnsiTheme="minorHAnsi" w:cstheme="minorHAnsi"/>
                <w:color w:val="000000" w:themeColor="text1"/>
                <w:sz w:val="20"/>
              </w:rPr>
              <w:t>s</w:t>
            </w:r>
            <w:r w:rsidRPr="002E6D3B">
              <w:rPr>
                <w:rFonts w:asciiTheme="minorHAnsi" w:hAnsiTheme="minorHAnsi" w:cstheme="minorHAnsi"/>
                <w:color w:val="000000" w:themeColor="text1"/>
                <w:sz w:val="20"/>
              </w:rPr>
              <w:t xml:space="preserve"> thrice weekly (i.e. M/W/F)</w:t>
            </w:r>
          </w:p>
        </w:tc>
      </w:tr>
      <w:tr w:rsidR="004305C4" w:rsidRPr="002E6D3B" w14:paraId="31F800E6"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0B5B33"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&gt; 34 kg</w:t>
            </w:r>
          </w:p>
        </w:tc>
        <w:tc>
          <w:tcPr>
            <w:tcW w:w="4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B6711F" w14:textId="20A38862"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400</w:t>
            </w:r>
            <w:r w:rsidR="004A7CC0">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 daily for 14 days followed by 200</w:t>
            </w:r>
            <w:r w:rsidR="004A7CC0">
              <w:rPr>
                <w:rFonts w:asciiTheme="minorHAnsi" w:hAnsiTheme="minorHAnsi" w:cstheme="minorHAnsi"/>
                <w:color w:val="000000" w:themeColor="text1"/>
                <w:sz w:val="20"/>
              </w:rPr>
              <w:t xml:space="preserve"> </w:t>
            </w:r>
            <w:r w:rsidRPr="002E6D3B">
              <w:rPr>
                <w:rFonts w:asciiTheme="minorHAnsi" w:hAnsiTheme="minorHAnsi" w:cstheme="minorHAnsi"/>
                <w:color w:val="000000" w:themeColor="text1"/>
                <w:sz w:val="20"/>
              </w:rPr>
              <w:t>mg thrice weekly (i.e. M/W/F)</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1E7194" w14:textId="77777777" w:rsidR="004305C4" w:rsidRPr="002E6D3B" w:rsidRDefault="004305C4" w:rsidP="00727AA7">
            <w:pPr>
              <w:jc w:val="center"/>
              <w:rPr>
                <w:rFonts w:asciiTheme="minorHAnsi" w:hAnsiTheme="minorHAnsi" w:cstheme="minorHAnsi"/>
                <w:color w:val="000000" w:themeColor="text1"/>
                <w:sz w:val="20"/>
              </w:rPr>
            </w:pPr>
            <w:r w:rsidRPr="002E6D3B">
              <w:rPr>
                <w:rFonts w:asciiTheme="minorHAnsi" w:hAnsiTheme="minorHAnsi" w:cstheme="minorHAnsi"/>
                <w:color w:val="000000" w:themeColor="text1"/>
                <w:sz w:val="20"/>
              </w:rPr>
              <w:t>4 tablets daily for 14 days followed by 2 tablets thrice weekly (i.e. M/W/F)</w:t>
            </w:r>
          </w:p>
        </w:tc>
      </w:tr>
    </w:tbl>
    <w:p w14:paraId="124751FF" w14:textId="0AD63ABE" w:rsidR="004305C4" w:rsidRPr="00B85017" w:rsidRDefault="004305C4" w:rsidP="004305C4">
      <w:pPr>
        <w:ind w:left="720"/>
        <w:rPr>
          <w:color w:val="000000" w:themeColor="text1"/>
        </w:rPr>
      </w:pPr>
    </w:p>
    <w:p w14:paraId="57983B93" w14:textId="06326B38" w:rsidR="004305C4" w:rsidRPr="00B85017" w:rsidRDefault="004305C4">
      <w:pPr>
        <w:spacing w:before="0" w:after="0"/>
        <w:jc w:val="left"/>
        <w:rPr>
          <w:color w:val="000000" w:themeColor="text1"/>
        </w:rPr>
      </w:pPr>
      <w:r w:rsidRPr="00B85017">
        <w:rPr>
          <w:color w:val="000000" w:themeColor="text1"/>
        </w:rPr>
        <w:br w:type="page"/>
      </w:r>
    </w:p>
    <w:p w14:paraId="5747FDA3" w14:textId="77777777" w:rsidR="004305C4" w:rsidRPr="00B85017" w:rsidRDefault="004305C4" w:rsidP="004305C4">
      <w:pPr>
        <w:ind w:left="720"/>
        <w:rPr>
          <w:color w:val="000000" w:themeColor="text1"/>
        </w:rPr>
      </w:pPr>
    </w:p>
    <w:p w14:paraId="55216054" w14:textId="77777777" w:rsidR="004305C4" w:rsidRPr="00B85017" w:rsidRDefault="004305C4" w:rsidP="00CE10C2">
      <w:pPr>
        <w:rPr>
          <w:rFonts w:ascii="Times New Roman" w:eastAsiaTheme="minorHAnsi" w:hAnsi="Times New Roman"/>
          <w:b/>
          <w:color w:val="000000" w:themeColor="text1"/>
          <w:sz w:val="24"/>
          <w:u w:val="single"/>
        </w:rPr>
      </w:pPr>
      <w:r w:rsidRPr="00B85017">
        <w:rPr>
          <w:b/>
          <w:color w:val="000000" w:themeColor="text1"/>
          <w:sz w:val="24"/>
          <w:u w:val="single"/>
        </w:rPr>
        <w:t>GROUP B DRUGS</w:t>
      </w:r>
    </w:p>
    <w:p w14:paraId="55CA3C32" w14:textId="66DC0A21" w:rsidR="004305C4" w:rsidRPr="00B85017" w:rsidRDefault="004305C4" w:rsidP="00817D66">
      <w:pPr>
        <w:pStyle w:val="Heading6"/>
      </w:pPr>
      <w:r w:rsidRPr="00B85017">
        <w:br/>
      </w:r>
      <w:bookmarkStart w:id="330" w:name="_Toc12950605"/>
      <w:bookmarkStart w:id="331" w:name="_Toc13076963"/>
      <w:r w:rsidRPr="00B85017">
        <w:t>Table 1e: Clofazimine</w:t>
      </w:r>
      <w:bookmarkEnd w:id="330"/>
      <w:bookmarkEnd w:id="331"/>
    </w:p>
    <w:tbl>
      <w:tblPr>
        <w:tblStyle w:val="TableGrid"/>
        <w:tblW w:w="5437" w:type="pct"/>
        <w:tblLook w:val="04A0" w:firstRow="1" w:lastRow="0" w:firstColumn="1" w:lastColumn="0" w:noHBand="0" w:noVBand="1"/>
      </w:tblPr>
      <w:tblGrid>
        <w:gridCol w:w="1606"/>
        <w:gridCol w:w="1943"/>
        <w:gridCol w:w="3016"/>
        <w:gridCol w:w="3240"/>
      </w:tblGrid>
      <w:tr w:rsidR="004305C4" w:rsidRPr="0028228C" w14:paraId="13E56D14" w14:textId="77777777" w:rsidTr="00FB1DBA">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4A74201B" w14:textId="77777777" w:rsidR="004305C4" w:rsidRPr="0028228C" w:rsidRDefault="004305C4" w:rsidP="00727AA7">
            <w:pPr>
              <w:jc w:val="center"/>
              <w:rPr>
                <w:rFonts w:asciiTheme="minorHAnsi" w:hAnsiTheme="minorHAnsi" w:cstheme="minorHAnsi"/>
                <w:b/>
                <w:color w:val="000000" w:themeColor="text1"/>
                <w:sz w:val="20"/>
              </w:rPr>
            </w:pPr>
            <w:r w:rsidRPr="0028228C">
              <w:rPr>
                <w:rFonts w:asciiTheme="minorHAnsi" w:hAnsiTheme="minorHAnsi" w:cstheme="minorHAnsi"/>
                <w:b/>
                <w:color w:val="000000" w:themeColor="text1"/>
                <w:sz w:val="20"/>
              </w:rPr>
              <w:t>Clofazimine</w:t>
            </w:r>
          </w:p>
          <w:p w14:paraId="640092C2" w14:textId="479D9CC2" w:rsidR="004305C4" w:rsidRPr="0028228C" w:rsidRDefault="004305C4" w:rsidP="00727AA7">
            <w:pPr>
              <w:jc w:val="center"/>
              <w:rPr>
                <w:rFonts w:asciiTheme="minorHAnsi" w:hAnsiTheme="minorHAnsi" w:cstheme="minorHAnsi"/>
                <w:color w:val="000000" w:themeColor="text1"/>
                <w:sz w:val="20"/>
              </w:rPr>
            </w:pPr>
            <w:r w:rsidRPr="0028228C">
              <w:rPr>
                <w:rFonts w:asciiTheme="minorHAnsi" w:hAnsiTheme="minorHAnsi" w:cstheme="minorHAnsi"/>
                <w:color w:val="000000" w:themeColor="text1"/>
                <w:sz w:val="20"/>
              </w:rPr>
              <w:t>Dosing: 2-5</w:t>
            </w:r>
            <w:r w:rsidR="0028228C">
              <w:rPr>
                <w:rFonts w:asciiTheme="minorHAnsi" w:hAnsiTheme="minorHAnsi" w:cstheme="minorHAnsi"/>
                <w:color w:val="000000" w:themeColor="text1"/>
                <w:sz w:val="20"/>
              </w:rPr>
              <w:t xml:space="preserve"> </w:t>
            </w:r>
            <w:r w:rsidRPr="0028228C">
              <w:rPr>
                <w:rFonts w:asciiTheme="minorHAnsi" w:hAnsiTheme="minorHAnsi" w:cstheme="minorHAnsi"/>
                <w:color w:val="000000" w:themeColor="text1"/>
                <w:sz w:val="20"/>
              </w:rPr>
              <w:t>mg/kg/day</w:t>
            </w:r>
          </w:p>
          <w:p w14:paraId="050B0C59" w14:textId="77777777" w:rsidR="004305C4" w:rsidRPr="0028228C" w:rsidRDefault="004305C4" w:rsidP="00727AA7">
            <w:pPr>
              <w:jc w:val="center"/>
              <w:rPr>
                <w:rFonts w:asciiTheme="minorHAnsi" w:hAnsiTheme="minorHAnsi" w:cstheme="minorHAnsi"/>
                <w:b/>
                <w:color w:val="000000" w:themeColor="text1"/>
                <w:sz w:val="20"/>
              </w:rPr>
            </w:pPr>
            <w:r w:rsidRPr="0028228C">
              <w:rPr>
                <w:rFonts w:asciiTheme="minorHAnsi" w:hAnsiTheme="minorHAnsi" w:cstheme="minorHAnsi"/>
                <w:color w:val="000000" w:themeColor="text1"/>
                <w:sz w:val="20"/>
              </w:rPr>
              <w:t>Weight-based dosing</w:t>
            </w:r>
          </w:p>
        </w:tc>
      </w:tr>
      <w:tr w:rsidR="004305C4" w:rsidRPr="0028228C" w14:paraId="6FF09390" w14:textId="77777777" w:rsidTr="004305C4">
        <w:trPr>
          <w:trHeight w:val="539"/>
        </w:trPr>
        <w:tc>
          <w:tcPr>
            <w:tcW w:w="8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965B53" w14:textId="77777777" w:rsidR="004305C4" w:rsidRPr="0028228C" w:rsidRDefault="004305C4" w:rsidP="00727AA7">
            <w:pPr>
              <w:jc w:val="center"/>
              <w:rPr>
                <w:rFonts w:asciiTheme="minorHAnsi" w:hAnsiTheme="minorHAnsi" w:cstheme="minorHAnsi"/>
                <w:b/>
                <w:color w:val="000000" w:themeColor="text1"/>
                <w:sz w:val="20"/>
                <w:szCs w:val="20"/>
              </w:rPr>
            </w:pPr>
            <w:r w:rsidRPr="0028228C">
              <w:rPr>
                <w:rFonts w:asciiTheme="minorHAnsi" w:hAnsiTheme="minorHAnsi" w:cstheme="minorHAnsi"/>
                <w:b/>
                <w:color w:val="000000" w:themeColor="text1"/>
                <w:sz w:val="20"/>
                <w:szCs w:val="20"/>
              </w:rPr>
              <w:t>Weight Band (kg)</w:t>
            </w:r>
          </w:p>
        </w:tc>
        <w:tc>
          <w:tcPr>
            <w:tcW w:w="9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3A6ECC" w14:textId="77777777" w:rsidR="004305C4" w:rsidRPr="0028228C" w:rsidRDefault="004305C4" w:rsidP="00727AA7">
            <w:pPr>
              <w:jc w:val="center"/>
              <w:rPr>
                <w:rFonts w:asciiTheme="minorHAnsi" w:hAnsiTheme="minorHAnsi" w:cstheme="minorHAnsi"/>
                <w:b/>
                <w:color w:val="000000" w:themeColor="text1"/>
                <w:sz w:val="20"/>
                <w:szCs w:val="20"/>
              </w:rPr>
            </w:pPr>
            <w:r w:rsidRPr="0028228C">
              <w:rPr>
                <w:rFonts w:asciiTheme="minorHAnsi" w:hAnsiTheme="minorHAnsi" w:cstheme="minorHAnsi"/>
                <w:b/>
                <w:color w:val="000000" w:themeColor="text1"/>
                <w:sz w:val="20"/>
                <w:szCs w:val="20"/>
              </w:rPr>
              <w:t>Dose</w:t>
            </w:r>
          </w:p>
        </w:tc>
        <w:tc>
          <w:tcPr>
            <w:tcW w:w="153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B95450" w14:textId="049391CD" w:rsidR="004305C4" w:rsidRPr="0028228C" w:rsidRDefault="004305C4" w:rsidP="00727AA7">
            <w:pPr>
              <w:jc w:val="center"/>
              <w:rPr>
                <w:rFonts w:asciiTheme="minorHAnsi" w:hAnsiTheme="minorHAnsi" w:cstheme="minorHAnsi"/>
                <w:b/>
                <w:color w:val="000000" w:themeColor="text1"/>
                <w:sz w:val="20"/>
                <w:szCs w:val="20"/>
              </w:rPr>
            </w:pPr>
            <w:r w:rsidRPr="0028228C">
              <w:rPr>
                <w:rFonts w:asciiTheme="minorHAnsi" w:hAnsiTheme="minorHAnsi" w:cstheme="minorHAnsi"/>
                <w:b/>
                <w:color w:val="000000" w:themeColor="text1"/>
                <w:sz w:val="20"/>
                <w:szCs w:val="20"/>
              </w:rPr>
              <w:t>50</w:t>
            </w:r>
            <w:r w:rsidR="0028228C">
              <w:rPr>
                <w:rFonts w:asciiTheme="minorHAnsi" w:hAnsiTheme="minorHAnsi" w:cstheme="minorHAnsi"/>
                <w:b/>
                <w:color w:val="000000" w:themeColor="text1"/>
                <w:sz w:val="20"/>
                <w:szCs w:val="20"/>
              </w:rPr>
              <w:t xml:space="preserve"> </w:t>
            </w:r>
            <w:r w:rsidRPr="0028228C">
              <w:rPr>
                <w:rFonts w:asciiTheme="minorHAnsi" w:hAnsiTheme="minorHAnsi" w:cstheme="minorHAnsi"/>
                <w:b/>
                <w:color w:val="000000" w:themeColor="text1"/>
                <w:sz w:val="20"/>
                <w:szCs w:val="20"/>
              </w:rPr>
              <w:t>mg gelcaps</w:t>
            </w:r>
          </w:p>
        </w:tc>
        <w:tc>
          <w:tcPr>
            <w:tcW w:w="1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4507D" w14:textId="2C4D185A" w:rsidR="004305C4" w:rsidRPr="0028228C" w:rsidRDefault="004305C4" w:rsidP="00727AA7">
            <w:pPr>
              <w:jc w:val="center"/>
              <w:rPr>
                <w:rFonts w:asciiTheme="minorHAnsi" w:hAnsiTheme="minorHAnsi" w:cstheme="minorHAnsi"/>
                <w:b/>
                <w:color w:val="000000" w:themeColor="text1"/>
                <w:sz w:val="20"/>
                <w:szCs w:val="20"/>
              </w:rPr>
            </w:pPr>
            <w:r w:rsidRPr="0028228C">
              <w:rPr>
                <w:rFonts w:asciiTheme="minorHAnsi" w:hAnsiTheme="minorHAnsi" w:cstheme="minorHAnsi"/>
                <w:b/>
                <w:color w:val="000000" w:themeColor="text1"/>
                <w:sz w:val="20"/>
                <w:szCs w:val="20"/>
              </w:rPr>
              <w:t>100</w:t>
            </w:r>
            <w:r w:rsidR="0028228C">
              <w:rPr>
                <w:rFonts w:asciiTheme="minorHAnsi" w:hAnsiTheme="minorHAnsi" w:cstheme="minorHAnsi"/>
                <w:b/>
                <w:color w:val="000000" w:themeColor="text1"/>
                <w:sz w:val="20"/>
                <w:szCs w:val="20"/>
              </w:rPr>
              <w:t xml:space="preserve"> </w:t>
            </w:r>
            <w:r w:rsidRPr="0028228C">
              <w:rPr>
                <w:rFonts w:asciiTheme="minorHAnsi" w:hAnsiTheme="minorHAnsi" w:cstheme="minorHAnsi"/>
                <w:b/>
                <w:color w:val="000000" w:themeColor="text1"/>
                <w:sz w:val="20"/>
                <w:szCs w:val="20"/>
              </w:rPr>
              <w:t>mg gelcaps</w:t>
            </w:r>
          </w:p>
        </w:tc>
      </w:tr>
      <w:tr w:rsidR="004305C4" w:rsidRPr="0028228C" w14:paraId="00994DA3" w14:textId="77777777" w:rsidTr="004305C4">
        <w:trPr>
          <w:trHeight w:val="127"/>
        </w:trPr>
        <w:tc>
          <w:tcPr>
            <w:tcW w:w="8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59F871" w14:textId="24ABF4FC"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&lt;5</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kg</w:t>
            </w:r>
          </w:p>
        </w:tc>
        <w:tc>
          <w:tcPr>
            <w:tcW w:w="9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9CEE14" w14:textId="73E23B8A"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15</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mg</w:t>
            </w:r>
          </w:p>
        </w:tc>
        <w:tc>
          <w:tcPr>
            <w:tcW w:w="153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6645D1"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Give 1 gelcap M/W/F</w:t>
            </w:r>
          </w:p>
        </w:tc>
        <w:tc>
          <w:tcPr>
            <w:tcW w:w="1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12084"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Consult a specialist</w:t>
            </w:r>
          </w:p>
        </w:tc>
      </w:tr>
      <w:tr w:rsidR="004305C4" w:rsidRPr="0028228C" w14:paraId="08DEBB6A" w14:textId="77777777" w:rsidTr="004305C4">
        <w:tc>
          <w:tcPr>
            <w:tcW w:w="8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4405FD" w14:textId="49130EB9"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5-6</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kg</w:t>
            </w:r>
          </w:p>
        </w:tc>
        <w:tc>
          <w:tcPr>
            <w:tcW w:w="9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A66EFD" w14:textId="7B28B721"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10-30</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mg</w:t>
            </w:r>
          </w:p>
        </w:tc>
        <w:tc>
          <w:tcPr>
            <w:tcW w:w="153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FCA81A"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Give 1 gelcap on alternative days</w:t>
            </w:r>
          </w:p>
        </w:tc>
        <w:tc>
          <w:tcPr>
            <w:tcW w:w="1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C9DAE2"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 gelcap M/W/F</w:t>
            </w:r>
          </w:p>
        </w:tc>
      </w:tr>
      <w:tr w:rsidR="004305C4" w:rsidRPr="0028228C" w14:paraId="5A453838" w14:textId="77777777" w:rsidTr="004305C4">
        <w:tc>
          <w:tcPr>
            <w:tcW w:w="8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C88488" w14:textId="64066AB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7-9</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kg</w:t>
            </w:r>
          </w:p>
        </w:tc>
        <w:tc>
          <w:tcPr>
            <w:tcW w:w="9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149FF" w14:textId="6538E6E3"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15-30</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mg</w:t>
            </w:r>
          </w:p>
        </w:tc>
        <w:tc>
          <w:tcPr>
            <w:tcW w:w="153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D08764"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Give 1 gelcap on alternative days</w:t>
            </w:r>
          </w:p>
        </w:tc>
        <w:tc>
          <w:tcPr>
            <w:tcW w:w="1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6D34E"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 gelcap M/W/F</w:t>
            </w:r>
          </w:p>
        </w:tc>
      </w:tr>
      <w:tr w:rsidR="004305C4" w:rsidRPr="0028228C" w14:paraId="2EAA18E0" w14:textId="77777777" w:rsidTr="004305C4">
        <w:tc>
          <w:tcPr>
            <w:tcW w:w="8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8A90DD" w14:textId="52FE8EB2"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10-15</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kg</w:t>
            </w:r>
          </w:p>
        </w:tc>
        <w:tc>
          <w:tcPr>
            <w:tcW w:w="9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E443ED"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20-75 mg</w:t>
            </w:r>
          </w:p>
        </w:tc>
        <w:tc>
          <w:tcPr>
            <w:tcW w:w="153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0ECC8B"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Give 1 gelcap either daily or on alternative days</w:t>
            </w:r>
          </w:p>
        </w:tc>
        <w:tc>
          <w:tcPr>
            <w:tcW w:w="1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9A420"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 gelcap alternative days</w:t>
            </w:r>
          </w:p>
        </w:tc>
      </w:tr>
      <w:tr w:rsidR="004305C4" w:rsidRPr="0028228C" w14:paraId="7E9F1C0D" w14:textId="77777777" w:rsidTr="004305C4">
        <w:tc>
          <w:tcPr>
            <w:tcW w:w="8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890B27" w14:textId="0AB522A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16-23</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kg</w:t>
            </w:r>
          </w:p>
        </w:tc>
        <w:tc>
          <w:tcPr>
            <w:tcW w:w="9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7DB430" w14:textId="61FF07EE"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32-115</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mg</w:t>
            </w:r>
          </w:p>
        </w:tc>
        <w:tc>
          <w:tcPr>
            <w:tcW w:w="153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7695DD"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Give 1 gelcap per day</w:t>
            </w:r>
          </w:p>
        </w:tc>
        <w:tc>
          <w:tcPr>
            <w:tcW w:w="1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602603"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 gelcap on alternative days</w:t>
            </w:r>
          </w:p>
        </w:tc>
      </w:tr>
      <w:tr w:rsidR="004305C4" w:rsidRPr="0028228C" w14:paraId="6B7CE723" w14:textId="77777777" w:rsidTr="004305C4">
        <w:tc>
          <w:tcPr>
            <w:tcW w:w="81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40C32" w14:textId="0FE01632"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24-35</w:t>
            </w:r>
            <w:r w:rsidR="0028228C">
              <w:rPr>
                <w:rFonts w:asciiTheme="minorHAnsi" w:hAnsiTheme="minorHAnsi" w:cstheme="minorHAnsi"/>
                <w:color w:val="000000" w:themeColor="text1"/>
                <w:sz w:val="20"/>
                <w:szCs w:val="20"/>
              </w:rPr>
              <w:t xml:space="preserve"> </w:t>
            </w:r>
            <w:r w:rsidRPr="0028228C">
              <w:rPr>
                <w:rFonts w:asciiTheme="minorHAnsi" w:hAnsiTheme="minorHAnsi" w:cstheme="minorHAnsi"/>
                <w:color w:val="000000" w:themeColor="text1"/>
                <w:sz w:val="20"/>
                <w:szCs w:val="20"/>
              </w:rPr>
              <w:t>kg</w:t>
            </w:r>
          </w:p>
        </w:tc>
        <w:tc>
          <w:tcPr>
            <w:tcW w:w="9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49C2C"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100 mg</w:t>
            </w:r>
          </w:p>
        </w:tc>
        <w:tc>
          <w:tcPr>
            <w:tcW w:w="153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F8452A"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Give 2 gelcap daily</w:t>
            </w:r>
          </w:p>
        </w:tc>
        <w:tc>
          <w:tcPr>
            <w:tcW w:w="165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2156D" w14:textId="77777777" w:rsidR="004305C4" w:rsidRPr="0028228C" w:rsidRDefault="004305C4" w:rsidP="00727AA7">
            <w:pPr>
              <w:jc w:val="center"/>
              <w:rPr>
                <w:rFonts w:asciiTheme="minorHAnsi" w:hAnsiTheme="minorHAnsi" w:cstheme="minorHAnsi"/>
                <w:color w:val="000000" w:themeColor="text1"/>
                <w:sz w:val="20"/>
                <w:szCs w:val="20"/>
              </w:rPr>
            </w:pPr>
            <w:r w:rsidRPr="0028228C">
              <w:rPr>
                <w:rFonts w:asciiTheme="minorHAnsi" w:hAnsiTheme="minorHAnsi" w:cstheme="minorHAnsi"/>
                <w:color w:val="000000" w:themeColor="text1"/>
                <w:sz w:val="20"/>
                <w:szCs w:val="20"/>
              </w:rPr>
              <w:t>1 gelcap daily</w:t>
            </w:r>
          </w:p>
        </w:tc>
      </w:tr>
    </w:tbl>
    <w:p w14:paraId="31BC2353" w14:textId="77777777" w:rsidR="004305C4" w:rsidRPr="00B85017" w:rsidRDefault="004305C4" w:rsidP="004305C4">
      <w:pPr>
        <w:rPr>
          <w:color w:val="000000" w:themeColor="text1"/>
          <w:sz w:val="24"/>
        </w:rPr>
      </w:pPr>
    </w:p>
    <w:p w14:paraId="42A76EE1" w14:textId="21F0564C" w:rsidR="004305C4" w:rsidRPr="00B85017" w:rsidRDefault="004305C4" w:rsidP="00817D66">
      <w:pPr>
        <w:pStyle w:val="Heading6"/>
      </w:pPr>
      <w:bookmarkStart w:id="332" w:name="_Toc12950606"/>
      <w:bookmarkStart w:id="333" w:name="_Toc13076964"/>
      <w:r w:rsidRPr="00B85017">
        <w:t>Table 1f: Cycloserine</w:t>
      </w:r>
      <w:bookmarkEnd w:id="332"/>
      <w:bookmarkEnd w:id="333"/>
    </w:p>
    <w:tbl>
      <w:tblPr>
        <w:tblStyle w:val="TableGrid"/>
        <w:tblW w:w="0" w:type="auto"/>
        <w:tblInd w:w="-5" w:type="dxa"/>
        <w:tblLook w:val="04A0" w:firstRow="1" w:lastRow="0" w:firstColumn="1" w:lastColumn="0" w:noHBand="0" w:noVBand="1"/>
      </w:tblPr>
      <w:tblGrid>
        <w:gridCol w:w="1350"/>
        <w:gridCol w:w="1620"/>
        <w:gridCol w:w="4050"/>
        <w:gridCol w:w="2002"/>
      </w:tblGrid>
      <w:tr w:rsidR="004305C4" w:rsidRPr="006F3C8B" w14:paraId="6D9D4582" w14:textId="77777777" w:rsidTr="00FB1DBA">
        <w:tc>
          <w:tcPr>
            <w:tcW w:w="902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2C557D3D" w14:textId="77777777" w:rsidR="004305C4" w:rsidRPr="006F3C8B" w:rsidRDefault="004305C4" w:rsidP="00727AA7">
            <w:pPr>
              <w:jc w:val="center"/>
              <w:rPr>
                <w:rFonts w:asciiTheme="minorHAnsi" w:hAnsiTheme="minorHAnsi" w:cstheme="minorHAnsi"/>
                <w:b/>
                <w:color w:val="000000" w:themeColor="text1"/>
                <w:sz w:val="20"/>
              </w:rPr>
            </w:pPr>
            <w:r w:rsidRPr="006F3C8B">
              <w:rPr>
                <w:rFonts w:asciiTheme="minorHAnsi" w:hAnsiTheme="minorHAnsi" w:cstheme="minorHAnsi"/>
                <w:b/>
                <w:color w:val="000000" w:themeColor="text1"/>
                <w:sz w:val="20"/>
              </w:rPr>
              <w:t>Cycloserine</w:t>
            </w:r>
          </w:p>
          <w:p w14:paraId="66B25C48" w14:textId="673E6F22" w:rsidR="004305C4" w:rsidRPr="006F3C8B" w:rsidRDefault="004305C4" w:rsidP="00727AA7">
            <w:pPr>
              <w:jc w:val="center"/>
              <w:rPr>
                <w:rFonts w:asciiTheme="minorHAnsi" w:hAnsiTheme="minorHAnsi" w:cstheme="minorHAnsi"/>
                <w:color w:val="000000" w:themeColor="text1"/>
                <w:sz w:val="20"/>
              </w:rPr>
            </w:pPr>
            <w:r w:rsidRPr="006F3C8B">
              <w:rPr>
                <w:rFonts w:asciiTheme="minorHAnsi" w:hAnsiTheme="minorHAnsi" w:cstheme="minorHAnsi"/>
                <w:color w:val="000000" w:themeColor="text1"/>
                <w:sz w:val="20"/>
              </w:rPr>
              <w:t>Recommended dose: 15-20</w:t>
            </w:r>
            <w:r w:rsidR="006F3C8B">
              <w:rPr>
                <w:rFonts w:asciiTheme="minorHAnsi" w:hAnsiTheme="minorHAnsi" w:cstheme="minorHAnsi"/>
                <w:color w:val="000000" w:themeColor="text1"/>
                <w:sz w:val="20"/>
              </w:rPr>
              <w:t xml:space="preserve"> </w:t>
            </w:r>
            <w:r w:rsidRPr="006F3C8B">
              <w:rPr>
                <w:rFonts w:asciiTheme="minorHAnsi" w:hAnsiTheme="minorHAnsi" w:cstheme="minorHAnsi"/>
                <w:color w:val="000000" w:themeColor="text1"/>
                <w:sz w:val="20"/>
              </w:rPr>
              <w:t>mg/kg/day</w:t>
            </w:r>
          </w:p>
          <w:p w14:paraId="638B2F2A" w14:textId="77777777" w:rsidR="004305C4" w:rsidRPr="006F3C8B" w:rsidRDefault="004305C4" w:rsidP="00727AA7">
            <w:pPr>
              <w:jc w:val="center"/>
              <w:rPr>
                <w:rFonts w:asciiTheme="minorHAnsi" w:hAnsiTheme="minorHAnsi" w:cstheme="minorHAnsi"/>
                <w:b/>
                <w:color w:val="000000" w:themeColor="text1"/>
                <w:sz w:val="20"/>
                <w:szCs w:val="20"/>
              </w:rPr>
            </w:pPr>
            <w:r w:rsidRPr="006F3C8B">
              <w:rPr>
                <w:rFonts w:asciiTheme="minorHAnsi" w:hAnsiTheme="minorHAnsi" w:cstheme="minorHAnsi"/>
                <w:color w:val="000000" w:themeColor="text1"/>
                <w:sz w:val="20"/>
              </w:rPr>
              <w:t>Weight-based dosing</w:t>
            </w:r>
          </w:p>
        </w:tc>
      </w:tr>
      <w:tr w:rsidR="004305C4" w:rsidRPr="006F3C8B" w14:paraId="69E6589A"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80719B" w14:textId="77777777" w:rsidR="004305C4" w:rsidRPr="006F3C8B" w:rsidRDefault="004305C4" w:rsidP="00727AA7">
            <w:pPr>
              <w:jc w:val="center"/>
              <w:rPr>
                <w:rFonts w:asciiTheme="minorHAnsi" w:hAnsiTheme="minorHAnsi" w:cstheme="minorHAnsi"/>
                <w:b/>
                <w:color w:val="000000" w:themeColor="text1"/>
                <w:sz w:val="20"/>
                <w:szCs w:val="20"/>
              </w:rPr>
            </w:pPr>
            <w:r w:rsidRPr="006F3C8B">
              <w:rPr>
                <w:rFonts w:asciiTheme="minorHAnsi" w:hAnsiTheme="minorHAnsi" w:cstheme="minorHAnsi"/>
                <w:b/>
                <w:color w:val="000000" w:themeColor="text1"/>
                <w:sz w:val="20"/>
                <w:szCs w:val="20"/>
              </w:rPr>
              <w:t>Weight Band (kg)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931801" w14:textId="77777777" w:rsidR="004305C4" w:rsidRPr="006F3C8B" w:rsidRDefault="004305C4" w:rsidP="00727AA7">
            <w:pPr>
              <w:jc w:val="center"/>
              <w:rPr>
                <w:rFonts w:asciiTheme="minorHAnsi" w:hAnsiTheme="minorHAnsi" w:cstheme="minorHAnsi"/>
                <w:b/>
                <w:color w:val="000000" w:themeColor="text1"/>
                <w:sz w:val="20"/>
                <w:szCs w:val="20"/>
              </w:rPr>
            </w:pPr>
            <w:r w:rsidRPr="006F3C8B">
              <w:rPr>
                <w:rFonts w:asciiTheme="minorHAnsi" w:hAnsiTheme="minorHAnsi" w:cstheme="minorHAnsi"/>
                <w:b/>
                <w:color w:val="000000" w:themeColor="text1"/>
                <w:sz w:val="20"/>
                <w:szCs w:val="20"/>
              </w:rPr>
              <w:t>Dose</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0CD042" w14:textId="613A6149" w:rsidR="004305C4" w:rsidRPr="006F3C8B" w:rsidRDefault="004305C4" w:rsidP="00727AA7">
            <w:pPr>
              <w:jc w:val="center"/>
              <w:rPr>
                <w:rFonts w:asciiTheme="minorHAnsi" w:hAnsiTheme="minorHAnsi" w:cstheme="minorHAnsi"/>
                <w:b/>
                <w:color w:val="000000" w:themeColor="text1"/>
                <w:sz w:val="20"/>
                <w:szCs w:val="20"/>
              </w:rPr>
            </w:pPr>
            <w:r w:rsidRPr="006F3C8B">
              <w:rPr>
                <w:rFonts w:asciiTheme="minorHAnsi" w:hAnsiTheme="minorHAnsi" w:cstheme="minorHAnsi"/>
                <w:b/>
                <w:color w:val="000000" w:themeColor="text1"/>
                <w:sz w:val="20"/>
                <w:szCs w:val="20"/>
              </w:rPr>
              <w:t>125</w:t>
            </w:r>
            <w:r w:rsidR="006F3C8B">
              <w:rPr>
                <w:rFonts w:asciiTheme="minorHAnsi" w:hAnsiTheme="minorHAnsi" w:cstheme="minorHAnsi"/>
                <w:b/>
                <w:color w:val="000000" w:themeColor="text1"/>
                <w:sz w:val="20"/>
                <w:szCs w:val="20"/>
              </w:rPr>
              <w:t xml:space="preserve"> </w:t>
            </w:r>
            <w:r w:rsidRPr="006F3C8B">
              <w:rPr>
                <w:rFonts w:asciiTheme="minorHAnsi" w:hAnsiTheme="minorHAnsi" w:cstheme="minorHAnsi"/>
                <w:b/>
                <w:color w:val="000000" w:themeColor="text1"/>
                <w:sz w:val="20"/>
                <w:szCs w:val="20"/>
              </w:rPr>
              <w:t>mg minicapsule</w:t>
            </w: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9E2B0C" w14:textId="17B329FA" w:rsidR="004305C4" w:rsidRPr="006F3C8B" w:rsidRDefault="004305C4" w:rsidP="00727AA7">
            <w:pPr>
              <w:jc w:val="center"/>
              <w:rPr>
                <w:rFonts w:asciiTheme="minorHAnsi" w:hAnsiTheme="minorHAnsi" w:cstheme="minorHAnsi"/>
                <w:b/>
                <w:color w:val="000000" w:themeColor="text1"/>
                <w:sz w:val="20"/>
                <w:szCs w:val="20"/>
              </w:rPr>
            </w:pPr>
            <w:r w:rsidRPr="006F3C8B">
              <w:rPr>
                <w:rFonts w:asciiTheme="minorHAnsi" w:hAnsiTheme="minorHAnsi" w:cstheme="minorHAnsi"/>
                <w:b/>
                <w:color w:val="000000" w:themeColor="text1"/>
                <w:sz w:val="20"/>
                <w:szCs w:val="20"/>
              </w:rPr>
              <w:t>250</w:t>
            </w:r>
            <w:r w:rsidR="006F3C8B">
              <w:rPr>
                <w:rFonts w:asciiTheme="minorHAnsi" w:hAnsiTheme="minorHAnsi" w:cstheme="minorHAnsi"/>
                <w:b/>
                <w:color w:val="000000" w:themeColor="text1"/>
                <w:sz w:val="20"/>
                <w:szCs w:val="20"/>
              </w:rPr>
              <w:t xml:space="preserve"> </w:t>
            </w:r>
            <w:r w:rsidRPr="006F3C8B">
              <w:rPr>
                <w:rFonts w:asciiTheme="minorHAnsi" w:hAnsiTheme="minorHAnsi" w:cstheme="minorHAnsi"/>
                <w:b/>
                <w:color w:val="000000" w:themeColor="text1"/>
                <w:sz w:val="20"/>
                <w:szCs w:val="20"/>
              </w:rPr>
              <w:t>mg capsule</w:t>
            </w:r>
          </w:p>
        </w:tc>
      </w:tr>
      <w:tr w:rsidR="004305C4" w:rsidRPr="006F3C8B" w14:paraId="3D7B29FD"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E205B4" w14:textId="4F5E2A58"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kg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01AA9A" w14:textId="6A8B5998"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20</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FA921E" w14:textId="4C96140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Mix 125</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 capsule in 12</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ml of water and administer 2</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ml of mixture immediately</w:t>
            </w: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C436E7"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w:t>
            </w:r>
          </w:p>
        </w:tc>
      </w:tr>
      <w:tr w:rsidR="004305C4" w:rsidRPr="006F3C8B" w14:paraId="1AA0F9B7"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6A24E" w14:textId="348B2776"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kg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8D6A8B" w14:textId="5975A851"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40</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3D3907" w14:textId="3C9A85CB"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Mix 125</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 capsule in 12</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ml of water and administer 4</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ml of mixture immediately</w:t>
            </w: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195EA"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w:t>
            </w:r>
          </w:p>
        </w:tc>
      </w:tr>
      <w:tr w:rsidR="004305C4" w:rsidRPr="006F3C8B" w14:paraId="7EFFC95A"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98B4CD" w14:textId="6E760FFC"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3-4</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kg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5CF5B6" w14:textId="425023CB"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62.5</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4B2DC4" w14:textId="06E5DDD6"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Mix 125</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 capsule in 12</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ml of water and administer 5</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ml of mixture immediately</w:t>
            </w: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7B2B6"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w:t>
            </w:r>
          </w:p>
        </w:tc>
      </w:tr>
      <w:tr w:rsidR="004305C4" w:rsidRPr="006F3C8B" w14:paraId="0566620E"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DC8EB6" w14:textId="3B7C0980"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5-9</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kg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5BB042"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125 mg</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85D380"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w:t>
            </w: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0FDB8D"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w:t>
            </w:r>
          </w:p>
        </w:tc>
      </w:tr>
      <w:tr w:rsidR="004305C4" w:rsidRPr="006F3C8B" w14:paraId="0C3DF5C8"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C5E8B"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10-15 kg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53E1D3" w14:textId="2085342A"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250</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0B21A3"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w:t>
            </w: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636B8"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w:t>
            </w:r>
          </w:p>
        </w:tc>
      </w:tr>
      <w:tr w:rsidR="004305C4" w:rsidRPr="006F3C8B" w14:paraId="0D265212"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0AB154" w14:textId="312EFFBB"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16-23</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kg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1BBC7" w14:textId="731585EB"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375</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CDC071"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3</w:t>
            </w: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5CB8B1"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w:t>
            </w:r>
          </w:p>
        </w:tc>
      </w:tr>
      <w:tr w:rsidR="004305C4" w:rsidRPr="006F3C8B" w14:paraId="4847BA55"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72215" w14:textId="1BBF722C"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24-35</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kg</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53332F" w14:textId="1A8BC7BF"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500</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DF445A"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4</w:t>
            </w: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4E05F8"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w:t>
            </w:r>
          </w:p>
        </w:tc>
      </w:tr>
      <w:tr w:rsidR="004305C4" w:rsidRPr="006F3C8B" w14:paraId="0F514AC8" w14:textId="77777777" w:rsidTr="004305C4">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C43469" w14:textId="77777777" w:rsidR="004305C4" w:rsidRPr="006F3C8B" w:rsidRDefault="004305C4" w:rsidP="00727AA7">
            <w:pPr>
              <w:jc w:val="center"/>
              <w:rPr>
                <w:rFonts w:asciiTheme="minorHAnsi" w:hAnsiTheme="minorHAnsi" w:cstheme="minorHAnsi"/>
                <w:color w:val="000000" w:themeColor="text1"/>
                <w:sz w:val="20"/>
                <w:szCs w:val="20"/>
              </w:rPr>
            </w:pP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1B5857" w14:textId="77777777" w:rsidR="004305C4" w:rsidRPr="006F3C8B" w:rsidRDefault="004305C4" w:rsidP="00727AA7">
            <w:pPr>
              <w:jc w:val="center"/>
              <w:rPr>
                <w:rFonts w:asciiTheme="minorHAnsi" w:hAnsiTheme="minorHAnsi" w:cstheme="minorHAnsi"/>
                <w:color w:val="000000" w:themeColor="text1"/>
                <w:sz w:val="20"/>
                <w:szCs w:val="20"/>
              </w:rPr>
            </w:pP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E44B" w14:textId="77777777" w:rsidR="004305C4" w:rsidRPr="006F3C8B" w:rsidRDefault="004305C4" w:rsidP="00727AA7">
            <w:pPr>
              <w:jc w:val="center"/>
              <w:rPr>
                <w:rFonts w:asciiTheme="minorHAnsi" w:hAnsiTheme="minorHAnsi" w:cstheme="minorHAnsi"/>
                <w:color w:val="000000" w:themeColor="text1"/>
                <w:sz w:val="20"/>
                <w:szCs w:val="20"/>
              </w:rPr>
            </w:pPr>
          </w:p>
        </w:tc>
        <w:tc>
          <w:tcPr>
            <w:tcW w:w="20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FABDD4" w14:textId="77777777" w:rsidR="004305C4" w:rsidRPr="006F3C8B" w:rsidRDefault="004305C4" w:rsidP="00727AA7">
            <w:pPr>
              <w:jc w:val="center"/>
              <w:rPr>
                <w:rFonts w:asciiTheme="minorHAnsi" w:hAnsiTheme="minorHAnsi" w:cstheme="minorHAnsi"/>
                <w:color w:val="000000" w:themeColor="text1"/>
                <w:sz w:val="20"/>
                <w:szCs w:val="20"/>
              </w:rPr>
            </w:pPr>
          </w:p>
        </w:tc>
      </w:tr>
    </w:tbl>
    <w:p w14:paraId="3CAE96D3" w14:textId="77777777" w:rsidR="004305C4" w:rsidRPr="00B85017" w:rsidRDefault="004305C4" w:rsidP="004305C4">
      <w:pPr>
        <w:rPr>
          <w:color w:val="000000" w:themeColor="text1"/>
        </w:rPr>
      </w:pPr>
    </w:p>
    <w:p w14:paraId="10DCF106" w14:textId="77777777" w:rsidR="004305C4" w:rsidRPr="00B85017" w:rsidRDefault="004305C4" w:rsidP="004305C4">
      <w:pPr>
        <w:rPr>
          <w:color w:val="000000" w:themeColor="text1"/>
        </w:rPr>
      </w:pPr>
    </w:p>
    <w:p w14:paraId="07173AE4" w14:textId="77777777" w:rsidR="004305C4" w:rsidRPr="00B85017" w:rsidRDefault="004305C4" w:rsidP="004305C4">
      <w:pPr>
        <w:rPr>
          <w:b/>
          <w:color w:val="000000" w:themeColor="text1"/>
          <w:sz w:val="24"/>
          <w:u w:val="single"/>
        </w:rPr>
      </w:pPr>
      <w:r w:rsidRPr="00B85017">
        <w:rPr>
          <w:b/>
          <w:color w:val="000000" w:themeColor="text1"/>
          <w:sz w:val="24"/>
          <w:u w:val="single"/>
        </w:rPr>
        <w:t>GROUP C DRUGS (in order of how they should be used)</w:t>
      </w:r>
    </w:p>
    <w:p w14:paraId="213AE9CA" w14:textId="77777777" w:rsidR="004305C4" w:rsidRPr="00B85017" w:rsidRDefault="004305C4" w:rsidP="004305C4">
      <w:pPr>
        <w:rPr>
          <w:b/>
          <w:color w:val="000000" w:themeColor="text1"/>
          <w:sz w:val="24"/>
          <w:u w:val="single"/>
        </w:rPr>
      </w:pPr>
    </w:p>
    <w:p w14:paraId="46C8D3A1" w14:textId="30B24C07" w:rsidR="004305C4" w:rsidRPr="00CE10C2" w:rsidRDefault="004305C4" w:rsidP="00CE10C2">
      <w:pPr>
        <w:pStyle w:val="Heading6"/>
      </w:pPr>
      <w:bookmarkStart w:id="334" w:name="_Toc12950607"/>
      <w:bookmarkStart w:id="335" w:name="_Toc13076965"/>
      <w:r w:rsidRPr="00B85017">
        <w:t>Table 1g: Delamanid</w:t>
      </w:r>
      <w:bookmarkEnd w:id="334"/>
      <w:bookmarkEnd w:id="335"/>
    </w:p>
    <w:tbl>
      <w:tblPr>
        <w:tblStyle w:val="TableGrid"/>
        <w:tblW w:w="0" w:type="auto"/>
        <w:tblLook w:val="04A0" w:firstRow="1" w:lastRow="0" w:firstColumn="1" w:lastColumn="0" w:noHBand="0" w:noVBand="1"/>
      </w:tblPr>
      <w:tblGrid>
        <w:gridCol w:w="2999"/>
        <w:gridCol w:w="3022"/>
        <w:gridCol w:w="2996"/>
      </w:tblGrid>
      <w:tr w:rsidR="004305C4" w:rsidRPr="006F3C8B" w14:paraId="73DBE03B" w14:textId="77777777" w:rsidTr="00FB1DBA">
        <w:tc>
          <w:tcPr>
            <w:tcW w:w="957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216B9BA3" w14:textId="77777777" w:rsidR="004305C4" w:rsidRPr="006F3C8B" w:rsidRDefault="004305C4" w:rsidP="00727AA7">
            <w:pPr>
              <w:jc w:val="center"/>
              <w:rPr>
                <w:rFonts w:asciiTheme="minorHAnsi" w:hAnsiTheme="minorHAnsi" w:cstheme="minorHAnsi"/>
                <w:b/>
                <w:color w:val="000000" w:themeColor="text1"/>
                <w:sz w:val="20"/>
              </w:rPr>
            </w:pPr>
            <w:r w:rsidRPr="006F3C8B">
              <w:rPr>
                <w:rFonts w:asciiTheme="minorHAnsi" w:hAnsiTheme="minorHAnsi" w:cstheme="minorHAnsi"/>
                <w:b/>
                <w:color w:val="000000" w:themeColor="text1"/>
                <w:sz w:val="20"/>
              </w:rPr>
              <w:t>Delamanid</w:t>
            </w:r>
          </w:p>
          <w:p w14:paraId="383E6F04" w14:textId="7F7AA1FB" w:rsidR="004305C4" w:rsidRPr="006F3C8B" w:rsidRDefault="004305C4" w:rsidP="00727AA7">
            <w:pPr>
              <w:jc w:val="center"/>
              <w:rPr>
                <w:rFonts w:asciiTheme="minorHAnsi" w:hAnsiTheme="minorHAnsi" w:cstheme="minorHAnsi"/>
                <w:color w:val="000000" w:themeColor="text1"/>
                <w:sz w:val="20"/>
              </w:rPr>
            </w:pPr>
            <w:r w:rsidRPr="006F3C8B">
              <w:rPr>
                <w:rFonts w:asciiTheme="minorHAnsi" w:hAnsiTheme="minorHAnsi" w:cstheme="minorHAnsi"/>
                <w:color w:val="000000" w:themeColor="text1"/>
                <w:sz w:val="20"/>
              </w:rPr>
              <w:t>Recommended dosing 3-4</w:t>
            </w:r>
            <w:r w:rsidR="006F3C8B">
              <w:rPr>
                <w:rFonts w:asciiTheme="minorHAnsi" w:hAnsiTheme="minorHAnsi" w:cstheme="minorHAnsi"/>
                <w:color w:val="000000" w:themeColor="text1"/>
                <w:sz w:val="20"/>
              </w:rPr>
              <w:t xml:space="preserve"> </w:t>
            </w:r>
            <w:r w:rsidRPr="006F3C8B">
              <w:rPr>
                <w:rFonts w:asciiTheme="minorHAnsi" w:hAnsiTheme="minorHAnsi" w:cstheme="minorHAnsi"/>
                <w:color w:val="000000" w:themeColor="text1"/>
                <w:sz w:val="20"/>
              </w:rPr>
              <w:t>mg/kg/day</w:t>
            </w:r>
          </w:p>
          <w:p w14:paraId="4E35CC23" w14:textId="77777777" w:rsidR="004305C4" w:rsidRPr="006F3C8B" w:rsidRDefault="004305C4" w:rsidP="00727AA7">
            <w:pPr>
              <w:jc w:val="center"/>
              <w:rPr>
                <w:rFonts w:asciiTheme="minorHAnsi" w:hAnsiTheme="minorHAnsi" w:cstheme="minorHAnsi"/>
                <w:color w:val="000000" w:themeColor="text1"/>
                <w:sz w:val="20"/>
              </w:rPr>
            </w:pPr>
            <w:r w:rsidRPr="006F3C8B">
              <w:rPr>
                <w:rFonts w:asciiTheme="minorHAnsi" w:hAnsiTheme="minorHAnsi" w:cstheme="minorHAnsi"/>
                <w:color w:val="000000" w:themeColor="text1"/>
                <w:sz w:val="20"/>
              </w:rPr>
              <w:t xml:space="preserve">(dose extrapolated from adult dosing for those less than 10 kg) </w:t>
            </w:r>
          </w:p>
          <w:p w14:paraId="00E532D6" w14:textId="77777777" w:rsidR="004305C4" w:rsidRPr="006F3C8B" w:rsidRDefault="004305C4" w:rsidP="00727AA7">
            <w:pPr>
              <w:jc w:val="center"/>
              <w:rPr>
                <w:rFonts w:asciiTheme="minorHAnsi" w:hAnsiTheme="minorHAnsi" w:cstheme="minorHAnsi"/>
                <w:color w:val="000000" w:themeColor="text1"/>
                <w:sz w:val="24"/>
              </w:rPr>
            </w:pPr>
          </w:p>
        </w:tc>
      </w:tr>
      <w:tr w:rsidR="004305C4" w:rsidRPr="006F3C8B" w14:paraId="1FD594C8" w14:textId="77777777" w:rsidTr="00727AA7">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3622E2" w14:textId="77777777" w:rsidR="004305C4" w:rsidRPr="006F3C8B" w:rsidRDefault="004305C4" w:rsidP="00727AA7">
            <w:pPr>
              <w:jc w:val="center"/>
              <w:rPr>
                <w:rFonts w:asciiTheme="minorHAnsi" w:hAnsiTheme="minorHAnsi" w:cstheme="minorHAnsi"/>
                <w:b/>
                <w:color w:val="000000" w:themeColor="text1"/>
                <w:sz w:val="20"/>
                <w:szCs w:val="20"/>
              </w:rPr>
            </w:pPr>
            <w:r w:rsidRPr="006F3C8B">
              <w:rPr>
                <w:rFonts w:asciiTheme="minorHAnsi" w:hAnsiTheme="minorHAnsi" w:cstheme="minorHAnsi"/>
                <w:b/>
                <w:color w:val="000000" w:themeColor="text1"/>
                <w:sz w:val="20"/>
                <w:szCs w:val="20"/>
              </w:rPr>
              <w:t>Weight band</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E50940" w14:textId="77777777" w:rsidR="004305C4" w:rsidRPr="006F3C8B" w:rsidRDefault="004305C4" w:rsidP="00727AA7">
            <w:pPr>
              <w:jc w:val="center"/>
              <w:rPr>
                <w:rFonts w:asciiTheme="minorHAnsi" w:hAnsiTheme="minorHAnsi" w:cstheme="minorHAnsi"/>
                <w:b/>
                <w:color w:val="000000" w:themeColor="text1"/>
                <w:sz w:val="20"/>
                <w:szCs w:val="20"/>
              </w:rPr>
            </w:pPr>
            <w:r w:rsidRPr="006F3C8B">
              <w:rPr>
                <w:rFonts w:asciiTheme="minorHAnsi" w:hAnsiTheme="minorHAnsi" w:cstheme="minorHAnsi"/>
                <w:b/>
                <w:color w:val="000000" w:themeColor="text1"/>
                <w:sz w:val="20"/>
                <w:szCs w:val="20"/>
              </w:rPr>
              <w:t>Dose</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A0AB3A" w14:textId="3DAA6875" w:rsidR="004305C4" w:rsidRPr="006F3C8B" w:rsidRDefault="004305C4" w:rsidP="00727AA7">
            <w:pPr>
              <w:jc w:val="center"/>
              <w:rPr>
                <w:rFonts w:asciiTheme="minorHAnsi" w:hAnsiTheme="minorHAnsi" w:cstheme="minorHAnsi"/>
                <w:b/>
                <w:color w:val="000000" w:themeColor="text1"/>
                <w:sz w:val="20"/>
                <w:szCs w:val="20"/>
              </w:rPr>
            </w:pPr>
            <w:r w:rsidRPr="006F3C8B">
              <w:rPr>
                <w:rFonts w:asciiTheme="minorHAnsi" w:hAnsiTheme="minorHAnsi" w:cstheme="minorHAnsi"/>
                <w:b/>
                <w:color w:val="000000" w:themeColor="text1"/>
                <w:sz w:val="20"/>
                <w:szCs w:val="20"/>
              </w:rPr>
              <w:t>50</w:t>
            </w:r>
            <w:r w:rsidR="006F3C8B">
              <w:rPr>
                <w:rFonts w:asciiTheme="minorHAnsi" w:hAnsiTheme="minorHAnsi" w:cstheme="minorHAnsi"/>
                <w:b/>
                <w:color w:val="000000" w:themeColor="text1"/>
                <w:sz w:val="20"/>
                <w:szCs w:val="20"/>
              </w:rPr>
              <w:t xml:space="preserve"> </w:t>
            </w:r>
            <w:r w:rsidRPr="006F3C8B">
              <w:rPr>
                <w:rFonts w:asciiTheme="minorHAnsi" w:hAnsiTheme="minorHAnsi" w:cstheme="minorHAnsi"/>
                <w:b/>
                <w:color w:val="000000" w:themeColor="text1"/>
                <w:sz w:val="20"/>
                <w:szCs w:val="20"/>
              </w:rPr>
              <w:t>mg tablet</w:t>
            </w:r>
          </w:p>
        </w:tc>
      </w:tr>
      <w:tr w:rsidR="004305C4" w:rsidRPr="006F3C8B" w14:paraId="51938703" w14:textId="77777777" w:rsidTr="00727AA7">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985C9" w14:textId="1EA511D9"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1-6</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kg</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4E54A5"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Consult with specialist</w:t>
            </w:r>
            <w:r w:rsidRPr="006F3C8B">
              <w:rPr>
                <w:rStyle w:val="FootnoteReference"/>
                <w:rFonts w:asciiTheme="minorHAnsi" w:hAnsiTheme="minorHAnsi" w:cstheme="minorHAnsi"/>
                <w:color w:val="000000" w:themeColor="text1"/>
              </w:rPr>
              <w:footnoteReference w:id="36"/>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123BF9" w14:textId="77777777" w:rsidR="004305C4" w:rsidRPr="006F3C8B" w:rsidRDefault="004305C4" w:rsidP="00727AA7">
            <w:pPr>
              <w:jc w:val="center"/>
              <w:rPr>
                <w:rFonts w:asciiTheme="minorHAnsi" w:hAnsiTheme="minorHAnsi" w:cstheme="minorHAnsi"/>
                <w:color w:val="000000" w:themeColor="text1"/>
                <w:sz w:val="20"/>
                <w:szCs w:val="20"/>
              </w:rPr>
            </w:pPr>
          </w:p>
        </w:tc>
      </w:tr>
      <w:tr w:rsidR="004305C4" w:rsidRPr="006F3C8B" w14:paraId="3AB4C3B6" w14:textId="77777777" w:rsidTr="00727AA7">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AF69D7"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7-23 kg</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7C183A"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25 mg twice daily</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A289D"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½ tablet twice daily</w:t>
            </w:r>
          </w:p>
        </w:tc>
      </w:tr>
      <w:tr w:rsidR="004305C4" w:rsidRPr="006F3C8B" w14:paraId="4A88430F" w14:textId="77777777" w:rsidTr="00727AA7">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4EB32" w14:textId="4D7613F0"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24-34</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kg</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7FB1FB"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50 mg twice daily</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DBDBB3"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 tablet twice daily</w:t>
            </w:r>
          </w:p>
        </w:tc>
      </w:tr>
      <w:tr w:rsidR="004305C4" w:rsidRPr="006F3C8B" w14:paraId="00B4445E" w14:textId="77777777" w:rsidTr="00727AA7">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8178E7"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&gt; 34 kg</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0829AF" w14:textId="45E7CA4F"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100</w:t>
            </w:r>
            <w:r w:rsidR="006F3C8B">
              <w:rPr>
                <w:rFonts w:asciiTheme="minorHAnsi" w:hAnsiTheme="minorHAnsi" w:cstheme="minorHAnsi"/>
                <w:color w:val="000000" w:themeColor="text1"/>
                <w:sz w:val="20"/>
                <w:szCs w:val="20"/>
              </w:rPr>
              <w:t xml:space="preserve"> </w:t>
            </w:r>
            <w:r w:rsidRPr="006F3C8B">
              <w:rPr>
                <w:rFonts w:asciiTheme="minorHAnsi" w:hAnsiTheme="minorHAnsi" w:cstheme="minorHAnsi"/>
                <w:color w:val="000000" w:themeColor="text1"/>
                <w:sz w:val="20"/>
                <w:szCs w:val="20"/>
              </w:rPr>
              <w:t>mg twice daily</w:t>
            </w:r>
          </w:p>
        </w:tc>
        <w:tc>
          <w:tcPr>
            <w:tcW w:w="31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33EA67" w14:textId="77777777" w:rsidR="004305C4" w:rsidRPr="006F3C8B" w:rsidRDefault="004305C4" w:rsidP="00727AA7">
            <w:pPr>
              <w:jc w:val="center"/>
              <w:rPr>
                <w:rFonts w:asciiTheme="minorHAnsi" w:hAnsiTheme="minorHAnsi" w:cstheme="minorHAnsi"/>
                <w:color w:val="000000" w:themeColor="text1"/>
                <w:sz w:val="20"/>
                <w:szCs w:val="20"/>
              </w:rPr>
            </w:pPr>
            <w:r w:rsidRPr="006F3C8B">
              <w:rPr>
                <w:rFonts w:asciiTheme="minorHAnsi" w:hAnsiTheme="minorHAnsi" w:cstheme="minorHAnsi"/>
                <w:color w:val="000000" w:themeColor="text1"/>
                <w:sz w:val="20"/>
                <w:szCs w:val="20"/>
              </w:rPr>
              <w:t>2 tablets twice daily</w:t>
            </w:r>
          </w:p>
        </w:tc>
      </w:tr>
    </w:tbl>
    <w:p w14:paraId="1EAF808C" w14:textId="4BA73728" w:rsidR="004305C4" w:rsidRPr="009D1960" w:rsidRDefault="004305C4" w:rsidP="004305C4">
      <w:pPr>
        <w:ind w:left="720"/>
        <w:rPr>
          <w:rFonts w:asciiTheme="minorHAnsi" w:hAnsiTheme="minorHAnsi" w:cstheme="minorHAnsi"/>
          <w:color w:val="000000" w:themeColor="text1"/>
          <w:sz w:val="20"/>
          <w:szCs w:val="18"/>
        </w:rPr>
      </w:pPr>
      <w:r w:rsidRPr="009D1960">
        <w:rPr>
          <w:rFonts w:asciiTheme="minorHAnsi" w:hAnsiTheme="minorHAnsi" w:cstheme="minorHAnsi"/>
          <w:color w:val="000000" w:themeColor="text1"/>
          <w:sz w:val="20"/>
          <w:szCs w:val="18"/>
        </w:rPr>
        <w:t xml:space="preserve">Note that the 50mg tablet of delamanid when it is crushed, manipulated, or mixed does not result in the same blood levels as the </w:t>
      </w:r>
      <w:r w:rsidRPr="00845D84">
        <w:rPr>
          <w:rFonts w:asciiTheme="minorHAnsi" w:hAnsiTheme="minorHAnsi" w:cstheme="minorHAnsi"/>
          <w:color w:val="000000" w:themeColor="text1"/>
          <w:sz w:val="20"/>
          <w:szCs w:val="18"/>
        </w:rPr>
        <w:t>25</w:t>
      </w:r>
      <w:r w:rsidR="00845D84" w:rsidRPr="00845D84">
        <w:rPr>
          <w:rFonts w:asciiTheme="minorHAnsi" w:hAnsiTheme="minorHAnsi" w:cstheme="minorHAnsi"/>
          <w:color w:val="000000" w:themeColor="text1"/>
          <w:sz w:val="20"/>
          <w:szCs w:val="18"/>
        </w:rPr>
        <w:t xml:space="preserve"> </w:t>
      </w:r>
      <w:r w:rsidRPr="00845D84">
        <w:rPr>
          <w:rFonts w:asciiTheme="minorHAnsi" w:hAnsiTheme="minorHAnsi" w:cstheme="minorHAnsi"/>
          <w:color w:val="000000" w:themeColor="text1"/>
          <w:sz w:val="20"/>
          <w:szCs w:val="18"/>
        </w:rPr>
        <w:t>mg</w:t>
      </w:r>
      <w:r w:rsidRPr="009D1960">
        <w:rPr>
          <w:rFonts w:asciiTheme="minorHAnsi" w:hAnsiTheme="minorHAnsi" w:cstheme="minorHAnsi"/>
          <w:color w:val="000000" w:themeColor="text1"/>
          <w:sz w:val="20"/>
          <w:szCs w:val="18"/>
        </w:rPr>
        <w:t xml:space="preserve"> pediatric formulation. Until the </w:t>
      </w:r>
      <w:r w:rsidRPr="00845D84">
        <w:rPr>
          <w:rFonts w:asciiTheme="minorHAnsi" w:hAnsiTheme="minorHAnsi" w:cstheme="minorHAnsi"/>
          <w:color w:val="000000" w:themeColor="text1"/>
          <w:sz w:val="20"/>
          <w:szCs w:val="18"/>
        </w:rPr>
        <w:t>25</w:t>
      </w:r>
      <w:r w:rsidR="00845D84" w:rsidRPr="00845D84">
        <w:rPr>
          <w:rFonts w:asciiTheme="minorHAnsi" w:hAnsiTheme="minorHAnsi" w:cstheme="minorHAnsi"/>
          <w:color w:val="000000" w:themeColor="text1"/>
          <w:sz w:val="20"/>
          <w:szCs w:val="18"/>
        </w:rPr>
        <w:t xml:space="preserve"> </w:t>
      </w:r>
      <w:r w:rsidRPr="00845D84">
        <w:rPr>
          <w:rFonts w:asciiTheme="minorHAnsi" w:hAnsiTheme="minorHAnsi" w:cstheme="minorHAnsi"/>
          <w:color w:val="000000" w:themeColor="text1"/>
          <w:sz w:val="20"/>
          <w:szCs w:val="18"/>
        </w:rPr>
        <w:t>mg</w:t>
      </w:r>
      <w:r w:rsidRPr="009D1960">
        <w:rPr>
          <w:rFonts w:asciiTheme="minorHAnsi" w:hAnsiTheme="minorHAnsi" w:cstheme="minorHAnsi"/>
          <w:color w:val="000000" w:themeColor="text1"/>
          <w:sz w:val="20"/>
          <w:szCs w:val="18"/>
        </w:rPr>
        <w:t xml:space="preserve"> pediatric formulation is available, the </w:t>
      </w:r>
      <w:r w:rsidRPr="00845D84">
        <w:rPr>
          <w:rFonts w:asciiTheme="minorHAnsi" w:hAnsiTheme="minorHAnsi" w:cstheme="minorHAnsi"/>
          <w:color w:val="000000" w:themeColor="text1"/>
          <w:sz w:val="20"/>
          <w:szCs w:val="18"/>
        </w:rPr>
        <w:t>50</w:t>
      </w:r>
      <w:r w:rsidR="00845D84" w:rsidRPr="00845D84">
        <w:rPr>
          <w:rFonts w:asciiTheme="minorHAnsi" w:hAnsiTheme="minorHAnsi" w:cstheme="minorHAnsi"/>
          <w:color w:val="000000" w:themeColor="text1"/>
          <w:sz w:val="20"/>
          <w:szCs w:val="18"/>
        </w:rPr>
        <w:t xml:space="preserve"> </w:t>
      </w:r>
      <w:r w:rsidRPr="00845D84">
        <w:rPr>
          <w:rFonts w:asciiTheme="minorHAnsi" w:hAnsiTheme="minorHAnsi" w:cstheme="minorHAnsi"/>
          <w:color w:val="000000" w:themeColor="text1"/>
          <w:sz w:val="20"/>
          <w:szCs w:val="18"/>
        </w:rPr>
        <w:t>mg</w:t>
      </w:r>
      <w:r w:rsidRPr="009D1960">
        <w:rPr>
          <w:rFonts w:asciiTheme="minorHAnsi" w:hAnsiTheme="minorHAnsi" w:cstheme="minorHAnsi"/>
          <w:color w:val="000000" w:themeColor="text1"/>
          <w:sz w:val="20"/>
          <w:szCs w:val="18"/>
        </w:rPr>
        <w:t xml:space="preserve"> tablet should be used with caution. Split tablets should not be saved for later administration for time periods longer than 12 hours.</w:t>
      </w:r>
    </w:p>
    <w:p w14:paraId="4DE34FC1" w14:textId="77777777" w:rsidR="004305C4" w:rsidRPr="009D1960" w:rsidRDefault="004305C4" w:rsidP="004305C4">
      <w:pPr>
        <w:ind w:left="720"/>
        <w:rPr>
          <w:rFonts w:asciiTheme="minorHAnsi" w:hAnsiTheme="minorHAnsi" w:cstheme="minorHAnsi"/>
          <w:color w:val="000000" w:themeColor="text1"/>
          <w:sz w:val="20"/>
          <w:szCs w:val="18"/>
        </w:rPr>
      </w:pPr>
    </w:p>
    <w:p w14:paraId="24777CBD" w14:textId="3874FA2C" w:rsidR="004305C4" w:rsidRPr="009D1960" w:rsidRDefault="004305C4" w:rsidP="004305C4">
      <w:pPr>
        <w:ind w:left="720"/>
        <w:rPr>
          <w:rFonts w:asciiTheme="minorHAnsi" w:hAnsiTheme="minorHAnsi" w:cstheme="minorHAnsi"/>
          <w:color w:val="000000" w:themeColor="text1"/>
          <w:sz w:val="20"/>
          <w:szCs w:val="20"/>
        </w:rPr>
      </w:pPr>
      <w:r w:rsidRPr="009D1960">
        <w:rPr>
          <w:rFonts w:asciiTheme="minorHAnsi" w:hAnsiTheme="minorHAnsi" w:cstheme="minorHAnsi"/>
          <w:color w:val="000000" w:themeColor="text1"/>
          <w:sz w:val="20"/>
          <w:szCs w:val="20"/>
        </w:rPr>
        <w:t>According to recent WHO guidelines (2018), delamanid is preferred to bedaquiline in children &lt;6 years, but bedaquiline can be considered in settings in which there is limited access to delamanid</w:t>
      </w:r>
      <w:r w:rsidR="00845D84">
        <w:rPr>
          <w:rFonts w:asciiTheme="minorHAnsi" w:hAnsiTheme="minorHAnsi" w:cstheme="minorHAnsi"/>
          <w:color w:val="000000" w:themeColor="text1"/>
          <w:sz w:val="20"/>
          <w:szCs w:val="20"/>
        </w:rPr>
        <w:t>. However,</w:t>
      </w:r>
      <w:r w:rsidRPr="009D1960">
        <w:rPr>
          <w:rFonts w:asciiTheme="minorHAnsi" w:hAnsiTheme="minorHAnsi" w:cstheme="minorHAnsi"/>
          <w:color w:val="000000" w:themeColor="text1"/>
          <w:sz w:val="20"/>
          <w:szCs w:val="20"/>
        </w:rPr>
        <w:t xml:space="preserve"> there are no data to guide the dosing of bedaquiline in this population and it would be considered an “expanded indication” (sometimes referred to as “off-label use”).</w:t>
      </w:r>
    </w:p>
    <w:p w14:paraId="16F923BF" w14:textId="77777777" w:rsidR="004305C4" w:rsidRPr="00B85017" w:rsidRDefault="004305C4" w:rsidP="004305C4">
      <w:pPr>
        <w:rPr>
          <w:color w:val="000000" w:themeColor="text1"/>
          <w:sz w:val="24"/>
          <w:szCs w:val="24"/>
        </w:rPr>
      </w:pPr>
      <w:r w:rsidRPr="00B85017">
        <w:rPr>
          <w:color w:val="000000" w:themeColor="text1"/>
          <w:sz w:val="24"/>
          <w:szCs w:val="24"/>
        </w:rPr>
        <w:br w:type="page"/>
      </w:r>
    </w:p>
    <w:p w14:paraId="3387D5A9" w14:textId="1C2B5683" w:rsidR="004305C4" w:rsidRPr="00B85017" w:rsidRDefault="004305C4" w:rsidP="00817D66">
      <w:pPr>
        <w:pStyle w:val="Heading6"/>
      </w:pPr>
      <w:bookmarkStart w:id="336" w:name="_Toc12950608"/>
      <w:bookmarkStart w:id="337" w:name="_Toc13076966"/>
      <w:r w:rsidRPr="00B85017">
        <w:lastRenderedPageBreak/>
        <w:t>Table 1h: Ethambutol</w:t>
      </w:r>
      <w:bookmarkEnd w:id="336"/>
      <w:bookmarkEnd w:id="337"/>
    </w:p>
    <w:tbl>
      <w:tblPr>
        <w:tblStyle w:val="TableGrid"/>
        <w:tblW w:w="0" w:type="auto"/>
        <w:tblLook w:val="04A0" w:firstRow="1" w:lastRow="0" w:firstColumn="1" w:lastColumn="0" w:noHBand="0" w:noVBand="1"/>
      </w:tblPr>
      <w:tblGrid>
        <w:gridCol w:w="1373"/>
        <w:gridCol w:w="1363"/>
        <w:gridCol w:w="4742"/>
        <w:gridCol w:w="1539"/>
      </w:tblGrid>
      <w:tr w:rsidR="004305C4" w:rsidRPr="00413517" w14:paraId="152361B5" w14:textId="77777777" w:rsidTr="00FB1DBA">
        <w:tc>
          <w:tcPr>
            <w:tcW w:w="1232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7D1C8DEE" w14:textId="6013D377" w:rsidR="004305C4" w:rsidRPr="00413517" w:rsidRDefault="004305C4" w:rsidP="00727AA7">
            <w:pPr>
              <w:jc w:val="center"/>
              <w:rPr>
                <w:rFonts w:asciiTheme="minorHAnsi" w:hAnsiTheme="minorHAnsi" w:cstheme="minorHAnsi"/>
                <w:b/>
                <w:color w:val="000000" w:themeColor="text1"/>
                <w:sz w:val="20"/>
              </w:rPr>
            </w:pPr>
            <w:r w:rsidRPr="00413517">
              <w:rPr>
                <w:rFonts w:asciiTheme="minorHAnsi" w:hAnsiTheme="minorHAnsi" w:cstheme="minorHAnsi"/>
                <w:b/>
                <w:color w:val="000000" w:themeColor="text1"/>
                <w:sz w:val="20"/>
              </w:rPr>
              <w:t>Ethambutol 100</w:t>
            </w:r>
            <w:r w:rsidR="00413517">
              <w:rPr>
                <w:rFonts w:asciiTheme="minorHAnsi" w:hAnsiTheme="minorHAnsi" w:cstheme="minorHAnsi"/>
                <w:b/>
                <w:color w:val="000000" w:themeColor="text1"/>
                <w:sz w:val="20"/>
              </w:rPr>
              <w:t xml:space="preserve"> </w:t>
            </w:r>
            <w:r w:rsidRPr="00413517">
              <w:rPr>
                <w:rFonts w:asciiTheme="minorHAnsi" w:hAnsiTheme="minorHAnsi" w:cstheme="minorHAnsi"/>
                <w:b/>
                <w:color w:val="000000" w:themeColor="text1"/>
                <w:sz w:val="20"/>
              </w:rPr>
              <w:t>mg</w:t>
            </w:r>
          </w:p>
          <w:p w14:paraId="4B7DE5FC" w14:textId="73ECD77D" w:rsidR="004305C4" w:rsidRPr="00413517" w:rsidRDefault="004305C4" w:rsidP="00727AA7">
            <w:pPr>
              <w:jc w:val="center"/>
              <w:rPr>
                <w:rFonts w:asciiTheme="minorHAnsi" w:hAnsiTheme="minorHAnsi" w:cstheme="minorHAnsi"/>
                <w:color w:val="000000" w:themeColor="text1"/>
                <w:sz w:val="20"/>
              </w:rPr>
            </w:pPr>
            <w:r w:rsidRPr="00413517">
              <w:rPr>
                <w:rFonts w:asciiTheme="minorHAnsi" w:hAnsiTheme="minorHAnsi" w:cstheme="minorHAnsi"/>
                <w:color w:val="000000" w:themeColor="text1"/>
                <w:sz w:val="20"/>
              </w:rPr>
              <w:t>Recommended Dosing: 15-25</w:t>
            </w:r>
            <w:r w:rsidR="00413517">
              <w:rPr>
                <w:rFonts w:asciiTheme="minorHAnsi" w:hAnsiTheme="minorHAnsi" w:cstheme="minorHAnsi"/>
                <w:color w:val="000000" w:themeColor="text1"/>
                <w:sz w:val="20"/>
              </w:rPr>
              <w:t xml:space="preserve"> </w:t>
            </w:r>
            <w:r w:rsidRPr="00413517">
              <w:rPr>
                <w:rFonts w:asciiTheme="minorHAnsi" w:hAnsiTheme="minorHAnsi" w:cstheme="minorHAnsi"/>
                <w:color w:val="000000" w:themeColor="text1"/>
                <w:sz w:val="20"/>
              </w:rPr>
              <w:t>mg/kg/day</w:t>
            </w:r>
          </w:p>
          <w:p w14:paraId="37ECDE92" w14:textId="77777777" w:rsidR="004305C4" w:rsidRPr="00413517" w:rsidRDefault="004305C4" w:rsidP="00727AA7">
            <w:pPr>
              <w:jc w:val="center"/>
              <w:rPr>
                <w:rFonts w:asciiTheme="minorHAnsi" w:hAnsiTheme="minorHAnsi" w:cstheme="minorHAnsi"/>
                <w:color w:val="000000" w:themeColor="text1"/>
                <w:sz w:val="24"/>
              </w:rPr>
            </w:pPr>
            <w:r w:rsidRPr="00413517">
              <w:rPr>
                <w:rFonts w:asciiTheme="minorHAnsi" w:hAnsiTheme="minorHAnsi" w:cstheme="minorHAnsi"/>
                <w:color w:val="000000" w:themeColor="text1"/>
                <w:sz w:val="20"/>
              </w:rPr>
              <w:t>Weight-based dosing</w:t>
            </w:r>
          </w:p>
        </w:tc>
      </w:tr>
      <w:tr w:rsidR="004305C4" w:rsidRPr="00413517" w14:paraId="0097A13A"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6807FE" w14:textId="77777777"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b/>
                <w:color w:val="000000" w:themeColor="text1"/>
                <w:sz w:val="20"/>
                <w:szCs w:val="20"/>
              </w:rPr>
              <w:t>Weight Band (kg)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074754" w14:textId="77777777"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b/>
                <w:color w:val="000000" w:themeColor="text1"/>
                <w:sz w:val="20"/>
                <w:szCs w:val="20"/>
              </w:rPr>
              <w:t>Dose</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485A39" w14:textId="73A45C36"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b/>
                <w:color w:val="000000" w:themeColor="text1"/>
                <w:sz w:val="20"/>
                <w:szCs w:val="20"/>
              </w:rPr>
              <w:t>100</w:t>
            </w:r>
            <w:r w:rsidR="00413517">
              <w:rPr>
                <w:rFonts w:asciiTheme="minorHAnsi" w:hAnsiTheme="minorHAnsi" w:cstheme="minorHAnsi"/>
                <w:b/>
                <w:color w:val="000000" w:themeColor="text1"/>
                <w:sz w:val="20"/>
                <w:szCs w:val="20"/>
              </w:rPr>
              <w:t xml:space="preserve"> </w:t>
            </w:r>
            <w:r w:rsidRPr="00413517">
              <w:rPr>
                <w:rFonts w:asciiTheme="minorHAnsi" w:hAnsiTheme="minorHAnsi" w:cstheme="minorHAnsi"/>
                <w:b/>
                <w:color w:val="000000" w:themeColor="text1"/>
                <w:sz w:val="20"/>
                <w:szCs w:val="20"/>
              </w:rPr>
              <w:t>mg tablets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BA2E87" w14:textId="0372779C"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b/>
                <w:color w:val="000000" w:themeColor="text1"/>
                <w:sz w:val="20"/>
                <w:szCs w:val="20"/>
              </w:rPr>
              <w:t>400</w:t>
            </w:r>
            <w:r w:rsidR="00413517">
              <w:rPr>
                <w:rFonts w:asciiTheme="minorHAnsi" w:hAnsiTheme="minorHAnsi" w:cstheme="minorHAnsi"/>
                <w:b/>
                <w:color w:val="000000" w:themeColor="text1"/>
                <w:sz w:val="20"/>
                <w:szCs w:val="20"/>
              </w:rPr>
              <w:t xml:space="preserve"> </w:t>
            </w:r>
            <w:r w:rsidRPr="00413517">
              <w:rPr>
                <w:rFonts w:asciiTheme="minorHAnsi" w:hAnsiTheme="minorHAnsi" w:cstheme="minorHAnsi"/>
                <w:b/>
                <w:color w:val="000000" w:themeColor="text1"/>
                <w:sz w:val="20"/>
                <w:szCs w:val="20"/>
              </w:rPr>
              <w:t>mg tablets</w:t>
            </w:r>
          </w:p>
        </w:tc>
      </w:tr>
      <w:tr w:rsidR="004305C4" w:rsidRPr="00413517" w14:paraId="5478B985"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10D9AD" w14:textId="5963560A"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7BB71D" w14:textId="52E8AA94"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9CBE" w14:textId="78CD9CAA"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Mix 100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 tablet in 10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water and administer 2</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mixture immediately</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5EA42"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6D831159"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721176" w14:textId="03002E95"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14B628" w14:textId="3907B151"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9CF1A7" w14:textId="70C51EAB"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Mix 100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 tablet in 10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water and administer 4</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mixture immediately</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F5454"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1F0A24FD"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3D86D4" w14:textId="55367B28"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6A6AD3" w14:textId="261FA33F"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70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910B80" w14:textId="08BEA3E3"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Mix 100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 tablet in 10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water and administer 7</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mixture immediately</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30816"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5B07F149"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39AE16" w14:textId="14A2018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4-6</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D87A54" w14:textId="2621452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D9B76B"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E419D"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6D56952C"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C061C6" w14:textId="6566A9FB"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7-9</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73C41F" w14:textId="2E93E098"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378EE8"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25C94"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3E870D29"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5991E" w14:textId="7A1BFBF6"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10-12</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EFEF89" w14:textId="4CB0CEA9"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53A3A"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57ACA6"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052D725F"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10A1DB" w14:textId="11B27BAE"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13-15</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1E2D1E" w14:textId="073F8CEB"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B5BA95"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3A212"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7D0BA134"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89544B" w14:textId="281F1E2B"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16-18</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739A6A"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350 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F78DD4"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08D621"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5F94697C"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343357" w14:textId="4CD526E5"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19-20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A2565D" w14:textId="2841FFC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D80BBE"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76FAF"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w:t>
            </w:r>
          </w:p>
        </w:tc>
      </w:tr>
      <w:tr w:rsidR="004305C4" w:rsidRPr="00413517" w14:paraId="7361544C"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9F9CE0" w14:textId="06FE2DF1"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21-23</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22D9F" w14:textId="60353650"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ACE3FD"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30F5D"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w:t>
            </w:r>
          </w:p>
        </w:tc>
      </w:tr>
      <w:tr w:rsidR="004305C4" w:rsidRPr="00413517" w14:paraId="3EC035DD"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EBEEED" w14:textId="24489494"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24-31</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39FC19" w14:textId="2672DEA4"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500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892A9E"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34B993"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1.5</w:t>
            </w:r>
          </w:p>
        </w:tc>
      </w:tr>
      <w:tr w:rsidR="004305C4" w:rsidRPr="00413517" w14:paraId="2882D447" w14:textId="77777777" w:rsidTr="00727AA7">
        <w:tc>
          <w:tcPr>
            <w:tcW w:w="1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DF239E" w14:textId="1FD3F932"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31-35</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66576B" w14:textId="220BAECF"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800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345074"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F4EE7"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w:t>
            </w:r>
          </w:p>
        </w:tc>
      </w:tr>
    </w:tbl>
    <w:p w14:paraId="3E1671E6" w14:textId="77777777" w:rsidR="004305C4" w:rsidRPr="00B85017" w:rsidRDefault="004305C4" w:rsidP="004305C4">
      <w:pPr>
        <w:rPr>
          <w:color w:val="000000" w:themeColor="text1"/>
          <w:sz w:val="24"/>
        </w:rPr>
      </w:pPr>
    </w:p>
    <w:p w14:paraId="0A4F7513" w14:textId="254B08E2" w:rsidR="00727AA7" w:rsidRPr="00B85017" w:rsidRDefault="00727AA7">
      <w:pPr>
        <w:spacing w:before="0" w:after="0"/>
        <w:jc w:val="left"/>
        <w:rPr>
          <w:color w:val="000000" w:themeColor="text1"/>
          <w:sz w:val="24"/>
        </w:rPr>
      </w:pPr>
      <w:r w:rsidRPr="00B85017">
        <w:rPr>
          <w:color w:val="000000" w:themeColor="text1"/>
          <w:sz w:val="24"/>
        </w:rPr>
        <w:br w:type="page"/>
      </w:r>
    </w:p>
    <w:p w14:paraId="4AA09BAB" w14:textId="77777777" w:rsidR="00727AA7" w:rsidRPr="00B85017" w:rsidRDefault="00727AA7" w:rsidP="004305C4">
      <w:pPr>
        <w:rPr>
          <w:color w:val="000000" w:themeColor="text1"/>
          <w:sz w:val="24"/>
        </w:rPr>
      </w:pPr>
    </w:p>
    <w:p w14:paraId="1F501208" w14:textId="2BE9C7C0" w:rsidR="004305C4" w:rsidRPr="00B85017" w:rsidRDefault="004305C4" w:rsidP="00817D66">
      <w:pPr>
        <w:pStyle w:val="Heading6"/>
      </w:pPr>
      <w:bookmarkStart w:id="338" w:name="_Toc12950609"/>
      <w:bookmarkStart w:id="339" w:name="_Toc13076967"/>
      <w:r w:rsidRPr="00B85017">
        <w:t>Table 1i: Pyrazinamide</w:t>
      </w:r>
      <w:bookmarkEnd w:id="338"/>
      <w:bookmarkEnd w:id="339"/>
    </w:p>
    <w:tbl>
      <w:tblPr>
        <w:tblStyle w:val="TableGrid"/>
        <w:tblW w:w="0" w:type="auto"/>
        <w:tblLook w:val="04A0" w:firstRow="1" w:lastRow="0" w:firstColumn="1" w:lastColumn="0" w:noHBand="0" w:noVBand="1"/>
      </w:tblPr>
      <w:tblGrid>
        <w:gridCol w:w="1518"/>
        <w:gridCol w:w="1247"/>
        <w:gridCol w:w="4739"/>
        <w:gridCol w:w="1513"/>
      </w:tblGrid>
      <w:tr w:rsidR="004305C4" w:rsidRPr="00413517" w14:paraId="02CA00D6" w14:textId="77777777" w:rsidTr="00FB1DBA">
        <w:tc>
          <w:tcPr>
            <w:tcW w:w="1232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5DD08942" w14:textId="77777777" w:rsidR="004305C4" w:rsidRPr="00413517" w:rsidRDefault="004305C4" w:rsidP="00727AA7">
            <w:pPr>
              <w:jc w:val="center"/>
              <w:rPr>
                <w:rFonts w:asciiTheme="minorHAnsi" w:hAnsiTheme="minorHAnsi" w:cstheme="minorHAnsi"/>
                <w:b/>
                <w:color w:val="000000" w:themeColor="text1"/>
                <w:sz w:val="20"/>
              </w:rPr>
            </w:pPr>
            <w:r w:rsidRPr="00413517">
              <w:rPr>
                <w:rFonts w:asciiTheme="minorHAnsi" w:hAnsiTheme="minorHAnsi" w:cstheme="minorHAnsi"/>
                <w:b/>
                <w:color w:val="000000" w:themeColor="text1"/>
                <w:sz w:val="20"/>
              </w:rPr>
              <w:t>Pyrazinamide</w:t>
            </w:r>
          </w:p>
          <w:p w14:paraId="242E8657" w14:textId="74DF09CE" w:rsidR="004305C4" w:rsidRPr="00413517" w:rsidRDefault="004305C4" w:rsidP="00727AA7">
            <w:pPr>
              <w:jc w:val="center"/>
              <w:rPr>
                <w:rFonts w:asciiTheme="minorHAnsi" w:hAnsiTheme="minorHAnsi" w:cstheme="minorHAnsi"/>
                <w:color w:val="000000" w:themeColor="text1"/>
                <w:sz w:val="20"/>
              </w:rPr>
            </w:pPr>
            <w:r w:rsidRPr="00413517">
              <w:rPr>
                <w:rFonts w:asciiTheme="minorHAnsi" w:hAnsiTheme="minorHAnsi" w:cstheme="minorHAnsi"/>
                <w:color w:val="000000" w:themeColor="text1"/>
                <w:sz w:val="20"/>
              </w:rPr>
              <w:t>Recommended dose: 30-40</w:t>
            </w:r>
            <w:r w:rsidR="00413517">
              <w:rPr>
                <w:rFonts w:asciiTheme="minorHAnsi" w:hAnsiTheme="minorHAnsi" w:cstheme="minorHAnsi"/>
                <w:color w:val="000000" w:themeColor="text1"/>
                <w:sz w:val="20"/>
              </w:rPr>
              <w:t xml:space="preserve"> </w:t>
            </w:r>
            <w:r w:rsidRPr="00413517">
              <w:rPr>
                <w:rFonts w:asciiTheme="minorHAnsi" w:hAnsiTheme="minorHAnsi" w:cstheme="minorHAnsi"/>
                <w:color w:val="000000" w:themeColor="text1"/>
                <w:sz w:val="20"/>
              </w:rPr>
              <w:t>mg/kg/day</w:t>
            </w:r>
          </w:p>
          <w:p w14:paraId="27E47785" w14:textId="77777777"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color w:val="000000" w:themeColor="text1"/>
                <w:sz w:val="20"/>
              </w:rPr>
              <w:t>Weight-based dosing</w:t>
            </w:r>
          </w:p>
        </w:tc>
      </w:tr>
      <w:tr w:rsidR="004305C4" w:rsidRPr="00413517" w14:paraId="13F1235F"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8ECB37" w14:textId="77777777"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b/>
                <w:color w:val="000000" w:themeColor="text1"/>
                <w:sz w:val="20"/>
                <w:szCs w:val="20"/>
              </w:rPr>
              <w:t>Weight Band (kg)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16BCAB" w14:textId="77777777"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b/>
                <w:color w:val="000000" w:themeColor="text1"/>
                <w:sz w:val="20"/>
                <w:szCs w:val="20"/>
              </w:rPr>
              <w:t>Dose</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50EC19" w14:textId="2B8827A3"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b/>
                <w:color w:val="000000" w:themeColor="text1"/>
                <w:sz w:val="20"/>
                <w:szCs w:val="20"/>
              </w:rPr>
              <w:t>150</w:t>
            </w:r>
            <w:r w:rsidR="00413517">
              <w:rPr>
                <w:rFonts w:asciiTheme="minorHAnsi" w:hAnsiTheme="minorHAnsi" w:cstheme="minorHAnsi"/>
                <w:b/>
                <w:color w:val="000000" w:themeColor="text1"/>
                <w:sz w:val="20"/>
                <w:szCs w:val="20"/>
              </w:rPr>
              <w:t xml:space="preserve"> </w:t>
            </w:r>
            <w:r w:rsidRPr="00413517">
              <w:rPr>
                <w:rFonts w:asciiTheme="minorHAnsi" w:hAnsiTheme="minorHAnsi" w:cstheme="minorHAnsi"/>
                <w:b/>
                <w:color w:val="000000" w:themeColor="text1"/>
                <w:sz w:val="20"/>
                <w:szCs w:val="20"/>
              </w:rPr>
              <w:t>mg dispersible tablets</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7E5E37" w14:textId="21655F2D" w:rsidR="004305C4" w:rsidRPr="00413517" w:rsidRDefault="004305C4" w:rsidP="00727AA7">
            <w:pPr>
              <w:jc w:val="center"/>
              <w:rPr>
                <w:rFonts w:asciiTheme="minorHAnsi" w:hAnsiTheme="minorHAnsi" w:cstheme="minorHAnsi"/>
                <w:b/>
                <w:color w:val="000000" w:themeColor="text1"/>
                <w:sz w:val="20"/>
                <w:szCs w:val="20"/>
              </w:rPr>
            </w:pPr>
            <w:r w:rsidRPr="00413517">
              <w:rPr>
                <w:rFonts w:asciiTheme="minorHAnsi" w:hAnsiTheme="minorHAnsi" w:cstheme="minorHAnsi"/>
                <w:b/>
                <w:color w:val="000000" w:themeColor="text1"/>
                <w:sz w:val="20"/>
                <w:szCs w:val="20"/>
              </w:rPr>
              <w:t>500</w:t>
            </w:r>
            <w:r w:rsidR="00413517">
              <w:rPr>
                <w:rFonts w:asciiTheme="minorHAnsi" w:hAnsiTheme="minorHAnsi" w:cstheme="minorHAnsi"/>
                <w:b/>
                <w:color w:val="000000" w:themeColor="text1"/>
                <w:sz w:val="20"/>
                <w:szCs w:val="20"/>
              </w:rPr>
              <w:t xml:space="preserve"> </w:t>
            </w:r>
            <w:r w:rsidRPr="00413517">
              <w:rPr>
                <w:rFonts w:asciiTheme="minorHAnsi" w:hAnsiTheme="minorHAnsi" w:cstheme="minorHAnsi"/>
                <w:b/>
                <w:color w:val="000000" w:themeColor="text1"/>
                <w:sz w:val="20"/>
                <w:szCs w:val="20"/>
              </w:rPr>
              <w:t>mg tablet</w:t>
            </w:r>
          </w:p>
        </w:tc>
      </w:tr>
      <w:tr w:rsidR="004305C4" w:rsidRPr="00413517" w14:paraId="7ED22697"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6C09D" w14:textId="4900F559"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781D5A" w14:textId="44D1336B"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0AE91F" w14:textId="16E2F78C"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Mix 150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 tablet in 10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water and administer 2</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mixture immediately</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E4BE4"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648B6705"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F7AF8" w14:textId="1C3F64B1"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BD6FB5" w14:textId="4706A1EF"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60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735702" w14:textId="7E46BF0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Mix 150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 tablet in 10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water and administer 4</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mixture immediately</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DC2EA"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288B4230"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FC06C1" w14:textId="7B1B6D7F"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9BEF15" w14:textId="66448803"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90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2FD1B8" w14:textId="15C9DFA8"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Mix 150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 tablet in 10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water and administer 6</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ml of mixture immediately</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D588E"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638B5B99"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76F5FF" w14:textId="7C95FD34"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4-6</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C7E0D9" w14:textId="211FB78B"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09BAED"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54F016"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6777CAC5"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45F417" w14:textId="58D10884"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7-9</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B20BB2" w14:textId="6640928F"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225</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777086"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49BC0"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7B923768"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AE658" w14:textId="56435349"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10-12</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53A4B2" w14:textId="6FDF01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375</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E21BB4"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D9677"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5824F7C2"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648B5D" w14:textId="36060DDD"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13-15</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434EEB" w14:textId="214EA909"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3768EF"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17151"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w:t>
            </w:r>
          </w:p>
        </w:tc>
      </w:tr>
      <w:tr w:rsidR="004305C4" w:rsidRPr="00413517" w14:paraId="0EC0B804"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41A452" w14:textId="61B77843"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16-18</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49A544" w14:textId="568D92CE"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525</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562CD8"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034025"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w:t>
            </w:r>
          </w:p>
        </w:tc>
      </w:tr>
      <w:tr w:rsidR="004305C4" w:rsidRPr="00413517" w14:paraId="51E32F58"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602C80" w14:textId="1045DB54"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19-20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97E313" w14:textId="62FBEDF8"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600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F08B2"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2D88BB"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1.25</w:t>
            </w:r>
          </w:p>
        </w:tc>
      </w:tr>
      <w:tr w:rsidR="004305C4" w:rsidRPr="00413517" w14:paraId="71D59BCF"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9C32C4" w14:textId="75E535BB"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21-23</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543CFA" w14:textId="754B43B0"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675</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B4305E"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4.5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B04F0D"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1.5</w:t>
            </w:r>
          </w:p>
        </w:tc>
      </w:tr>
      <w:tr w:rsidR="004305C4" w:rsidRPr="00413517" w14:paraId="6F75A53F"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7383B" w14:textId="6370A169"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24-30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C4F5CB" w14:textId="72ED1754"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750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1635BB"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5</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17F743"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1.5-2</w:t>
            </w:r>
          </w:p>
        </w:tc>
      </w:tr>
      <w:tr w:rsidR="004305C4" w:rsidRPr="00413517" w14:paraId="39119637" w14:textId="77777777" w:rsidTr="00727AA7">
        <w:tc>
          <w:tcPr>
            <w:tcW w:w="19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514EE9" w14:textId="0CA4D7B9"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31-35</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kg</w:t>
            </w:r>
          </w:p>
        </w:tc>
        <w:tc>
          <w:tcPr>
            <w:tcW w:w="16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4CFF36" w14:textId="2AF47E65"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1250</w:t>
            </w:r>
            <w:r w:rsidR="00413517">
              <w:rPr>
                <w:rFonts w:asciiTheme="minorHAnsi" w:hAnsiTheme="minorHAnsi" w:cstheme="minorHAnsi"/>
                <w:color w:val="000000" w:themeColor="text1"/>
                <w:sz w:val="20"/>
                <w:szCs w:val="20"/>
              </w:rPr>
              <w:t xml:space="preserve"> </w:t>
            </w:r>
            <w:r w:rsidRPr="00413517">
              <w:rPr>
                <w:rFonts w:asciiTheme="minorHAnsi" w:hAnsiTheme="minorHAnsi" w:cstheme="minorHAnsi"/>
                <w:color w:val="000000" w:themeColor="text1"/>
                <w:sz w:val="20"/>
                <w:szCs w:val="20"/>
              </w:rPr>
              <w:t>mg</w:t>
            </w:r>
          </w:p>
        </w:tc>
        <w:tc>
          <w:tcPr>
            <w:tcW w:w="68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E787CB" w14:textId="77777777" w:rsidR="004305C4" w:rsidRPr="00413517" w:rsidRDefault="004305C4" w:rsidP="00727AA7">
            <w:pPr>
              <w:jc w:val="center"/>
              <w:rPr>
                <w:rFonts w:asciiTheme="minorHAnsi" w:hAnsiTheme="minorHAnsi" w:cstheme="minorHAnsi"/>
                <w:color w:val="000000" w:themeColor="text1"/>
                <w:sz w:val="20"/>
                <w:szCs w:val="2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515408" w14:textId="77777777" w:rsidR="004305C4" w:rsidRPr="00413517" w:rsidRDefault="004305C4" w:rsidP="00727AA7">
            <w:pPr>
              <w:jc w:val="center"/>
              <w:rPr>
                <w:rFonts w:asciiTheme="minorHAnsi" w:hAnsiTheme="minorHAnsi" w:cstheme="minorHAnsi"/>
                <w:color w:val="000000" w:themeColor="text1"/>
                <w:sz w:val="20"/>
                <w:szCs w:val="20"/>
              </w:rPr>
            </w:pPr>
            <w:r w:rsidRPr="00413517">
              <w:rPr>
                <w:rFonts w:asciiTheme="minorHAnsi" w:hAnsiTheme="minorHAnsi" w:cstheme="minorHAnsi"/>
                <w:color w:val="000000" w:themeColor="text1"/>
                <w:sz w:val="20"/>
                <w:szCs w:val="20"/>
              </w:rPr>
              <w:t>2.5</w:t>
            </w:r>
          </w:p>
        </w:tc>
      </w:tr>
    </w:tbl>
    <w:p w14:paraId="72BC979D" w14:textId="77777777" w:rsidR="004305C4" w:rsidRPr="00B85017" w:rsidRDefault="004305C4" w:rsidP="004305C4">
      <w:pPr>
        <w:pStyle w:val="BodyText"/>
        <w:spacing w:before="5"/>
        <w:rPr>
          <w:color w:val="000000" w:themeColor="text1"/>
        </w:rPr>
      </w:pPr>
    </w:p>
    <w:p w14:paraId="00287A55" w14:textId="77777777" w:rsidR="00727AA7" w:rsidRPr="00B85017" w:rsidRDefault="00727AA7">
      <w:pPr>
        <w:spacing w:before="0" w:after="0"/>
        <w:jc w:val="left"/>
        <w:rPr>
          <w:color w:val="000000" w:themeColor="text1"/>
        </w:rPr>
      </w:pPr>
      <w:r w:rsidRPr="00B85017">
        <w:rPr>
          <w:color w:val="000000" w:themeColor="text1"/>
        </w:rPr>
        <w:br w:type="page"/>
      </w:r>
    </w:p>
    <w:p w14:paraId="481167DB" w14:textId="09095483" w:rsidR="004305C4" w:rsidRPr="00B85017" w:rsidRDefault="004305C4" w:rsidP="00817D66">
      <w:pPr>
        <w:pStyle w:val="Heading6"/>
      </w:pPr>
      <w:bookmarkStart w:id="340" w:name="_Toc12950610"/>
      <w:bookmarkStart w:id="341" w:name="_Toc13076968"/>
      <w:r w:rsidRPr="00B85017">
        <w:lastRenderedPageBreak/>
        <w:t xml:space="preserve">Table 1j: </w:t>
      </w:r>
      <w:r w:rsidR="00817D66">
        <w:t>E</w:t>
      </w:r>
      <w:r w:rsidRPr="00B85017">
        <w:t>thionamid</w:t>
      </w:r>
      <w:r w:rsidR="00727AA7" w:rsidRPr="00B85017">
        <w:t>e</w:t>
      </w:r>
      <w:bookmarkEnd w:id="340"/>
      <w:bookmarkEnd w:id="341"/>
    </w:p>
    <w:tbl>
      <w:tblPr>
        <w:tblStyle w:val="TableGrid"/>
        <w:tblW w:w="0" w:type="auto"/>
        <w:tblLook w:val="04A0" w:firstRow="1" w:lastRow="0" w:firstColumn="1" w:lastColumn="0" w:noHBand="0" w:noVBand="1"/>
      </w:tblPr>
      <w:tblGrid>
        <w:gridCol w:w="1595"/>
        <w:gridCol w:w="1557"/>
        <w:gridCol w:w="3536"/>
        <w:gridCol w:w="2329"/>
      </w:tblGrid>
      <w:tr w:rsidR="004305C4" w:rsidRPr="00167112" w14:paraId="0AE3C695" w14:textId="77777777" w:rsidTr="00FB1DBA">
        <w:tc>
          <w:tcPr>
            <w:tcW w:w="1275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5ECA2648" w14:textId="77777777" w:rsidR="004305C4" w:rsidRPr="00167112" w:rsidRDefault="004305C4" w:rsidP="00727AA7">
            <w:pPr>
              <w:ind w:left="294"/>
              <w:jc w:val="center"/>
              <w:rPr>
                <w:rFonts w:asciiTheme="minorHAnsi" w:hAnsiTheme="minorHAnsi" w:cstheme="minorHAnsi"/>
                <w:b/>
                <w:color w:val="000000" w:themeColor="text1"/>
                <w:sz w:val="20"/>
              </w:rPr>
            </w:pPr>
            <w:r w:rsidRPr="00167112">
              <w:rPr>
                <w:rFonts w:asciiTheme="minorHAnsi" w:hAnsiTheme="minorHAnsi" w:cstheme="minorHAnsi"/>
                <w:b/>
                <w:color w:val="000000" w:themeColor="text1"/>
                <w:sz w:val="20"/>
              </w:rPr>
              <w:t>Ethionamide</w:t>
            </w:r>
          </w:p>
          <w:p w14:paraId="0C2B7D50" w14:textId="137C4F65" w:rsidR="004305C4" w:rsidRPr="00167112" w:rsidRDefault="004305C4" w:rsidP="00727AA7">
            <w:pPr>
              <w:ind w:left="294"/>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Recommended dose: 15-20</w:t>
            </w:r>
            <w:r w:rsidR="00167112">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mg/kg/day</w:t>
            </w:r>
          </w:p>
          <w:p w14:paraId="7B7321C7" w14:textId="77777777" w:rsidR="004305C4" w:rsidRPr="00167112" w:rsidRDefault="004305C4" w:rsidP="00727AA7">
            <w:pPr>
              <w:ind w:left="294"/>
              <w:jc w:val="center"/>
              <w:rPr>
                <w:rFonts w:asciiTheme="minorHAnsi" w:hAnsiTheme="minorHAnsi" w:cstheme="minorHAnsi"/>
                <w:b/>
                <w:color w:val="000000" w:themeColor="text1"/>
                <w:sz w:val="20"/>
                <w:szCs w:val="20"/>
              </w:rPr>
            </w:pPr>
            <w:r w:rsidRPr="00167112">
              <w:rPr>
                <w:rFonts w:asciiTheme="minorHAnsi" w:hAnsiTheme="minorHAnsi" w:cstheme="minorHAnsi"/>
                <w:color w:val="000000" w:themeColor="text1"/>
                <w:sz w:val="20"/>
              </w:rPr>
              <w:t>Weight-based dosing</w:t>
            </w:r>
          </w:p>
        </w:tc>
      </w:tr>
      <w:tr w:rsidR="004305C4" w:rsidRPr="00167112" w14:paraId="5E6D37B6"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45FC32" w14:textId="77777777" w:rsidR="004305C4" w:rsidRPr="00167112" w:rsidRDefault="004305C4" w:rsidP="00727AA7">
            <w:pPr>
              <w:ind w:left="294"/>
              <w:jc w:val="center"/>
              <w:rPr>
                <w:rFonts w:asciiTheme="minorHAnsi" w:hAnsiTheme="minorHAnsi" w:cstheme="minorHAnsi"/>
                <w:b/>
                <w:color w:val="000000" w:themeColor="text1"/>
                <w:sz w:val="20"/>
                <w:szCs w:val="20"/>
              </w:rPr>
            </w:pPr>
            <w:r w:rsidRPr="00167112">
              <w:rPr>
                <w:rFonts w:asciiTheme="minorHAnsi" w:hAnsiTheme="minorHAnsi" w:cstheme="minorHAnsi"/>
                <w:b/>
                <w:color w:val="000000" w:themeColor="text1"/>
                <w:sz w:val="20"/>
                <w:szCs w:val="20"/>
              </w:rPr>
              <w:t>Weight Band (kg)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E9019A" w14:textId="77777777" w:rsidR="004305C4" w:rsidRPr="00167112" w:rsidRDefault="004305C4" w:rsidP="00727AA7">
            <w:pPr>
              <w:ind w:left="294"/>
              <w:jc w:val="center"/>
              <w:rPr>
                <w:rFonts w:asciiTheme="minorHAnsi" w:hAnsiTheme="minorHAnsi" w:cstheme="minorHAnsi"/>
                <w:b/>
                <w:color w:val="000000" w:themeColor="text1"/>
                <w:sz w:val="20"/>
                <w:szCs w:val="20"/>
              </w:rPr>
            </w:pPr>
            <w:r w:rsidRPr="00167112">
              <w:rPr>
                <w:rFonts w:asciiTheme="minorHAnsi" w:hAnsiTheme="minorHAnsi" w:cstheme="minorHAnsi"/>
                <w:b/>
                <w:color w:val="000000" w:themeColor="text1"/>
                <w:sz w:val="20"/>
                <w:szCs w:val="20"/>
              </w:rPr>
              <w:t>Dose</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EF38F3" w14:textId="21CD63B3" w:rsidR="004305C4" w:rsidRPr="00167112" w:rsidRDefault="004305C4" w:rsidP="00727AA7">
            <w:pPr>
              <w:ind w:left="294"/>
              <w:jc w:val="center"/>
              <w:rPr>
                <w:rFonts w:asciiTheme="minorHAnsi" w:hAnsiTheme="minorHAnsi" w:cstheme="minorHAnsi"/>
                <w:b/>
                <w:color w:val="000000" w:themeColor="text1"/>
                <w:sz w:val="20"/>
                <w:szCs w:val="20"/>
              </w:rPr>
            </w:pPr>
            <w:r w:rsidRPr="00167112">
              <w:rPr>
                <w:rFonts w:asciiTheme="minorHAnsi" w:hAnsiTheme="minorHAnsi" w:cstheme="minorHAnsi"/>
                <w:b/>
                <w:color w:val="000000" w:themeColor="text1"/>
                <w:sz w:val="20"/>
                <w:szCs w:val="20"/>
              </w:rPr>
              <w:t>125</w:t>
            </w:r>
            <w:r w:rsidR="00167112">
              <w:rPr>
                <w:rFonts w:asciiTheme="minorHAnsi" w:hAnsiTheme="minorHAnsi" w:cstheme="minorHAnsi"/>
                <w:b/>
                <w:color w:val="000000" w:themeColor="text1"/>
                <w:sz w:val="20"/>
                <w:szCs w:val="20"/>
              </w:rPr>
              <w:t xml:space="preserve"> </w:t>
            </w:r>
            <w:r w:rsidRPr="00167112">
              <w:rPr>
                <w:rFonts w:asciiTheme="minorHAnsi" w:hAnsiTheme="minorHAnsi" w:cstheme="minorHAnsi"/>
                <w:b/>
                <w:color w:val="000000" w:themeColor="text1"/>
                <w:sz w:val="20"/>
                <w:szCs w:val="20"/>
              </w:rPr>
              <w:t>mg tablets</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68B179" w14:textId="03ECCE27" w:rsidR="004305C4" w:rsidRPr="00167112" w:rsidRDefault="004305C4" w:rsidP="00727AA7">
            <w:pPr>
              <w:ind w:left="294"/>
              <w:jc w:val="center"/>
              <w:rPr>
                <w:rFonts w:asciiTheme="minorHAnsi" w:hAnsiTheme="minorHAnsi" w:cstheme="minorHAnsi"/>
                <w:b/>
                <w:color w:val="000000" w:themeColor="text1"/>
                <w:sz w:val="20"/>
                <w:szCs w:val="20"/>
              </w:rPr>
            </w:pPr>
            <w:r w:rsidRPr="00167112">
              <w:rPr>
                <w:rFonts w:asciiTheme="minorHAnsi" w:hAnsiTheme="minorHAnsi" w:cstheme="minorHAnsi"/>
                <w:b/>
                <w:color w:val="000000" w:themeColor="text1"/>
                <w:sz w:val="20"/>
                <w:szCs w:val="20"/>
              </w:rPr>
              <w:t>250</w:t>
            </w:r>
            <w:r w:rsidR="00167112">
              <w:rPr>
                <w:rFonts w:asciiTheme="minorHAnsi" w:hAnsiTheme="minorHAnsi" w:cstheme="minorHAnsi"/>
                <w:b/>
                <w:color w:val="000000" w:themeColor="text1"/>
                <w:sz w:val="20"/>
                <w:szCs w:val="20"/>
              </w:rPr>
              <w:t xml:space="preserve"> </w:t>
            </w:r>
            <w:r w:rsidRPr="00167112">
              <w:rPr>
                <w:rFonts w:asciiTheme="minorHAnsi" w:hAnsiTheme="minorHAnsi" w:cstheme="minorHAnsi"/>
                <w:b/>
                <w:color w:val="000000" w:themeColor="text1"/>
                <w:sz w:val="20"/>
                <w:szCs w:val="20"/>
              </w:rPr>
              <w:t>mg tablets</w:t>
            </w:r>
          </w:p>
        </w:tc>
      </w:tr>
      <w:tr w:rsidR="004305C4" w:rsidRPr="00167112" w14:paraId="55929332"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FF2945" w14:textId="22FE96F5"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DF01FA" w14:textId="1BF1F080"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20</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5B995B" w14:textId="12614BBC"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Mix 125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 tablet in 12</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ml of water and administer 2</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ml of mixture immediately</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7011D"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w:t>
            </w:r>
          </w:p>
        </w:tc>
      </w:tr>
      <w:tr w:rsidR="004305C4" w:rsidRPr="00167112" w14:paraId="76F4851B"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25C0F3" w14:textId="55941268"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6817AD" w14:textId="0A51CDF5"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40</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6102D1" w14:textId="125340C4"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Mix 125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 tablet in 12</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ml of water and administer 4</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ml of mixture immediately</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B5E3E4"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w:t>
            </w:r>
          </w:p>
        </w:tc>
      </w:tr>
      <w:tr w:rsidR="004305C4" w:rsidRPr="00167112" w14:paraId="2412F487"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A35080" w14:textId="5020813F"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3-4</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54035D" w14:textId="0A0B3105"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62.5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11B77D"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0.5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B912CC"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w:t>
            </w:r>
          </w:p>
        </w:tc>
      </w:tr>
      <w:tr w:rsidR="004305C4" w:rsidRPr="00167112" w14:paraId="2E1B23C0"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3B9F69" w14:textId="6A644C34"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5-6</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5F33BF" w14:textId="24CC5A5B"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125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50ED7F"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B3E313"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0.5</w:t>
            </w:r>
          </w:p>
        </w:tc>
      </w:tr>
      <w:tr w:rsidR="004305C4" w:rsidRPr="00167112" w14:paraId="7C583962"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373A0A" w14:textId="4EB32B60"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7-9</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BA81CC" w14:textId="4A93E54E"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187.5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126C17"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C9874D"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0.5</w:t>
            </w:r>
          </w:p>
        </w:tc>
      </w:tr>
      <w:tr w:rsidR="004305C4" w:rsidRPr="00167112" w14:paraId="6C77437A"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9E6F71"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10-13 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263238" w14:textId="26D0BC9A"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250</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6164F6"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6B0A4E"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w:t>
            </w:r>
          </w:p>
        </w:tc>
      </w:tr>
      <w:tr w:rsidR="004305C4" w:rsidRPr="00167112" w14:paraId="44802D95"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483F3" w14:textId="30E01C90"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14-15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26D905" w14:textId="20B49821"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312.5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606330"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CA287D"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w:t>
            </w:r>
          </w:p>
        </w:tc>
      </w:tr>
      <w:tr w:rsidR="004305C4" w:rsidRPr="00167112" w14:paraId="2CA7DA3B"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6195CF" w14:textId="4B3CFF55"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16-20</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BCD029" w14:textId="7E1C3572"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375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A83F2"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3</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4A698"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w:t>
            </w:r>
          </w:p>
        </w:tc>
      </w:tr>
      <w:tr w:rsidR="004305C4" w:rsidRPr="00167112" w14:paraId="3488A1E7"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6BC813" w14:textId="1B3B40E4"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21-23</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E7550C" w14:textId="4B3522A6"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437.5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B68687"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3.5</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53A25D"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w:t>
            </w:r>
          </w:p>
        </w:tc>
      </w:tr>
      <w:tr w:rsidR="004305C4" w:rsidRPr="00167112" w14:paraId="0A21C111"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B7E5C5" w14:textId="507F2082"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24-30</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6A204" w14:textId="380EEBC6"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500</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B23936"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4</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49AA94"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w:t>
            </w:r>
          </w:p>
        </w:tc>
      </w:tr>
      <w:tr w:rsidR="004305C4" w:rsidRPr="00167112" w14:paraId="3381A22B"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F85FB9" w14:textId="2F77EEE3"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31-35</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kg</w:t>
            </w:r>
          </w:p>
        </w:tc>
        <w:tc>
          <w:tcPr>
            <w:tcW w:w="20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7D1F0A" w14:textId="271439C8"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500</w:t>
            </w:r>
            <w:r w:rsidR="00167112">
              <w:rPr>
                <w:rFonts w:asciiTheme="minorHAnsi" w:hAnsiTheme="minorHAnsi" w:cstheme="minorHAnsi"/>
                <w:color w:val="000000" w:themeColor="text1"/>
                <w:sz w:val="20"/>
                <w:szCs w:val="20"/>
              </w:rPr>
              <w:t xml:space="preserve"> </w:t>
            </w:r>
            <w:r w:rsidRPr="00167112">
              <w:rPr>
                <w:rFonts w:asciiTheme="minorHAnsi" w:hAnsiTheme="minorHAnsi" w:cstheme="minorHAnsi"/>
                <w:color w:val="000000" w:themeColor="text1"/>
                <w:sz w:val="20"/>
                <w:szCs w:val="20"/>
              </w:rPr>
              <w:t>mg</w:t>
            </w:r>
          </w:p>
        </w:tc>
        <w:tc>
          <w:tcPr>
            <w:tcW w:w="52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1C8C83"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475B2E" w14:textId="77777777" w:rsidR="004305C4" w:rsidRPr="00167112" w:rsidRDefault="004305C4" w:rsidP="00727AA7">
            <w:pPr>
              <w:ind w:left="294"/>
              <w:jc w:val="center"/>
              <w:rPr>
                <w:rFonts w:asciiTheme="minorHAnsi" w:hAnsiTheme="minorHAnsi" w:cstheme="minorHAnsi"/>
                <w:color w:val="000000" w:themeColor="text1"/>
                <w:sz w:val="20"/>
                <w:szCs w:val="20"/>
              </w:rPr>
            </w:pPr>
            <w:r w:rsidRPr="00167112">
              <w:rPr>
                <w:rFonts w:asciiTheme="minorHAnsi" w:hAnsiTheme="minorHAnsi" w:cstheme="minorHAnsi"/>
                <w:color w:val="000000" w:themeColor="text1"/>
                <w:sz w:val="20"/>
                <w:szCs w:val="20"/>
              </w:rPr>
              <w:t>2</w:t>
            </w:r>
          </w:p>
        </w:tc>
      </w:tr>
    </w:tbl>
    <w:p w14:paraId="0F3716C7" w14:textId="3E221710" w:rsidR="00727AA7" w:rsidRPr="00B85017" w:rsidRDefault="00727AA7" w:rsidP="004305C4">
      <w:pPr>
        <w:rPr>
          <w:color w:val="000000" w:themeColor="text1"/>
          <w:sz w:val="24"/>
        </w:rPr>
      </w:pPr>
    </w:p>
    <w:p w14:paraId="3CDB8333" w14:textId="77777777" w:rsidR="00727AA7" w:rsidRPr="00B85017" w:rsidRDefault="00727AA7">
      <w:pPr>
        <w:spacing w:before="0" w:after="0"/>
        <w:jc w:val="left"/>
        <w:rPr>
          <w:color w:val="000000" w:themeColor="text1"/>
          <w:sz w:val="24"/>
        </w:rPr>
      </w:pPr>
      <w:r w:rsidRPr="00B85017">
        <w:rPr>
          <w:color w:val="000000" w:themeColor="text1"/>
          <w:sz w:val="24"/>
        </w:rPr>
        <w:br w:type="page"/>
      </w:r>
    </w:p>
    <w:p w14:paraId="2DDACE1E" w14:textId="77777777" w:rsidR="004305C4" w:rsidRPr="00B85017" w:rsidRDefault="004305C4" w:rsidP="004305C4">
      <w:pPr>
        <w:rPr>
          <w:color w:val="000000" w:themeColor="text1"/>
          <w:sz w:val="24"/>
        </w:rPr>
      </w:pPr>
    </w:p>
    <w:p w14:paraId="51EA01F4" w14:textId="5ACA06F1" w:rsidR="004305C4" w:rsidRPr="00B85017" w:rsidRDefault="004305C4" w:rsidP="008717D9">
      <w:pPr>
        <w:pStyle w:val="Heading6"/>
      </w:pPr>
      <w:bookmarkStart w:id="342" w:name="_Toc12950611"/>
      <w:bookmarkStart w:id="343" w:name="_Toc13076969"/>
      <w:r w:rsidRPr="00B85017">
        <w:t>Table 1k: PAS</w:t>
      </w:r>
      <w:bookmarkEnd w:id="342"/>
      <w:bookmarkEnd w:id="343"/>
    </w:p>
    <w:tbl>
      <w:tblPr>
        <w:tblStyle w:val="TableGrid"/>
        <w:tblW w:w="0" w:type="auto"/>
        <w:tblLook w:val="04A0" w:firstRow="1" w:lastRow="0" w:firstColumn="1" w:lastColumn="0" w:noHBand="0" w:noVBand="1"/>
      </w:tblPr>
      <w:tblGrid>
        <w:gridCol w:w="1617"/>
        <w:gridCol w:w="7400"/>
      </w:tblGrid>
      <w:tr w:rsidR="004305C4" w:rsidRPr="00167112" w14:paraId="3910727F" w14:textId="77777777" w:rsidTr="00FB1DBA">
        <w:tc>
          <w:tcPr>
            <w:tcW w:w="1275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1959BF2A" w14:textId="4DF973CA"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b/>
                <w:color w:val="000000" w:themeColor="text1"/>
                <w:sz w:val="20"/>
              </w:rPr>
              <w:t xml:space="preserve">Para-aminosalicylic acid (PAS either acid or sodium salt) </w:t>
            </w:r>
            <w:r w:rsidRPr="00167112">
              <w:rPr>
                <w:rFonts w:asciiTheme="minorHAnsi" w:hAnsiTheme="minorHAnsi" w:cstheme="minorHAnsi"/>
                <w:color w:val="000000" w:themeColor="text1"/>
                <w:sz w:val="20"/>
              </w:rPr>
              <w:t>200-300</w:t>
            </w:r>
            <w:r w:rsidR="00167112">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mg/kg divided into 2 daily doses</w:t>
            </w:r>
          </w:p>
          <w:p w14:paraId="230779B6" w14:textId="75DBE6D1" w:rsidR="004305C4" w:rsidRPr="00167112" w:rsidRDefault="004305C4" w:rsidP="00727AA7">
            <w:pPr>
              <w:jc w:val="center"/>
              <w:rPr>
                <w:rFonts w:asciiTheme="minorHAnsi" w:hAnsiTheme="minorHAnsi" w:cstheme="minorHAnsi"/>
                <w:i/>
                <w:color w:val="000000" w:themeColor="text1"/>
                <w:sz w:val="20"/>
              </w:rPr>
            </w:pPr>
            <w:r w:rsidRPr="00167112">
              <w:rPr>
                <w:rFonts w:asciiTheme="minorHAnsi" w:hAnsiTheme="minorHAnsi" w:cstheme="minorHAnsi"/>
                <w:i/>
                <w:color w:val="000000" w:themeColor="text1"/>
                <w:sz w:val="20"/>
              </w:rPr>
              <w:t>Some clinical centers give PAS 200</w:t>
            </w:r>
            <w:r w:rsidR="00167112">
              <w:rPr>
                <w:rFonts w:asciiTheme="minorHAnsi" w:hAnsiTheme="minorHAnsi" w:cstheme="minorHAnsi"/>
                <w:i/>
                <w:color w:val="000000" w:themeColor="text1"/>
                <w:sz w:val="20"/>
              </w:rPr>
              <w:t xml:space="preserve"> </w:t>
            </w:r>
            <w:r w:rsidRPr="00167112">
              <w:rPr>
                <w:rFonts w:asciiTheme="minorHAnsi" w:hAnsiTheme="minorHAnsi" w:cstheme="minorHAnsi"/>
                <w:i/>
                <w:color w:val="000000" w:themeColor="text1"/>
                <w:sz w:val="20"/>
              </w:rPr>
              <w:t>mg/kg as a single daily dose and this could be considered</w:t>
            </w:r>
          </w:p>
          <w:p w14:paraId="70D51195" w14:textId="77777777" w:rsidR="004305C4" w:rsidRPr="00167112" w:rsidRDefault="004305C4" w:rsidP="00727AA7">
            <w:pPr>
              <w:jc w:val="center"/>
              <w:rPr>
                <w:rFonts w:asciiTheme="minorHAnsi" w:hAnsiTheme="minorHAnsi" w:cstheme="minorHAnsi"/>
                <w:b/>
                <w:color w:val="000000" w:themeColor="text1"/>
                <w:sz w:val="20"/>
              </w:rPr>
            </w:pPr>
            <w:r w:rsidRPr="00167112">
              <w:rPr>
                <w:rFonts w:asciiTheme="minorHAnsi" w:hAnsiTheme="minorHAnsi" w:cstheme="minorHAnsi"/>
                <w:color w:val="000000" w:themeColor="text1"/>
                <w:sz w:val="20"/>
              </w:rPr>
              <w:t>Should be used with dosing spoon for more accurate dosing</w:t>
            </w:r>
          </w:p>
        </w:tc>
      </w:tr>
      <w:tr w:rsidR="004305C4" w:rsidRPr="00167112" w14:paraId="4ED98C01"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05453B" w14:textId="77777777" w:rsidR="004305C4" w:rsidRPr="00167112" w:rsidRDefault="004305C4" w:rsidP="00727AA7">
            <w:pPr>
              <w:jc w:val="center"/>
              <w:rPr>
                <w:rFonts w:asciiTheme="minorHAnsi" w:hAnsiTheme="minorHAnsi" w:cstheme="minorHAnsi"/>
                <w:b/>
                <w:color w:val="000000" w:themeColor="text1"/>
                <w:sz w:val="20"/>
              </w:rPr>
            </w:pPr>
            <w:r w:rsidRPr="00167112">
              <w:rPr>
                <w:rFonts w:asciiTheme="minorHAnsi" w:hAnsiTheme="minorHAnsi" w:cstheme="minorHAnsi"/>
                <w:b/>
                <w:color w:val="000000" w:themeColor="text1"/>
                <w:sz w:val="20"/>
              </w:rPr>
              <w:t>Weight Band (kg)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3DD322" w14:textId="77777777" w:rsidR="004305C4" w:rsidRPr="00167112" w:rsidRDefault="004305C4" w:rsidP="00727AA7">
            <w:pPr>
              <w:jc w:val="center"/>
              <w:rPr>
                <w:rFonts w:asciiTheme="minorHAnsi" w:hAnsiTheme="minorHAnsi" w:cstheme="minorHAnsi"/>
                <w:b/>
                <w:color w:val="000000" w:themeColor="text1"/>
                <w:sz w:val="20"/>
              </w:rPr>
            </w:pPr>
            <w:r w:rsidRPr="00167112">
              <w:rPr>
                <w:rFonts w:asciiTheme="minorHAnsi" w:hAnsiTheme="minorHAnsi" w:cstheme="minorHAnsi"/>
                <w:b/>
                <w:color w:val="000000" w:themeColor="text1"/>
                <w:sz w:val="20"/>
              </w:rPr>
              <w:t>Dose</w:t>
            </w:r>
          </w:p>
        </w:tc>
      </w:tr>
      <w:tr w:rsidR="004305C4" w:rsidRPr="00167112" w14:paraId="2B075DDF"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DCD53D" w14:textId="2087FA03"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1</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ED3497" w14:textId="1B8F10D8"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150</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mg twice daily</w:t>
            </w:r>
          </w:p>
        </w:tc>
      </w:tr>
      <w:tr w:rsidR="004305C4" w:rsidRPr="00167112" w14:paraId="2FBBB2D9"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A905C2" w14:textId="77777777"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2 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4EC3D5" w14:textId="5A85FA72"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300</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mg twice daily</w:t>
            </w:r>
          </w:p>
        </w:tc>
      </w:tr>
      <w:tr w:rsidR="004305C4" w:rsidRPr="00167112" w14:paraId="0B580FD3"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C8FB09" w14:textId="60E5C84B"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3-4</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5357B2" w14:textId="6A41E020"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500</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mg twice daily</w:t>
            </w:r>
          </w:p>
        </w:tc>
      </w:tr>
      <w:tr w:rsidR="004305C4" w:rsidRPr="00167112" w14:paraId="080BBB45"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63C20E" w14:textId="7C4027A1"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5-6</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879F7" w14:textId="6151827B"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 xml:space="preserve">0.5-0.75 </w:t>
            </w:r>
            <w:r w:rsidR="00C272CC">
              <w:rPr>
                <w:rFonts w:asciiTheme="minorHAnsi" w:hAnsiTheme="minorHAnsi" w:cstheme="minorHAnsi"/>
                <w:color w:val="000000" w:themeColor="text1"/>
                <w:sz w:val="20"/>
              </w:rPr>
              <w:t>g</w:t>
            </w:r>
            <w:r w:rsidRPr="00167112">
              <w:rPr>
                <w:rFonts w:asciiTheme="minorHAnsi" w:hAnsiTheme="minorHAnsi" w:cstheme="minorHAnsi"/>
                <w:color w:val="000000" w:themeColor="text1"/>
                <w:sz w:val="20"/>
              </w:rPr>
              <w:t xml:space="preserve"> twice daily</w:t>
            </w:r>
          </w:p>
        </w:tc>
      </w:tr>
      <w:tr w:rsidR="004305C4" w:rsidRPr="00167112" w14:paraId="1F8AF965"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1C04EE" w14:textId="10381A0C"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7-9</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F60782" w14:textId="307A2595"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 xml:space="preserve">0.75-1.0 </w:t>
            </w:r>
            <w:r w:rsidR="00C272CC">
              <w:rPr>
                <w:rFonts w:asciiTheme="minorHAnsi" w:hAnsiTheme="minorHAnsi" w:cstheme="minorHAnsi"/>
                <w:color w:val="000000" w:themeColor="text1"/>
                <w:sz w:val="20"/>
              </w:rPr>
              <w:t>g</w:t>
            </w:r>
            <w:r w:rsidRPr="00167112">
              <w:rPr>
                <w:rFonts w:asciiTheme="minorHAnsi" w:hAnsiTheme="minorHAnsi" w:cstheme="minorHAnsi"/>
                <w:color w:val="000000" w:themeColor="text1"/>
                <w:sz w:val="20"/>
              </w:rPr>
              <w:t xml:space="preserve"> twice daily</w:t>
            </w:r>
          </w:p>
        </w:tc>
      </w:tr>
      <w:tr w:rsidR="004305C4" w:rsidRPr="00167112" w14:paraId="47B5C878"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8E5223" w14:textId="4F2E1F1F"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11-13</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1D644" w14:textId="06725232"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 xml:space="preserve">1 </w:t>
            </w:r>
            <w:r w:rsidR="00C272CC">
              <w:rPr>
                <w:rFonts w:asciiTheme="minorHAnsi" w:hAnsiTheme="minorHAnsi" w:cstheme="minorHAnsi"/>
                <w:color w:val="000000" w:themeColor="text1"/>
                <w:sz w:val="20"/>
              </w:rPr>
              <w:t>g</w:t>
            </w:r>
            <w:r w:rsidRPr="00167112">
              <w:rPr>
                <w:rFonts w:asciiTheme="minorHAnsi" w:hAnsiTheme="minorHAnsi" w:cstheme="minorHAnsi"/>
                <w:color w:val="000000" w:themeColor="text1"/>
                <w:sz w:val="20"/>
              </w:rPr>
              <w:t xml:space="preserve"> twice daily</w:t>
            </w:r>
          </w:p>
        </w:tc>
      </w:tr>
      <w:tr w:rsidR="004305C4" w:rsidRPr="00167112" w14:paraId="0CAB6E1E"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D86E4D" w14:textId="77777777"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14-15kg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C371F" w14:textId="12EE4CB2"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 xml:space="preserve">2 </w:t>
            </w:r>
            <w:r w:rsidR="00C272CC">
              <w:rPr>
                <w:rFonts w:asciiTheme="minorHAnsi" w:hAnsiTheme="minorHAnsi" w:cstheme="minorHAnsi"/>
                <w:color w:val="000000" w:themeColor="text1"/>
                <w:sz w:val="20"/>
              </w:rPr>
              <w:t>g</w:t>
            </w:r>
            <w:r w:rsidRPr="00167112">
              <w:rPr>
                <w:rFonts w:asciiTheme="minorHAnsi" w:hAnsiTheme="minorHAnsi" w:cstheme="minorHAnsi"/>
                <w:color w:val="000000" w:themeColor="text1"/>
                <w:sz w:val="20"/>
              </w:rPr>
              <w:t xml:space="preserve"> twice daily</w:t>
            </w:r>
          </w:p>
        </w:tc>
      </w:tr>
      <w:tr w:rsidR="004305C4" w:rsidRPr="00167112" w14:paraId="58A6CDAA"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C1DD0" w14:textId="075D1F72"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16-20</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006EC9" w14:textId="5184EF5A"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 xml:space="preserve">2.5 </w:t>
            </w:r>
            <w:r w:rsidR="00C272CC">
              <w:rPr>
                <w:rFonts w:asciiTheme="minorHAnsi" w:hAnsiTheme="minorHAnsi" w:cstheme="minorHAnsi"/>
                <w:color w:val="000000" w:themeColor="text1"/>
                <w:sz w:val="20"/>
              </w:rPr>
              <w:t>g</w:t>
            </w:r>
            <w:r w:rsidRPr="00167112">
              <w:rPr>
                <w:rFonts w:asciiTheme="minorHAnsi" w:hAnsiTheme="minorHAnsi" w:cstheme="minorHAnsi"/>
                <w:color w:val="000000" w:themeColor="text1"/>
                <w:sz w:val="20"/>
              </w:rPr>
              <w:t xml:space="preserve"> twice daily</w:t>
            </w:r>
          </w:p>
        </w:tc>
      </w:tr>
      <w:tr w:rsidR="004305C4" w:rsidRPr="00167112" w14:paraId="7650FC12"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CD8E3" w14:textId="1A8C0167"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21-23</w:t>
            </w:r>
            <w:r w:rsidR="00223A55">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89460B" w14:textId="529146B8"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 xml:space="preserve">3 </w:t>
            </w:r>
            <w:r w:rsidR="00C272CC">
              <w:rPr>
                <w:rFonts w:asciiTheme="minorHAnsi" w:hAnsiTheme="minorHAnsi" w:cstheme="minorHAnsi"/>
                <w:color w:val="000000" w:themeColor="text1"/>
                <w:sz w:val="20"/>
              </w:rPr>
              <w:t>g</w:t>
            </w:r>
            <w:r w:rsidRPr="00167112">
              <w:rPr>
                <w:rFonts w:asciiTheme="minorHAnsi" w:hAnsiTheme="minorHAnsi" w:cstheme="minorHAnsi"/>
                <w:color w:val="000000" w:themeColor="text1"/>
                <w:sz w:val="20"/>
              </w:rPr>
              <w:t xml:space="preserve"> twice daily</w:t>
            </w:r>
          </w:p>
        </w:tc>
      </w:tr>
      <w:tr w:rsidR="004305C4" w:rsidRPr="00167112" w14:paraId="6196974E"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323D8" w14:textId="5BDEC381"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24-30</w:t>
            </w:r>
            <w:r w:rsidR="00C272CC">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2DF1F" w14:textId="46D8C60A"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 xml:space="preserve">3.5 </w:t>
            </w:r>
            <w:r w:rsidR="00C272CC">
              <w:rPr>
                <w:rFonts w:asciiTheme="minorHAnsi" w:hAnsiTheme="minorHAnsi" w:cstheme="minorHAnsi"/>
                <w:color w:val="000000" w:themeColor="text1"/>
                <w:sz w:val="20"/>
              </w:rPr>
              <w:t>g</w:t>
            </w:r>
            <w:r w:rsidRPr="00167112">
              <w:rPr>
                <w:rFonts w:asciiTheme="minorHAnsi" w:hAnsiTheme="minorHAnsi" w:cstheme="minorHAnsi"/>
                <w:color w:val="000000" w:themeColor="text1"/>
                <w:sz w:val="20"/>
              </w:rPr>
              <w:t xml:space="preserve"> twice daily</w:t>
            </w:r>
          </w:p>
        </w:tc>
      </w:tr>
      <w:tr w:rsidR="004305C4" w:rsidRPr="00167112" w14:paraId="49199346" w14:textId="77777777" w:rsidTr="00727AA7">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76CAA" w14:textId="0BFF0375"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31-35</w:t>
            </w:r>
            <w:r w:rsidR="00C272CC">
              <w:rPr>
                <w:rFonts w:asciiTheme="minorHAnsi" w:hAnsiTheme="minorHAnsi" w:cstheme="minorHAnsi"/>
                <w:color w:val="000000" w:themeColor="text1"/>
                <w:sz w:val="20"/>
              </w:rPr>
              <w:t xml:space="preserve"> </w:t>
            </w:r>
            <w:r w:rsidRPr="00167112">
              <w:rPr>
                <w:rFonts w:asciiTheme="minorHAnsi" w:hAnsiTheme="minorHAnsi" w:cstheme="minorHAnsi"/>
                <w:color w:val="000000" w:themeColor="text1"/>
                <w:sz w:val="20"/>
              </w:rPr>
              <w:t>kg</w:t>
            </w:r>
          </w:p>
        </w:tc>
        <w:tc>
          <w:tcPr>
            <w:tcW w:w="107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50B417" w14:textId="7F0368B3" w:rsidR="004305C4" w:rsidRPr="00167112" w:rsidRDefault="004305C4" w:rsidP="00727AA7">
            <w:pPr>
              <w:jc w:val="center"/>
              <w:rPr>
                <w:rFonts w:asciiTheme="minorHAnsi" w:hAnsiTheme="minorHAnsi" w:cstheme="minorHAnsi"/>
                <w:color w:val="000000" w:themeColor="text1"/>
                <w:sz w:val="20"/>
              </w:rPr>
            </w:pPr>
            <w:r w:rsidRPr="00167112">
              <w:rPr>
                <w:rFonts w:asciiTheme="minorHAnsi" w:hAnsiTheme="minorHAnsi" w:cstheme="minorHAnsi"/>
                <w:color w:val="000000" w:themeColor="text1"/>
                <w:sz w:val="20"/>
              </w:rPr>
              <w:t>4</w:t>
            </w:r>
            <w:r w:rsidR="00223A55">
              <w:rPr>
                <w:rFonts w:asciiTheme="minorHAnsi" w:hAnsiTheme="minorHAnsi" w:cstheme="minorHAnsi"/>
                <w:color w:val="000000" w:themeColor="text1"/>
                <w:sz w:val="20"/>
              </w:rPr>
              <w:t xml:space="preserve"> </w:t>
            </w:r>
            <w:r w:rsidR="00C272CC">
              <w:rPr>
                <w:rFonts w:asciiTheme="minorHAnsi" w:hAnsiTheme="minorHAnsi" w:cstheme="minorHAnsi"/>
                <w:color w:val="000000" w:themeColor="text1"/>
                <w:sz w:val="20"/>
              </w:rPr>
              <w:t>g</w:t>
            </w:r>
            <w:r w:rsidRPr="00167112">
              <w:rPr>
                <w:rFonts w:asciiTheme="minorHAnsi" w:hAnsiTheme="minorHAnsi" w:cstheme="minorHAnsi"/>
                <w:color w:val="000000" w:themeColor="text1"/>
                <w:sz w:val="20"/>
              </w:rPr>
              <w:t xml:space="preserve"> twice daily</w:t>
            </w:r>
          </w:p>
        </w:tc>
      </w:tr>
    </w:tbl>
    <w:p w14:paraId="7533B1C1" w14:textId="77777777" w:rsidR="004305C4" w:rsidRPr="009D1960" w:rsidRDefault="004305C4" w:rsidP="004305C4">
      <w:pPr>
        <w:pStyle w:val="BodyText"/>
        <w:spacing w:line="235" w:lineRule="auto"/>
        <w:ind w:left="403" w:right="660"/>
        <w:rPr>
          <w:rFonts w:asciiTheme="minorHAnsi" w:hAnsiTheme="minorHAnsi" w:cstheme="minorHAnsi"/>
          <w:color w:val="000000" w:themeColor="text1"/>
          <w:sz w:val="20"/>
          <w:szCs w:val="20"/>
        </w:rPr>
      </w:pPr>
      <w:r w:rsidRPr="009D1960">
        <w:rPr>
          <w:rFonts w:asciiTheme="minorHAnsi" w:hAnsiTheme="minorHAnsi" w:cstheme="minorHAnsi"/>
          <w:color w:val="000000" w:themeColor="text1"/>
          <w:sz w:val="20"/>
          <w:szCs w:val="20"/>
        </w:rPr>
        <w:t>PASER® (PAS Acid) is stable for up to 8 weeks at 40°C and 75% humidity, and therefore can be distributed to the patient on a monthly basis in most environments with no cold chain. If storage of longer than 8 weeks is needed, refrigeration below 15°C is required.</w:t>
      </w:r>
    </w:p>
    <w:p w14:paraId="5B372456" w14:textId="10EFCD38" w:rsidR="004305C4" w:rsidRPr="00B85017" w:rsidRDefault="004305C4" w:rsidP="004305C4">
      <w:pPr>
        <w:pStyle w:val="BodyText"/>
        <w:spacing w:before="5"/>
        <w:rPr>
          <w:color w:val="000000" w:themeColor="text1"/>
        </w:rPr>
      </w:pPr>
    </w:p>
    <w:p w14:paraId="5AA0A965" w14:textId="608F6F8A" w:rsidR="00727AA7" w:rsidRPr="00B85017" w:rsidRDefault="00727AA7">
      <w:pPr>
        <w:spacing w:before="0" w:after="0"/>
        <w:jc w:val="left"/>
        <w:rPr>
          <w:color w:val="000000" w:themeColor="text1"/>
        </w:rPr>
      </w:pPr>
      <w:r w:rsidRPr="00B85017">
        <w:rPr>
          <w:color w:val="000000" w:themeColor="text1"/>
        </w:rPr>
        <w:br w:type="page"/>
      </w:r>
    </w:p>
    <w:p w14:paraId="79B6F7E4" w14:textId="77777777" w:rsidR="00727AA7" w:rsidRPr="00B85017" w:rsidRDefault="00727AA7" w:rsidP="004305C4">
      <w:pPr>
        <w:pStyle w:val="BodyText"/>
        <w:spacing w:before="5"/>
        <w:rPr>
          <w:color w:val="000000" w:themeColor="text1"/>
        </w:rPr>
      </w:pPr>
    </w:p>
    <w:p w14:paraId="74EF68F4" w14:textId="4C4512D2" w:rsidR="004305C4" w:rsidRPr="00B85017" w:rsidRDefault="004305C4" w:rsidP="008717D9">
      <w:pPr>
        <w:pStyle w:val="Heading6"/>
      </w:pPr>
      <w:bookmarkStart w:id="344" w:name="_Toc12950612"/>
      <w:bookmarkStart w:id="345" w:name="_Toc13076970"/>
      <w:r w:rsidRPr="00B85017">
        <w:t>Table 1l: Meropenem</w:t>
      </w:r>
      <w:bookmarkEnd w:id="344"/>
      <w:bookmarkEnd w:id="345"/>
    </w:p>
    <w:tbl>
      <w:tblPr>
        <w:tblW w:w="0" w:type="auto"/>
        <w:tblInd w:w="4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250"/>
        <w:gridCol w:w="3111"/>
        <w:gridCol w:w="2360"/>
      </w:tblGrid>
      <w:tr w:rsidR="004305C4" w:rsidRPr="001E15DB" w14:paraId="7E803186" w14:textId="77777777" w:rsidTr="00FB1DBA">
        <w:trPr>
          <w:trHeight w:val="290"/>
        </w:trPr>
        <w:tc>
          <w:tcPr>
            <w:tcW w:w="7721" w:type="dxa"/>
            <w:gridSpan w:val="3"/>
            <w:tcBorders>
              <w:top w:val="single" w:sz="8" w:space="0" w:color="231F20"/>
              <w:left w:val="single" w:sz="8" w:space="0" w:color="231F20"/>
              <w:bottom w:val="single" w:sz="8" w:space="0" w:color="231F20"/>
              <w:right w:val="single" w:sz="8" w:space="0" w:color="231F20"/>
            </w:tcBorders>
            <w:shd w:val="clear" w:color="auto" w:fill="B6DDE9"/>
          </w:tcPr>
          <w:p w14:paraId="1F9A5373" w14:textId="77777777" w:rsidR="004305C4" w:rsidRPr="001E15DB" w:rsidRDefault="004305C4" w:rsidP="00727AA7">
            <w:pPr>
              <w:jc w:val="center"/>
              <w:rPr>
                <w:rFonts w:asciiTheme="minorHAnsi" w:hAnsiTheme="minorHAnsi" w:cstheme="minorHAnsi"/>
                <w:b/>
                <w:color w:val="000000" w:themeColor="text1"/>
                <w:sz w:val="24"/>
              </w:rPr>
            </w:pPr>
            <w:r w:rsidRPr="001E15DB">
              <w:rPr>
                <w:rFonts w:asciiTheme="minorHAnsi" w:hAnsiTheme="minorHAnsi" w:cstheme="minorHAnsi"/>
                <w:b/>
                <w:color w:val="000000" w:themeColor="text1"/>
                <w:sz w:val="20"/>
              </w:rPr>
              <w:t>Meropenem/Amoxicillin-clavulanate</w:t>
            </w:r>
          </w:p>
        </w:tc>
      </w:tr>
      <w:tr w:rsidR="004305C4" w:rsidRPr="001E15DB" w14:paraId="39B9AEDC" w14:textId="77777777" w:rsidTr="00727AA7">
        <w:trPr>
          <w:trHeight w:val="290"/>
        </w:trPr>
        <w:tc>
          <w:tcPr>
            <w:tcW w:w="2250" w:type="dxa"/>
            <w:tcBorders>
              <w:top w:val="single" w:sz="8" w:space="0" w:color="231F20"/>
              <w:left w:val="single" w:sz="8" w:space="0" w:color="231F20"/>
              <w:bottom w:val="single" w:sz="8" w:space="0" w:color="231F20"/>
              <w:right w:val="single" w:sz="8" w:space="0" w:color="231F20"/>
            </w:tcBorders>
            <w:shd w:val="clear" w:color="auto" w:fill="auto"/>
            <w:hideMark/>
          </w:tcPr>
          <w:p w14:paraId="16F8DE37" w14:textId="77777777" w:rsidR="004305C4" w:rsidRPr="001E15DB" w:rsidRDefault="004305C4" w:rsidP="00727AA7">
            <w:pPr>
              <w:pStyle w:val="TableParagraph"/>
              <w:spacing w:line="240" w:lineRule="exact"/>
              <w:ind w:left="904" w:right="885"/>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Drug</w:t>
            </w:r>
          </w:p>
        </w:tc>
        <w:tc>
          <w:tcPr>
            <w:tcW w:w="3111" w:type="dxa"/>
            <w:tcBorders>
              <w:top w:val="single" w:sz="8" w:space="0" w:color="231F20"/>
              <w:left w:val="single" w:sz="8" w:space="0" w:color="231F20"/>
              <w:bottom w:val="single" w:sz="8" w:space="0" w:color="231F20"/>
              <w:right w:val="single" w:sz="8" w:space="0" w:color="231F20"/>
            </w:tcBorders>
            <w:shd w:val="clear" w:color="auto" w:fill="auto"/>
            <w:hideMark/>
          </w:tcPr>
          <w:p w14:paraId="64719342" w14:textId="77777777" w:rsidR="004305C4" w:rsidRPr="001E15DB" w:rsidRDefault="004305C4" w:rsidP="00727AA7">
            <w:pPr>
              <w:pStyle w:val="TableParagraph"/>
              <w:spacing w:line="240" w:lineRule="exact"/>
              <w:ind w:left="1105" w:right="1087"/>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Daily dose</w:t>
            </w:r>
          </w:p>
        </w:tc>
        <w:tc>
          <w:tcPr>
            <w:tcW w:w="2360" w:type="dxa"/>
            <w:tcBorders>
              <w:top w:val="single" w:sz="8" w:space="0" w:color="231F20"/>
              <w:left w:val="single" w:sz="8" w:space="0" w:color="231F20"/>
              <w:bottom w:val="single" w:sz="8" w:space="0" w:color="231F20"/>
              <w:right w:val="single" w:sz="8" w:space="0" w:color="231F20"/>
            </w:tcBorders>
            <w:shd w:val="clear" w:color="auto" w:fill="auto"/>
            <w:hideMark/>
          </w:tcPr>
          <w:p w14:paraId="742B3C6A" w14:textId="77777777" w:rsidR="004305C4" w:rsidRPr="001E15DB" w:rsidRDefault="004305C4" w:rsidP="00727AA7">
            <w:pPr>
              <w:pStyle w:val="TableParagraph"/>
              <w:spacing w:line="240" w:lineRule="exact"/>
              <w:ind w:left="313"/>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Maximum daily dose</w:t>
            </w:r>
          </w:p>
        </w:tc>
      </w:tr>
      <w:tr w:rsidR="004305C4" w:rsidRPr="001E15DB" w14:paraId="48852A3A" w14:textId="77777777" w:rsidTr="00727AA7">
        <w:trPr>
          <w:trHeight w:val="530"/>
        </w:trPr>
        <w:tc>
          <w:tcPr>
            <w:tcW w:w="2250" w:type="dxa"/>
            <w:tcBorders>
              <w:top w:val="single" w:sz="8" w:space="0" w:color="231F20"/>
              <w:left w:val="single" w:sz="8" w:space="0" w:color="231F20"/>
              <w:bottom w:val="single" w:sz="8" w:space="0" w:color="231F20"/>
              <w:right w:val="single" w:sz="8" w:space="0" w:color="231F20"/>
            </w:tcBorders>
            <w:hideMark/>
          </w:tcPr>
          <w:p w14:paraId="23760D9B" w14:textId="77777777" w:rsidR="004305C4" w:rsidRPr="001E15DB" w:rsidRDefault="004305C4" w:rsidP="00727AA7">
            <w:pPr>
              <w:pStyle w:val="TableParagraph"/>
              <w:spacing w:line="276" w:lineRule="auto"/>
              <w:ind w:left="80"/>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Amoxicillin-clavulanate*</w:t>
            </w:r>
          </w:p>
        </w:tc>
        <w:tc>
          <w:tcPr>
            <w:tcW w:w="3111" w:type="dxa"/>
            <w:tcBorders>
              <w:top w:val="single" w:sz="8" w:space="0" w:color="231F20"/>
              <w:left w:val="single" w:sz="8" w:space="0" w:color="231F20"/>
              <w:bottom w:val="single" w:sz="8" w:space="0" w:color="231F20"/>
              <w:right w:val="single" w:sz="8" w:space="0" w:color="231F20"/>
            </w:tcBorders>
            <w:hideMark/>
          </w:tcPr>
          <w:p w14:paraId="02F4CB6E" w14:textId="1F02EFBC" w:rsidR="004305C4" w:rsidRPr="001E15DB" w:rsidRDefault="004305C4" w:rsidP="00727AA7">
            <w:pPr>
              <w:pStyle w:val="TableParagraph"/>
              <w:spacing w:before="28" w:line="240" w:lineRule="exact"/>
              <w:ind w:left="79" w:right="53"/>
              <w:jc w:val="center"/>
              <w:rPr>
                <w:rFonts w:asciiTheme="minorHAnsi" w:hAnsiTheme="minorHAnsi" w:cstheme="minorHAnsi"/>
                <w:color w:val="000000" w:themeColor="text1"/>
                <w:sz w:val="20"/>
              </w:rPr>
            </w:pPr>
            <w:r w:rsidRPr="001E15DB">
              <w:rPr>
                <w:rFonts w:asciiTheme="minorHAnsi" w:hAnsiTheme="minorHAnsi" w:cstheme="minorHAnsi"/>
                <w:color w:val="000000" w:themeColor="text1"/>
                <w:sz w:val="20"/>
              </w:rPr>
              <w:t>40</w:t>
            </w:r>
            <w:r w:rsidR="001E15DB">
              <w:rPr>
                <w:rFonts w:asciiTheme="minorHAnsi" w:hAnsiTheme="minorHAnsi" w:cstheme="minorHAnsi"/>
                <w:color w:val="000000" w:themeColor="text1"/>
                <w:sz w:val="20"/>
              </w:rPr>
              <w:t xml:space="preserve"> </w:t>
            </w:r>
            <w:r w:rsidRPr="001E15DB">
              <w:rPr>
                <w:rFonts w:asciiTheme="minorHAnsi" w:hAnsiTheme="minorHAnsi" w:cstheme="minorHAnsi"/>
                <w:color w:val="000000" w:themeColor="text1"/>
                <w:sz w:val="20"/>
              </w:rPr>
              <w:t>mg/kg given twice daily based on the amoxicillin component</w:t>
            </w:r>
          </w:p>
        </w:tc>
        <w:tc>
          <w:tcPr>
            <w:tcW w:w="2360" w:type="dxa"/>
            <w:tcBorders>
              <w:top w:val="single" w:sz="8" w:space="0" w:color="231F20"/>
              <w:left w:val="single" w:sz="8" w:space="0" w:color="231F20"/>
              <w:bottom w:val="single" w:sz="8" w:space="0" w:color="231F20"/>
              <w:right w:val="single" w:sz="8" w:space="0" w:color="231F20"/>
            </w:tcBorders>
            <w:hideMark/>
          </w:tcPr>
          <w:p w14:paraId="042CDF74" w14:textId="70954595" w:rsidR="004305C4" w:rsidRPr="001E15DB" w:rsidRDefault="004305C4" w:rsidP="00727AA7">
            <w:pPr>
              <w:pStyle w:val="TableParagraph"/>
              <w:spacing w:before="28" w:line="240" w:lineRule="exact"/>
              <w:ind w:left="78" w:right="10"/>
              <w:jc w:val="center"/>
              <w:rPr>
                <w:rFonts w:asciiTheme="minorHAnsi" w:hAnsiTheme="minorHAnsi" w:cstheme="minorHAnsi"/>
                <w:color w:val="000000" w:themeColor="text1"/>
                <w:sz w:val="20"/>
              </w:rPr>
            </w:pPr>
            <w:r w:rsidRPr="001E15DB">
              <w:rPr>
                <w:rFonts w:asciiTheme="minorHAnsi" w:hAnsiTheme="minorHAnsi" w:cstheme="minorHAnsi"/>
                <w:color w:val="000000" w:themeColor="text1"/>
                <w:sz w:val="20"/>
              </w:rPr>
              <w:t>4000</w:t>
            </w:r>
            <w:r w:rsidR="001E15DB">
              <w:rPr>
                <w:rFonts w:asciiTheme="minorHAnsi" w:hAnsiTheme="minorHAnsi" w:cstheme="minorHAnsi"/>
                <w:color w:val="000000" w:themeColor="text1"/>
                <w:sz w:val="20"/>
              </w:rPr>
              <w:t xml:space="preserve"> </w:t>
            </w:r>
            <w:r w:rsidRPr="001E15DB">
              <w:rPr>
                <w:rFonts w:asciiTheme="minorHAnsi" w:hAnsiTheme="minorHAnsi" w:cstheme="minorHAnsi"/>
                <w:color w:val="000000" w:themeColor="text1"/>
                <w:sz w:val="20"/>
              </w:rPr>
              <w:t>mg amoxicillin and 500</w:t>
            </w:r>
            <w:r w:rsidR="001E15DB">
              <w:rPr>
                <w:rFonts w:asciiTheme="minorHAnsi" w:hAnsiTheme="minorHAnsi" w:cstheme="minorHAnsi"/>
                <w:color w:val="000000" w:themeColor="text1"/>
                <w:sz w:val="20"/>
              </w:rPr>
              <w:t xml:space="preserve"> </w:t>
            </w:r>
            <w:r w:rsidRPr="001E15DB">
              <w:rPr>
                <w:rFonts w:asciiTheme="minorHAnsi" w:hAnsiTheme="minorHAnsi" w:cstheme="minorHAnsi"/>
                <w:color w:val="000000" w:themeColor="text1"/>
                <w:sz w:val="20"/>
              </w:rPr>
              <w:t>mg clavulanate</w:t>
            </w:r>
          </w:p>
        </w:tc>
      </w:tr>
      <w:tr w:rsidR="004305C4" w:rsidRPr="001E15DB" w14:paraId="250AE9EC" w14:textId="77777777" w:rsidTr="00727AA7">
        <w:trPr>
          <w:trHeight w:val="290"/>
        </w:trPr>
        <w:tc>
          <w:tcPr>
            <w:tcW w:w="2250" w:type="dxa"/>
            <w:tcBorders>
              <w:top w:val="single" w:sz="8" w:space="0" w:color="231F20"/>
              <w:left w:val="single" w:sz="8" w:space="0" w:color="231F20"/>
              <w:bottom w:val="single" w:sz="8" w:space="0" w:color="231F20"/>
              <w:right w:val="single" w:sz="8" w:space="0" w:color="231F20"/>
            </w:tcBorders>
            <w:hideMark/>
          </w:tcPr>
          <w:p w14:paraId="37B1CFAC" w14:textId="77777777" w:rsidR="004305C4" w:rsidRPr="001E15DB" w:rsidRDefault="004305C4" w:rsidP="00727AA7">
            <w:pPr>
              <w:pStyle w:val="TableParagraph"/>
              <w:spacing w:line="240" w:lineRule="exact"/>
              <w:ind w:left="80"/>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Meropenem</w:t>
            </w:r>
          </w:p>
        </w:tc>
        <w:tc>
          <w:tcPr>
            <w:tcW w:w="3111" w:type="dxa"/>
            <w:tcBorders>
              <w:top w:val="single" w:sz="8" w:space="0" w:color="231F20"/>
              <w:left w:val="single" w:sz="8" w:space="0" w:color="231F20"/>
              <w:bottom w:val="single" w:sz="8" w:space="0" w:color="231F20"/>
              <w:right w:val="single" w:sz="8" w:space="0" w:color="231F20"/>
            </w:tcBorders>
            <w:hideMark/>
          </w:tcPr>
          <w:p w14:paraId="3B78D785" w14:textId="3AC42ED1" w:rsidR="004305C4" w:rsidRPr="001E15DB" w:rsidRDefault="004305C4" w:rsidP="00727AA7">
            <w:pPr>
              <w:pStyle w:val="TableParagraph"/>
              <w:spacing w:line="240" w:lineRule="exact"/>
              <w:ind w:left="79"/>
              <w:jc w:val="center"/>
              <w:rPr>
                <w:rFonts w:asciiTheme="minorHAnsi" w:hAnsiTheme="minorHAnsi" w:cstheme="minorHAnsi"/>
                <w:color w:val="000000" w:themeColor="text1"/>
                <w:sz w:val="20"/>
              </w:rPr>
            </w:pPr>
            <w:r w:rsidRPr="001E15DB">
              <w:rPr>
                <w:rFonts w:asciiTheme="minorHAnsi" w:hAnsiTheme="minorHAnsi" w:cstheme="minorHAnsi"/>
                <w:color w:val="000000" w:themeColor="text1"/>
                <w:sz w:val="20"/>
              </w:rPr>
              <w:t>20–40</w:t>
            </w:r>
            <w:r w:rsidR="001E15DB">
              <w:rPr>
                <w:rFonts w:asciiTheme="minorHAnsi" w:hAnsiTheme="minorHAnsi" w:cstheme="minorHAnsi"/>
                <w:color w:val="000000" w:themeColor="text1"/>
                <w:sz w:val="20"/>
              </w:rPr>
              <w:t xml:space="preserve"> </w:t>
            </w:r>
            <w:r w:rsidRPr="001E15DB">
              <w:rPr>
                <w:rFonts w:asciiTheme="minorHAnsi" w:hAnsiTheme="minorHAnsi" w:cstheme="minorHAnsi"/>
                <w:color w:val="000000" w:themeColor="text1"/>
                <w:sz w:val="20"/>
              </w:rPr>
              <w:t>mg/kg IV every 8 hours</w:t>
            </w:r>
          </w:p>
        </w:tc>
        <w:tc>
          <w:tcPr>
            <w:tcW w:w="2360" w:type="dxa"/>
            <w:tcBorders>
              <w:top w:val="single" w:sz="8" w:space="0" w:color="231F20"/>
              <w:left w:val="single" w:sz="8" w:space="0" w:color="231F20"/>
              <w:bottom w:val="single" w:sz="8" w:space="0" w:color="231F20"/>
              <w:right w:val="single" w:sz="8" w:space="0" w:color="231F20"/>
            </w:tcBorders>
            <w:hideMark/>
          </w:tcPr>
          <w:p w14:paraId="25F0E195" w14:textId="1344DCBF" w:rsidR="004305C4" w:rsidRPr="001E15DB" w:rsidRDefault="004305C4" w:rsidP="00727AA7">
            <w:pPr>
              <w:pStyle w:val="TableParagraph"/>
              <w:spacing w:line="240" w:lineRule="exact"/>
              <w:ind w:left="78"/>
              <w:jc w:val="center"/>
              <w:rPr>
                <w:rFonts w:asciiTheme="minorHAnsi" w:hAnsiTheme="minorHAnsi" w:cstheme="minorHAnsi"/>
                <w:color w:val="000000" w:themeColor="text1"/>
                <w:sz w:val="20"/>
              </w:rPr>
            </w:pPr>
            <w:r w:rsidRPr="001E15DB">
              <w:rPr>
                <w:rFonts w:asciiTheme="minorHAnsi" w:hAnsiTheme="minorHAnsi" w:cstheme="minorHAnsi"/>
                <w:color w:val="000000" w:themeColor="text1"/>
                <w:sz w:val="20"/>
              </w:rPr>
              <w:t>6000</w:t>
            </w:r>
            <w:r w:rsidR="001E15DB">
              <w:rPr>
                <w:rFonts w:asciiTheme="minorHAnsi" w:hAnsiTheme="minorHAnsi" w:cstheme="minorHAnsi"/>
                <w:color w:val="000000" w:themeColor="text1"/>
                <w:sz w:val="20"/>
              </w:rPr>
              <w:t xml:space="preserve"> </w:t>
            </w:r>
            <w:r w:rsidRPr="001E15DB">
              <w:rPr>
                <w:rFonts w:asciiTheme="minorHAnsi" w:hAnsiTheme="minorHAnsi" w:cstheme="minorHAnsi"/>
                <w:color w:val="000000" w:themeColor="text1"/>
                <w:sz w:val="20"/>
              </w:rPr>
              <w:t>mg</w:t>
            </w:r>
          </w:p>
        </w:tc>
      </w:tr>
    </w:tbl>
    <w:p w14:paraId="2EBCBF94" w14:textId="77777777" w:rsidR="004305C4" w:rsidRPr="00B85017" w:rsidRDefault="004305C4" w:rsidP="004305C4">
      <w:pPr>
        <w:pStyle w:val="BodyText"/>
        <w:spacing w:before="9"/>
        <w:rPr>
          <w:color w:val="000000" w:themeColor="text1"/>
          <w:sz w:val="11"/>
        </w:rPr>
      </w:pPr>
    </w:p>
    <w:p w14:paraId="1A0E5720" w14:textId="77777777" w:rsidR="004305C4" w:rsidRPr="009D1960" w:rsidRDefault="004305C4" w:rsidP="004305C4">
      <w:pPr>
        <w:pStyle w:val="BodyText"/>
        <w:spacing w:before="57" w:line="232" w:lineRule="auto"/>
        <w:ind w:left="400" w:right="1470"/>
        <w:rPr>
          <w:rFonts w:asciiTheme="minorHAnsi" w:hAnsiTheme="minorHAnsi" w:cstheme="minorHAnsi"/>
          <w:color w:val="000000" w:themeColor="text1"/>
          <w:sz w:val="20"/>
          <w:szCs w:val="20"/>
        </w:rPr>
      </w:pPr>
      <w:r w:rsidRPr="009D1960">
        <w:rPr>
          <w:rFonts w:asciiTheme="minorHAnsi" w:hAnsiTheme="minorHAnsi" w:cstheme="minorHAnsi"/>
          <w:color w:val="000000" w:themeColor="text1"/>
          <w:sz w:val="20"/>
          <w:szCs w:val="20"/>
        </w:rPr>
        <w:t>*Amoxicillin-clavulanate should only be given in combination with meropenem. It should be given 30 minutes prior to the IV infusion of meropenem or imipenem.</w:t>
      </w:r>
    </w:p>
    <w:p w14:paraId="10128A89" w14:textId="325976B9" w:rsidR="00CE10C2" w:rsidRDefault="00CE10C2" w:rsidP="004305C4">
      <w:pPr>
        <w:rPr>
          <w:color w:val="000000" w:themeColor="text1"/>
        </w:rPr>
      </w:pPr>
    </w:p>
    <w:p w14:paraId="2D2C5F97" w14:textId="77777777" w:rsidR="00CE10C2" w:rsidRPr="00B85017" w:rsidRDefault="00CE10C2" w:rsidP="004305C4">
      <w:pPr>
        <w:rPr>
          <w:color w:val="000000" w:themeColor="text1"/>
        </w:rPr>
      </w:pPr>
    </w:p>
    <w:p w14:paraId="63FDF3E8" w14:textId="7B50E235" w:rsidR="004305C4" w:rsidRPr="00B85017" w:rsidRDefault="004305C4" w:rsidP="008717D9">
      <w:pPr>
        <w:pStyle w:val="Heading6"/>
      </w:pPr>
      <w:bookmarkStart w:id="346" w:name="_Toc12950613"/>
      <w:bookmarkStart w:id="347" w:name="_Toc13076971"/>
      <w:r w:rsidRPr="00B85017">
        <w:t>Table 1m: Amikacin</w:t>
      </w:r>
      <w:bookmarkEnd w:id="346"/>
      <w:bookmarkEnd w:id="347"/>
    </w:p>
    <w:tbl>
      <w:tblPr>
        <w:tblW w:w="0" w:type="auto"/>
        <w:tblInd w:w="4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121"/>
        <w:gridCol w:w="2515"/>
        <w:gridCol w:w="2515"/>
      </w:tblGrid>
      <w:tr w:rsidR="004305C4" w:rsidRPr="001E15DB" w14:paraId="5B7C924A" w14:textId="77777777" w:rsidTr="00FB1DBA">
        <w:trPr>
          <w:trHeight w:val="290"/>
        </w:trPr>
        <w:tc>
          <w:tcPr>
            <w:tcW w:w="7151" w:type="dxa"/>
            <w:gridSpan w:val="3"/>
            <w:tcBorders>
              <w:top w:val="single" w:sz="8" w:space="0" w:color="231F20"/>
              <w:left w:val="single" w:sz="8" w:space="0" w:color="231F20"/>
              <w:bottom w:val="single" w:sz="8" w:space="0" w:color="231F20"/>
              <w:right w:val="single" w:sz="8" w:space="0" w:color="231F20"/>
            </w:tcBorders>
            <w:shd w:val="clear" w:color="auto" w:fill="B6DDE9"/>
          </w:tcPr>
          <w:p w14:paraId="2082F84E" w14:textId="77777777" w:rsidR="004305C4" w:rsidRPr="001E15DB" w:rsidRDefault="004305C4" w:rsidP="00727AA7">
            <w:pPr>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szCs w:val="20"/>
              </w:rPr>
              <w:t>Amikacin</w:t>
            </w:r>
          </w:p>
        </w:tc>
      </w:tr>
      <w:tr w:rsidR="004305C4" w:rsidRPr="001E15DB" w14:paraId="0D427636" w14:textId="77777777" w:rsidTr="00727AA7">
        <w:trPr>
          <w:trHeight w:val="290"/>
        </w:trPr>
        <w:tc>
          <w:tcPr>
            <w:tcW w:w="2121" w:type="dxa"/>
            <w:tcBorders>
              <w:top w:val="single" w:sz="8" w:space="0" w:color="231F20"/>
              <w:left w:val="single" w:sz="8" w:space="0" w:color="231F20"/>
              <w:bottom w:val="single" w:sz="8" w:space="0" w:color="231F20"/>
              <w:right w:val="single" w:sz="8" w:space="0" w:color="231F20"/>
            </w:tcBorders>
            <w:shd w:val="clear" w:color="auto" w:fill="auto"/>
            <w:hideMark/>
          </w:tcPr>
          <w:p w14:paraId="55050570" w14:textId="77777777" w:rsidR="004305C4" w:rsidRPr="001E15DB" w:rsidRDefault="004305C4" w:rsidP="00727AA7">
            <w:pPr>
              <w:pStyle w:val="TableParagraph"/>
              <w:spacing w:line="240" w:lineRule="exact"/>
              <w:ind w:left="840" w:right="821"/>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Drug</w:t>
            </w:r>
          </w:p>
        </w:tc>
        <w:tc>
          <w:tcPr>
            <w:tcW w:w="2515" w:type="dxa"/>
            <w:tcBorders>
              <w:top w:val="single" w:sz="8" w:space="0" w:color="231F20"/>
              <w:left w:val="single" w:sz="8" w:space="0" w:color="231F20"/>
              <w:bottom w:val="single" w:sz="8" w:space="0" w:color="231F20"/>
              <w:right w:val="single" w:sz="8" w:space="0" w:color="231F20"/>
            </w:tcBorders>
            <w:shd w:val="clear" w:color="auto" w:fill="auto"/>
            <w:hideMark/>
          </w:tcPr>
          <w:p w14:paraId="3CAE6A63" w14:textId="77777777" w:rsidR="004305C4" w:rsidRPr="001E15DB" w:rsidRDefault="004305C4" w:rsidP="00727AA7">
            <w:pPr>
              <w:pStyle w:val="TableParagraph"/>
              <w:spacing w:line="240" w:lineRule="exact"/>
              <w:ind w:left="828"/>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Daily dose</w:t>
            </w:r>
          </w:p>
        </w:tc>
        <w:tc>
          <w:tcPr>
            <w:tcW w:w="2515" w:type="dxa"/>
            <w:tcBorders>
              <w:top w:val="single" w:sz="8" w:space="0" w:color="231F20"/>
              <w:left w:val="single" w:sz="8" w:space="0" w:color="231F20"/>
              <w:bottom w:val="single" w:sz="8" w:space="0" w:color="231F20"/>
              <w:right w:val="single" w:sz="8" w:space="0" w:color="231F20"/>
            </w:tcBorders>
            <w:shd w:val="clear" w:color="auto" w:fill="auto"/>
            <w:hideMark/>
          </w:tcPr>
          <w:p w14:paraId="0A34237F" w14:textId="77777777" w:rsidR="004305C4" w:rsidRPr="001E15DB" w:rsidRDefault="004305C4" w:rsidP="00727AA7">
            <w:pPr>
              <w:pStyle w:val="TableParagraph"/>
              <w:spacing w:line="240" w:lineRule="exact"/>
              <w:ind w:left="371" w:right="351"/>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Maximum daily dose</w:t>
            </w:r>
          </w:p>
        </w:tc>
      </w:tr>
      <w:tr w:rsidR="004305C4" w:rsidRPr="001E15DB" w14:paraId="47F96D96" w14:textId="77777777" w:rsidTr="00727AA7">
        <w:trPr>
          <w:trHeight w:val="290"/>
        </w:trPr>
        <w:tc>
          <w:tcPr>
            <w:tcW w:w="2121" w:type="dxa"/>
            <w:tcBorders>
              <w:top w:val="single" w:sz="8" w:space="0" w:color="231F20"/>
              <w:left w:val="single" w:sz="8" w:space="0" w:color="231F20"/>
              <w:bottom w:val="single" w:sz="8" w:space="0" w:color="231F20"/>
              <w:right w:val="single" w:sz="8" w:space="0" w:color="231F20"/>
            </w:tcBorders>
            <w:hideMark/>
          </w:tcPr>
          <w:p w14:paraId="49BDBC80" w14:textId="77777777" w:rsidR="004305C4" w:rsidRPr="001E15DB" w:rsidRDefault="004305C4" w:rsidP="00727AA7">
            <w:pPr>
              <w:pStyle w:val="TableParagraph"/>
              <w:spacing w:line="240" w:lineRule="exact"/>
              <w:ind w:left="80"/>
              <w:jc w:val="center"/>
              <w:rPr>
                <w:rFonts w:asciiTheme="minorHAnsi" w:hAnsiTheme="minorHAnsi" w:cstheme="minorHAnsi"/>
                <w:b/>
                <w:color w:val="000000" w:themeColor="text1"/>
                <w:sz w:val="20"/>
              </w:rPr>
            </w:pPr>
            <w:r w:rsidRPr="001E15DB">
              <w:rPr>
                <w:rFonts w:asciiTheme="minorHAnsi" w:hAnsiTheme="minorHAnsi" w:cstheme="minorHAnsi"/>
                <w:b/>
                <w:color w:val="000000" w:themeColor="text1"/>
                <w:sz w:val="20"/>
              </w:rPr>
              <w:t>Amikacin</w:t>
            </w:r>
          </w:p>
        </w:tc>
        <w:tc>
          <w:tcPr>
            <w:tcW w:w="2515" w:type="dxa"/>
            <w:tcBorders>
              <w:top w:val="single" w:sz="8" w:space="0" w:color="231F20"/>
              <w:left w:val="single" w:sz="8" w:space="0" w:color="231F20"/>
              <w:bottom w:val="single" w:sz="8" w:space="0" w:color="231F20"/>
              <w:right w:val="single" w:sz="8" w:space="0" w:color="231F20"/>
            </w:tcBorders>
            <w:hideMark/>
          </w:tcPr>
          <w:p w14:paraId="0EF54DE6" w14:textId="53D5568A" w:rsidR="004305C4" w:rsidRPr="001E15DB" w:rsidRDefault="004305C4" w:rsidP="00727AA7">
            <w:pPr>
              <w:pStyle w:val="TableParagraph"/>
              <w:spacing w:line="240" w:lineRule="exact"/>
              <w:ind w:left="80"/>
              <w:jc w:val="center"/>
              <w:rPr>
                <w:rFonts w:asciiTheme="minorHAnsi" w:hAnsiTheme="minorHAnsi" w:cstheme="minorHAnsi"/>
                <w:color w:val="000000" w:themeColor="text1"/>
                <w:sz w:val="20"/>
              </w:rPr>
            </w:pPr>
            <w:r w:rsidRPr="001E15DB">
              <w:rPr>
                <w:rFonts w:asciiTheme="minorHAnsi" w:hAnsiTheme="minorHAnsi" w:cstheme="minorHAnsi"/>
                <w:color w:val="000000" w:themeColor="text1"/>
                <w:sz w:val="20"/>
              </w:rPr>
              <w:t>15-20</w:t>
            </w:r>
            <w:r w:rsidR="001E15DB">
              <w:rPr>
                <w:rFonts w:asciiTheme="minorHAnsi" w:hAnsiTheme="minorHAnsi" w:cstheme="minorHAnsi"/>
                <w:color w:val="000000" w:themeColor="text1"/>
                <w:sz w:val="20"/>
              </w:rPr>
              <w:t xml:space="preserve"> </w:t>
            </w:r>
            <w:r w:rsidRPr="001E15DB">
              <w:rPr>
                <w:rFonts w:asciiTheme="minorHAnsi" w:hAnsiTheme="minorHAnsi" w:cstheme="minorHAnsi"/>
                <w:color w:val="000000" w:themeColor="text1"/>
                <w:sz w:val="20"/>
              </w:rPr>
              <w:t>mg/kg once daily</w:t>
            </w:r>
          </w:p>
        </w:tc>
        <w:tc>
          <w:tcPr>
            <w:tcW w:w="2515" w:type="dxa"/>
            <w:tcBorders>
              <w:top w:val="single" w:sz="8" w:space="0" w:color="231F20"/>
              <w:left w:val="single" w:sz="8" w:space="0" w:color="231F20"/>
              <w:bottom w:val="single" w:sz="8" w:space="0" w:color="231F20"/>
              <w:right w:val="single" w:sz="8" w:space="0" w:color="231F20"/>
            </w:tcBorders>
            <w:hideMark/>
          </w:tcPr>
          <w:p w14:paraId="73BA2A66" w14:textId="3A65CD17" w:rsidR="004305C4" w:rsidRPr="001E15DB" w:rsidRDefault="004305C4" w:rsidP="00727AA7">
            <w:pPr>
              <w:pStyle w:val="TableParagraph"/>
              <w:spacing w:line="240" w:lineRule="exact"/>
              <w:ind w:left="371" w:right="351"/>
              <w:jc w:val="center"/>
              <w:rPr>
                <w:rFonts w:asciiTheme="minorHAnsi" w:hAnsiTheme="minorHAnsi" w:cstheme="minorHAnsi"/>
                <w:color w:val="000000" w:themeColor="text1"/>
                <w:sz w:val="20"/>
              </w:rPr>
            </w:pPr>
            <w:r w:rsidRPr="001E15DB">
              <w:rPr>
                <w:rFonts w:asciiTheme="minorHAnsi" w:hAnsiTheme="minorHAnsi" w:cstheme="minorHAnsi"/>
                <w:color w:val="000000" w:themeColor="text1"/>
                <w:sz w:val="20"/>
              </w:rPr>
              <w:t>1000</w:t>
            </w:r>
            <w:r w:rsidR="001E15DB">
              <w:rPr>
                <w:rFonts w:asciiTheme="minorHAnsi" w:hAnsiTheme="minorHAnsi" w:cstheme="minorHAnsi"/>
                <w:color w:val="000000" w:themeColor="text1"/>
                <w:sz w:val="20"/>
              </w:rPr>
              <w:t xml:space="preserve"> </w:t>
            </w:r>
            <w:r w:rsidRPr="001E15DB">
              <w:rPr>
                <w:rFonts w:asciiTheme="minorHAnsi" w:hAnsiTheme="minorHAnsi" w:cstheme="minorHAnsi"/>
                <w:color w:val="000000" w:themeColor="text1"/>
                <w:sz w:val="20"/>
              </w:rPr>
              <w:t>mg</w:t>
            </w:r>
          </w:p>
        </w:tc>
      </w:tr>
    </w:tbl>
    <w:p w14:paraId="46EDE7F0" w14:textId="77777777" w:rsidR="004305C4" w:rsidRPr="00B85017" w:rsidRDefault="004305C4" w:rsidP="004305C4">
      <w:pPr>
        <w:pStyle w:val="BodyText"/>
        <w:rPr>
          <w:color w:val="000000" w:themeColor="text1"/>
          <w:sz w:val="20"/>
        </w:rPr>
      </w:pPr>
    </w:p>
    <w:p w14:paraId="2FE7B0DD" w14:textId="77777777" w:rsidR="004305C4" w:rsidRPr="009D1960" w:rsidRDefault="004305C4" w:rsidP="004305C4">
      <w:pPr>
        <w:pStyle w:val="BodyText"/>
        <w:ind w:left="720"/>
        <w:rPr>
          <w:rFonts w:asciiTheme="minorHAnsi" w:hAnsiTheme="minorHAnsi" w:cstheme="minorHAnsi"/>
          <w:color w:val="000000" w:themeColor="text1"/>
          <w:sz w:val="16"/>
          <w:szCs w:val="20"/>
        </w:rPr>
      </w:pPr>
      <w:r w:rsidRPr="009D1960">
        <w:rPr>
          <w:rFonts w:asciiTheme="minorHAnsi" w:hAnsiTheme="minorHAnsi" w:cstheme="minorHAnsi"/>
          <w:color w:val="000000" w:themeColor="text1"/>
          <w:sz w:val="20"/>
          <w:szCs w:val="20"/>
        </w:rPr>
        <w:t>Amikacin should only be used in settings where susceptibility has been confirmed and where monthly, formal monitoring of hearing can be done (i.e. otoacoustic emissions in children &lt;5 years of age, pure tone audiometry in children ages 5 years and above).</w:t>
      </w:r>
    </w:p>
    <w:p w14:paraId="6678DD7B" w14:textId="77777777" w:rsidR="004305C4" w:rsidRPr="00B85017" w:rsidRDefault="004305C4" w:rsidP="004305C4">
      <w:pPr>
        <w:pStyle w:val="BodyText"/>
        <w:spacing w:before="3"/>
        <w:rPr>
          <w:color w:val="000000" w:themeColor="text1"/>
          <w:sz w:val="23"/>
        </w:rPr>
      </w:pPr>
    </w:p>
    <w:p w14:paraId="45D5B7A9" w14:textId="77777777" w:rsidR="004305C4" w:rsidRPr="00B85017" w:rsidRDefault="004305C4" w:rsidP="004305C4">
      <w:pPr>
        <w:rPr>
          <w:color w:val="000000" w:themeColor="text1"/>
          <w:sz w:val="24"/>
        </w:rPr>
      </w:pPr>
      <w:r w:rsidRPr="00B85017">
        <w:rPr>
          <w:color w:val="000000" w:themeColor="text1"/>
        </w:rPr>
        <w:br w:type="page"/>
      </w:r>
    </w:p>
    <w:p w14:paraId="49EE476F" w14:textId="4F9A87EA" w:rsidR="004305C4" w:rsidRPr="00B85017" w:rsidRDefault="004305C4" w:rsidP="00CE10C2">
      <w:pPr>
        <w:pStyle w:val="Heading6"/>
      </w:pPr>
      <w:bookmarkStart w:id="348" w:name="_Toc12950614"/>
      <w:bookmarkStart w:id="349" w:name="_Toc13076972"/>
      <w:r w:rsidRPr="00B85017">
        <w:lastRenderedPageBreak/>
        <w:t>Table 1n: Isoniazid</w:t>
      </w:r>
      <w:bookmarkEnd w:id="348"/>
      <w:bookmarkEnd w:id="349"/>
    </w:p>
    <w:tbl>
      <w:tblPr>
        <w:tblStyle w:val="TableGrid"/>
        <w:tblW w:w="0" w:type="auto"/>
        <w:tblInd w:w="15" w:type="dxa"/>
        <w:tblLook w:val="04A0" w:firstRow="1" w:lastRow="0" w:firstColumn="1" w:lastColumn="0" w:noHBand="0" w:noVBand="1"/>
      </w:tblPr>
      <w:tblGrid>
        <w:gridCol w:w="1911"/>
        <w:gridCol w:w="2044"/>
        <w:gridCol w:w="3408"/>
        <w:gridCol w:w="1639"/>
      </w:tblGrid>
      <w:tr w:rsidR="004305C4" w:rsidRPr="00041005" w14:paraId="1ECB2CF4" w14:textId="77777777" w:rsidTr="00FB1DBA">
        <w:trPr>
          <w:trHeight w:val="20"/>
        </w:trPr>
        <w:tc>
          <w:tcPr>
            <w:tcW w:w="943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9"/>
          </w:tcPr>
          <w:p w14:paraId="55373A6D" w14:textId="30BAD556" w:rsidR="004305C4" w:rsidRPr="00041005" w:rsidRDefault="004305C4" w:rsidP="00727AA7">
            <w:pPr>
              <w:jc w:val="center"/>
              <w:rPr>
                <w:rFonts w:asciiTheme="minorHAnsi" w:hAnsiTheme="minorHAnsi" w:cstheme="minorHAnsi"/>
                <w:b/>
                <w:color w:val="000000" w:themeColor="text1"/>
                <w:sz w:val="20"/>
              </w:rPr>
            </w:pPr>
            <w:r w:rsidRPr="00041005">
              <w:rPr>
                <w:rFonts w:asciiTheme="minorHAnsi" w:hAnsiTheme="minorHAnsi" w:cstheme="minorHAnsi"/>
                <w:b/>
                <w:color w:val="000000" w:themeColor="text1"/>
                <w:sz w:val="20"/>
              </w:rPr>
              <w:t>Isoniazid 100</w:t>
            </w:r>
            <w:r w:rsidR="00041005">
              <w:rPr>
                <w:rFonts w:asciiTheme="minorHAnsi" w:hAnsiTheme="minorHAnsi" w:cstheme="minorHAnsi"/>
                <w:b/>
                <w:color w:val="000000" w:themeColor="text1"/>
                <w:sz w:val="20"/>
              </w:rPr>
              <w:t xml:space="preserve"> </w:t>
            </w:r>
            <w:r w:rsidRPr="00041005">
              <w:rPr>
                <w:rFonts w:asciiTheme="minorHAnsi" w:hAnsiTheme="minorHAnsi" w:cstheme="minorHAnsi"/>
                <w:b/>
                <w:color w:val="000000" w:themeColor="text1"/>
                <w:sz w:val="20"/>
              </w:rPr>
              <w:t>mg*</w:t>
            </w:r>
          </w:p>
          <w:p w14:paraId="42C93DEA" w14:textId="77777777" w:rsidR="004305C4" w:rsidRPr="00041005" w:rsidRDefault="004305C4" w:rsidP="00727AA7">
            <w:pPr>
              <w:jc w:val="center"/>
              <w:rPr>
                <w:rFonts w:asciiTheme="minorHAnsi" w:hAnsiTheme="minorHAnsi" w:cstheme="minorHAnsi"/>
                <w:color w:val="000000" w:themeColor="text1"/>
                <w:sz w:val="20"/>
              </w:rPr>
            </w:pPr>
            <w:r w:rsidRPr="00041005">
              <w:rPr>
                <w:rFonts w:asciiTheme="minorHAnsi" w:hAnsiTheme="minorHAnsi" w:cstheme="minorHAnsi"/>
                <w:color w:val="000000" w:themeColor="text1"/>
                <w:sz w:val="20"/>
              </w:rPr>
              <w:t>Recommended dosing: 15-20 mg/kg</w:t>
            </w:r>
          </w:p>
          <w:p w14:paraId="3D591D70" w14:textId="77777777" w:rsidR="004305C4" w:rsidRPr="00041005" w:rsidRDefault="004305C4" w:rsidP="00727AA7">
            <w:pPr>
              <w:jc w:val="center"/>
              <w:rPr>
                <w:rFonts w:asciiTheme="minorHAnsi" w:hAnsiTheme="minorHAnsi" w:cstheme="minorHAnsi"/>
                <w:b/>
                <w:color w:val="000000" w:themeColor="text1"/>
                <w:sz w:val="20"/>
                <w:szCs w:val="20"/>
              </w:rPr>
            </w:pPr>
            <w:r w:rsidRPr="00041005">
              <w:rPr>
                <w:rFonts w:asciiTheme="minorHAnsi" w:hAnsiTheme="minorHAnsi" w:cstheme="minorHAnsi"/>
                <w:color w:val="000000" w:themeColor="text1"/>
                <w:sz w:val="20"/>
              </w:rPr>
              <w:t>Weight-based dosing</w:t>
            </w:r>
          </w:p>
        </w:tc>
      </w:tr>
      <w:tr w:rsidR="004305C4" w:rsidRPr="00041005" w14:paraId="4FC35C35" w14:textId="77777777" w:rsidTr="00727AA7">
        <w:trPr>
          <w:trHeight w:val="20"/>
        </w:trPr>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884941" w14:textId="77777777" w:rsidR="004305C4" w:rsidRPr="00041005" w:rsidRDefault="004305C4" w:rsidP="00727AA7">
            <w:pPr>
              <w:jc w:val="center"/>
              <w:rPr>
                <w:rFonts w:asciiTheme="minorHAnsi" w:hAnsiTheme="minorHAnsi" w:cstheme="minorHAnsi"/>
                <w:b/>
                <w:color w:val="000000" w:themeColor="text1"/>
                <w:sz w:val="20"/>
                <w:szCs w:val="20"/>
              </w:rPr>
            </w:pPr>
            <w:r w:rsidRPr="00041005">
              <w:rPr>
                <w:rFonts w:asciiTheme="minorHAnsi" w:hAnsiTheme="minorHAnsi" w:cstheme="minorHAnsi"/>
                <w:b/>
                <w:color w:val="000000" w:themeColor="text1"/>
                <w:sz w:val="20"/>
                <w:szCs w:val="20"/>
              </w:rPr>
              <w:t>Weight Band (kg)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6F40CB" w14:textId="77777777" w:rsidR="004305C4" w:rsidRPr="00041005" w:rsidRDefault="004305C4" w:rsidP="00727AA7">
            <w:pPr>
              <w:jc w:val="center"/>
              <w:rPr>
                <w:rFonts w:asciiTheme="minorHAnsi" w:hAnsiTheme="minorHAnsi" w:cstheme="minorHAnsi"/>
                <w:b/>
                <w:color w:val="000000" w:themeColor="text1"/>
                <w:sz w:val="20"/>
                <w:szCs w:val="20"/>
              </w:rPr>
            </w:pPr>
            <w:r w:rsidRPr="00041005">
              <w:rPr>
                <w:rFonts w:asciiTheme="minorHAnsi" w:hAnsiTheme="minorHAnsi" w:cstheme="minorHAnsi"/>
                <w:b/>
                <w:color w:val="000000" w:themeColor="text1"/>
                <w:sz w:val="20"/>
                <w:szCs w:val="20"/>
              </w:rPr>
              <w:t>Dose</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158118" w14:textId="0A970E80" w:rsidR="004305C4" w:rsidRPr="00041005" w:rsidRDefault="004305C4" w:rsidP="00727AA7">
            <w:pPr>
              <w:jc w:val="center"/>
              <w:rPr>
                <w:rFonts w:asciiTheme="minorHAnsi" w:hAnsiTheme="minorHAnsi" w:cstheme="minorHAnsi"/>
                <w:b/>
                <w:color w:val="000000" w:themeColor="text1"/>
                <w:sz w:val="20"/>
                <w:szCs w:val="20"/>
              </w:rPr>
            </w:pPr>
            <w:r w:rsidRPr="00041005">
              <w:rPr>
                <w:rFonts w:asciiTheme="minorHAnsi" w:hAnsiTheme="minorHAnsi" w:cstheme="minorHAnsi"/>
                <w:b/>
                <w:color w:val="000000" w:themeColor="text1"/>
                <w:sz w:val="20"/>
                <w:szCs w:val="20"/>
              </w:rPr>
              <w:t>100</w:t>
            </w:r>
            <w:r w:rsidR="00041005">
              <w:rPr>
                <w:rFonts w:asciiTheme="minorHAnsi" w:hAnsiTheme="minorHAnsi" w:cstheme="minorHAnsi"/>
                <w:b/>
                <w:color w:val="000000" w:themeColor="text1"/>
                <w:sz w:val="20"/>
                <w:szCs w:val="20"/>
              </w:rPr>
              <w:t xml:space="preserve"> </w:t>
            </w:r>
            <w:r w:rsidRPr="00041005">
              <w:rPr>
                <w:rFonts w:asciiTheme="minorHAnsi" w:hAnsiTheme="minorHAnsi" w:cstheme="minorHAnsi"/>
                <w:b/>
                <w:color w:val="000000" w:themeColor="text1"/>
                <w:sz w:val="20"/>
                <w:szCs w:val="20"/>
              </w:rPr>
              <w:t>mg dispersible tablets</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0624EC" w14:textId="6013F833" w:rsidR="004305C4" w:rsidRPr="00041005" w:rsidRDefault="004305C4" w:rsidP="00727AA7">
            <w:pPr>
              <w:jc w:val="center"/>
              <w:rPr>
                <w:rFonts w:asciiTheme="minorHAnsi" w:hAnsiTheme="minorHAnsi" w:cstheme="minorHAnsi"/>
                <w:b/>
                <w:color w:val="000000" w:themeColor="text1"/>
                <w:sz w:val="20"/>
                <w:szCs w:val="20"/>
              </w:rPr>
            </w:pPr>
            <w:r w:rsidRPr="00041005">
              <w:rPr>
                <w:rFonts w:asciiTheme="minorHAnsi" w:hAnsiTheme="minorHAnsi" w:cstheme="minorHAnsi"/>
                <w:b/>
                <w:color w:val="000000" w:themeColor="text1"/>
                <w:sz w:val="20"/>
                <w:szCs w:val="20"/>
              </w:rPr>
              <w:t>300</w:t>
            </w:r>
            <w:r w:rsidR="00041005">
              <w:rPr>
                <w:rFonts w:asciiTheme="minorHAnsi" w:hAnsiTheme="minorHAnsi" w:cstheme="minorHAnsi"/>
                <w:b/>
                <w:color w:val="000000" w:themeColor="text1"/>
                <w:sz w:val="20"/>
                <w:szCs w:val="20"/>
              </w:rPr>
              <w:t xml:space="preserve"> </w:t>
            </w:r>
            <w:r w:rsidRPr="00041005">
              <w:rPr>
                <w:rFonts w:asciiTheme="minorHAnsi" w:hAnsiTheme="minorHAnsi" w:cstheme="minorHAnsi"/>
                <w:b/>
                <w:color w:val="000000" w:themeColor="text1"/>
                <w:sz w:val="20"/>
                <w:szCs w:val="20"/>
              </w:rPr>
              <w:t>mg tablet</w:t>
            </w:r>
          </w:p>
        </w:tc>
      </w:tr>
      <w:tr w:rsidR="004305C4" w:rsidRPr="00041005" w14:paraId="1A40E554"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B53B5E" w14:textId="7925A31A"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B33E06" w14:textId="33EF0FD6"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15</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5F1A7D" w14:textId="5912E851"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Mix 100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 tablet in 10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ml of water and administer 1.5</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ml of mixture immediately</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7EAA1"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w:t>
            </w:r>
          </w:p>
        </w:tc>
      </w:tr>
      <w:tr w:rsidR="004305C4" w:rsidRPr="00041005" w14:paraId="5A2B48C6"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AA92E5" w14:textId="45675FDD"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2</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D22AB1" w14:textId="29D585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30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BC976D" w14:textId="09D1F3E4"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Mix 100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 tablet in 10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ml of water and administer 3</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ml of mixture immediately</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0A033E"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w:t>
            </w:r>
          </w:p>
        </w:tc>
      </w:tr>
      <w:tr w:rsidR="004305C4" w:rsidRPr="00041005" w14:paraId="2CB0FE82"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93B94F" w14:textId="568635C9"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3</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38DC52" w14:textId="75CA568E"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50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6920B5"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0.5</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8C7AD"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w:t>
            </w:r>
          </w:p>
        </w:tc>
      </w:tr>
      <w:tr w:rsidR="004305C4" w:rsidRPr="00041005" w14:paraId="15A3C3E6"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207FB8" w14:textId="6E676D0F"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4-6</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D07C0E" w14:textId="10CFD2CF"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100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33E022"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2A30ED"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w:t>
            </w:r>
          </w:p>
        </w:tc>
      </w:tr>
      <w:tr w:rsidR="004305C4" w:rsidRPr="00041005" w14:paraId="34D6D6CE"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9F1330" w14:textId="0FD71A81"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7-9</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000F6" w14:textId="4A208F65"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150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21C61D"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1.5</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A4430"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w:t>
            </w:r>
          </w:p>
        </w:tc>
      </w:tr>
      <w:tr w:rsidR="004305C4" w:rsidRPr="00041005" w14:paraId="59F415BA"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FB6FEF" w14:textId="5E29E8EF"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10-15</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1E829" w14:textId="08DA1176"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200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34398D"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2</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082BC"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w:t>
            </w:r>
          </w:p>
        </w:tc>
      </w:tr>
      <w:tr w:rsidR="004305C4" w:rsidRPr="00041005" w14:paraId="6C471C5C"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F25997" w14:textId="30DCA04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16-18</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3A13E" w14:textId="1AFD976A"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250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2D8185"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2.5</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E956D"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w:t>
            </w:r>
          </w:p>
        </w:tc>
      </w:tr>
      <w:tr w:rsidR="004305C4" w:rsidRPr="00041005" w14:paraId="7A86C2CE"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17E43D" w14:textId="0DA68C43"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19-20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9BEAE0" w14:textId="495F9625"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300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8E70D0"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3</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8AA271"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w:t>
            </w:r>
          </w:p>
        </w:tc>
      </w:tr>
      <w:tr w:rsidR="004305C4" w:rsidRPr="00041005" w14:paraId="4AB0AFCC"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EC5F7C" w14:textId="730FDEEF"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21-23</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17DB41"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350 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434A31"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3.5</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82241F"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w:t>
            </w:r>
          </w:p>
        </w:tc>
      </w:tr>
      <w:tr w:rsidR="004305C4" w:rsidRPr="00041005" w14:paraId="7F53D7C2"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550CBB" w14:textId="42E85A54"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24-30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D66A28" w14:textId="66DE2ABF"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400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B33CB4"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4</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2C7365"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1.5</w:t>
            </w:r>
          </w:p>
        </w:tc>
      </w:tr>
      <w:tr w:rsidR="004305C4" w:rsidRPr="00041005" w14:paraId="12792C8D" w14:textId="77777777" w:rsidTr="00727AA7">
        <w:tc>
          <w:tcPr>
            <w:tcW w:w="19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8932C6" w14:textId="741AC03E"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31-35</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kg</w:t>
            </w:r>
          </w:p>
        </w:tc>
        <w:tc>
          <w:tcPr>
            <w:tcW w:w="21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6DB52B" w14:textId="414E0914"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600</w:t>
            </w:r>
            <w:r w:rsidR="00041005">
              <w:rPr>
                <w:rFonts w:asciiTheme="minorHAnsi" w:hAnsiTheme="minorHAnsi" w:cstheme="minorHAnsi"/>
                <w:color w:val="000000" w:themeColor="text1"/>
                <w:sz w:val="20"/>
                <w:szCs w:val="20"/>
              </w:rPr>
              <w:t xml:space="preserve"> </w:t>
            </w:r>
            <w:r w:rsidRPr="00041005">
              <w:rPr>
                <w:rFonts w:asciiTheme="minorHAnsi" w:hAnsiTheme="minorHAnsi" w:cstheme="minorHAnsi"/>
                <w:color w:val="000000" w:themeColor="text1"/>
                <w:sz w:val="20"/>
                <w:szCs w:val="20"/>
              </w:rPr>
              <w:t>mg</w:t>
            </w:r>
          </w:p>
        </w:tc>
        <w:tc>
          <w:tcPr>
            <w:tcW w:w="35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CBE0EE"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80C7AE" w14:textId="77777777" w:rsidR="004305C4" w:rsidRPr="00041005" w:rsidRDefault="004305C4" w:rsidP="00727AA7">
            <w:pPr>
              <w:jc w:val="center"/>
              <w:rPr>
                <w:rFonts w:asciiTheme="minorHAnsi" w:hAnsiTheme="minorHAnsi" w:cstheme="minorHAnsi"/>
                <w:color w:val="000000" w:themeColor="text1"/>
                <w:sz w:val="20"/>
                <w:szCs w:val="20"/>
              </w:rPr>
            </w:pPr>
            <w:r w:rsidRPr="00041005">
              <w:rPr>
                <w:rFonts w:asciiTheme="minorHAnsi" w:hAnsiTheme="minorHAnsi" w:cstheme="minorHAnsi"/>
                <w:color w:val="000000" w:themeColor="text1"/>
                <w:sz w:val="20"/>
                <w:szCs w:val="20"/>
              </w:rPr>
              <w:t>2</w:t>
            </w:r>
          </w:p>
        </w:tc>
      </w:tr>
    </w:tbl>
    <w:p w14:paraId="4DAEE03F" w14:textId="77777777" w:rsidR="004305C4" w:rsidRPr="00041005" w:rsidRDefault="004305C4" w:rsidP="004305C4">
      <w:pPr>
        <w:rPr>
          <w:rFonts w:asciiTheme="minorHAnsi" w:hAnsiTheme="minorHAnsi" w:cstheme="minorHAnsi"/>
          <w:color w:val="000000" w:themeColor="text1"/>
          <w:sz w:val="20"/>
        </w:rPr>
      </w:pPr>
    </w:p>
    <w:p w14:paraId="48DDA9DD" w14:textId="77777777" w:rsidR="004305C4" w:rsidRPr="009D1960" w:rsidRDefault="004305C4" w:rsidP="004305C4">
      <w:pPr>
        <w:rPr>
          <w:rFonts w:asciiTheme="minorHAnsi" w:hAnsiTheme="minorHAnsi" w:cstheme="minorHAnsi"/>
          <w:color w:val="000000" w:themeColor="text1"/>
          <w:sz w:val="20"/>
        </w:rPr>
      </w:pPr>
      <w:r w:rsidRPr="009D1960">
        <w:rPr>
          <w:rFonts w:asciiTheme="minorHAnsi" w:hAnsiTheme="minorHAnsi" w:cstheme="minorHAnsi"/>
          <w:color w:val="000000" w:themeColor="text1"/>
          <w:sz w:val="20"/>
        </w:rPr>
        <w:t>*The role of HD-INH in the treatment of MDR-TB is still unclear but the drug could be considered in children with inhA mutations if there are no other options to construct an adequate regimen.</w:t>
      </w:r>
    </w:p>
    <w:p w14:paraId="7ACA64B0" w14:textId="37D7B8B1" w:rsidR="004305C4" w:rsidRPr="009D1960" w:rsidRDefault="004305C4" w:rsidP="004305C4">
      <w:pPr>
        <w:rPr>
          <w:rFonts w:asciiTheme="minorHAnsi" w:hAnsiTheme="minorHAnsi" w:cstheme="minorHAnsi"/>
          <w:color w:val="000000" w:themeColor="text1"/>
          <w:sz w:val="20"/>
        </w:rPr>
      </w:pPr>
      <w:r w:rsidRPr="009D1960">
        <w:rPr>
          <w:rFonts w:asciiTheme="minorHAnsi" w:hAnsiTheme="minorHAnsi" w:cstheme="minorHAnsi"/>
          <w:color w:val="000000" w:themeColor="text1"/>
          <w:sz w:val="20"/>
        </w:rPr>
        <w:t xml:space="preserve">Pyridoxine should always be given with high dose isoniazid in children (12.5 mg daily in </w:t>
      </w:r>
      <w:r w:rsidR="00041005">
        <w:rPr>
          <w:rFonts w:asciiTheme="minorHAnsi" w:hAnsiTheme="minorHAnsi" w:cstheme="minorHAnsi"/>
          <w:color w:val="000000" w:themeColor="text1"/>
          <w:sz w:val="20"/>
        </w:rPr>
        <w:t xml:space="preserve">children </w:t>
      </w:r>
      <w:r w:rsidRPr="009D1960">
        <w:rPr>
          <w:rFonts w:asciiTheme="minorHAnsi" w:hAnsiTheme="minorHAnsi" w:cstheme="minorHAnsi"/>
          <w:color w:val="000000" w:themeColor="text1"/>
          <w:sz w:val="20"/>
        </w:rPr>
        <w:t xml:space="preserve">&lt;5 year </w:t>
      </w:r>
      <w:r w:rsidRPr="00041005">
        <w:rPr>
          <w:rFonts w:asciiTheme="minorHAnsi" w:hAnsiTheme="minorHAnsi" w:cstheme="minorHAnsi"/>
          <w:color w:val="000000" w:themeColor="text1"/>
          <w:sz w:val="20"/>
        </w:rPr>
        <w:t>old</w:t>
      </w:r>
      <w:r w:rsidRPr="009D1960">
        <w:rPr>
          <w:rFonts w:asciiTheme="minorHAnsi" w:hAnsiTheme="minorHAnsi" w:cstheme="minorHAnsi"/>
          <w:color w:val="000000" w:themeColor="text1"/>
          <w:sz w:val="20"/>
        </w:rPr>
        <w:t xml:space="preserve"> and 25 mg daily in </w:t>
      </w:r>
      <w:r w:rsidR="00041005">
        <w:rPr>
          <w:rFonts w:asciiTheme="minorHAnsi" w:hAnsiTheme="minorHAnsi" w:cstheme="minorHAnsi"/>
          <w:color w:val="000000" w:themeColor="text1"/>
          <w:sz w:val="20"/>
        </w:rPr>
        <w:t xml:space="preserve">children </w:t>
      </w:r>
      <w:r w:rsidRPr="009D1960">
        <w:rPr>
          <w:rFonts w:asciiTheme="minorHAnsi" w:hAnsiTheme="minorHAnsi" w:cstheme="minorHAnsi"/>
          <w:color w:val="000000" w:themeColor="text1"/>
          <w:sz w:val="20"/>
        </w:rPr>
        <w:t xml:space="preserve">&gt;4 y </w:t>
      </w:r>
      <w:r w:rsidRPr="00041005">
        <w:rPr>
          <w:rFonts w:asciiTheme="minorHAnsi" w:hAnsiTheme="minorHAnsi" w:cstheme="minorHAnsi"/>
          <w:color w:val="000000" w:themeColor="text1"/>
          <w:sz w:val="20"/>
        </w:rPr>
        <w:t>old</w:t>
      </w:r>
      <w:r w:rsidRPr="009D1960">
        <w:rPr>
          <w:rFonts w:asciiTheme="minorHAnsi" w:hAnsiTheme="minorHAnsi" w:cstheme="minorHAnsi"/>
          <w:color w:val="000000" w:themeColor="text1"/>
          <w:sz w:val="20"/>
        </w:rPr>
        <w:t>).</w:t>
      </w:r>
    </w:p>
    <w:p w14:paraId="4185B93C" w14:textId="77777777" w:rsidR="004305C4" w:rsidRPr="00B85017" w:rsidRDefault="004305C4" w:rsidP="004305C4">
      <w:pPr>
        <w:rPr>
          <w:color w:val="000000" w:themeColor="text1"/>
          <w:sz w:val="20"/>
        </w:rPr>
      </w:pPr>
    </w:p>
    <w:p w14:paraId="42201208" w14:textId="77777777" w:rsidR="004305C4" w:rsidRPr="00B85017" w:rsidRDefault="004305C4" w:rsidP="004305C4">
      <w:pPr>
        <w:rPr>
          <w:color w:val="000000" w:themeColor="text1"/>
          <w:sz w:val="20"/>
        </w:rPr>
      </w:pPr>
    </w:p>
    <w:p w14:paraId="63609193" w14:textId="77777777" w:rsidR="004305C4" w:rsidRPr="00B85017" w:rsidRDefault="004305C4" w:rsidP="004305C4">
      <w:pPr>
        <w:rPr>
          <w:rFonts w:ascii="Times New Roman" w:hAnsi="Times New Roman"/>
          <w:color w:val="000000" w:themeColor="text1"/>
          <w:sz w:val="24"/>
          <w:szCs w:val="24"/>
        </w:rPr>
      </w:pPr>
    </w:p>
    <w:p w14:paraId="532672AF" w14:textId="77777777" w:rsidR="004305C4" w:rsidRPr="00B85017" w:rsidRDefault="004305C4" w:rsidP="002C212F">
      <w:pPr>
        <w:rPr>
          <w:color w:val="000000" w:themeColor="text1"/>
        </w:rPr>
      </w:pPr>
    </w:p>
    <w:p w14:paraId="3C8EE328" w14:textId="6902F92C" w:rsidR="00727AA7" w:rsidRPr="00B85017" w:rsidRDefault="00727AA7">
      <w:pPr>
        <w:spacing w:before="0" w:after="0"/>
        <w:jc w:val="left"/>
        <w:rPr>
          <w:color w:val="000000" w:themeColor="text1"/>
        </w:rPr>
      </w:pPr>
      <w:r w:rsidRPr="00B85017">
        <w:rPr>
          <w:color w:val="000000" w:themeColor="text1"/>
        </w:rPr>
        <w:br w:type="page"/>
      </w:r>
    </w:p>
    <w:p w14:paraId="5C2C9E31" w14:textId="3811F5DB" w:rsidR="00E66655" w:rsidRPr="00791F8C" w:rsidRDefault="00E66655" w:rsidP="008717D9">
      <w:pPr>
        <w:pStyle w:val="Heading4"/>
      </w:pPr>
      <w:bookmarkStart w:id="350" w:name="_Toc4143449"/>
      <w:bookmarkStart w:id="351" w:name="_Toc12950492"/>
      <w:bookmarkStart w:id="352" w:name="_Ref12950900"/>
      <w:bookmarkStart w:id="353" w:name="_Toc13076973"/>
      <w:r w:rsidRPr="00791F8C">
        <w:lastRenderedPageBreak/>
        <w:t xml:space="preserve">Appendix </w:t>
      </w:r>
      <w:r w:rsidR="008766BC">
        <w:t>2</w:t>
      </w:r>
      <w:r w:rsidRPr="00791F8C">
        <w:t xml:space="preserve">.  Designing </w:t>
      </w:r>
      <w:bookmarkEnd w:id="350"/>
      <w:r w:rsidRPr="00791F8C">
        <w:t>longer treatment regimens (LTRs)</w:t>
      </w:r>
      <w:bookmarkEnd w:id="351"/>
      <w:bookmarkEnd w:id="352"/>
      <w:bookmarkEnd w:id="353"/>
    </w:p>
    <w:p w14:paraId="36BDB59D" w14:textId="77777777" w:rsidR="00E66655" w:rsidRPr="009D1960" w:rsidRDefault="00E66655" w:rsidP="00E66655">
      <w:pPr>
        <w:rPr>
          <w:sz w:val="24"/>
          <w:szCs w:val="24"/>
        </w:rPr>
      </w:pPr>
    </w:p>
    <w:p w14:paraId="26ED0C85" w14:textId="77777777" w:rsidR="00E66655" w:rsidRPr="009D1960" w:rsidRDefault="00E66655" w:rsidP="00E66655">
      <w:pPr>
        <w:rPr>
          <w:rFonts w:asciiTheme="minorHAnsi" w:hAnsiTheme="minorHAnsi" w:cstheme="minorHAnsi"/>
          <w:sz w:val="23"/>
          <w:szCs w:val="23"/>
        </w:rPr>
      </w:pPr>
      <w:r w:rsidRPr="009D1960">
        <w:rPr>
          <w:rFonts w:asciiTheme="minorHAnsi" w:hAnsiTheme="minorHAnsi" w:cstheme="minorHAnsi"/>
          <w:sz w:val="23"/>
          <w:szCs w:val="23"/>
        </w:rPr>
        <w:t xml:space="preserve">In 2019, the WHO regrouped the TB medicines being used for RR- and MDR-TB. The grouping order is used for the design of LTRs. </w:t>
      </w:r>
    </w:p>
    <w:p w14:paraId="6F0624E7" w14:textId="65984988" w:rsidR="00E66655" w:rsidRPr="00AC01B3" w:rsidRDefault="00E66655" w:rsidP="00AC01B3">
      <w:pPr>
        <w:pStyle w:val="Heading6"/>
      </w:pPr>
      <w:bookmarkStart w:id="354" w:name="_Toc505845256"/>
      <w:bookmarkStart w:id="355" w:name="_Toc12950615"/>
      <w:bookmarkStart w:id="356" w:name="_Ref12953342"/>
      <w:bookmarkStart w:id="357" w:name="_Ref12953353"/>
      <w:bookmarkStart w:id="358" w:name="_Toc13076974"/>
      <w:r w:rsidRPr="00AC01B3">
        <w:t xml:space="preserve">Table </w:t>
      </w:r>
      <w:r w:rsidR="00CE10C2">
        <w:t>2</w:t>
      </w:r>
      <w:r w:rsidR="001163D6">
        <w:t>a:</w:t>
      </w:r>
      <w:r w:rsidRPr="00AC01B3">
        <w:t xml:space="preserve"> Hierarchical grouping of medicines recommended for the treatment of RR-/MDR-TB (adapted from WHO 2019 treatment guidelines for DR-TB)</w:t>
      </w:r>
      <w:bookmarkEnd w:id="354"/>
      <w:bookmarkEnd w:id="355"/>
      <w:bookmarkEnd w:id="356"/>
      <w:bookmarkEnd w:id="357"/>
      <w:bookmarkEnd w:id="358"/>
    </w:p>
    <w:tbl>
      <w:tblPr>
        <w:tblW w:w="0" w:type="auto"/>
        <w:tblCellMar>
          <w:left w:w="115" w:type="dxa"/>
          <w:right w:w="115" w:type="dxa"/>
        </w:tblCellMar>
        <w:tblLook w:val="04A0" w:firstRow="1" w:lastRow="0" w:firstColumn="1" w:lastColumn="0" w:noHBand="0" w:noVBand="1"/>
      </w:tblPr>
      <w:tblGrid>
        <w:gridCol w:w="4686"/>
        <w:gridCol w:w="4321"/>
      </w:tblGrid>
      <w:tr w:rsidR="00E66655" w:rsidRPr="009A369A" w14:paraId="786491B1" w14:textId="77777777" w:rsidTr="00D62BB3">
        <w:trPr>
          <w:trHeight w:val="447"/>
        </w:trPr>
        <w:tc>
          <w:tcPr>
            <w:tcW w:w="47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vAlign w:val="center"/>
            <w:hideMark/>
          </w:tcPr>
          <w:p w14:paraId="59C2A2E9" w14:textId="77777777" w:rsidR="00E66655" w:rsidRPr="009A369A" w:rsidRDefault="00E66655" w:rsidP="000D6CF4">
            <w:pPr>
              <w:pStyle w:val="Tabletext"/>
              <w:jc w:val="center"/>
              <w:rPr>
                <w:rFonts w:asciiTheme="minorHAnsi" w:hAnsiTheme="minorHAnsi" w:cstheme="minorHAnsi"/>
                <w:b/>
                <w:color w:val="FFFFFF" w:themeColor="background1"/>
              </w:rPr>
            </w:pPr>
            <w:r w:rsidRPr="009A369A">
              <w:rPr>
                <w:rFonts w:asciiTheme="minorHAnsi" w:hAnsiTheme="minorHAnsi" w:cstheme="minorHAnsi"/>
                <w:b/>
                <w:color w:val="FFFFFF" w:themeColor="background1"/>
              </w:rPr>
              <w:t>Group A:</w:t>
            </w:r>
          </w:p>
          <w:p w14:paraId="1AF09B30" w14:textId="77777777" w:rsidR="00E66655" w:rsidRPr="009A369A" w:rsidRDefault="00E66655" w:rsidP="000D6CF4">
            <w:pPr>
              <w:pStyle w:val="Tabletext"/>
              <w:jc w:val="center"/>
              <w:rPr>
                <w:rFonts w:asciiTheme="minorHAnsi" w:hAnsiTheme="minorHAnsi" w:cstheme="minorHAnsi"/>
                <w:color w:val="FFFFFF" w:themeColor="background1"/>
              </w:rPr>
            </w:pPr>
            <w:r w:rsidRPr="009A369A">
              <w:rPr>
                <w:rFonts w:asciiTheme="minorHAnsi" w:hAnsiTheme="minorHAnsi" w:cstheme="minorHAnsi"/>
                <w:color w:val="FFFFFF" w:themeColor="background1"/>
              </w:rPr>
              <w:t>Include all three medicines</w:t>
            </w:r>
          </w:p>
        </w:tc>
        <w:tc>
          <w:tcPr>
            <w:tcW w:w="44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hideMark/>
          </w:tcPr>
          <w:p w14:paraId="1B7E5269" w14:textId="77777777" w:rsidR="00E66655" w:rsidRPr="009A369A" w:rsidRDefault="00E66655" w:rsidP="000D6CF4">
            <w:pPr>
              <w:pStyle w:val="Tabletext"/>
              <w:jc w:val="center"/>
              <w:rPr>
                <w:rFonts w:asciiTheme="minorHAnsi" w:hAnsiTheme="minorHAnsi" w:cstheme="minorHAnsi"/>
              </w:rPr>
            </w:pPr>
            <w:r w:rsidRPr="009A369A">
              <w:rPr>
                <w:rFonts w:asciiTheme="minorHAnsi" w:hAnsiTheme="minorHAnsi" w:cstheme="minorHAnsi"/>
              </w:rPr>
              <w:t>Lfx OR Mfx</w:t>
            </w:r>
          </w:p>
          <w:p w14:paraId="582C550B" w14:textId="77777777" w:rsidR="00E66655" w:rsidRPr="009A369A" w:rsidRDefault="00E66655" w:rsidP="000D6CF4">
            <w:pPr>
              <w:pStyle w:val="Tabletext"/>
              <w:jc w:val="center"/>
              <w:rPr>
                <w:rFonts w:asciiTheme="minorHAnsi" w:hAnsiTheme="minorHAnsi" w:cstheme="minorHAnsi"/>
              </w:rPr>
            </w:pPr>
            <w:r w:rsidRPr="009A369A">
              <w:rPr>
                <w:rFonts w:asciiTheme="minorHAnsi" w:hAnsiTheme="minorHAnsi" w:cstheme="minorHAnsi"/>
              </w:rPr>
              <w:t>Bdq</w:t>
            </w:r>
          </w:p>
          <w:p w14:paraId="37C76B1A" w14:textId="77777777" w:rsidR="00E66655" w:rsidRPr="009A369A" w:rsidRDefault="00E66655" w:rsidP="000D6CF4">
            <w:pPr>
              <w:pStyle w:val="Tabletext"/>
              <w:jc w:val="center"/>
              <w:rPr>
                <w:rFonts w:asciiTheme="minorHAnsi" w:hAnsiTheme="minorHAnsi" w:cstheme="minorHAnsi"/>
              </w:rPr>
            </w:pPr>
            <w:r w:rsidRPr="009A369A">
              <w:rPr>
                <w:rFonts w:asciiTheme="minorHAnsi" w:hAnsiTheme="minorHAnsi" w:cstheme="minorHAnsi"/>
              </w:rPr>
              <w:t>Lzd</w:t>
            </w:r>
          </w:p>
        </w:tc>
      </w:tr>
      <w:tr w:rsidR="00E66655" w:rsidRPr="009A369A" w14:paraId="58DAD2B5" w14:textId="77777777" w:rsidTr="00D62BB3">
        <w:trPr>
          <w:trHeight w:val="528"/>
        </w:trPr>
        <w:tc>
          <w:tcPr>
            <w:tcW w:w="47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vAlign w:val="center"/>
            <w:hideMark/>
          </w:tcPr>
          <w:p w14:paraId="45363DEB" w14:textId="77777777" w:rsidR="00E66655" w:rsidRPr="009A369A" w:rsidRDefault="00E66655" w:rsidP="000D6CF4">
            <w:pPr>
              <w:pStyle w:val="Tabletext"/>
              <w:jc w:val="center"/>
              <w:rPr>
                <w:rFonts w:asciiTheme="minorHAnsi" w:hAnsiTheme="minorHAnsi" w:cstheme="minorHAnsi"/>
                <w:b/>
                <w:color w:val="FFFFFF" w:themeColor="background1"/>
              </w:rPr>
            </w:pPr>
            <w:r w:rsidRPr="009A369A">
              <w:rPr>
                <w:rFonts w:asciiTheme="minorHAnsi" w:hAnsiTheme="minorHAnsi" w:cstheme="minorHAnsi"/>
                <w:b/>
                <w:color w:val="FFFFFF" w:themeColor="background1"/>
              </w:rPr>
              <w:t>Group B:</w:t>
            </w:r>
          </w:p>
          <w:p w14:paraId="4CF23BB5" w14:textId="77777777" w:rsidR="00E66655" w:rsidRPr="009A369A" w:rsidRDefault="00E66655" w:rsidP="000D6CF4">
            <w:pPr>
              <w:pStyle w:val="Tabletext"/>
              <w:jc w:val="center"/>
              <w:rPr>
                <w:rFonts w:asciiTheme="minorHAnsi" w:hAnsiTheme="minorHAnsi" w:cstheme="minorHAnsi"/>
                <w:color w:val="FFFFFF" w:themeColor="background1"/>
              </w:rPr>
            </w:pPr>
            <w:r w:rsidRPr="009A369A">
              <w:rPr>
                <w:rFonts w:asciiTheme="minorHAnsi" w:hAnsiTheme="minorHAnsi" w:cstheme="minorHAnsi"/>
                <w:color w:val="FFFFFF" w:themeColor="background1"/>
              </w:rPr>
              <w:t>Add one or both medicines</w:t>
            </w:r>
          </w:p>
        </w:tc>
        <w:tc>
          <w:tcPr>
            <w:tcW w:w="44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hideMark/>
          </w:tcPr>
          <w:p w14:paraId="03E978B5" w14:textId="77777777" w:rsidR="00E66655" w:rsidRPr="009A369A" w:rsidRDefault="00E66655" w:rsidP="000D6CF4">
            <w:pPr>
              <w:pStyle w:val="Tabletext"/>
              <w:jc w:val="center"/>
              <w:rPr>
                <w:rFonts w:asciiTheme="minorHAnsi" w:hAnsiTheme="minorHAnsi" w:cstheme="minorHAnsi"/>
                <w:color w:val="0C0C0C"/>
              </w:rPr>
            </w:pPr>
            <w:r w:rsidRPr="009A369A">
              <w:rPr>
                <w:rFonts w:asciiTheme="minorHAnsi" w:hAnsiTheme="minorHAnsi" w:cstheme="minorHAnsi"/>
                <w:color w:val="0C0C0C"/>
              </w:rPr>
              <w:t>Cfz</w:t>
            </w:r>
          </w:p>
          <w:p w14:paraId="2EC86516" w14:textId="77777777" w:rsidR="00E66655" w:rsidRPr="009A369A" w:rsidRDefault="00E66655" w:rsidP="000D6CF4">
            <w:pPr>
              <w:pStyle w:val="Tabletext"/>
              <w:jc w:val="center"/>
              <w:rPr>
                <w:rFonts w:asciiTheme="minorHAnsi" w:hAnsiTheme="minorHAnsi" w:cstheme="minorHAnsi"/>
              </w:rPr>
            </w:pPr>
            <w:r w:rsidRPr="009A369A">
              <w:rPr>
                <w:rFonts w:asciiTheme="minorHAnsi" w:hAnsiTheme="minorHAnsi" w:cstheme="minorHAnsi"/>
              </w:rPr>
              <w:t>Cs OR Trd</w:t>
            </w:r>
          </w:p>
        </w:tc>
      </w:tr>
      <w:tr w:rsidR="00E66655" w:rsidRPr="009A369A" w14:paraId="45630BCC" w14:textId="77777777" w:rsidTr="00D62BB3">
        <w:trPr>
          <w:trHeight w:val="132"/>
        </w:trPr>
        <w:tc>
          <w:tcPr>
            <w:tcW w:w="47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35868"/>
            <w:tcMar>
              <w:top w:w="100" w:type="dxa"/>
              <w:left w:w="100" w:type="dxa"/>
              <w:bottom w:w="100" w:type="dxa"/>
              <w:right w:w="100" w:type="dxa"/>
            </w:tcMar>
            <w:vAlign w:val="center"/>
            <w:hideMark/>
          </w:tcPr>
          <w:p w14:paraId="5DD2622A" w14:textId="77777777" w:rsidR="00E66655" w:rsidRPr="009A369A" w:rsidRDefault="00E66655" w:rsidP="000D6CF4">
            <w:pPr>
              <w:pStyle w:val="Tabletext"/>
              <w:jc w:val="center"/>
              <w:rPr>
                <w:rFonts w:asciiTheme="minorHAnsi" w:hAnsiTheme="minorHAnsi" w:cstheme="minorHAnsi"/>
                <w:b/>
                <w:color w:val="FFFFFF" w:themeColor="background1"/>
              </w:rPr>
            </w:pPr>
            <w:r w:rsidRPr="009A369A">
              <w:rPr>
                <w:rFonts w:asciiTheme="minorHAnsi" w:hAnsiTheme="minorHAnsi" w:cstheme="minorHAnsi"/>
                <w:b/>
                <w:color w:val="FFFFFF" w:themeColor="background1"/>
              </w:rPr>
              <w:t>Group C:</w:t>
            </w:r>
          </w:p>
          <w:p w14:paraId="6B0CBB20" w14:textId="77777777" w:rsidR="00E66655" w:rsidRPr="009A369A" w:rsidRDefault="00E66655" w:rsidP="000D6CF4">
            <w:pPr>
              <w:pStyle w:val="Tabletext"/>
              <w:jc w:val="center"/>
              <w:rPr>
                <w:rFonts w:asciiTheme="minorHAnsi" w:hAnsiTheme="minorHAnsi" w:cstheme="minorHAnsi"/>
                <w:color w:val="FFFFFF" w:themeColor="background1"/>
              </w:rPr>
            </w:pPr>
            <w:r w:rsidRPr="009A369A">
              <w:rPr>
                <w:rFonts w:asciiTheme="minorHAnsi" w:hAnsiTheme="minorHAnsi" w:cstheme="minorHAnsi"/>
                <w:color w:val="FFFFFF" w:themeColor="background1"/>
              </w:rPr>
              <w:t>Add to complete the regimen and when medicines from Groups A and B cannot be used</w:t>
            </w:r>
          </w:p>
        </w:tc>
        <w:tc>
          <w:tcPr>
            <w:tcW w:w="44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hideMark/>
          </w:tcPr>
          <w:p w14:paraId="62739A9B" w14:textId="77777777" w:rsidR="00E66655" w:rsidRPr="009A369A" w:rsidRDefault="00E66655" w:rsidP="000D6CF4">
            <w:pPr>
              <w:pStyle w:val="Tabletext"/>
              <w:jc w:val="center"/>
              <w:rPr>
                <w:rFonts w:asciiTheme="minorHAnsi" w:hAnsiTheme="minorHAnsi" w:cstheme="minorHAnsi"/>
                <w:color w:val="0C0C0C"/>
                <w:lang w:val="es-PE"/>
              </w:rPr>
            </w:pPr>
            <w:r w:rsidRPr="009A369A">
              <w:rPr>
                <w:rFonts w:asciiTheme="minorHAnsi" w:hAnsiTheme="minorHAnsi" w:cstheme="minorHAnsi"/>
                <w:color w:val="0C0C0C"/>
                <w:lang w:val="es-PE"/>
              </w:rPr>
              <w:t>E</w:t>
            </w:r>
          </w:p>
          <w:p w14:paraId="07FF2060" w14:textId="77777777" w:rsidR="00E66655" w:rsidRPr="009A369A" w:rsidRDefault="00E66655" w:rsidP="000D6CF4">
            <w:pPr>
              <w:pStyle w:val="Tabletext"/>
              <w:jc w:val="center"/>
              <w:rPr>
                <w:rFonts w:asciiTheme="minorHAnsi" w:hAnsiTheme="minorHAnsi" w:cstheme="minorHAnsi"/>
                <w:color w:val="0C0C0C"/>
                <w:lang w:val="es-PE"/>
              </w:rPr>
            </w:pPr>
            <w:r w:rsidRPr="009A369A">
              <w:rPr>
                <w:rFonts w:asciiTheme="minorHAnsi" w:hAnsiTheme="minorHAnsi" w:cstheme="minorHAnsi"/>
                <w:color w:val="0C0C0C"/>
                <w:lang w:val="es-PE"/>
              </w:rPr>
              <w:t>Dlm</w:t>
            </w:r>
          </w:p>
          <w:p w14:paraId="6189C436" w14:textId="77777777" w:rsidR="00E66655" w:rsidRPr="009A369A" w:rsidRDefault="00E66655" w:rsidP="000D6CF4">
            <w:pPr>
              <w:pStyle w:val="Tabletext"/>
              <w:jc w:val="center"/>
              <w:rPr>
                <w:rFonts w:asciiTheme="minorHAnsi" w:hAnsiTheme="minorHAnsi" w:cstheme="minorHAnsi"/>
                <w:color w:val="0C0C0C"/>
                <w:lang w:val="es-PE"/>
              </w:rPr>
            </w:pPr>
            <w:r w:rsidRPr="009A369A">
              <w:rPr>
                <w:rFonts w:asciiTheme="minorHAnsi" w:hAnsiTheme="minorHAnsi" w:cstheme="minorHAnsi"/>
                <w:color w:val="0C0C0C"/>
                <w:lang w:val="es-PE"/>
              </w:rPr>
              <w:t>Z</w:t>
            </w:r>
          </w:p>
          <w:p w14:paraId="7D393470" w14:textId="77777777" w:rsidR="00E66655" w:rsidRPr="009A369A" w:rsidRDefault="00E66655" w:rsidP="000D6CF4">
            <w:pPr>
              <w:pStyle w:val="Tabletext"/>
              <w:jc w:val="center"/>
              <w:rPr>
                <w:rFonts w:asciiTheme="minorHAnsi" w:hAnsiTheme="minorHAnsi" w:cstheme="minorHAnsi"/>
              </w:rPr>
            </w:pPr>
            <w:r w:rsidRPr="009A369A">
              <w:rPr>
                <w:rFonts w:asciiTheme="minorHAnsi" w:hAnsiTheme="minorHAnsi" w:cstheme="minorHAnsi"/>
                <w:color w:val="0C0C0C"/>
              </w:rPr>
              <w:t>Imp/Cln OR Mpm</w:t>
            </w:r>
          </w:p>
          <w:p w14:paraId="169DB150" w14:textId="77777777" w:rsidR="00E66655" w:rsidRPr="009A369A" w:rsidRDefault="00E66655" w:rsidP="000D6CF4">
            <w:pPr>
              <w:pStyle w:val="Tabletext"/>
              <w:jc w:val="center"/>
              <w:rPr>
                <w:rFonts w:asciiTheme="minorHAnsi" w:hAnsiTheme="minorHAnsi" w:cstheme="minorHAnsi"/>
              </w:rPr>
            </w:pPr>
            <w:r w:rsidRPr="009A369A">
              <w:rPr>
                <w:rFonts w:asciiTheme="minorHAnsi" w:hAnsiTheme="minorHAnsi" w:cstheme="minorHAnsi"/>
              </w:rPr>
              <w:t>Am OR S</w:t>
            </w:r>
          </w:p>
          <w:p w14:paraId="3AA81105" w14:textId="77777777" w:rsidR="00E66655" w:rsidRPr="009A369A" w:rsidRDefault="00E66655" w:rsidP="000D6CF4">
            <w:pPr>
              <w:pStyle w:val="Tabletext"/>
              <w:jc w:val="center"/>
              <w:rPr>
                <w:rFonts w:asciiTheme="minorHAnsi" w:hAnsiTheme="minorHAnsi" w:cstheme="minorHAnsi"/>
              </w:rPr>
            </w:pPr>
            <w:r w:rsidRPr="009A369A">
              <w:rPr>
                <w:rFonts w:asciiTheme="minorHAnsi" w:hAnsiTheme="minorHAnsi" w:cstheme="minorHAnsi"/>
              </w:rPr>
              <w:t>Eto OR Pto</w:t>
            </w:r>
          </w:p>
          <w:p w14:paraId="5CA1C72E" w14:textId="77777777" w:rsidR="00E66655" w:rsidRPr="009A369A" w:rsidRDefault="00E66655" w:rsidP="000D6CF4">
            <w:pPr>
              <w:pStyle w:val="Tabletext"/>
              <w:jc w:val="center"/>
              <w:rPr>
                <w:rFonts w:asciiTheme="minorHAnsi" w:hAnsiTheme="minorHAnsi" w:cstheme="minorHAnsi"/>
              </w:rPr>
            </w:pPr>
            <w:r w:rsidRPr="009A369A">
              <w:rPr>
                <w:rFonts w:asciiTheme="minorHAnsi" w:hAnsiTheme="minorHAnsi" w:cstheme="minorHAnsi"/>
              </w:rPr>
              <w:t>PAS</w:t>
            </w:r>
          </w:p>
        </w:tc>
      </w:tr>
    </w:tbl>
    <w:p w14:paraId="03C87405" w14:textId="77777777" w:rsidR="00E66655" w:rsidRDefault="00E66655" w:rsidP="00E66655"/>
    <w:p w14:paraId="3C178E4D" w14:textId="77777777" w:rsidR="00E66655" w:rsidRPr="00791F8C" w:rsidRDefault="00E66655" w:rsidP="00E66655">
      <w:pPr>
        <w:spacing w:after="80" w:line="276" w:lineRule="auto"/>
        <w:rPr>
          <w:rFonts w:asciiTheme="minorHAnsi" w:eastAsiaTheme="minorEastAsia" w:hAnsiTheme="minorHAnsi" w:cstheme="minorHAnsi"/>
          <w:color w:val="000000" w:themeColor="text1"/>
          <w:sz w:val="23"/>
          <w:szCs w:val="23"/>
        </w:rPr>
      </w:pPr>
      <w:r w:rsidRPr="00791F8C">
        <w:rPr>
          <w:rFonts w:asciiTheme="minorHAnsi" w:eastAsiaTheme="minorEastAsia" w:hAnsiTheme="minorHAnsi" w:cstheme="minorHAnsi"/>
          <w:color w:val="000000" w:themeColor="text1"/>
          <w:sz w:val="23"/>
          <w:szCs w:val="23"/>
        </w:rPr>
        <w:t>In cases where the all-oral STR failed or did not produce a sustained cure, an</w:t>
      </w:r>
      <w:r>
        <w:rPr>
          <w:rFonts w:asciiTheme="minorHAnsi" w:eastAsiaTheme="minorEastAsia" w:hAnsiTheme="minorHAnsi" w:cstheme="minorHAnsi"/>
          <w:color w:val="000000" w:themeColor="text1"/>
          <w:sz w:val="23"/>
          <w:szCs w:val="23"/>
        </w:rPr>
        <w:t xml:space="preserve"> individualized</w:t>
      </w:r>
      <w:r w:rsidRPr="00791F8C">
        <w:rPr>
          <w:rFonts w:asciiTheme="minorHAnsi" w:eastAsiaTheme="minorEastAsia" w:hAnsiTheme="minorHAnsi" w:cstheme="minorHAnsi"/>
          <w:color w:val="000000" w:themeColor="text1"/>
          <w:sz w:val="23"/>
          <w:szCs w:val="23"/>
        </w:rPr>
        <w:t xml:space="preserve"> LTR will be needed. LTRs are designed according to the following principles: </w:t>
      </w:r>
    </w:p>
    <w:p w14:paraId="6EBAF96F" w14:textId="2A2E3C3A" w:rsidR="00E66655" w:rsidRPr="00791F8C" w:rsidRDefault="00E66655" w:rsidP="00CB2F8E">
      <w:pPr>
        <w:pStyle w:val="ListParagraph"/>
        <w:numPr>
          <w:ilvl w:val="0"/>
          <w:numId w:val="43"/>
        </w:numPr>
        <w:spacing w:after="80" w:line="276" w:lineRule="auto"/>
        <w:rPr>
          <w:rFonts w:asciiTheme="minorHAnsi" w:hAnsiTheme="minorHAnsi" w:cstheme="minorHAnsi"/>
          <w:color w:val="000000" w:themeColor="text1"/>
          <w:sz w:val="23"/>
          <w:szCs w:val="23"/>
        </w:rPr>
      </w:pPr>
      <w:r w:rsidRPr="00791F8C">
        <w:rPr>
          <w:rFonts w:asciiTheme="minorHAnsi" w:eastAsiaTheme="minorEastAsia" w:hAnsiTheme="minorHAnsi" w:cstheme="minorHAnsi"/>
          <w:color w:val="000000" w:themeColor="text1"/>
          <w:sz w:val="23"/>
          <w:szCs w:val="23"/>
        </w:rPr>
        <w:t xml:space="preserve">In general, LTRs are designed with at least four effective TB medicines, including </w:t>
      </w:r>
      <w:r w:rsidR="00DB4586">
        <w:rPr>
          <w:rFonts w:asciiTheme="minorHAnsi" w:eastAsiaTheme="minorEastAsia" w:hAnsiTheme="minorHAnsi" w:cstheme="minorHAnsi"/>
          <w:color w:val="000000" w:themeColor="text1"/>
          <w:sz w:val="23"/>
          <w:szCs w:val="23"/>
        </w:rPr>
        <w:t>three</w:t>
      </w:r>
      <w:r w:rsidRPr="00791F8C">
        <w:rPr>
          <w:rFonts w:asciiTheme="minorHAnsi" w:eastAsiaTheme="minorEastAsia" w:hAnsiTheme="minorHAnsi" w:cstheme="minorHAnsi"/>
          <w:color w:val="000000" w:themeColor="text1"/>
          <w:sz w:val="23"/>
          <w:szCs w:val="23"/>
        </w:rPr>
        <w:t xml:space="preserve"> from Group A and </w:t>
      </w:r>
      <w:r w:rsidR="00DB4586">
        <w:rPr>
          <w:rFonts w:asciiTheme="minorHAnsi" w:eastAsiaTheme="minorEastAsia" w:hAnsiTheme="minorHAnsi" w:cstheme="minorHAnsi"/>
          <w:color w:val="000000" w:themeColor="text1"/>
          <w:sz w:val="23"/>
          <w:szCs w:val="23"/>
        </w:rPr>
        <w:t>one</w:t>
      </w:r>
      <w:r w:rsidRPr="00791F8C">
        <w:rPr>
          <w:rFonts w:asciiTheme="minorHAnsi" w:eastAsiaTheme="minorEastAsia" w:hAnsiTheme="minorHAnsi" w:cstheme="minorHAnsi"/>
          <w:color w:val="000000" w:themeColor="text1"/>
          <w:sz w:val="23"/>
          <w:szCs w:val="23"/>
        </w:rPr>
        <w:t xml:space="preserve"> from Group B. </w:t>
      </w:r>
    </w:p>
    <w:p w14:paraId="160012E2" w14:textId="073B3445" w:rsidR="00E66655" w:rsidRPr="00791F8C" w:rsidRDefault="00E66655" w:rsidP="00CB2F8E">
      <w:pPr>
        <w:pStyle w:val="ListParagraph"/>
        <w:numPr>
          <w:ilvl w:val="0"/>
          <w:numId w:val="43"/>
        </w:numPr>
        <w:spacing w:after="80" w:line="276" w:lineRule="auto"/>
        <w:rPr>
          <w:rFonts w:asciiTheme="minorHAnsi" w:hAnsiTheme="minorHAnsi" w:cstheme="minorHAnsi"/>
          <w:color w:val="000000" w:themeColor="text1"/>
          <w:sz w:val="23"/>
          <w:szCs w:val="23"/>
        </w:rPr>
      </w:pPr>
      <w:r w:rsidRPr="00791F8C">
        <w:rPr>
          <w:rFonts w:asciiTheme="minorHAnsi" w:eastAsiaTheme="minorEastAsia" w:hAnsiTheme="minorHAnsi" w:cstheme="minorHAnsi"/>
          <w:color w:val="000000" w:themeColor="text1"/>
          <w:sz w:val="23"/>
          <w:szCs w:val="23"/>
        </w:rPr>
        <w:t xml:space="preserve">If this combination cannot be used, a minimum of </w:t>
      </w:r>
      <w:r w:rsidR="003C5196">
        <w:rPr>
          <w:rFonts w:asciiTheme="minorHAnsi" w:eastAsiaTheme="minorEastAsia" w:hAnsiTheme="minorHAnsi" w:cstheme="minorHAnsi"/>
          <w:color w:val="000000" w:themeColor="text1"/>
          <w:sz w:val="23"/>
          <w:szCs w:val="23"/>
        </w:rPr>
        <w:t>five</w:t>
      </w:r>
      <w:r w:rsidRPr="00791F8C">
        <w:rPr>
          <w:rFonts w:asciiTheme="minorHAnsi" w:eastAsiaTheme="minorEastAsia" w:hAnsiTheme="minorHAnsi" w:cstheme="minorHAnsi"/>
          <w:color w:val="000000" w:themeColor="text1"/>
          <w:sz w:val="23"/>
          <w:szCs w:val="23"/>
        </w:rPr>
        <w:t xml:space="preserve"> effective drugs is preferred and drugs from Group C have to be added to bring the total to at least five likely effective drugs. Regimens may contain more than five drugs if there is uncertainty of effectiveness in some of the drugs being used.</w:t>
      </w:r>
    </w:p>
    <w:p w14:paraId="1BE12FCF" w14:textId="2B31D8F3" w:rsidR="00E66655" w:rsidRPr="00791F8C" w:rsidRDefault="00E66655" w:rsidP="00CB2F8E">
      <w:pPr>
        <w:pStyle w:val="ListParagraph"/>
        <w:numPr>
          <w:ilvl w:val="0"/>
          <w:numId w:val="43"/>
        </w:numPr>
        <w:spacing w:after="80" w:line="276" w:lineRule="auto"/>
        <w:rPr>
          <w:rFonts w:asciiTheme="minorHAnsi" w:hAnsiTheme="minorHAnsi" w:cstheme="minorHAnsi"/>
          <w:color w:val="000000" w:themeColor="text1"/>
          <w:sz w:val="23"/>
          <w:szCs w:val="23"/>
        </w:rPr>
      </w:pPr>
      <w:r w:rsidRPr="00791F8C">
        <w:rPr>
          <w:rFonts w:asciiTheme="minorHAnsi" w:eastAsiaTheme="minorEastAsia" w:hAnsiTheme="minorHAnsi" w:cstheme="minorHAnsi"/>
          <w:color w:val="000000" w:themeColor="text1"/>
          <w:sz w:val="23"/>
          <w:szCs w:val="23"/>
        </w:rPr>
        <w:t xml:space="preserve">All drugs in the regimen are used </w:t>
      </w:r>
      <w:r w:rsidR="003C5196">
        <w:rPr>
          <w:rFonts w:asciiTheme="minorHAnsi" w:eastAsiaTheme="minorEastAsia" w:hAnsiTheme="minorHAnsi" w:cstheme="minorHAnsi"/>
          <w:color w:val="000000" w:themeColor="text1"/>
          <w:sz w:val="23"/>
          <w:szCs w:val="23"/>
        </w:rPr>
        <w:t xml:space="preserve">throughout </w:t>
      </w:r>
      <w:r w:rsidRPr="00791F8C">
        <w:rPr>
          <w:rFonts w:asciiTheme="minorHAnsi" w:eastAsiaTheme="minorEastAsia" w:hAnsiTheme="minorHAnsi" w:cstheme="minorHAnsi"/>
          <w:color w:val="000000" w:themeColor="text1"/>
          <w:sz w:val="23"/>
          <w:szCs w:val="23"/>
        </w:rPr>
        <w:t>the whole treatment if well tolerated.</w:t>
      </w:r>
    </w:p>
    <w:p w14:paraId="28F3EB85" w14:textId="65AA14C1" w:rsidR="00E66655" w:rsidRPr="00791F8C" w:rsidRDefault="00E66655" w:rsidP="00CB2F8E">
      <w:pPr>
        <w:pStyle w:val="ListParagraph"/>
        <w:numPr>
          <w:ilvl w:val="0"/>
          <w:numId w:val="43"/>
        </w:numPr>
        <w:spacing w:after="80" w:line="276" w:lineRule="auto"/>
        <w:rPr>
          <w:rFonts w:asciiTheme="minorHAnsi" w:hAnsiTheme="minorHAnsi" w:cstheme="minorHAnsi"/>
          <w:color w:val="000000" w:themeColor="text1"/>
          <w:sz w:val="23"/>
          <w:szCs w:val="23"/>
        </w:rPr>
      </w:pPr>
      <w:r w:rsidRPr="00791F8C">
        <w:rPr>
          <w:rFonts w:asciiTheme="minorHAnsi" w:eastAsiaTheme="minorEastAsia" w:hAnsiTheme="minorHAnsi" w:cstheme="minorHAnsi"/>
          <w:color w:val="000000" w:themeColor="text1"/>
          <w:sz w:val="23"/>
          <w:szCs w:val="23"/>
        </w:rPr>
        <w:t xml:space="preserve">In </w:t>
      </w:r>
      <w:r w:rsidR="003C5196">
        <w:rPr>
          <w:rFonts w:asciiTheme="minorHAnsi" w:eastAsiaTheme="minorEastAsia" w:hAnsiTheme="minorHAnsi" w:cstheme="minorHAnsi"/>
          <w:color w:val="000000" w:themeColor="text1"/>
          <w:sz w:val="23"/>
          <w:szCs w:val="23"/>
        </w:rPr>
        <w:t xml:space="preserve">the </w:t>
      </w:r>
      <w:r w:rsidRPr="00791F8C">
        <w:rPr>
          <w:rFonts w:asciiTheme="minorHAnsi" w:eastAsiaTheme="minorEastAsia" w:hAnsiTheme="minorHAnsi" w:cstheme="minorHAnsi"/>
          <w:color w:val="000000" w:themeColor="text1"/>
          <w:sz w:val="23"/>
          <w:szCs w:val="23"/>
        </w:rPr>
        <w:t xml:space="preserve">case one or more drugs </w:t>
      </w:r>
      <w:r w:rsidR="003C5196">
        <w:rPr>
          <w:rFonts w:asciiTheme="minorHAnsi" w:eastAsiaTheme="minorEastAsia" w:hAnsiTheme="minorHAnsi" w:cstheme="minorHAnsi"/>
          <w:color w:val="000000" w:themeColor="text1"/>
          <w:sz w:val="23"/>
          <w:szCs w:val="23"/>
        </w:rPr>
        <w:t>has</w:t>
      </w:r>
      <w:r w:rsidRPr="00791F8C">
        <w:rPr>
          <w:rFonts w:asciiTheme="minorHAnsi" w:eastAsiaTheme="minorEastAsia" w:hAnsiTheme="minorHAnsi" w:cstheme="minorHAnsi"/>
          <w:color w:val="000000" w:themeColor="text1"/>
          <w:sz w:val="23"/>
          <w:szCs w:val="23"/>
        </w:rPr>
        <w:t xml:space="preserve"> to be stopped (e.g. for toxicity reasons), the regimen should contain </w:t>
      </w:r>
      <w:r w:rsidR="00745DCE">
        <w:rPr>
          <w:rFonts w:asciiTheme="minorHAnsi" w:eastAsiaTheme="minorEastAsia" w:hAnsiTheme="minorHAnsi" w:cstheme="minorHAnsi"/>
          <w:color w:val="000000" w:themeColor="text1"/>
          <w:sz w:val="23"/>
          <w:szCs w:val="23"/>
        </w:rPr>
        <w:t>no</w:t>
      </w:r>
      <w:r w:rsidRPr="00791F8C">
        <w:rPr>
          <w:rFonts w:asciiTheme="minorHAnsi" w:eastAsiaTheme="minorEastAsia" w:hAnsiTheme="minorHAnsi" w:cstheme="minorHAnsi"/>
          <w:color w:val="000000" w:themeColor="text1"/>
          <w:sz w:val="23"/>
          <w:szCs w:val="23"/>
        </w:rPr>
        <w:t xml:space="preserve"> less than </w:t>
      </w:r>
      <w:r w:rsidR="00745DCE">
        <w:rPr>
          <w:rFonts w:asciiTheme="minorHAnsi" w:eastAsiaTheme="minorEastAsia" w:hAnsiTheme="minorHAnsi" w:cstheme="minorHAnsi"/>
          <w:color w:val="000000" w:themeColor="text1"/>
          <w:sz w:val="23"/>
          <w:szCs w:val="23"/>
        </w:rPr>
        <w:t>three</w:t>
      </w:r>
      <w:r w:rsidRPr="00791F8C">
        <w:rPr>
          <w:rFonts w:asciiTheme="minorHAnsi" w:eastAsiaTheme="minorEastAsia" w:hAnsiTheme="minorHAnsi" w:cstheme="minorHAnsi"/>
          <w:color w:val="000000" w:themeColor="text1"/>
          <w:sz w:val="23"/>
          <w:szCs w:val="23"/>
        </w:rPr>
        <w:t xml:space="preserve"> drugs, and preferably </w:t>
      </w:r>
      <w:r w:rsidR="00745DCE">
        <w:rPr>
          <w:rFonts w:asciiTheme="minorHAnsi" w:eastAsiaTheme="minorEastAsia" w:hAnsiTheme="minorHAnsi" w:cstheme="minorHAnsi"/>
          <w:color w:val="000000" w:themeColor="text1"/>
          <w:sz w:val="23"/>
          <w:szCs w:val="23"/>
        </w:rPr>
        <w:t>four</w:t>
      </w:r>
      <w:r w:rsidRPr="00791F8C">
        <w:rPr>
          <w:rFonts w:asciiTheme="minorHAnsi" w:eastAsiaTheme="minorEastAsia" w:hAnsiTheme="minorHAnsi" w:cstheme="minorHAnsi"/>
          <w:color w:val="000000" w:themeColor="text1"/>
          <w:sz w:val="23"/>
          <w:szCs w:val="23"/>
        </w:rPr>
        <w:t xml:space="preserve"> drugs</w:t>
      </w:r>
      <w:r w:rsidR="00745DCE">
        <w:rPr>
          <w:rFonts w:asciiTheme="minorHAnsi" w:eastAsiaTheme="minorEastAsia" w:hAnsiTheme="minorHAnsi" w:cstheme="minorHAnsi"/>
          <w:color w:val="000000" w:themeColor="text1"/>
          <w:sz w:val="23"/>
          <w:szCs w:val="23"/>
        </w:rPr>
        <w:t xml:space="preserve">, </w:t>
      </w:r>
      <w:r w:rsidRPr="00791F8C">
        <w:rPr>
          <w:rFonts w:asciiTheme="minorHAnsi" w:eastAsiaTheme="minorEastAsia" w:hAnsiTheme="minorHAnsi" w:cstheme="minorHAnsi"/>
          <w:color w:val="000000" w:themeColor="text1"/>
          <w:sz w:val="23"/>
          <w:szCs w:val="23"/>
        </w:rPr>
        <w:t xml:space="preserve">if less than </w:t>
      </w:r>
      <w:r w:rsidR="00745DCE">
        <w:rPr>
          <w:rFonts w:asciiTheme="minorHAnsi" w:eastAsiaTheme="minorEastAsia" w:hAnsiTheme="minorHAnsi" w:cstheme="minorHAnsi"/>
          <w:color w:val="000000" w:themeColor="text1"/>
          <w:sz w:val="23"/>
          <w:szCs w:val="23"/>
        </w:rPr>
        <w:t>two</w:t>
      </w:r>
      <w:r w:rsidRPr="00791F8C">
        <w:rPr>
          <w:rFonts w:asciiTheme="minorHAnsi" w:eastAsiaTheme="minorEastAsia" w:hAnsiTheme="minorHAnsi" w:cstheme="minorHAnsi"/>
          <w:color w:val="000000" w:themeColor="text1"/>
          <w:sz w:val="23"/>
          <w:szCs w:val="23"/>
        </w:rPr>
        <w:t xml:space="preserve"> Group A drugs are included.</w:t>
      </w:r>
    </w:p>
    <w:p w14:paraId="309F268F" w14:textId="77777777" w:rsidR="00E66655" w:rsidRPr="00D91215" w:rsidRDefault="00E66655" w:rsidP="00E66655">
      <w:pPr>
        <w:widowControl w:val="0"/>
        <w:tabs>
          <w:tab w:val="left" w:pos="345"/>
        </w:tabs>
        <w:autoSpaceDE w:val="0"/>
        <w:autoSpaceDN w:val="0"/>
        <w:adjustRightInd w:val="0"/>
        <w:spacing w:before="98" w:after="0" w:line="269" w:lineRule="auto"/>
        <w:contextualSpacing/>
        <w:rPr>
          <w:rFonts w:asciiTheme="minorHAnsi" w:hAnsiTheme="minorHAnsi" w:cstheme="minorHAnsi"/>
          <w:color w:val="000000"/>
          <w:sz w:val="23"/>
          <w:szCs w:val="23"/>
        </w:rPr>
      </w:pPr>
      <w:r w:rsidRPr="00D91215">
        <w:rPr>
          <w:rFonts w:asciiTheme="minorHAnsi" w:hAnsiTheme="minorHAnsi" w:cstheme="minorHAnsi"/>
          <w:color w:val="000000"/>
          <w:sz w:val="23"/>
          <w:szCs w:val="23"/>
        </w:rPr>
        <w:t>The definition of a "likely effective TB drug" includes both laboratory DST results and the patient's TB treatment history. Clinical judgement is often necessary to decide whether a specific drug counts as an effective TB medicine and all five criteria are not always able to be ascertained. A TB drug is considered likely to be effective if:</w:t>
      </w:r>
    </w:p>
    <w:p w14:paraId="6496FC3C" w14:textId="77777777" w:rsidR="00E66655" w:rsidRPr="00D91215" w:rsidRDefault="00E66655" w:rsidP="00CB2F8E">
      <w:pPr>
        <w:pStyle w:val="ListParagraph"/>
        <w:numPr>
          <w:ilvl w:val="0"/>
          <w:numId w:val="45"/>
        </w:numPr>
        <w:adjustRightInd w:val="0"/>
        <w:spacing w:line="269" w:lineRule="auto"/>
        <w:rPr>
          <w:rFonts w:asciiTheme="minorHAnsi" w:hAnsiTheme="minorHAnsi" w:cstheme="minorHAnsi"/>
          <w:sz w:val="23"/>
          <w:szCs w:val="23"/>
        </w:rPr>
      </w:pPr>
      <w:r w:rsidRPr="00D91215">
        <w:rPr>
          <w:rFonts w:asciiTheme="minorHAnsi" w:hAnsiTheme="minorHAnsi" w:cstheme="minorHAnsi"/>
          <w:sz w:val="23"/>
          <w:szCs w:val="23"/>
        </w:rPr>
        <w:t>The drug has not been used in a regimen that failed to cure the individual patent.</w:t>
      </w:r>
    </w:p>
    <w:p w14:paraId="0F578428" w14:textId="0EFED0B8" w:rsidR="00E66655" w:rsidRDefault="00E66655" w:rsidP="00CB2F8E">
      <w:pPr>
        <w:pStyle w:val="ListParagraph"/>
        <w:numPr>
          <w:ilvl w:val="0"/>
          <w:numId w:val="45"/>
        </w:numPr>
        <w:adjustRightInd w:val="0"/>
        <w:spacing w:line="269" w:lineRule="auto"/>
        <w:rPr>
          <w:rFonts w:asciiTheme="minorHAnsi" w:hAnsiTheme="minorHAnsi" w:cstheme="minorHAnsi"/>
          <w:sz w:val="23"/>
          <w:szCs w:val="23"/>
        </w:rPr>
      </w:pPr>
      <w:r w:rsidRPr="00D91215">
        <w:rPr>
          <w:rFonts w:asciiTheme="minorHAnsi" w:hAnsiTheme="minorHAnsi" w:cstheme="minorHAnsi"/>
          <w:sz w:val="23"/>
          <w:szCs w:val="23"/>
        </w:rPr>
        <w:t xml:space="preserve">DST performed on the patient’s strain indicates </w:t>
      </w:r>
      <w:r w:rsidR="00B91B51">
        <w:rPr>
          <w:rFonts w:asciiTheme="minorHAnsi" w:hAnsiTheme="minorHAnsi" w:cstheme="minorHAnsi"/>
          <w:sz w:val="23"/>
          <w:szCs w:val="23"/>
        </w:rPr>
        <w:t>susceptibility</w:t>
      </w:r>
      <w:r w:rsidRPr="00D91215">
        <w:rPr>
          <w:rFonts w:asciiTheme="minorHAnsi" w:hAnsiTheme="minorHAnsi" w:cstheme="minorHAnsi"/>
          <w:sz w:val="23"/>
          <w:szCs w:val="23"/>
        </w:rPr>
        <w:t xml:space="preserve"> to the drug. </w:t>
      </w:r>
    </w:p>
    <w:p w14:paraId="2B75BDC3" w14:textId="77777777" w:rsidR="00E66655" w:rsidRPr="008609F4" w:rsidRDefault="00E66655" w:rsidP="00CB2F8E">
      <w:pPr>
        <w:pStyle w:val="ListParagraph"/>
        <w:numPr>
          <w:ilvl w:val="0"/>
          <w:numId w:val="45"/>
        </w:numPr>
        <w:adjustRightInd w:val="0"/>
        <w:spacing w:line="269" w:lineRule="auto"/>
        <w:rPr>
          <w:rFonts w:asciiTheme="minorHAnsi" w:hAnsiTheme="minorHAnsi" w:cstheme="minorHAnsi"/>
          <w:sz w:val="23"/>
          <w:szCs w:val="23"/>
        </w:rPr>
      </w:pPr>
      <w:r w:rsidRPr="00A90ABC">
        <w:rPr>
          <w:rFonts w:asciiTheme="minorHAnsi" w:hAnsiTheme="minorHAnsi" w:cstheme="minorHAnsi"/>
          <w:sz w:val="23"/>
          <w:szCs w:val="23"/>
        </w:rPr>
        <w:t xml:space="preserve">If DST is not available: </w:t>
      </w:r>
    </w:p>
    <w:p w14:paraId="5EFDA367" w14:textId="4C49C4AE" w:rsidR="00E66655" w:rsidRPr="00D91215" w:rsidRDefault="00B91B51" w:rsidP="00CB2F8E">
      <w:pPr>
        <w:pStyle w:val="ListParagraph"/>
        <w:numPr>
          <w:ilvl w:val="1"/>
          <w:numId w:val="44"/>
        </w:numPr>
        <w:adjustRightInd w:val="0"/>
        <w:spacing w:line="269" w:lineRule="auto"/>
        <w:rPr>
          <w:rFonts w:asciiTheme="minorHAnsi" w:hAnsiTheme="minorHAnsi" w:cstheme="minorHAnsi"/>
          <w:sz w:val="23"/>
          <w:szCs w:val="23"/>
        </w:rPr>
      </w:pPr>
      <w:r>
        <w:rPr>
          <w:rFonts w:asciiTheme="minorHAnsi" w:hAnsiTheme="minorHAnsi" w:cstheme="minorHAnsi"/>
          <w:sz w:val="23"/>
          <w:szCs w:val="23"/>
        </w:rPr>
        <w:t>There is no</w:t>
      </w:r>
      <w:r w:rsidR="00E66655" w:rsidRPr="00D91215">
        <w:rPr>
          <w:rFonts w:asciiTheme="minorHAnsi" w:hAnsiTheme="minorHAnsi" w:cstheme="minorHAnsi"/>
          <w:sz w:val="23"/>
          <w:szCs w:val="23"/>
        </w:rPr>
        <w:t xml:space="preserve"> resistance to drugs with known cross-resistance.</w:t>
      </w:r>
    </w:p>
    <w:p w14:paraId="43727DC9" w14:textId="15BBF161" w:rsidR="00E66655" w:rsidRPr="00D91215" w:rsidRDefault="00B91B51" w:rsidP="00CB2F8E">
      <w:pPr>
        <w:pStyle w:val="ListParagraph"/>
        <w:numPr>
          <w:ilvl w:val="1"/>
          <w:numId w:val="44"/>
        </w:numPr>
        <w:adjustRightInd w:val="0"/>
        <w:spacing w:line="269" w:lineRule="auto"/>
        <w:rPr>
          <w:rFonts w:asciiTheme="minorHAnsi" w:hAnsiTheme="minorHAnsi" w:cstheme="minorHAnsi"/>
          <w:sz w:val="23"/>
          <w:szCs w:val="23"/>
        </w:rPr>
      </w:pPr>
      <w:r>
        <w:rPr>
          <w:rFonts w:asciiTheme="minorHAnsi" w:hAnsiTheme="minorHAnsi" w:cstheme="minorHAnsi"/>
          <w:sz w:val="23"/>
          <w:szCs w:val="23"/>
        </w:rPr>
        <w:lastRenderedPageBreak/>
        <w:t>There are no</w:t>
      </w:r>
      <w:r w:rsidR="00E66655" w:rsidRPr="00D91215">
        <w:rPr>
          <w:rFonts w:asciiTheme="minorHAnsi" w:hAnsiTheme="minorHAnsi" w:cstheme="minorHAnsi"/>
          <w:sz w:val="23"/>
          <w:szCs w:val="23"/>
        </w:rPr>
        <w:t xml:space="preserve"> known close contacts with resistance to the drug or contact with a patient </w:t>
      </w:r>
      <w:r w:rsidR="00E66655">
        <w:rPr>
          <w:rFonts w:asciiTheme="minorHAnsi" w:hAnsiTheme="minorHAnsi" w:cstheme="minorHAnsi"/>
          <w:sz w:val="23"/>
          <w:szCs w:val="23"/>
        </w:rPr>
        <w:t xml:space="preserve">who </w:t>
      </w:r>
      <w:r w:rsidR="00E66655" w:rsidRPr="00D91215">
        <w:rPr>
          <w:rFonts w:asciiTheme="minorHAnsi" w:hAnsiTheme="minorHAnsi" w:cstheme="minorHAnsi"/>
          <w:sz w:val="23"/>
          <w:szCs w:val="23"/>
        </w:rPr>
        <w:t>had treatment failure of an MDR-TB regimen that contained the drug.</w:t>
      </w:r>
    </w:p>
    <w:p w14:paraId="1A5059EB" w14:textId="77777777" w:rsidR="00E66655" w:rsidRPr="00791F8C" w:rsidRDefault="00E66655" w:rsidP="00CB2F8E">
      <w:pPr>
        <w:pStyle w:val="ListParagraph"/>
        <w:numPr>
          <w:ilvl w:val="1"/>
          <w:numId w:val="44"/>
        </w:numPr>
        <w:adjustRightInd w:val="0"/>
        <w:spacing w:line="269" w:lineRule="auto"/>
        <w:rPr>
          <w:rFonts w:asciiTheme="minorHAnsi" w:hAnsiTheme="minorHAnsi"/>
          <w:sz w:val="23"/>
        </w:rPr>
      </w:pPr>
      <w:r w:rsidRPr="00132DCD">
        <w:rPr>
          <w:rFonts w:asciiTheme="minorHAnsi" w:hAnsiTheme="minorHAnsi"/>
          <w:sz w:val="23"/>
        </w:rPr>
        <w:t xml:space="preserve">Drug resistance surveys demonstrate that resistance to the drug is rare in patients with </w:t>
      </w:r>
      <w:r w:rsidRPr="008C2D73">
        <w:rPr>
          <w:rFonts w:asciiTheme="minorHAnsi" w:hAnsiTheme="minorHAnsi"/>
          <w:sz w:val="23"/>
        </w:rPr>
        <w:t>a similar TB history. For example, most circulating MD</w:t>
      </w:r>
      <w:r w:rsidRPr="00B27488">
        <w:rPr>
          <w:rFonts w:asciiTheme="minorHAnsi" w:hAnsiTheme="minorHAnsi"/>
          <w:sz w:val="23"/>
        </w:rPr>
        <w:t>R-TB strains</w:t>
      </w:r>
      <w:r w:rsidRPr="00852473">
        <w:rPr>
          <w:rFonts w:asciiTheme="minorHAnsi" w:hAnsiTheme="minorHAnsi"/>
          <w:sz w:val="23"/>
        </w:rPr>
        <w:t xml:space="preserve"> are also resistant to ethambutol and in most settings cannot be counted as a “likely effective TB drug” in the regimen</w:t>
      </w:r>
      <w:r w:rsidRPr="00895C60">
        <w:rPr>
          <w:rFonts w:asciiTheme="minorHAnsi" w:hAnsiTheme="minorHAnsi"/>
          <w:sz w:val="23"/>
        </w:rPr>
        <w:t>.</w:t>
      </w:r>
    </w:p>
    <w:p w14:paraId="1796544E" w14:textId="77777777" w:rsidR="00E66655" w:rsidRPr="00791F8C" w:rsidRDefault="00E66655" w:rsidP="00E66655">
      <w:pPr>
        <w:rPr>
          <w:rFonts w:asciiTheme="minorHAnsi" w:hAnsiTheme="minorHAnsi" w:cstheme="minorHAnsi"/>
          <w:sz w:val="23"/>
          <w:szCs w:val="23"/>
        </w:rPr>
      </w:pPr>
      <w:r w:rsidRPr="00791F8C">
        <w:rPr>
          <w:rFonts w:asciiTheme="minorHAnsi" w:hAnsiTheme="minorHAnsi" w:cstheme="minorHAnsi"/>
          <w:sz w:val="23"/>
          <w:szCs w:val="23"/>
        </w:rPr>
        <w:t>In addition to the likelihood of effectiveness as defined above, other important characteristics include:</w:t>
      </w:r>
    </w:p>
    <w:p w14:paraId="7D2CF632" w14:textId="77777777" w:rsidR="00E66655" w:rsidRPr="00791F8C" w:rsidRDefault="00E66655" w:rsidP="00CB2F8E">
      <w:pPr>
        <w:pStyle w:val="ListParagraph"/>
        <w:numPr>
          <w:ilvl w:val="0"/>
          <w:numId w:val="37"/>
        </w:numPr>
        <w:ind w:left="1800"/>
        <w:contextualSpacing w:val="0"/>
        <w:rPr>
          <w:rFonts w:asciiTheme="minorHAnsi" w:hAnsiTheme="minorHAnsi" w:cstheme="minorHAnsi"/>
          <w:sz w:val="23"/>
          <w:szCs w:val="23"/>
        </w:rPr>
      </w:pPr>
      <w:r w:rsidRPr="00791F8C">
        <w:rPr>
          <w:rFonts w:asciiTheme="minorHAnsi" w:hAnsiTheme="minorHAnsi" w:cstheme="minorHAnsi"/>
          <w:sz w:val="23"/>
          <w:szCs w:val="23"/>
        </w:rPr>
        <w:t>The side effects of individual drugs and the overlapping toxicities they may have with other drugs in the regimen.</w:t>
      </w:r>
    </w:p>
    <w:p w14:paraId="40EDCF67" w14:textId="77777777" w:rsidR="00E66655" w:rsidRPr="00791F8C" w:rsidRDefault="00E66655" w:rsidP="00CB2F8E">
      <w:pPr>
        <w:pStyle w:val="ListParagraph"/>
        <w:widowControl w:val="0"/>
        <w:numPr>
          <w:ilvl w:val="0"/>
          <w:numId w:val="37"/>
        </w:numPr>
        <w:autoSpaceDE w:val="0"/>
        <w:autoSpaceDN w:val="0"/>
        <w:ind w:left="1800"/>
        <w:contextualSpacing w:val="0"/>
        <w:rPr>
          <w:rFonts w:asciiTheme="minorHAnsi" w:eastAsia="Calibri" w:hAnsiTheme="minorHAnsi" w:cstheme="minorHAnsi"/>
          <w:color w:val="231F20"/>
          <w:spacing w:val="-3"/>
          <w:sz w:val="23"/>
          <w:szCs w:val="23"/>
        </w:rPr>
      </w:pPr>
      <w:r w:rsidRPr="00791F8C">
        <w:rPr>
          <w:rFonts w:asciiTheme="minorHAnsi" w:eastAsia="Calibri" w:hAnsiTheme="minorHAnsi" w:cstheme="minorHAnsi"/>
          <w:color w:val="231F20"/>
          <w:spacing w:val="-3"/>
          <w:sz w:val="23"/>
          <w:szCs w:val="23"/>
        </w:rPr>
        <w:t>Whether the patient has any comorbidity that might make an individual drug or a certain combination more likely to result in toxicity.</w:t>
      </w:r>
    </w:p>
    <w:p w14:paraId="7E3A8A57" w14:textId="77777777" w:rsidR="00E66655" w:rsidRPr="00791F8C" w:rsidRDefault="00E66655" w:rsidP="00CB2F8E">
      <w:pPr>
        <w:pStyle w:val="ListParagraph"/>
        <w:widowControl w:val="0"/>
        <w:numPr>
          <w:ilvl w:val="0"/>
          <w:numId w:val="37"/>
        </w:numPr>
        <w:autoSpaceDE w:val="0"/>
        <w:autoSpaceDN w:val="0"/>
        <w:ind w:left="1800"/>
        <w:contextualSpacing w:val="0"/>
        <w:rPr>
          <w:rFonts w:asciiTheme="minorHAnsi" w:eastAsia="Calibri" w:hAnsiTheme="minorHAnsi" w:cstheme="minorHAnsi"/>
          <w:color w:val="231F20"/>
          <w:spacing w:val="-3"/>
          <w:sz w:val="23"/>
          <w:szCs w:val="23"/>
        </w:rPr>
      </w:pPr>
      <w:r w:rsidRPr="00791F8C">
        <w:rPr>
          <w:rFonts w:asciiTheme="minorHAnsi" w:eastAsia="Calibri" w:hAnsiTheme="minorHAnsi" w:cstheme="minorHAnsi"/>
          <w:color w:val="231F20"/>
          <w:spacing w:val="-3"/>
          <w:sz w:val="23"/>
          <w:szCs w:val="23"/>
        </w:rPr>
        <w:t>Whether the patient is taking any drug which may interact with anti-TB drugs.</w:t>
      </w:r>
    </w:p>
    <w:p w14:paraId="26DA2956" w14:textId="77777777" w:rsidR="00E66655" w:rsidRPr="00791F8C" w:rsidRDefault="00E66655" w:rsidP="00CB2F8E">
      <w:pPr>
        <w:pStyle w:val="ListParagraph"/>
        <w:widowControl w:val="0"/>
        <w:numPr>
          <w:ilvl w:val="0"/>
          <w:numId w:val="37"/>
        </w:numPr>
        <w:autoSpaceDE w:val="0"/>
        <w:autoSpaceDN w:val="0"/>
        <w:ind w:left="1800"/>
        <w:contextualSpacing w:val="0"/>
        <w:rPr>
          <w:rFonts w:asciiTheme="minorHAnsi" w:eastAsia="Calibri" w:hAnsiTheme="minorHAnsi" w:cstheme="minorHAnsi"/>
          <w:color w:val="231F20"/>
          <w:spacing w:val="-3"/>
          <w:sz w:val="23"/>
          <w:szCs w:val="23"/>
        </w:rPr>
      </w:pPr>
      <w:r w:rsidRPr="00791F8C">
        <w:rPr>
          <w:rFonts w:asciiTheme="minorHAnsi" w:eastAsia="Calibri" w:hAnsiTheme="minorHAnsi" w:cstheme="minorHAnsi"/>
          <w:color w:val="231F20"/>
          <w:spacing w:val="-3"/>
          <w:sz w:val="23"/>
          <w:szCs w:val="23"/>
        </w:rPr>
        <w:t>Whether the patient is pregnant.</w:t>
      </w:r>
    </w:p>
    <w:p w14:paraId="1A709A4B" w14:textId="0E5BBFA4" w:rsidR="00E66655" w:rsidRPr="00F62862" w:rsidRDefault="00F62862" w:rsidP="00E66655">
      <w:pPr>
        <w:widowControl w:val="0"/>
        <w:autoSpaceDE w:val="0"/>
        <w:autoSpaceDN w:val="0"/>
        <w:spacing w:before="0" w:after="0"/>
        <w:rPr>
          <w:rFonts w:asciiTheme="minorHAnsi" w:eastAsia="Calibri" w:hAnsiTheme="minorHAnsi" w:cstheme="minorHAnsi"/>
          <w:color w:val="000000" w:themeColor="text1"/>
          <w:sz w:val="23"/>
          <w:szCs w:val="23"/>
        </w:rPr>
      </w:pPr>
      <w:r w:rsidRPr="00F62862">
        <w:rPr>
          <w:rFonts w:asciiTheme="minorHAnsi" w:eastAsia="Calibri" w:hAnsiTheme="minorHAnsi" w:cstheme="minorHAnsi"/>
          <w:color w:val="000000" w:themeColor="text1"/>
          <w:spacing w:val="-3"/>
          <w:sz w:val="23"/>
          <w:szCs w:val="23"/>
        </w:rPr>
        <w:fldChar w:fldCharType="begin"/>
      </w:r>
      <w:r w:rsidRPr="00F62862">
        <w:rPr>
          <w:rFonts w:asciiTheme="minorHAnsi" w:eastAsia="Calibri" w:hAnsiTheme="minorHAnsi" w:cstheme="minorHAnsi"/>
          <w:color w:val="000000" w:themeColor="text1"/>
          <w:spacing w:val="-3"/>
          <w:sz w:val="23"/>
          <w:szCs w:val="23"/>
        </w:rPr>
        <w:instrText xml:space="preserve"> REF _Ref12972261 \h  \* MERGEFORMAT </w:instrText>
      </w:r>
      <w:r w:rsidRPr="00F62862">
        <w:rPr>
          <w:rFonts w:asciiTheme="minorHAnsi" w:eastAsia="Calibri" w:hAnsiTheme="minorHAnsi" w:cstheme="minorHAnsi"/>
          <w:color w:val="000000" w:themeColor="text1"/>
          <w:spacing w:val="-3"/>
          <w:sz w:val="23"/>
          <w:szCs w:val="23"/>
        </w:rPr>
      </w:r>
      <w:r w:rsidRPr="00F62862">
        <w:rPr>
          <w:rFonts w:asciiTheme="minorHAnsi" w:eastAsia="Calibri" w:hAnsiTheme="minorHAnsi" w:cstheme="minorHAnsi"/>
          <w:color w:val="000000" w:themeColor="text1"/>
          <w:spacing w:val="-3"/>
          <w:sz w:val="23"/>
          <w:szCs w:val="23"/>
        </w:rPr>
        <w:fldChar w:fldCharType="separate"/>
      </w:r>
      <w:r w:rsidRPr="00F62862">
        <w:rPr>
          <w:rFonts w:asciiTheme="minorHAnsi" w:hAnsiTheme="minorHAnsi" w:cstheme="minorHAnsi"/>
        </w:rPr>
        <w:t xml:space="preserve">Table 2B </w:t>
      </w:r>
      <w:r w:rsidRPr="00F62862">
        <w:rPr>
          <w:rFonts w:asciiTheme="minorHAnsi" w:eastAsia="Calibri" w:hAnsiTheme="minorHAnsi" w:cstheme="minorHAnsi"/>
          <w:color w:val="000000" w:themeColor="text1"/>
          <w:spacing w:val="-3"/>
          <w:sz w:val="23"/>
          <w:szCs w:val="23"/>
        </w:rPr>
        <w:fldChar w:fldCharType="end"/>
      </w:r>
      <w:r w:rsidR="00E66655" w:rsidRPr="00F62862">
        <w:rPr>
          <w:rFonts w:asciiTheme="minorHAnsi" w:eastAsia="Calibri" w:hAnsiTheme="minorHAnsi" w:cstheme="minorHAnsi"/>
          <w:color w:val="000000" w:themeColor="text1"/>
          <w:spacing w:val="-3"/>
          <w:sz w:val="23"/>
          <w:szCs w:val="23"/>
        </w:rPr>
        <w:t xml:space="preserve">describes </w:t>
      </w:r>
      <w:r w:rsidR="00E66655" w:rsidRPr="00F62862">
        <w:rPr>
          <w:rFonts w:asciiTheme="minorHAnsi" w:eastAsia="Calibri" w:hAnsiTheme="minorHAnsi" w:cstheme="minorHAnsi"/>
          <w:color w:val="000000" w:themeColor="text1"/>
          <w:sz w:val="23"/>
          <w:szCs w:val="23"/>
        </w:rPr>
        <w:t xml:space="preserve">the </w:t>
      </w:r>
      <w:r w:rsidR="00E66655" w:rsidRPr="00F62862">
        <w:rPr>
          <w:rFonts w:asciiTheme="minorHAnsi" w:eastAsia="Calibri" w:hAnsiTheme="minorHAnsi" w:cstheme="minorHAnsi"/>
          <w:color w:val="000000" w:themeColor="text1"/>
          <w:spacing w:val="-3"/>
          <w:sz w:val="23"/>
          <w:szCs w:val="23"/>
        </w:rPr>
        <w:t xml:space="preserve">steps </w:t>
      </w:r>
      <w:r w:rsidR="00E66655" w:rsidRPr="00F62862">
        <w:rPr>
          <w:rFonts w:asciiTheme="minorHAnsi" w:eastAsia="Calibri" w:hAnsiTheme="minorHAnsi" w:cstheme="minorHAnsi"/>
          <w:color w:val="000000" w:themeColor="text1"/>
          <w:sz w:val="23"/>
          <w:szCs w:val="23"/>
        </w:rPr>
        <w:t xml:space="preserve">to </w:t>
      </w:r>
      <w:r w:rsidR="00E66655" w:rsidRPr="00F62862">
        <w:rPr>
          <w:rFonts w:asciiTheme="minorHAnsi" w:eastAsia="Calibri" w:hAnsiTheme="minorHAnsi" w:cstheme="minorHAnsi"/>
          <w:color w:val="000000" w:themeColor="text1"/>
          <w:spacing w:val="-3"/>
          <w:sz w:val="23"/>
          <w:szCs w:val="23"/>
        </w:rPr>
        <w:t xml:space="preserve">build </w:t>
      </w:r>
      <w:r w:rsidR="00E66655" w:rsidRPr="00F62862">
        <w:rPr>
          <w:rFonts w:asciiTheme="minorHAnsi" w:eastAsia="Calibri" w:hAnsiTheme="minorHAnsi" w:cstheme="minorHAnsi"/>
          <w:color w:val="000000" w:themeColor="text1"/>
          <w:sz w:val="23"/>
          <w:szCs w:val="23"/>
        </w:rPr>
        <w:t xml:space="preserve">a longer </w:t>
      </w:r>
      <w:r w:rsidR="00E66655" w:rsidRPr="00F62862">
        <w:rPr>
          <w:rFonts w:asciiTheme="minorHAnsi" w:eastAsia="Calibri" w:hAnsiTheme="minorHAnsi" w:cstheme="minorHAnsi"/>
          <w:color w:val="000000" w:themeColor="text1"/>
          <w:spacing w:val="-3"/>
          <w:sz w:val="23"/>
          <w:szCs w:val="23"/>
        </w:rPr>
        <w:t xml:space="preserve">regimen </w:t>
      </w:r>
      <w:r w:rsidR="00E66655" w:rsidRPr="00F62862">
        <w:rPr>
          <w:rFonts w:asciiTheme="minorHAnsi" w:eastAsia="Calibri" w:hAnsiTheme="minorHAnsi" w:cstheme="minorHAnsi"/>
          <w:color w:val="000000" w:themeColor="text1"/>
          <w:sz w:val="23"/>
          <w:szCs w:val="23"/>
        </w:rPr>
        <w:t xml:space="preserve">for </w:t>
      </w:r>
      <w:r w:rsidR="00E66655" w:rsidRPr="00F62862">
        <w:rPr>
          <w:rFonts w:asciiTheme="minorHAnsi" w:eastAsia="Calibri" w:hAnsiTheme="minorHAnsi" w:cstheme="minorHAnsi"/>
          <w:color w:val="000000" w:themeColor="text1"/>
          <w:spacing w:val="-3"/>
          <w:sz w:val="23"/>
          <w:szCs w:val="23"/>
        </w:rPr>
        <w:t xml:space="preserve">MDR-TB </w:t>
      </w:r>
      <w:r w:rsidR="00E66655" w:rsidRPr="00F62862">
        <w:rPr>
          <w:rFonts w:asciiTheme="minorHAnsi" w:eastAsia="Calibri" w:hAnsiTheme="minorHAnsi" w:cstheme="minorHAnsi"/>
          <w:color w:val="000000" w:themeColor="text1"/>
          <w:sz w:val="23"/>
          <w:szCs w:val="23"/>
        </w:rPr>
        <w:t>treatment.</w:t>
      </w:r>
    </w:p>
    <w:p w14:paraId="6CDBDEC0" w14:textId="77777777" w:rsidR="00E66655" w:rsidRPr="00B67E18" w:rsidRDefault="00E66655" w:rsidP="00E66655">
      <w:pPr>
        <w:widowControl w:val="0"/>
        <w:autoSpaceDE w:val="0"/>
        <w:autoSpaceDN w:val="0"/>
        <w:spacing w:before="0" w:after="0"/>
        <w:ind w:left="360"/>
        <w:rPr>
          <w:rFonts w:asciiTheme="majorHAnsi" w:eastAsia="Calibri" w:hAnsiTheme="majorHAnsi" w:cs="Calibri"/>
          <w:b/>
          <w:color w:val="0070C0"/>
          <w:sz w:val="23"/>
          <w:szCs w:val="23"/>
        </w:rPr>
      </w:pPr>
    </w:p>
    <w:p w14:paraId="49FD4BBC" w14:textId="5F9BE303" w:rsidR="00E66655" w:rsidRPr="00AB784E" w:rsidRDefault="00E66655" w:rsidP="008717D9">
      <w:pPr>
        <w:pStyle w:val="Heading6"/>
      </w:pPr>
      <w:bookmarkStart w:id="359" w:name="_Toc527738898"/>
      <w:r>
        <w:br w:type="page"/>
      </w:r>
      <w:bookmarkStart w:id="360" w:name="_Toc12950616"/>
      <w:bookmarkStart w:id="361" w:name="_Ref12972261"/>
      <w:bookmarkStart w:id="362" w:name="_Toc13076975"/>
      <w:r w:rsidRPr="00B67E18">
        <w:lastRenderedPageBreak/>
        <w:t xml:space="preserve">Table </w:t>
      </w:r>
      <w:r w:rsidR="00CE10C2">
        <w:t>2</w:t>
      </w:r>
      <w:r w:rsidR="001163D6">
        <w:t>b:</w:t>
      </w:r>
      <w:r w:rsidR="00CE10C2">
        <w:t xml:space="preserve"> </w:t>
      </w:r>
      <w:r w:rsidRPr="00B67E18">
        <w:t>Steps for building a</w:t>
      </w:r>
      <w:r>
        <w:t>n</w:t>
      </w:r>
      <w:r w:rsidRPr="00B67E18">
        <w:t xml:space="preserve"> </w:t>
      </w:r>
      <w:bookmarkEnd w:id="359"/>
      <w:r>
        <w:t>LTR</w:t>
      </w:r>
      <w:bookmarkEnd w:id="360"/>
      <w:bookmarkEnd w:id="361"/>
      <w:bookmarkEnd w:id="362"/>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883"/>
        <w:gridCol w:w="7056"/>
        <w:gridCol w:w="1072"/>
      </w:tblGrid>
      <w:tr w:rsidR="00E66655" w:rsidRPr="00593B6E" w14:paraId="12AAAA12" w14:textId="77777777" w:rsidTr="00AA5F05">
        <w:trPr>
          <w:trHeight w:val="428"/>
        </w:trPr>
        <w:tc>
          <w:tcPr>
            <w:tcW w:w="490" w:type="pct"/>
            <w:vMerge w:val="restart"/>
            <w:shd w:val="clear" w:color="auto" w:fill="B6DDE9"/>
            <w:tcMar>
              <w:top w:w="100" w:type="dxa"/>
              <w:left w:w="100" w:type="dxa"/>
              <w:bottom w:w="100" w:type="dxa"/>
              <w:right w:w="100" w:type="dxa"/>
            </w:tcMar>
          </w:tcPr>
          <w:p w14:paraId="154F3900" w14:textId="77777777" w:rsidR="00E66655" w:rsidRPr="00593B6E" w:rsidRDefault="00E66655" w:rsidP="000D6CF4">
            <w:pPr>
              <w:pStyle w:val="Normal1"/>
              <w:rPr>
                <w:rFonts w:asciiTheme="minorHAnsi" w:hAnsiTheme="minorHAnsi" w:cstheme="minorHAnsi"/>
                <w:b/>
                <w:sz w:val="16"/>
                <w:szCs w:val="16"/>
              </w:rPr>
            </w:pPr>
            <w:r w:rsidRPr="00593B6E">
              <w:rPr>
                <w:rFonts w:asciiTheme="minorHAnsi" w:hAnsiTheme="minorHAnsi" w:cstheme="minorHAnsi"/>
                <w:b/>
                <w:sz w:val="16"/>
                <w:szCs w:val="16"/>
              </w:rPr>
              <w:t>STEP 1</w:t>
            </w:r>
          </w:p>
        </w:tc>
        <w:tc>
          <w:tcPr>
            <w:tcW w:w="4510" w:type="pct"/>
            <w:gridSpan w:val="2"/>
            <w:shd w:val="clear" w:color="auto" w:fill="235868"/>
            <w:tcMar>
              <w:top w:w="100" w:type="dxa"/>
              <w:left w:w="100" w:type="dxa"/>
              <w:bottom w:w="100" w:type="dxa"/>
              <w:right w:w="100" w:type="dxa"/>
            </w:tcMar>
          </w:tcPr>
          <w:p w14:paraId="1B4A7657" w14:textId="77777777" w:rsidR="00E66655" w:rsidRPr="00593B6E" w:rsidRDefault="00E66655" w:rsidP="000D6CF4">
            <w:pPr>
              <w:pStyle w:val="Normal1"/>
              <w:rPr>
                <w:rFonts w:asciiTheme="minorHAnsi" w:hAnsiTheme="minorHAnsi" w:cstheme="minorHAnsi"/>
                <w:b/>
                <w:color w:val="FFFFFF" w:themeColor="background1"/>
                <w:sz w:val="18"/>
                <w:szCs w:val="18"/>
              </w:rPr>
            </w:pPr>
            <w:r w:rsidRPr="00593B6E">
              <w:rPr>
                <w:rFonts w:asciiTheme="minorHAnsi" w:hAnsiTheme="minorHAnsi" w:cstheme="minorHAnsi"/>
                <w:b/>
                <w:color w:val="FFFFFF" w:themeColor="background1"/>
                <w:sz w:val="18"/>
                <w:szCs w:val="18"/>
              </w:rPr>
              <w:t>Use as many Group A drugs as possible (considering FQ susceptibility, previous exposure, contraindications, and concomitant treatment)</w:t>
            </w:r>
          </w:p>
        </w:tc>
      </w:tr>
      <w:tr w:rsidR="00E66655" w:rsidRPr="00593B6E" w14:paraId="2E8E4D56" w14:textId="77777777" w:rsidTr="00AA5F05">
        <w:trPr>
          <w:trHeight w:val="1298"/>
        </w:trPr>
        <w:tc>
          <w:tcPr>
            <w:tcW w:w="490" w:type="pct"/>
            <w:vMerge/>
            <w:shd w:val="clear" w:color="auto" w:fill="B6DDE9"/>
            <w:tcMar>
              <w:top w:w="100" w:type="dxa"/>
              <w:left w:w="100" w:type="dxa"/>
              <w:bottom w:w="100" w:type="dxa"/>
              <w:right w:w="100" w:type="dxa"/>
            </w:tcMar>
          </w:tcPr>
          <w:p w14:paraId="384B2C70" w14:textId="77777777" w:rsidR="00E66655" w:rsidRPr="00593B6E" w:rsidRDefault="00E66655" w:rsidP="000D6CF4">
            <w:pPr>
              <w:pStyle w:val="Normal1"/>
              <w:rPr>
                <w:rFonts w:asciiTheme="minorHAnsi" w:hAnsiTheme="minorHAnsi" w:cstheme="minorHAnsi"/>
                <w:b/>
                <w:sz w:val="16"/>
                <w:szCs w:val="16"/>
              </w:rPr>
            </w:pPr>
          </w:p>
        </w:tc>
        <w:tc>
          <w:tcPr>
            <w:tcW w:w="39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100" w:type="dxa"/>
              <w:left w:w="100" w:type="dxa"/>
              <w:bottom w:w="100" w:type="dxa"/>
              <w:right w:w="100" w:type="dxa"/>
            </w:tcMar>
          </w:tcPr>
          <w:p w14:paraId="36F48B7F" w14:textId="77777777" w:rsidR="00E66655" w:rsidRPr="00593B6E" w:rsidRDefault="00E66655" w:rsidP="000D6CF4">
            <w:pPr>
              <w:pStyle w:val="Normal1"/>
              <w:spacing w:before="0" w:after="0"/>
              <w:rPr>
                <w:rFonts w:asciiTheme="minorHAnsi" w:hAnsiTheme="minorHAnsi" w:cstheme="minorHAnsi"/>
                <w:b/>
                <w:sz w:val="18"/>
                <w:szCs w:val="18"/>
              </w:rPr>
            </w:pPr>
            <w:r w:rsidRPr="00593B6E">
              <w:rPr>
                <w:rFonts w:asciiTheme="minorHAnsi" w:hAnsiTheme="minorHAnsi" w:cstheme="minorHAnsi"/>
                <w:b/>
                <w:sz w:val="18"/>
                <w:szCs w:val="18"/>
              </w:rPr>
              <w:t>1.1. Use a later-generation fluoroquinolone</w:t>
            </w:r>
          </w:p>
          <w:p w14:paraId="5E985390" w14:textId="77777777" w:rsidR="00E66655" w:rsidRPr="00593B6E" w:rsidRDefault="00E66655" w:rsidP="00CB2F8E">
            <w:pPr>
              <w:pStyle w:val="Normal1"/>
              <w:numPr>
                <w:ilvl w:val="0"/>
                <w:numId w:val="38"/>
              </w:numPr>
              <w:spacing w:before="0" w:after="0"/>
              <w:rPr>
                <w:rFonts w:asciiTheme="minorHAnsi" w:hAnsiTheme="minorHAnsi" w:cstheme="minorHAnsi"/>
                <w:sz w:val="18"/>
                <w:szCs w:val="18"/>
              </w:rPr>
            </w:pPr>
            <w:r w:rsidRPr="00593B6E">
              <w:rPr>
                <w:rFonts w:asciiTheme="minorHAnsi" w:hAnsiTheme="minorHAnsi" w:cstheme="minorHAnsi"/>
                <w:sz w:val="18"/>
                <w:szCs w:val="18"/>
              </w:rPr>
              <w:t>Avoid Mfx if possible when using Bdq or multiple QT-prolonging drugs.</w:t>
            </w:r>
          </w:p>
          <w:p w14:paraId="14CA9FA5" w14:textId="643E5E01" w:rsidR="00E66655" w:rsidRPr="00593B6E" w:rsidRDefault="00E66655" w:rsidP="00CB2F8E">
            <w:pPr>
              <w:pStyle w:val="Normal1"/>
              <w:numPr>
                <w:ilvl w:val="0"/>
                <w:numId w:val="38"/>
              </w:numPr>
              <w:spacing w:before="0" w:after="0"/>
              <w:rPr>
                <w:rFonts w:asciiTheme="minorHAnsi" w:hAnsiTheme="minorHAnsi" w:cstheme="minorHAnsi"/>
                <w:sz w:val="18"/>
                <w:szCs w:val="18"/>
              </w:rPr>
            </w:pPr>
            <w:r w:rsidRPr="00593B6E">
              <w:rPr>
                <w:rFonts w:asciiTheme="minorHAnsi" w:hAnsiTheme="minorHAnsi" w:cstheme="minorHAnsi"/>
                <w:sz w:val="18"/>
                <w:szCs w:val="18"/>
              </w:rPr>
              <w:t>If there is only low-level resistance to the FQ, high-dose Mfx (Mfx</w:t>
            </w:r>
            <w:r w:rsidRPr="00593B6E">
              <w:rPr>
                <w:rFonts w:asciiTheme="minorHAnsi" w:hAnsiTheme="minorHAnsi" w:cstheme="minorHAnsi"/>
                <w:sz w:val="18"/>
                <w:szCs w:val="18"/>
                <w:vertAlign w:val="superscript"/>
              </w:rPr>
              <w:t>H</w:t>
            </w:r>
            <w:r w:rsidRPr="00593B6E">
              <w:rPr>
                <w:rFonts w:asciiTheme="minorHAnsi" w:hAnsiTheme="minorHAnsi" w:cstheme="minorHAnsi"/>
                <w:sz w:val="18"/>
                <w:szCs w:val="18"/>
              </w:rPr>
              <w:t xml:space="preserve">) can be used but </w:t>
            </w:r>
            <w:r w:rsidR="00004949">
              <w:rPr>
                <w:rFonts w:asciiTheme="minorHAnsi" w:hAnsiTheme="minorHAnsi" w:cstheme="minorHAnsi"/>
                <w:sz w:val="18"/>
                <w:szCs w:val="18"/>
              </w:rPr>
              <w:t xml:space="preserve">should </w:t>
            </w:r>
            <w:r w:rsidRPr="00593B6E">
              <w:rPr>
                <w:rFonts w:asciiTheme="minorHAnsi" w:hAnsiTheme="minorHAnsi" w:cstheme="minorHAnsi"/>
                <w:sz w:val="18"/>
                <w:szCs w:val="18"/>
              </w:rPr>
              <w:t xml:space="preserve">not be counted as </w:t>
            </w:r>
            <w:r w:rsidR="00004949">
              <w:rPr>
                <w:rFonts w:asciiTheme="minorHAnsi" w:hAnsiTheme="minorHAnsi" w:cstheme="minorHAnsi"/>
                <w:sz w:val="18"/>
                <w:szCs w:val="18"/>
              </w:rPr>
              <w:t xml:space="preserve">an </w:t>
            </w:r>
            <w:r w:rsidRPr="00593B6E">
              <w:rPr>
                <w:rFonts w:asciiTheme="minorHAnsi" w:hAnsiTheme="minorHAnsi" w:cstheme="minorHAnsi"/>
                <w:sz w:val="18"/>
                <w:szCs w:val="18"/>
              </w:rPr>
              <w:t xml:space="preserve">effective drug (see Table </w:t>
            </w:r>
            <w:r w:rsidR="00E37C7A" w:rsidRPr="00593B6E">
              <w:rPr>
                <w:rFonts w:asciiTheme="minorHAnsi" w:hAnsiTheme="minorHAnsi" w:cstheme="minorHAnsi"/>
                <w:sz w:val="18"/>
                <w:szCs w:val="18"/>
              </w:rPr>
              <w:t>2c</w:t>
            </w:r>
            <w:r w:rsidRPr="00593B6E">
              <w:rPr>
                <w:rFonts w:asciiTheme="minorHAnsi" w:hAnsiTheme="minorHAnsi" w:cstheme="minorHAnsi"/>
                <w:sz w:val="18"/>
                <w:szCs w:val="18"/>
              </w:rPr>
              <w:t>).</w:t>
            </w:r>
          </w:p>
          <w:p w14:paraId="3C5B38BC" w14:textId="6E606121" w:rsidR="00E66655" w:rsidRPr="00593B6E" w:rsidRDefault="00E66655" w:rsidP="00CB2F8E">
            <w:pPr>
              <w:pStyle w:val="Normal1"/>
              <w:numPr>
                <w:ilvl w:val="0"/>
                <w:numId w:val="38"/>
              </w:numPr>
              <w:spacing w:before="0" w:after="0"/>
              <w:rPr>
                <w:rFonts w:asciiTheme="minorHAnsi" w:hAnsiTheme="minorHAnsi" w:cstheme="minorHAnsi"/>
                <w:sz w:val="18"/>
                <w:szCs w:val="18"/>
              </w:rPr>
            </w:pPr>
            <w:r w:rsidRPr="00593B6E">
              <w:rPr>
                <w:rFonts w:asciiTheme="minorHAnsi" w:hAnsiTheme="minorHAnsi" w:cstheme="minorHAnsi"/>
                <w:sz w:val="18"/>
                <w:szCs w:val="18"/>
              </w:rPr>
              <w:t xml:space="preserve">When drug options are extremely limited, </w:t>
            </w:r>
            <w:r w:rsidR="00004949" w:rsidRPr="00593B6E">
              <w:rPr>
                <w:rFonts w:asciiTheme="minorHAnsi" w:hAnsiTheme="minorHAnsi" w:cstheme="minorHAnsi"/>
                <w:sz w:val="18"/>
                <w:szCs w:val="18"/>
              </w:rPr>
              <w:t>Mfx</w:t>
            </w:r>
            <w:r w:rsidR="00004949" w:rsidRPr="00593B6E">
              <w:rPr>
                <w:rFonts w:asciiTheme="minorHAnsi" w:hAnsiTheme="minorHAnsi" w:cstheme="minorHAnsi"/>
                <w:sz w:val="18"/>
                <w:szCs w:val="18"/>
                <w:vertAlign w:val="superscript"/>
              </w:rPr>
              <w:t>H</w:t>
            </w:r>
            <w:r w:rsidRPr="00593B6E">
              <w:rPr>
                <w:rFonts w:asciiTheme="minorHAnsi" w:hAnsiTheme="minorHAnsi" w:cstheme="minorHAnsi"/>
                <w:sz w:val="18"/>
                <w:szCs w:val="18"/>
              </w:rPr>
              <w:t xml:space="preserve"> may be implemented despite using multiple QT-prolonging drugs (the risk/benefits should be careful</w:t>
            </w:r>
            <w:r w:rsidR="00004949">
              <w:rPr>
                <w:rFonts w:asciiTheme="minorHAnsi" w:hAnsiTheme="minorHAnsi" w:cstheme="minorHAnsi"/>
                <w:sz w:val="18"/>
                <w:szCs w:val="18"/>
              </w:rPr>
              <w:t>ly</w:t>
            </w:r>
            <w:r w:rsidRPr="00593B6E">
              <w:rPr>
                <w:rFonts w:asciiTheme="minorHAnsi" w:hAnsiTheme="minorHAnsi" w:cstheme="minorHAnsi"/>
                <w:sz w:val="18"/>
                <w:szCs w:val="18"/>
              </w:rPr>
              <w:t xml:space="preserve"> weighed and discussed with the patient).</w:t>
            </w:r>
          </w:p>
          <w:p w14:paraId="129C5C31" w14:textId="77777777" w:rsidR="00E66655" w:rsidRPr="00593B6E" w:rsidRDefault="00E66655" w:rsidP="000D6CF4">
            <w:pPr>
              <w:pStyle w:val="Normal1"/>
              <w:spacing w:before="0" w:after="0"/>
              <w:rPr>
                <w:rFonts w:asciiTheme="minorHAnsi" w:hAnsiTheme="minorHAnsi" w:cstheme="minorHAnsi"/>
                <w:sz w:val="18"/>
                <w:szCs w:val="18"/>
              </w:rPr>
            </w:pPr>
          </w:p>
          <w:p w14:paraId="138979C1" w14:textId="77777777" w:rsidR="00E66655" w:rsidRPr="00593B6E" w:rsidRDefault="00E66655" w:rsidP="000D6CF4">
            <w:pPr>
              <w:pStyle w:val="Normal1"/>
              <w:spacing w:before="0" w:after="0"/>
              <w:rPr>
                <w:rFonts w:asciiTheme="minorHAnsi" w:hAnsiTheme="minorHAnsi" w:cstheme="minorHAnsi"/>
                <w:b/>
                <w:sz w:val="18"/>
                <w:szCs w:val="18"/>
              </w:rPr>
            </w:pPr>
            <w:r w:rsidRPr="00593B6E">
              <w:rPr>
                <w:rFonts w:asciiTheme="minorHAnsi" w:hAnsiTheme="minorHAnsi" w:cstheme="minorHAnsi"/>
                <w:b/>
                <w:sz w:val="18"/>
                <w:szCs w:val="18"/>
              </w:rPr>
              <w:t>1.2. Use bedaquiline</w:t>
            </w:r>
          </w:p>
          <w:p w14:paraId="1C108C33" w14:textId="00DBB5A1" w:rsidR="00E66655" w:rsidRPr="00593B6E" w:rsidRDefault="00E66655" w:rsidP="00CB2F8E">
            <w:pPr>
              <w:pStyle w:val="ListParagraph"/>
              <w:numPr>
                <w:ilvl w:val="0"/>
                <w:numId w:val="39"/>
              </w:numPr>
              <w:spacing w:before="0" w:after="0"/>
              <w:rPr>
                <w:rFonts w:asciiTheme="minorHAnsi" w:hAnsiTheme="minorHAnsi" w:cstheme="minorHAnsi"/>
                <w:sz w:val="18"/>
                <w:szCs w:val="18"/>
              </w:rPr>
            </w:pPr>
            <w:r w:rsidRPr="00593B6E">
              <w:rPr>
                <w:rFonts w:asciiTheme="minorHAnsi" w:hAnsiTheme="minorHAnsi" w:cstheme="minorHAnsi"/>
                <w:sz w:val="18"/>
                <w:szCs w:val="18"/>
              </w:rPr>
              <w:t xml:space="preserve">As it is one of the most potent anti-TB drugs, Bdq is added to all regimens unless </w:t>
            </w:r>
            <w:r w:rsidR="00F90868">
              <w:rPr>
                <w:rFonts w:asciiTheme="minorHAnsi" w:hAnsiTheme="minorHAnsi" w:cstheme="minorHAnsi"/>
                <w:sz w:val="18"/>
                <w:szCs w:val="18"/>
              </w:rPr>
              <w:t>there is resistance</w:t>
            </w:r>
            <w:r w:rsidRPr="00593B6E">
              <w:rPr>
                <w:rFonts w:asciiTheme="minorHAnsi" w:hAnsiTheme="minorHAnsi" w:cstheme="minorHAnsi"/>
                <w:sz w:val="18"/>
                <w:szCs w:val="18"/>
              </w:rPr>
              <w:t xml:space="preserve"> or </w:t>
            </w:r>
            <w:r w:rsidR="00F90868">
              <w:rPr>
                <w:rFonts w:asciiTheme="minorHAnsi" w:hAnsiTheme="minorHAnsi" w:cstheme="minorHAnsi"/>
                <w:sz w:val="18"/>
                <w:szCs w:val="18"/>
              </w:rPr>
              <w:t>intolerance</w:t>
            </w:r>
            <w:r w:rsidRPr="00593B6E">
              <w:rPr>
                <w:rFonts w:asciiTheme="minorHAnsi" w:hAnsiTheme="minorHAnsi" w:cstheme="minorHAnsi"/>
                <w:sz w:val="18"/>
                <w:szCs w:val="18"/>
              </w:rPr>
              <w:t>.</w:t>
            </w:r>
          </w:p>
          <w:p w14:paraId="41DF4503" w14:textId="77777777" w:rsidR="00E66655" w:rsidRPr="00593B6E" w:rsidRDefault="00E66655" w:rsidP="00CB2F8E">
            <w:pPr>
              <w:pStyle w:val="ListParagraph"/>
              <w:numPr>
                <w:ilvl w:val="0"/>
                <w:numId w:val="39"/>
              </w:numPr>
              <w:spacing w:before="0" w:after="0"/>
              <w:rPr>
                <w:rFonts w:asciiTheme="minorHAnsi" w:hAnsiTheme="minorHAnsi" w:cstheme="minorHAnsi"/>
                <w:sz w:val="18"/>
                <w:szCs w:val="18"/>
              </w:rPr>
            </w:pPr>
            <w:r w:rsidRPr="00593B6E">
              <w:rPr>
                <w:rFonts w:asciiTheme="minorHAnsi" w:hAnsiTheme="minorHAnsi" w:cstheme="minorHAnsi"/>
                <w:sz w:val="18"/>
                <w:szCs w:val="18"/>
              </w:rPr>
              <w:t>DST to Bdq is not commonly available. Resistance to Bdq is still highly unlikely in most settings.</w:t>
            </w:r>
          </w:p>
          <w:p w14:paraId="2D675EAE" w14:textId="77777777" w:rsidR="00E66655" w:rsidRPr="00593B6E" w:rsidRDefault="00E66655" w:rsidP="000D6CF4">
            <w:pPr>
              <w:spacing w:before="0" w:after="0"/>
              <w:rPr>
                <w:rFonts w:asciiTheme="minorHAnsi" w:hAnsiTheme="minorHAnsi" w:cstheme="minorHAnsi"/>
                <w:sz w:val="18"/>
                <w:szCs w:val="18"/>
              </w:rPr>
            </w:pPr>
          </w:p>
          <w:p w14:paraId="71A803D6" w14:textId="77777777" w:rsidR="00E66655" w:rsidRPr="00593B6E" w:rsidRDefault="00E66655" w:rsidP="000D6CF4">
            <w:pPr>
              <w:pStyle w:val="Normal1"/>
              <w:spacing w:before="0" w:after="0"/>
              <w:rPr>
                <w:rFonts w:asciiTheme="minorHAnsi" w:hAnsiTheme="minorHAnsi" w:cstheme="minorHAnsi"/>
                <w:b/>
                <w:sz w:val="18"/>
                <w:szCs w:val="18"/>
              </w:rPr>
            </w:pPr>
            <w:r w:rsidRPr="00593B6E">
              <w:rPr>
                <w:rFonts w:asciiTheme="minorHAnsi" w:hAnsiTheme="minorHAnsi" w:cstheme="minorHAnsi"/>
                <w:b/>
                <w:sz w:val="18"/>
                <w:szCs w:val="18"/>
              </w:rPr>
              <w:t>1.3. Use linezolid</w:t>
            </w:r>
          </w:p>
          <w:p w14:paraId="55A825A6" w14:textId="6D17C6EA" w:rsidR="00E66655" w:rsidRPr="00593B6E" w:rsidRDefault="00E66655" w:rsidP="00CB2F8E">
            <w:pPr>
              <w:pStyle w:val="ListParagraph"/>
              <w:widowControl w:val="0"/>
              <w:numPr>
                <w:ilvl w:val="1"/>
                <w:numId w:val="40"/>
              </w:numPr>
              <w:tabs>
                <w:tab w:val="left" w:pos="365"/>
                <w:tab w:val="left" w:pos="591"/>
              </w:tabs>
              <w:autoSpaceDE w:val="0"/>
              <w:autoSpaceDN w:val="0"/>
              <w:spacing w:before="0" w:after="0"/>
              <w:contextualSpacing w:val="0"/>
              <w:jc w:val="left"/>
              <w:rPr>
                <w:rFonts w:asciiTheme="minorHAnsi" w:hAnsiTheme="minorHAnsi" w:cstheme="minorHAnsi"/>
                <w:sz w:val="18"/>
                <w:szCs w:val="18"/>
              </w:rPr>
            </w:pPr>
            <w:r w:rsidRPr="00593B6E">
              <w:rPr>
                <w:rFonts w:asciiTheme="minorHAnsi" w:hAnsiTheme="minorHAnsi" w:cstheme="minorHAnsi"/>
                <w:sz w:val="18"/>
                <w:szCs w:val="18"/>
              </w:rPr>
              <w:t xml:space="preserve">Monitoring for </w:t>
            </w:r>
            <w:r w:rsidR="00F90868" w:rsidRPr="00593B6E">
              <w:rPr>
                <w:rFonts w:asciiTheme="minorHAnsi" w:hAnsiTheme="minorHAnsi" w:cstheme="minorHAnsi"/>
                <w:sz w:val="18"/>
                <w:szCs w:val="18"/>
              </w:rPr>
              <w:t>myelosuppression</w:t>
            </w:r>
            <w:r w:rsidRPr="00593B6E">
              <w:rPr>
                <w:rFonts w:asciiTheme="minorHAnsi" w:hAnsiTheme="minorHAnsi" w:cstheme="minorHAnsi"/>
                <w:sz w:val="18"/>
                <w:szCs w:val="18"/>
              </w:rPr>
              <w:t>, optic neuritis, and peripheral neuropathy must be in place to use Lzd in the regimen.</w:t>
            </w:r>
            <w:r w:rsidR="00F90868">
              <w:rPr>
                <w:rFonts w:asciiTheme="minorHAnsi" w:hAnsiTheme="minorHAnsi" w:cstheme="minorHAnsi"/>
                <w:sz w:val="18"/>
                <w:szCs w:val="18"/>
              </w:rPr>
              <w:t xml:space="preserve"> </w:t>
            </w:r>
            <w:r w:rsidRPr="00593B6E">
              <w:rPr>
                <w:rFonts w:asciiTheme="minorHAnsi" w:hAnsiTheme="minorHAnsi" w:cstheme="minorHAnsi"/>
                <w:sz w:val="18"/>
                <w:szCs w:val="18"/>
              </w:rPr>
              <w:t>DST to Lzd is not commonly available. Resistance to Lzd is still highly unlikely in most settings.</w:t>
            </w:r>
          </w:p>
        </w:tc>
        <w:tc>
          <w:tcPr>
            <w:tcW w:w="5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100" w:type="dxa"/>
              <w:left w:w="100" w:type="dxa"/>
              <w:bottom w:w="100" w:type="dxa"/>
              <w:right w:w="100" w:type="dxa"/>
            </w:tcMar>
          </w:tcPr>
          <w:p w14:paraId="2EB9235A" w14:textId="77777777" w:rsidR="00E66655" w:rsidRPr="00593B6E" w:rsidRDefault="00E66655" w:rsidP="000D6CF4">
            <w:pPr>
              <w:pStyle w:val="Normal1"/>
              <w:rPr>
                <w:rFonts w:asciiTheme="minorHAnsi" w:hAnsiTheme="minorHAnsi" w:cstheme="minorHAnsi"/>
                <w:sz w:val="18"/>
                <w:szCs w:val="18"/>
              </w:rPr>
            </w:pPr>
            <w:r w:rsidRPr="00593B6E">
              <w:rPr>
                <w:rFonts w:asciiTheme="minorHAnsi" w:hAnsiTheme="minorHAnsi" w:cstheme="minorHAnsi"/>
                <w:sz w:val="18"/>
                <w:szCs w:val="18"/>
              </w:rPr>
              <w:t>Lfx, Mfx</w:t>
            </w:r>
          </w:p>
          <w:p w14:paraId="0F8E0991" w14:textId="77777777" w:rsidR="00E66655" w:rsidRPr="00593B6E" w:rsidRDefault="00E66655" w:rsidP="000D6CF4">
            <w:pPr>
              <w:pStyle w:val="Normal1"/>
              <w:rPr>
                <w:rFonts w:asciiTheme="minorHAnsi" w:hAnsiTheme="minorHAnsi" w:cstheme="minorHAnsi"/>
                <w:sz w:val="18"/>
                <w:szCs w:val="18"/>
              </w:rPr>
            </w:pPr>
          </w:p>
          <w:p w14:paraId="5711B94B" w14:textId="77777777" w:rsidR="00E66655" w:rsidRPr="00593B6E" w:rsidRDefault="00E66655" w:rsidP="000D6CF4">
            <w:pPr>
              <w:pStyle w:val="Normal1"/>
              <w:rPr>
                <w:rFonts w:asciiTheme="minorHAnsi" w:hAnsiTheme="minorHAnsi" w:cstheme="minorHAnsi"/>
                <w:sz w:val="18"/>
                <w:szCs w:val="18"/>
              </w:rPr>
            </w:pPr>
          </w:p>
          <w:p w14:paraId="5DFE663C" w14:textId="77777777" w:rsidR="00E66655" w:rsidRPr="00593B6E" w:rsidRDefault="00E66655" w:rsidP="000D6CF4">
            <w:pPr>
              <w:pStyle w:val="Normal1"/>
              <w:rPr>
                <w:rFonts w:asciiTheme="minorHAnsi" w:hAnsiTheme="minorHAnsi" w:cstheme="minorHAnsi"/>
                <w:sz w:val="18"/>
                <w:szCs w:val="18"/>
              </w:rPr>
            </w:pPr>
          </w:p>
          <w:p w14:paraId="03A4EC89" w14:textId="77777777" w:rsidR="00E66655" w:rsidRPr="00593B6E" w:rsidRDefault="00E66655" w:rsidP="000D6CF4">
            <w:pPr>
              <w:pStyle w:val="Normal1"/>
              <w:rPr>
                <w:rFonts w:asciiTheme="minorHAnsi" w:hAnsiTheme="minorHAnsi" w:cstheme="minorHAnsi"/>
                <w:sz w:val="18"/>
                <w:szCs w:val="18"/>
              </w:rPr>
            </w:pPr>
          </w:p>
          <w:p w14:paraId="6912E3FD" w14:textId="77777777" w:rsidR="00E66655" w:rsidRPr="00593B6E" w:rsidRDefault="00E66655" w:rsidP="000D6CF4">
            <w:pPr>
              <w:pStyle w:val="Normal1"/>
              <w:rPr>
                <w:rFonts w:asciiTheme="minorHAnsi" w:hAnsiTheme="minorHAnsi" w:cstheme="minorHAnsi"/>
                <w:sz w:val="18"/>
                <w:szCs w:val="18"/>
              </w:rPr>
            </w:pPr>
          </w:p>
          <w:p w14:paraId="14C13ECC" w14:textId="77777777" w:rsidR="00E66655" w:rsidRPr="00593B6E" w:rsidRDefault="00E66655" w:rsidP="000D6CF4">
            <w:pPr>
              <w:pStyle w:val="Normal1"/>
              <w:rPr>
                <w:rFonts w:asciiTheme="minorHAnsi" w:hAnsiTheme="minorHAnsi" w:cstheme="minorHAnsi"/>
                <w:sz w:val="18"/>
                <w:szCs w:val="18"/>
              </w:rPr>
            </w:pPr>
            <w:r w:rsidRPr="00593B6E">
              <w:rPr>
                <w:rFonts w:asciiTheme="minorHAnsi" w:hAnsiTheme="minorHAnsi" w:cstheme="minorHAnsi"/>
                <w:sz w:val="18"/>
                <w:szCs w:val="18"/>
              </w:rPr>
              <w:t>Bdq</w:t>
            </w:r>
          </w:p>
          <w:p w14:paraId="5492E270" w14:textId="77777777" w:rsidR="00E66655" w:rsidRPr="00593B6E" w:rsidRDefault="00E66655" w:rsidP="000D6CF4">
            <w:pPr>
              <w:pStyle w:val="Normal1"/>
              <w:rPr>
                <w:rFonts w:asciiTheme="minorHAnsi" w:hAnsiTheme="minorHAnsi" w:cstheme="minorHAnsi"/>
                <w:sz w:val="18"/>
                <w:szCs w:val="18"/>
              </w:rPr>
            </w:pPr>
          </w:p>
          <w:p w14:paraId="2205C3B9" w14:textId="77777777" w:rsidR="00E66655" w:rsidRPr="00593B6E" w:rsidRDefault="00E66655" w:rsidP="000D6CF4">
            <w:pPr>
              <w:pStyle w:val="Normal1"/>
              <w:rPr>
                <w:rFonts w:asciiTheme="minorHAnsi" w:hAnsiTheme="minorHAnsi" w:cstheme="minorHAnsi"/>
                <w:sz w:val="18"/>
                <w:szCs w:val="18"/>
              </w:rPr>
            </w:pPr>
          </w:p>
          <w:p w14:paraId="52324C4C" w14:textId="77777777" w:rsidR="00E66655" w:rsidRPr="00593B6E" w:rsidRDefault="00E66655" w:rsidP="000D6CF4">
            <w:pPr>
              <w:pStyle w:val="Normal1"/>
              <w:rPr>
                <w:rFonts w:asciiTheme="minorHAnsi" w:hAnsiTheme="minorHAnsi" w:cstheme="minorHAnsi"/>
                <w:sz w:val="18"/>
                <w:szCs w:val="18"/>
              </w:rPr>
            </w:pPr>
          </w:p>
          <w:p w14:paraId="6EA5F35F" w14:textId="77777777" w:rsidR="00E66655" w:rsidRPr="00593B6E" w:rsidRDefault="00E66655" w:rsidP="000D6CF4">
            <w:pPr>
              <w:pStyle w:val="Normal1"/>
              <w:rPr>
                <w:rFonts w:asciiTheme="minorHAnsi" w:hAnsiTheme="minorHAnsi" w:cstheme="minorHAnsi"/>
                <w:sz w:val="18"/>
                <w:szCs w:val="18"/>
              </w:rPr>
            </w:pPr>
          </w:p>
          <w:p w14:paraId="6F7675B3" w14:textId="77777777" w:rsidR="00E66655" w:rsidRPr="00593B6E" w:rsidRDefault="00E66655" w:rsidP="000D6CF4">
            <w:pPr>
              <w:pStyle w:val="Normal1"/>
              <w:rPr>
                <w:rFonts w:asciiTheme="minorHAnsi" w:hAnsiTheme="minorHAnsi" w:cstheme="minorHAnsi"/>
                <w:sz w:val="18"/>
                <w:szCs w:val="18"/>
              </w:rPr>
            </w:pPr>
            <w:r w:rsidRPr="00593B6E">
              <w:rPr>
                <w:rFonts w:asciiTheme="minorHAnsi" w:hAnsiTheme="minorHAnsi" w:cstheme="minorHAnsi"/>
                <w:sz w:val="18"/>
                <w:szCs w:val="18"/>
              </w:rPr>
              <w:t>Lzd</w:t>
            </w:r>
          </w:p>
        </w:tc>
      </w:tr>
    </w:tbl>
    <w:p w14:paraId="2439B915" w14:textId="77777777" w:rsidR="00E66655" w:rsidRPr="008C2D73" w:rsidRDefault="00E66655" w:rsidP="00E66655">
      <w:pPr>
        <w:spacing w:before="0"/>
        <w:rPr>
          <w:rFonts w:asciiTheme="majorHAnsi" w:eastAsia="Calibri" w:hAnsiTheme="majorHAnsi" w:cs="Calibri"/>
          <w:b/>
          <w:i/>
          <w:color w:val="231F20"/>
          <w:sz w:val="20"/>
          <w:szCs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883"/>
        <w:gridCol w:w="7056"/>
        <w:gridCol w:w="1072"/>
      </w:tblGrid>
      <w:tr w:rsidR="00E66655" w:rsidRPr="0063066B" w14:paraId="34C9BA1F" w14:textId="77777777" w:rsidTr="00AA5F05">
        <w:trPr>
          <w:trHeight w:val="140"/>
        </w:trPr>
        <w:tc>
          <w:tcPr>
            <w:tcW w:w="490" w:type="pct"/>
            <w:vMerge w:val="restart"/>
            <w:shd w:val="clear" w:color="auto" w:fill="B6DDE9"/>
            <w:tcMar>
              <w:top w:w="100" w:type="dxa"/>
              <w:left w:w="100" w:type="dxa"/>
              <w:bottom w:w="100" w:type="dxa"/>
              <w:right w:w="100" w:type="dxa"/>
            </w:tcMar>
          </w:tcPr>
          <w:p w14:paraId="557E1020" w14:textId="77777777" w:rsidR="00E66655" w:rsidRPr="0063066B" w:rsidRDefault="00E66655" w:rsidP="000D6CF4">
            <w:pPr>
              <w:pStyle w:val="Normal1"/>
              <w:rPr>
                <w:rFonts w:asciiTheme="minorHAnsi" w:hAnsiTheme="minorHAnsi" w:cstheme="minorHAnsi"/>
                <w:b/>
                <w:sz w:val="16"/>
                <w:szCs w:val="16"/>
              </w:rPr>
            </w:pPr>
            <w:r w:rsidRPr="0063066B">
              <w:rPr>
                <w:rFonts w:asciiTheme="minorHAnsi" w:hAnsiTheme="minorHAnsi" w:cstheme="minorHAnsi"/>
                <w:b/>
                <w:sz w:val="16"/>
                <w:szCs w:val="16"/>
              </w:rPr>
              <w:t>STEP 2</w:t>
            </w:r>
          </w:p>
        </w:tc>
        <w:tc>
          <w:tcPr>
            <w:tcW w:w="4510" w:type="pct"/>
            <w:gridSpan w:val="2"/>
            <w:shd w:val="clear" w:color="auto" w:fill="235868"/>
            <w:tcMar>
              <w:top w:w="100" w:type="dxa"/>
              <w:left w:w="100" w:type="dxa"/>
              <w:bottom w:w="100" w:type="dxa"/>
              <w:right w:w="100" w:type="dxa"/>
            </w:tcMar>
          </w:tcPr>
          <w:p w14:paraId="603D8FFD" w14:textId="77777777" w:rsidR="00E66655" w:rsidRPr="0063066B" w:rsidRDefault="00E66655" w:rsidP="000D6CF4">
            <w:pPr>
              <w:pStyle w:val="Normal1"/>
              <w:keepNext/>
              <w:keepLines/>
              <w:jc w:val="both"/>
              <w:outlineLvl w:val="6"/>
              <w:rPr>
                <w:rFonts w:asciiTheme="minorHAnsi" w:hAnsiTheme="minorHAnsi" w:cstheme="minorHAnsi"/>
                <w:b/>
                <w:color w:val="FFFFFF" w:themeColor="background1"/>
                <w:sz w:val="18"/>
                <w:szCs w:val="18"/>
              </w:rPr>
            </w:pPr>
            <w:r w:rsidRPr="0063066B">
              <w:rPr>
                <w:rFonts w:asciiTheme="minorHAnsi" w:hAnsiTheme="minorHAnsi" w:cstheme="minorHAnsi"/>
                <w:b/>
                <w:color w:val="FFFFFF" w:themeColor="background1"/>
                <w:sz w:val="18"/>
                <w:szCs w:val="18"/>
              </w:rPr>
              <w:t xml:space="preserve">Use as at least one Group B drug </w:t>
            </w:r>
          </w:p>
        </w:tc>
      </w:tr>
      <w:tr w:rsidR="00E66655" w:rsidRPr="0063066B" w14:paraId="5FD1AFA5" w14:textId="77777777" w:rsidTr="00AA5F05">
        <w:tc>
          <w:tcPr>
            <w:tcW w:w="490" w:type="pct"/>
            <w:vMerge/>
            <w:shd w:val="clear" w:color="auto" w:fill="B6DDE9"/>
            <w:tcMar>
              <w:top w:w="100" w:type="dxa"/>
              <w:left w:w="100" w:type="dxa"/>
              <w:bottom w:w="100" w:type="dxa"/>
              <w:right w:w="100" w:type="dxa"/>
            </w:tcMar>
          </w:tcPr>
          <w:p w14:paraId="39F60F9A" w14:textId="77777777" w:rsidR="00E66655" w:rsidRPr="0063066B" w:rsidRDefault="00E66655" w:rsidP="000D6CF4">
            <w:pPr>
              <w:pStyle w:val="Normal1"/>
              <w:rPr>
                <w:rFonts w:asciiTheme="minorHAnsi" w:hAnsiTheme="minorHAnsi" w:cstheme="minorHAnsi"/>
                <w:b/>
                <w:sz w:val="16"/>
                <w:szCs w:val="16"/>
              </w:rPr>
            </w:pPr>
          </w:p>
        </w:tc>
        <w:tc>
          <w:tcPr>
            <w:tcW w:w="391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100" w:type="dxa"/>
              <w:left w:w="100" w:type="dxa"/>
              <w:bottom w:w="100" w:type="dxa"/>
              <w:right w:w="100" w:type="dxa"/>
            </w:tcMar>
          </w:tcPr>
          <w:p w14:paraId="2FC166B4" w14:textId="77777777" w:rsidR="00E66655" w:rsidRPr="0063066B" w:rsidRDefault="00E66655" w:rsidP="000D6CF4">
            <w:pPr>
              <w:spacing w:before="0" w:after="0"/>
              <w:jc w:val="left"/>
              <w:rPr>
                <w:rFonts w:asciiTheme="minorHAnsi" w:hAnsiTheme="minorHAnsi" w:cstheme="minorHAnsi"/>
                <w:b/>
                <w:sz w:val="18"/>
                <w:szCs w:val="18"/>
              </w:rPr>
            </w:pPr>
            <w:r w:rsidRPr="0063066B">
              <w:rPr>
                <w:rFonts w:asciiTheme="minorHAnsi" w:hAnsiTheme="minorHAnsi" w:cstheme="minorHAnsi"/>
                <w:b/>
                <w:sz w:val="18"/>
                <w:szCs w:val="18"/>
              </w:rPr>
              <w:t>2.1. Clofazimine</w:t>
            </w:r>
          </w:p>
          <w:p w14:paraId="298DE67A" w14:textId="1C576C56" w:rsidR="00E66655" w:rsidRPr="0063066B" w:rsidRDefault="00E66655" w:rsidP="00CB2F8E">
            <w:pPr>
              <w:pStyle w:val="ListParagraph"/>
              <w:numPr>
                <w:ilvl w:val="0"/>
                <w:numId w:val="41"/>
              </w:numPr>
              <w:spacing w:before="0" w:after="0"/>
              <w:ind w:right="360"/>
              <w:contextualSpacing w:val="0"/>
              <w:jc w:val="left"/>
              <w:rPr>
                <w:rFonts w:asciiTheme="minorHAnsi" w:hAnsiTheme="minorHAnsi" w:cstheme="minorHAnsi"/>
                <w:sz w:val="18"/>
                <w:szCs w:val="18"/>
              </w:rPr>
            </w:pPr>
            <w:r w:rsidRPr="0063066B">
              <w:rPr>
                <w:rFonts w:asciiTheme="minorHAnsi" w:hAnsiTheme="minorHAnsi" w:cstheme="minorHAnsi"/>
                <w:sz w:val="18"/>
                <w:szCs w:val="18"/>
              </w:rPr>
              <w:t xml:space="preserve">Resistance to Cfz is still unlikely in most parts of the world, although </w:t>
            </w:r>
            <w:r w:rsidR="0063066B">
              <w:rPr>
                <w:rFonts w:asciiTheme="minorHAnsi" w:hAnsiTheme="minorHAnsi" w:cstheme="minorHAnsi"/>
                <w:sz w:val="18"/>
                <w:szCs w:val="18"/>
              </w:rPr>
              <w:t>this</w:t>
            </w:r>
            <w:r w:rsidRPr="0063066B">
              <w:rPr>
                <w:rFonts w:asciiTheme="minorHAnsi" w:hAnsiTheme="minorHAnsi" w:cstheme="minorHAnsi"/>
                <w:sz w:val="18"/>
                <w:szCs w:val="18"/>
              </w:rPr>
              <w:t xml:space="preserve"> may change in some areas with wider use of the shorter MDR-TB regimen.</w:t>
            </w:r>
          </w:p>
          <w:p w14:paraId="43CF9D0D" w14:textId="77777777" w:rsidR="00E66655" w:rsidRPr="0063066B" w:rsidRDefault="00E66655" w:rsidP="00CB2F8E">
            <w:pPr>
              <w:pStyle w:val="ListParagraph"/>
              <w:numPr>
                <w:ilvl w:val="0"/>
                <w:numId w:val="41"/>
              </w:numPr>
              <w:spacing w:before="0" w:after="0"/>
              <w:ind w:right="360"/>
              <w:contextualSpacing w:val="0"/>
              <w:jc w:val="left"/>
              <w:rPr>
                <w:rFonts w:asciiTheme="minorHAnsi" w:hAnsiTheme="minorHAnsi" w:cstheme="minorHAnsi"/>
                <w:sz w:val="18"/>
                <w:szCs w:val="18"/>
              </w:rPr>
            </w:pPr>
            <w:r w:rsidRPr="0063066B">
              <w:rPr>
                <w:rFonts w:asciiTheme="minorHAnsi" w:hAnsiTheme="minorHAnsi" w:cstheme="minorHAnsi"/>
                <w:sz w:val="18"/>
                <w:szCs w:val="18"/>
              </w:rPr>
              <w:t>There may be cross-resistance between Cfz and Bdq.</w:t>
            </w:r>
          </w:p>
          <w:p w14:paraId="0EC8E78C" w14:textId="78D178F7" w:rsidR="00E66655" w:rsidRPr="0063066B" w:rsidRDefault="00E66655" w:rsidP="00CB2F8E">
            <w:pPr>
              <w:pStyle w:val="ListParagraph"/>
              <w:numPr>
                <w:ilvl w:val="0"/>
                <w:numId w:val="41"/>
              </w:numPr>
              <w:spacing w:before="0" w:after="0"/>
              <w:ind w:right="360"/>
              <w:jc w:val="left"/>
              <w:rPr>
                <w:rFonts w:asciiTheme="minorHAnsi" w:hAnsiTheme="minorHAnsi" w:cstheme="minorHAnsi"/>
                <w:b/>
                <w:sz w:val="18"/>
                <w:szCs w:val="18"/>
              </w:rPr>
            </w:pPr>
            <w:r w:rsidRPr="0063066B">
              <w:rPr>
                <w:rFonts w:asciiTheme="minorHAnsi" w:hAnsiTheme="minorHAnsi" w:cstheme="minorHAnsi"/>
                <w:sz w:val="18"/>
                <w:szCs w:val="18"/>
              </w:rPr>
              <w:t xml:space="preserve">Cfz in most scenarios is the preferred Group B drug </w:t>
            </w:r>
            <w:r w:rsidR="0063066B">
              <w:rPr>
                <w:rFonts w:asciiTheme="minorHAnsi" w:hAnsiTheme="minorHAnsi" w:cstheme="minorHAnsi"/>
                <w:sz w:val="18"/>
                <w:szCs w:val="18"/>
              </w:rPr>
              <w:t xml:space="preserve">to use </w:t>
            </w:r>
            <w:r w:rsidRPr="0063066B">
              <w:rPr>
                <w:rFonts w:asciiTheme="minorHAnsi" w:hAnsiTheme="minorHAnsi" w:cstheme="minorHAnsi"/>
                <w:sz w:val="18"/>
                <w:szCs w:val="18"/>
              </w:rPr>
              <w:t>due to a good safety profile</w:t>
            </w:r>
            <w:r w:rsidR="0063066B">
              <w:rPr>
                <w:rFonts w:asciiTheme="minorHAnsi" w:hAnsiTheme="minorHAnsi" w:cstheme="minorHAnsi"/>
                <w:sz w:val="18"/>
                <w:szCs w:val="18"/>
              </w:rPr>
              <w:t>.</w:t>
            </w:r>
          </w:p>
          <w:p w14:paraId="4C67A7F2" w14:textId="77777777" w:rsidR="00E66655" w:rsidRPr="0063066B" w:rsidRDefault="00E66655" w:rsidP="000D6CF4">
            <w:pPr>
              <w:spacing w:before="0" w:after="0"/>
              <w:ind w:right="360"/>
              <w:jc w:val="left"/>
              <w:rPr>
                <w:rFonts w:asciiTheme="minorHAnsi" w:hAnsiTheme="minorHAnsi" w:cstheme="minorHAnsi"/>
                <w:sz w:val="18"/>
                <w:szCs w:val="18"/>
              </w:rPr>
            </w:pPr>
          </w:p>
          <w:p w14:paraId="3FA2D0B2" w14:textId="77777777" w:rsidR="00E66655" w:rsidRPr="0063066B" w:rsidRDefault="00E66655" w:rsidP="000D6CF4">
            <w:pPr>
              <w:pStyle w:val="ListParagraph"/>
              <w:spacing w:before="0" w:after="0"/>
              <w:ind w:left="0"/>
              <w:contextualSpacing w:val="0"/>
              <w:jc w:val="left"/>
              <w:rPr>
                <w:rFonts w:asciiTheme="minorHAnsi" w:hAnsiTheme="minorHAnsi" w:cstheme="minorHAnsi"/>
                <w:b/>
                <w:sz w:val="18"/>
                <w:szCs w:val="18"/>
              </w:rPr>
            </w:pPr>
            <w:r w:rsidRPr="0063066B">
              <w:rPr>
                <w:rFonts w:asciiTheme="minorHAnsi" w:hAnsiTheme="minorHAnsi" w:cstheme="minorHAnsi"/>
                <w:b/>
                <w:sz w:val="18"/>
                <w:szCs w:val="18"/>
              </w:rPr>
              <w:t>2.2. Cycloserine or terizidone</w:t>
            </w:r>
          </w:p>
          <w:p w14:paraId="642D1813" w14:textId="77777777" w:rsidR="00E66655" w:rsidRPr="0063066B" w:rsidRDefault="00E66655" w:rsidP="00CB2F8E">
            <w:pPr>
              <w:pStyle w:val="Normal1"/>
              <w:numPr>
                <w:ilvl w:val="0"/>
                <w:numId w:val="42"/>
              </w:numPr>
              <w:spacing w:before="0" w:after="0"/>
              <w:rPr>
                <w:rFonts w:asciiTheme="minorHAnsi" w:hAnsiTheme="minorHAnsi" w:cstheme="minorHAnsi"/>
                <w:sz w:val="18"/>
                <w:szCs w:val="18"/>
              </w:rPr>
            </w:pPr>
            <w:r w:rsidRPr="0063066B">
              <w:rPr>
                <w:rFonts w:asciiTheme="minorHAnsi" w:hAnsiTheme="minorHAnsi" w:cstheme="minorHAnsi"/>
                <w:sz w:val="18"/>
                <w:szCs w:val="18"/>
              </w:rPr>
              <w:t xml:space="preserve">DST to Cs or Trd is not reliable. </w:t>
            </w:r>
          </w:p>
          <w:p w14:paraId="310181D2" w14:textId="77777777" w:rsidR="00E66655" w:rsidRPr="0063066B" w:rsidRDefault="00E66655" w:rsidP="00CB2F8E">
            <w:pPr>
              <w:pStyle w:val="Normal1"/>
              <w:numPr>
                <w:ilvl w:val="0"/>
                <w:numId w:val="42"/>
              </w:numPr>
              <w:spacing w:before="0" w:after="0"/>
              <w:rPr>
                <w:rFonts w:asciiTheme="minorHAnsi" w:hAnsiTheme="minorHAnsi" w:cstheme="minorHAnsi"/>
                <w:sz w:val="18"/>
                <w:szCs w:val="18"/>
              </w:rPr>
            </w:pPr>
            <w:r w:rsidRPr="0063066B">
              <w:rPr>
                <w:rFonts w:asciiTheme="minorHAnsi" w:hAnsiTheme="minorHAnsi" w:cstheme="minorHAnsi"/>
                <w:sz w:val="18"/>
                <w:szCs w:val="18"/>
              </w:rPr>
              <w:t xml:space="preserve">Cs or Trd is associated with CNS toxicity and peripheral neuropathy. Toxicity may be more common in HIV-positive patients.  </w:t>
            </w:r>
          </w:p>
        </w:tc>
        <w:tc>
          <w:tcPr>
            <w:tcW w:w="59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Mar>
              <w:top w:w="100" w:type="dxa"/>
              <w:left w:w="100" w:type="dxa"/>
              <w:bottom w:w="100" w:type="dxa"/>
              <w:right w:w="100" w:type="dxa"/>
            </w:tcMar>
          </w:tcPr>
          <w:p w14:paraId="21DE24DD" w14:textId="77777777"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sz w:val="18"/>
                <w:szCs w:val="18"/>
              </w:rPr>
              <w:t>Cfz</w:t>
            </w:r>
          </w:p>
          <w:p w14:paraId="62390860" w14:textId="77777777" w:rsidR="00E66655" w:rsidRPr="0063066B" w:rsidRDefault="00E66655" w:rsidP="000D6CF4">
            <w:pPr>
              <w:pStyle w:val="Normal1"/>
              <w:rPr>
                <w:rFonts w:asciiTheme="minorHAnsi" w:hAnsiTheme="minorHAnsi" w:cstheme="minorHAnsi"/>
                <w:sz w:val="18"/>
                <w:szCs w:val="18"/>
              </w:rPr>
            </w:pPr>
          </w:p>
          <w:p w14:paraId="41033FC3" w14:textId="77777777" w:rsidR="00E66655" w:rsidRPr="0063066B" w:rsidRDefault="00E66655" w:rsidP="000D6CF4">
            <w:pPr>
              <w:pStyle w:val="Normal1"/>
              <w:rPr>
                <w:rFonts w:asciiTheme="minorHAnsi" w:hAnsiTheme="minorHAnsi" w:cstheme="minorHAnsi"/>
                <w:sz w:val="18"/>
                <w:szCs w:val="18"/>
              </w:rPr>
            </w:pPr>
          </w:p>
          <w:p w14:paraId="34B20377" w14:textId="77777777" w:rsidR="00E66655" w:rsidRPr="0063066B" w:rsidRDefault="00E66655" w:rsidP="000D6CF4">
            <w:pPr>
              <w:pStyle w:val="Normal1"/>
              <w:rPr>
                <w:rFonts w:asciiTheme="minorHAnsi" w:hAnsiTheme="minorHAnsi" w:cstheme="minorHAnsi"/>
                <w:sz w:val="18"/>
                <w:szCs w:val="18"/>
              </w:rPr>
            </w:pPr>
          </w:p>
          <w:p w14:paraId="2C3BCE17" w14:textId="77777777" w:rsidR="00E66655" w:rsidRPr="0063066B" w:rsidRDefault="00E66655" w:rsidP="000D6CF4">
            <w:pPr>
              <w:pStyle w:val="Normal1"/>
              <w:rPr>
                <w:rFonts w:asciiTheme="minorHAnsi" w:hAnsiTheme="minorHAnsi" w:cstheme="minorHAnsi"/>
                <w:sz w:val="18"/>
                <w:szCs w:val="18"/>
              </w:rPr>
            </w:pPr>
          </w:p>
          <w:p w14:paraId="0D5E0460" w14:textId="77777777" w:rsidR="00E66655" w:rsidRPr="0063066B" w:rsidRDefault="00E66655" w:rsidP="000D6CF4">
            <w:pPr>
              <w:pStyle w:val="Normal1"/>
              <w:rPr>
                <w:rFonts w:asciiTheme="minorHAnsi" w:hAnsiTheme="minorHAnsi" w:cstheme="minorHAnsi"/>
                <w:sz w:val="18"/>
                <w:szCs w:val="18"/>
              </w:rPr>
            </w:pPr>
          </w:p>
          <w:p w14:paraId="6ADA9D4E" w14:textId="77777777"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sz w:val="18"/>
                <w:szCs w:val="18"/>
              </w:rPr>
              <w:t>Cs/Trd</w:t>
            </w:r>
          </w:p>
        </w:tc>
      </w:tr>
    </w:tbl>
    <w:p w14:paraId="0A4C45F4" w14:textId="77777777" w:rsidR="00E66655" w:rsidRDefault="00E66655" w:rsidP="00E66655">
      <w:pPr>
        <w:spacing w:before="0"/>
        <w:rPr>
          <w:sz w:val="20"/>
        </w:rPr>
      </w:pPr>
    </w:p>
    <w:p w14:paraId="2B246288" w14:textId="77777777" w:rsidR="00E66655" w:rsidRDefault="00E66655" w:rsidP="00E66655">
      <w:pPr>
        <w:spacing w:before="0"/>
        <w:rPr>
          <w:sz w:val="20"/>
        </w:rPr>
      </w:pPr>
    </w:p>
    <w:tbl>
      <w:tblPr>
        <w:tblpPr w:leftFromText="180" w:rightFromText="180" w:horzAnchor="margin" w:tblpY="509"/>
        <w:tblW w:w="507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15" w:type="dxa"/>
          <w:right w:w="115" w:type="dxa"/>
        </w:tblCellMar>
        <w:tblLook w:val="0000" w:firstRow="0" w:lastRow="0" w:firstColumn="0" w:lastColumn="0" w:noHBand="0" w:noVBand="0"/>
      </w:tblPr>
      <w:tblGrid>
        <w:gridCol w:w="884"/>
        <w:gridCol w:w="7227"/>
        <w:gridCol w:w="1037"/>
      </w:tblGrid>
      <w:tr w:rsidR="00E66655" w:rsidRPr="0063066B" w14:paraId="1C73753E" w14:textId="77777777" w:rsidTr="00AA5F05">
        <w:tc>
          <w:tcPr>
            <w:tcW w:w="483" w:type="pct"/>
            <w:shd w:val="clear" w:color="auto" w:fill="B6DDE9"/>
            <w:tcMar>
              <w:top w:w="100" w:type="dxa"/>
              <w:left w:w="100" w:type="dxa"/>
              <w:bottom w:w="100" w:type="dxa"/>
              <w:right w:w="100" w:type="dxa"/>
            </w:tcMar>
          </w:tcPr>
          <w:p w14:paraId="2DE4BA6C" w14:textId="77777777" w:rsidR="00E66655" w:rsidRPr="0063066B" w:rsidRDefault="00E66655" w:rsidP="000D6CF4">
            <w:pPr>
              <w:pStyle w:val="Normal1"/>
              <w:rPr>
                <w:rFonts w:asciiTheme="minorHAnsi" w:hAnsiTheme="minorHAnsi" w:cstheme="minorHAnsi"/>
                <w:b/>
                <w:sz w:val="18"/>
                <w:szCs w:val="18"/>
              </w:rPr>
            </w:pPr>
            <w:r w:rsidRPr="0063066B">
              <w:rPr>
                <w:rFonts w:asciiTheme="minorHAnsi" w:hAnsiTheme="minorHAnsi" w:cstheme="minorHAnsi"/>
                <w:b/>
                <w:sz w:val="18"/>
                <w:szCs w:val="18"/>
              </w:rPr>
              <w:lastRenderedPageBreak/>
              <w:t>STEP 3</w:t>
            </w:r>
          </w:p>
        </w:tc>
        <w:tc>
          <w:tcPr>
            <w:tcW w:w="3950" w:type="pct"/>
            <w:shd w:val="clear" w:color="auto" w:fill="235868"/>
            <w:tcMar>
              <w:top w:w="100" w:type="dxa"/>
              <w:left w:w="100" w:type="dxa"/>
              <w:bottom w:w="100" w:type="dxa"/>
              <w:right w:w="100" w:type="dxa"/>
            </w:tcMar>
          </w:tcPr>
          <w:p w14:paraId="3AD091DC" w14:textId="77777777" w:rsidR="00E66655" w:rsidRPr="0063066B" w:rsidRDefault="00E66655" w:rsidP="000D6CF4">
            <w:pPr>
              <w:pStyle w:val="Normal1"/>
              <w:rPr>
                <w:rFonts w:asciiTheme="minorHAnsi" w:hAnsiTheme="minorHAnsi" w:cstheme="minorHAnsi"/>
                <w:b/>
                <w:color w:val="FFFFFF" w:themeColor="background1"/>
                <w:sz w:val="18"/>
                <w:szCs w:val="18"/>
              </w:rPr>
            </w:pPr>
            <w:r w:rsidRPr="0063066B">
              <w:rPr>
                <w:rFonts w:asciiTheme="minorHAnsi" w:hAnsiTheme="minorHAnsi" w:cstheme="minorHAnsi"/>
                <w:b/>
                <w:color w:val="FFFFFF" w:themeColor="background1"/>
                <w:sz w:val="18"/>
                <w:szCs w:val="18"/>
              </w:rPr>
              <w:t>When the combination of three Group A and at least one Group B cannot be used, Group C drugs are added to bring the regimen to five likely effective drugs (more than five may be needed if certainty of effectiveness in any of the five is in doubt).</w:t>
            </w:r>
          </w:p>
        </w:tc>
        <w:tc>
          <w:tcPr>
            <w:tcW w:w="567" w:type="pct"/>
            <w:shd w:val="clear" w:color="auto" w:fill="FFFFFF" w:themeFill="background1"/>
            <w:tcMar>
              <w:top w:w="100" w:type="dxa"/>
              <w:left w:w="100" w:type="dxa"/>
              <w:bottom w:w="100" w:type="dxa"/>
              <w:right w:w="100" w:type="dxa"/>
            </w:tcMar>
          </w:tcPr>
          <w:p w14:paraId="6E78697B" w14:textId="77777777" w:rsidR="00E66655" w:rsidRPr="0063066B" w:rsidRDefault="00E66655" w:rsidP="000D6CF4">
            <w:pPr>
              <w:pStyle w:val="Normal1"/>
              <w:keepNext/>
              <w:keepLines/>
              <w:jc w:val="both"/>
              <w:outlineLvl w:val="6"/>
              <w:rPr>
                <w:rFonts w:asciiTheme="minorHAnsi" w:hAnsiTheme="minorHAnsi" w:cstheme="minorHAnsi"/>
                <w:sz w:val="18"/>
                <w:szCs w:val="18"/>
                <w:lang w:val="es-US"/>
              </w:rPr>
            </w:pPr>
          </w:p>
        </w:tc>
      </w:tr>
      <w:tr w:rsidR="00E66655" w:rsidRPr="0063066B" w14:paraId="6D8BDCE3" w14:textId="77777777" w:rsidTr="000D6CF4">
        <w:tc>
          <w:tcPr>
            <w:tcW w:w="483" w:type="pct"/>
            <w:shd w:val="clear" w:color="auto" w:fill="FFFFFF" w:themeFill="background1"/>
            <w:tcMar>
              <w:top w:w="100" w:type="dxa"/>
              <w:left w:w="100" w:type="dxa"/>
              <w:bottom w:w="100" w:type="dxa"/>
              <w:right w:w="100" w:type="dxa"/>
            </w:tcMar>
          </w:tcPr>
          <w:p w14:paraId="1465922F" w14:textId="77777777" w:rsidR="00E66655" w:rsidRPr="0063066B" w:rsidRDefault="00E66655" w:rsidP="000D6CF4">
            <w:pPr>
              <w:pStyle w:val="Normal1"/>
              <w:rPr>
                <w:rFonts w:asciiTheme="minorHAnsi" w:hAnsiTheme="minorHAnsi" w:cstheme="minorHAnsi"/>
                <w:b/>
                <w:sz w:val="18"/>
                <w:szCs w:val="18"/>
              </w:rPr>
            </w:pPr>
          </w:p>
        </w:tc>
        <w:tc>
          <w:tcPr>
            <w:tcW w:w="3950" w:type="pct"/>
            <w:shd w:val="clear" w:color="auto" w:fill="FFFFFF" w:themeFill="background1"/>
            <w:tcMar>
              <w:top w:w="100" w:type="dxa"/>
              <w:left w:w="100" w:type="dxa"/>
              <w:bottom w:w="100" w:type="dxa"/>
              <w:right w:w="100" w:type="dxa"/>
            </w:tcMar>
          </w:tcPr>
          <w:p w14:paraId="17A5D391" w14:textId="77777777" w:rsidR="00E66655" w:rsidRPr="0063066B" w:rsidRDefault="00E66655" w:rsidP="000D6CF4">
            <w:pPr>
              <w:pStyle w:val="Normal1"/>
              <w:rPr>
                <w:rFonts w:asciiTheme="minorHAnsi" w:hAnsiTheme="minorHAnsi" w:cstheme="minorHAnsi"/>
                <w:b/>
                <w:sz w:val="18"/>
                <w:szCs w:val="18"/>
              </w:rPr>
            </w:pPr>
            <w:r w:rsidRPr="0063066B">
              <w:rPr>
                <w:rFonts w:asciiTheme="minorHAnsi" w:hAnsiTheme="minorHAnsi" w:cstheme="minorHAnsi"/>
                <w:b/>
                <w:sz w:val="18"/>
                <w:szCs w:val="18"/>
              </w:rPr>
              <w:t>3.1. Consider adding first-line drugs</w:t>
            </w:r>
          </w:p>
          <w:p w14:paraId="4FB227E2" w14:textId="321C0CB4" w:rsidR="00E66655" w:rsidRPr="0063066B" w:rsidRDefault="00E66655" w:rsidP="00CB2F8E">
            <w:pPr>
              <w:pStyle w:val="Normal1"/>
              <w:numPr>
                <w:ilvl w:val="0"/>
                <w:numId w:val="33"/>
              </w:numPr>
              <w:rPr>
                <w:rFonts w:asciiTheme="minorHAnsi" w:hAnsiTheme="minorHAnsi" w:cstheme="minorHAnsi"/>
                <w:color w:val="0C0C0C"/>
                <w:sz w:val="18"/>
                <w:szCs w:val="18"/>
              </w:rPr>
            </w:pPr>
            <w:r w:rsidRPr="003C55C8">
              <w:rPr>
                <w:rFonts w:asciiTheme="minorHAnsi" w:eastAsiaTheme="minorEastAsia" w:hAnsiTheme="minorHAnsi" w:cstheme="minorBidi"/>
                <w:color w:val="0C0C0C"/>
                <w:sz w:val="18"/>
                <w:szCs w:val="18"/>
              </w:rPr>
              <w:t>First-line TB drugs are generally of limited utility due to high prevalence of resistance in MDR-TB</w:t>
            </w:r>
            <w:r w:rsidR="0063066B">
              <w:rPr>
                <w:rFonts w:asciiTheme="minorHAnsi" w:eastAsiaTheme="minorEastAsia" w:hAnsiTheme="minorHAnsi" w:cstheme="minorHAnsi"/>
                <w:color w:val="0C0C0C"/>
                <w:sz w:val="18"/>
                <w:szCs w:val="18"/>
              </w:rPr>
              <w:t>.</w:t>
            </w:r>
          </w:p>
          <w:p w14:paraId="00B0EA83" w14:textId="7D1D1187" w:rsidR="00E66655" w:rsidRPr="0063066B" w:rsidDel="15420EB7" w:rsidRDefault="00E66655" w:rsidP="00CB2F8E">
            <w:pPr>
              <w:pStyle w:val="Normal1"/>
              <w:numPr>
                <w:ilvl w:val="0"/>
                <w:numId w:val="33"/>
              </w:numPr>
              <w:spacing w:after="80" w:line="276" w:lineRule="auto"/>
              <w:rPr>
                <w:rFonts w:asciiTheme="minorHAnsi" w:hAnsiTheme="minorHAnsi" w:cstheme="minorHAnsi"/>
                <w:color w:val="0C0C0C"/>
                <w:sz w:val="18"/>
                <w:szCs w:val="18"/>
              </w:rPr>
            </w:pPr>
            <w:r w:rsidRPr="003C55C8">
              <w:rPr>
                <w:rFonts w:asciiTheme="minorHAnsi" w:eastAsiaTheme="minorEastAsia" w:hAnsiTheme="minorHAnsi" w:cstheme="minorBidi"/>
                <w:color w:val="0C0C0C"/>
                <w:sz w:val="18"/>
                <w:szCs w:val="18"/>
              </w:rPr>
              <w:t>DST to E is not reliable and</w:t>
            </w:r>
            <w:r w:rsidR="0063066B">
              <w:rPr>
                <w:rFonts w:asciiTheme="minorHAnsi" w:eastAsiaTheme="minorEastAsia" w:hAnsiTheme="minorHAnsi" w:cstheme="minorHAnsi"/>
                <w:color w:val="0C0C0C"/>
                <w:sz w:val="18"/>
                <w:szCs w:val="18"/>
              </w:rPr>
              <w:t>,</w:t>
            </w:r>
            <w:r w:rsidRPr="003C55C8">
              <w:rPr>
                <w:rFonts w:asciiTheme="minorHAnsi" w:eastAsiaTheme="minorEastAsia" w:hAnsiTheme="minorHAnsi" w:cstheme="minorBidi"/>
                <w:color w:val="0C0C0C"/>
                <w:sz w:val="18"/>
                <w:szCs w:val="18"/>
              </w:rPr>
              <w:t xml:space="preserve"> if used</w:t>
            </w:r>
            <w:r w:rsidR="0063066B">
              <w:rPr>
                <w:rFonts w:asciiTheme="minorHAnsi" w:eastAsiaTheme="minorEastAsia" w:hAnsiTheme="minorHAnsi" w:cstheme="minorHAnsi"/>
                <w:color w:val="0C0C0C"/>
                <w:sz w:val="18"/>
                <w:szCs w:val="18"/>
              </w:rPr>
              <w:t>,</w:t>
            </w:r>
            <w:r w:rsidRPr="0063066B">
              <w:rPr>
                <w:rFonts w:asciiTheme="minorHAnsi" w:eastAsiaTheme="minorEastAsia" w:hAnsiTheme="minorHAnsi" w:cstheme="minorHAnsi"/>
                <w:color w:val="0C0C0C"/>
                <w:sz w:val="18"/>
                <w:szCs w:val="18"/>
              </w:rPr>
              <w:t xml:space="preserve"> </w:t>
            </w:r>
            <w:r w:rsidR="0063066B">
              <w:rPr>
                <w:rFonts w:asciiTheme="minorHAnsi" w:eastAsiaTheme="minorEastAsia" w:hAnsiTheme="minorHAnsi" w:cstheme="minorHAnsi"/>
                <w:color w:val="0C0C0C"/>
                <w:sz w:val="18"/>
                <w:szCs w:val="18"/>
              </w:rPr>
              <w:t>E</w:t>
            </w:r>
            <w:r w:rsidRPr="0063066B">
              <w:rPr>
                <w:rFonts w:asciiTheme="minorHAnsi" w:eastAsiaTheme="minorEastAsia" w:hAnsiTheme="minorHAnsi" w:cstheme="minorHAnsi"/>
                <w:color w:val="0C0C0C"/>
                <w:sz w:val="18"/>
                <w:szCs w:val="18"/>
              </w:rPr>
              <w:t xml:space="preserve"> </w:t>
            </w:r>
            <w:r w:rsidR="0063066B">
              <w:rPr>
                <w:rFonts w:asciiTheme="minorHAnsi" w:eastAsiaTheme="minorEastAsia" w:hAnsiTheme="minorHAnsi" w:cstheme="minorHAnsi"/>
                <w:color w:val="0C0C0C"/>
                <w:sz w:val="18"/>
                <w:szCs w:val="18"/>
              </w:rPr>
              <w:t>should</w:t>
            </w:r>
            <w:r w:rsidRPr="003C55C8">
              <w:rPr>
                <w:rFonts w:asciiTheme="minorHAnsi" w:eastAsiaTheme="minorEastAsia" w:hAnsiTheme="minorHAnsi" w:cstheme="minorBidi"/>
                <w:color w:val="0C0C0C"/>
                <w:sz w:val="18"/>
                <w:szCs w:val="18"/>
              </w:rPr>
              <w:t xml:space="preserve"> never </w:t>
            </w:r>
            <w:r w:rsidR="0063066B">
              <w:rPr>
                <w:rFonts w:asciiTheme="minorHAnsi" w:eastAsiaTheme="minorEastAsia" w:hAnsiTheme="minorHAnsi" w:cstheme="minorHAnsi"/>
                <w:color w:val="0C0C0C"/>
                <w:sz w:val="18"/>
                <w:szCs w:val="18"/>
              </w:rPr>
              <w:t xml:space="preserve">be </w:t>
            </w:r>
            <w:r w:rsidRPr="003C55C8">
              <w:rPr>
                <w:rFonts w:asciiTheme="minorHAnsi" w:eastAsiaTheme="minorEastAsia" w:hAnsiTheme="minorHAnsi" w:cstheme="minorBidi"/>
                <w:color w:val="0C0C0C"/>
                <w:sz w:val="18"/>
                <w:szCs w:val="18"/>
              </w:rPr>
              <w:t>counted as an effective drug</w:t>
            </w:r>
            <w:r w:rsidR="0063066B">
              <w:rPr>
                <w:rFonts w:asciiTheme="minorHAnsi" w:eastAsiaTheme="minorEastAsia" w:hAnsiTheme="minorHAnsi" w:cstheme="minorHAnsi"/>
                <w:color w:val="0C0C0C"/>
                <w:sz w:val="18"/>
                <w:szCs w:val="18"/>
              </w:rPr>
              <w:t>.</w:t>
            </w:r>
          </w:p>
          <w:p w14:paraId="1E215C2A" w14:textId="77777777" w:rsidR="00E66655" w:rsidRPr="0063066B" w:rsidRDefault="00E66655" w:rsidP="00CB2F8E">
            <w:pPr>
              <w:pStyle w:val="Normal1"/>
              <w:numPr>
                <w:ilvl w:val="0"/>
                <w:numId w:val="33"/>
              </w:numPr>
              <w:spacing w:after="80" w:line="276" w:lineRule="auto"/>
              <w:rPr>
                <w:rFonts w:asciiTheme="minorHAnsi" w:hAnsiTheme="minorHAnsi" w:cstheme="minorHAnsi"/>
                <w:color w:val="0C0C0C"/>
                <w:sz w:val="18"/>
                <w:szCs w:val="18"/>
              </w:rPr>
            </w:pPr>
            <w:r w:rsidRPr="003C55C8">
              <w:rPr>
                <w:rFonts w:asciiTheme="minorHAnsi" w:eastAsiaTheme="minorEastAsia" w:hAnsiTheme="minorHAnsi" w:cstheme="minorBidi"/>
                <w:color w:val="0C0C0C"/>
                <w:sz w:val="18"/>
                <w:szCs w:val="18"/>
              </w:rPr>
              <w:t>If DST from a reliable lab demonstrates susceptibility to Z, this drug may be counted as an effective drug</w:t>
            </w:r>
            <w:r w:rsidRPr="003C55C8">
              <w:rPr>
                <w:rFonts w:asciiTheme="minorHAnsi" w:eastAsiaTheme="minorEastAsia" w:hAnsiTheme="minorHAnsi" w:cstheme="minorBidi"/>
                <w:color w:val="0C0C0C"/>
                <w:sz w:val="18"/>
                <w:szCs w:val="18"/>
                <w:lang w:val="en-GB"/>
              </w:rPr>
              <w:t>.</w:t>
            </w:r>
            <w:r w:rsidRPr="003C55C8">
              <w:rPr>
                <w:rFonts w:asciiTheme="minorHAnsi" w:eastAsiaTheme="minorEastAsia" w:hAnsiTheme="minorHAnsi" w:cstheme="minorBidi"/>
                <w:color w:val="0C0C0C"/>
                <w:sz w:val="18"/>
                <w:szCs w:val="18"/>
              </w:rPr>
              <w:t> </w:t>
            </w:r>
          </w:p>
          <w:p w14:paraId="00D9700F" w14:textId="77777777" w:rsidR="00E66655" w:rsidRPr="003C55C8" w:rsidRDefault="00E66655" w:rsidP="000D6CF4">
            <w:pPr>
              <w:pStyle w:val="Normal1"/>
              <w:rPr>
                <w:rFonts w:asciiTheme="minorHAnsi" w:eastAsiaTheme="minorEastAsia" w:hAnsiTheme="minorHAnsi" w:cstheme="minorBidi"/>
                <w:b/>
                <w:sz w:val="18"/>
                <w:szCs w:val="18"/>
              </w:rPr>
            </w:pPr>
            <w:r w:rsidRPr="003C55C8">
              <w:rPr>
                <w:rFonts w:asciiTheme="minorHAnsi" w:eastAsiaTheme="minorEastAsia" w:hAnsiTheme="minorHAnsi" w:cstheme="minorBidi"/>
                <w:b/>
                <w:sz w:val="18"/>
                <w:szCs w:val="18"/>
              </w:rPr>
              <w:t>3.2. Consider adding delamanid</w:t>
            </w:r>
          </w:p>
          <w:p w14:paraId="30ACA24A" w14:textId="77777777" w:rsidR="00E66655" w:rsidRPr="0063066B" w:rsidRDefault="00E66655" w:rsidP="00CB2F8E">
            <w:pPr>
              <w:pStyle w:val="Normal1"/>
              <w:numPr>
                <w:ilvl w:val="0"/>
                <w:numId w:val="34"/>
              </w:numPr>
              <w:rPr>
                <w:rFonts w:asciiTheme="minorHAnsi" w:hAnsiTheme="minorHAnsi" w:cstheme="minorHAnsi"/>
                <w:sz w:val="18"/>
                <w:szCs w:val="18"/>
              </w:rPr>
            </w:pPr>
            <w:r w:rsidRPr="003C55C8">
              <w:rPr>
                <w:rFonts w:asciiTheme="minorHAnsi" w:eastAsiaTheme="minorEastAsia" w:hAnsiTheme="minorHAnsi" w:cstheme="minorBidi"/>
                <w:sz w:val="18"/>
                <w:szCs w:val="18"/>
              </w:rPr>
              <w:t>Dlm is often the first choice of a Group C drug in cases of resistance or intoleranc</w:t>
            </w:r>
            <w:r w:rsidRPr="0063066B">
              <w:rPr>
                <w:rFonts w:asciiTheme="minorHAnsi" w:eastAsia="Calibri" w:hAnsiTheme="minorHAnsi" w:cstheme="minorHAnsi"/>
                <w:sz w:val="18"/>
                <w:szCs w:val="18"/>
              </w:rPr>
              <w:t>e to a Group A or B drug.</w:t>
            </w:r>
          </w:p>
          <w:p w14:paraId="69DAC0DE" w14:textId="77777777" w:rsidR="00E66655" w:rsidRPr="0063066B" w:rsidRDefault="00E66655" w:rsidP="00CB2F8E">
            <w:pPr>
              <w:pStyle w:val="Normal1"/>
              <w:numPr>
                <w:ilvl w:val="0"/>
                <w:numId w:val="34"/>
              </w:numPr>
              <w:rPr>
                <w:rFonts w:asciiTheme="minorHAnsi" w:hAnsiTheme="minorHAnsi" w:cstheme="minorHAnsi"/>
                <w:sz w:val="18"/>
                <w:szCs w:val="18"/>
              </w:rPr>
            </w:pPr>
            <w:r w:rsidRPr="0063066B">
              <w:rPr>
                <w:rFonts w:asciiTheme="minorHAnsi" w:hAnsiTheme="minorHAnsi" w:cstheme="minorHAnsi"/>
                <w:sz w:val="18"/>
                <w:szCs w:val="18"/>
              </w:rPr>
              <w:t>DST to Dlm is not commonly available. Resistance to Dlm is still highly unlikely in most settings.</w:t>
            </w:r>
          </w:p>
          <w:p w14:paraId="0825F964" w14:textId="77777777"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sz w:val="18"/>
                <w:szCs w:val="18"/>
              </w:rPr>
              <w:t xml:space="preserve"> </w:t>
            </w:r>
          </w:p>
          <w:p w14:paraId="33DD24A8" w14:textId="62E22C81"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b/>
                <w:sz w:val="18"/>
                <w:szCs w:val="18"/>
              </w:rPr>
              <w:t>3.3.  Consider Carbapenem (imipenem/cilastatin or meropenem) plus amoxicillin/clavulanate</w:t>
            </w:r>
          </w:p>
          <w:p w14:paraId="45D404C4" w14:textId="77777777" w:rsidR="00E66655" w:rsidRPr="0063066B" w:rsidRDefault="00E66655" w:rsidP="00CB2F8E">
            <w:pPr>
              <w:pStyle w:val="ListParagraph"/>
              <w:numPr>
                <w:ilvl w:val="0"/>
                <w:numId w:val="35"/>
              </w:numPr>
              <w:spacing w:before="20" w:after="20"/>
              <w:jc w:val="left"/>
              <w:rPr>
                <w:rFonts w:asciiTheme="minorHAnsi" w:hAnsiTheme="minorHAnsi" w:cstheme="minorHAnsi"/>
                <w:sz w:val="18"/>
                <w:szCs w:val="18"/>
              </w:rPr>
            </w:pPr>
            <w:r w:rsidRPr="0063066B">
              <w:rPr>
                <w:rFonts w:asciiTheme="minorHAnsi" w:hAnsiTheme="minorHAnsi" w:cstheme="minorHAnsi"/>
                <w:sz w:val="18"/>
                <w:szCs w:val="18"/>
              </w:rPr>
              <w:t>Imp/Cln and Mpm are the two carbapenems with the most experience of use in TB treatment.</w:t>
            </w:r>
          </w:p>
          <w:p w14:paraId="71C7B4D5" w14:textId="6656A055" w:rsidR="00E66655" w:rsidRPr="0063066B" w:rsidRDefault="00E66655" w:rsidP="00CB2F8E">
            <w:pPr>
              <w:pStyle w:val="ListParagraph"/>
              <w:numPr>
                <w:ilvl w:val="0"/>
                <w:numId w:val="35"/>
              </w:numPr>
              <w:spacing w:before="20" w:after="20"/>
              <w:jc w:val="left"/>
              <w:rPr>
                <w:rFonts w:asciiTheme="minorHAnsi" w:hAnsiTheme="minorHAnsi" w:cstheme="minorHAnsi"/>
                <w:sz w:val="18"/>
                <w:szCs w:val="18"/>
              </w:rPr>
            </w:pPr>
            <w:r w:rsidRPr="0063066B">
              <w:rPr>
                <w:rFonts w:asciiTheme="minorHAnsi" w:hAnsiTheme="minorHAnsi" w:cstheme="minorHAnsi"/>
                <w:sz w:val="18"/>
                <w:szCs w:val="18"/>
              </w:rPr>
              <w:t xml:space="preserve">Meropenem is preferred </w:t>
            </w:r>
            <w:r w:rsidR="00C00E97">
              <w:rPr>
                <w:rFonts w:asciiTheme="minorHAnsi" w:hAnsiTheme="minorHAnsi" w:cstheme="minorHAnsi"/>
                <w:sz w:val="18"/>
                <w:szCs w:val="18"/>
              </w:rPr>
              <w:t xml:space="preserve">for use </w:t>
            </w:r>
            <w:r w:rsidRPr="0063066B">
              <w:rPr>
                <w:rFonts w:asciiTheme="minorHAnsi" w:hAnsiTheme="minorHAnsi" w:cstheme="minorHAnsi"/>
                <w:sz w:val="18"/>
                <w:szCs w:val="18"/>
              </w:rPr>
              <w:t>in children.</w:t>
            </w:r>
          </w:p>
          <w:p w14:paraId="15714339" w14:textId="77777777" w:rsidR="00E66655" w:rsidRPr="0063066B" w:rsidRDefault="00E66655" w:rsidP="00CB2F8E">
            <w:pPr>
              <w:pStyle w:val="ListParagraph"/>
              <w:numPr>
                <w:ilvl w:val="0"/>
                <w:numId w:val="35"/>
              </w:numPr>
              <w:spacing w:before="20" w:after="20"/>
              <w:jc w:val="left"/>
              <w:rPr>
                <w:rFonts w:asciiTheme="minorHAnsi" w:hAnsiTheme="minorHAnsi" w:cstheme="minorHAnsi"/>
                <w:b/>
                <w:sz w:val="18"/>
                <w:szCs w:val="18"/>
              </w:rPr>
            </w:pPr>
            <w:r w:rsidRPr="0063066B">
              <w:rPr>
                <w:rFonts w:asciiTheme="minorHAnsi" w:hAnsiTheme="minorHAnsi" w:cstheme="minorHAnsi"/>
                <w:sz w:val="18"/>
                <w:szCs w:val="18"/>
              </w:rPr>
              <w:t>The difficulty in administration limits the use of carbapenems to centers with skilled staff and minor surgery capacities.</w:t>
            </w:r>
          </w:p>
          <w:p w14:paraId="352C8E4A" w14:textId="77777777" w:rsidR="00E66655" w:rsidRPr="0063066B" w:rsidRDefault="00E66655" w:rsidP="000D6CF4">
            <w:pPr>
              <w:spacing w:before="20" w:after="20"/>
              <w:jc w:val="left"/>
              <w:rPr>
                <w:rFonts w:asciiTheme="minorHAnsi" w:hAnsiTheme="minorHAnsi" w:cstheme="minorHAnsi"/>
                <w:sz w:val="18"/>
                <w:szCs w:val="18"/>
              </w:rPr>
            </w:pPr>
          </w:p>
          <w:p w14:paraId="095B89A6" w14:textId="77777777" w:rsidR="00E66655" w:rsidRPr="0063066B" w:rsidRDefault="00E66655" w:rsidP="000D6CF4">
            <w:pPr>
              <w:pStyle w:val="Normal1"/>
              <w:rPr>
                <w:rFonts w:asciiTheme="minorHAnsi" w:hAnsiTheme="minorHAnsi" w:cstheme="minorHAnsi"/>
                <w:b/>
                <w:sz w:val="18"/>
                <w:szCs w:val="18"/>
              </w:rPr>
            </w:pPr>
            <w:r w:rsidRPr="0063066B">
              <w:rPr>
                <w:rFonts w:asciiTheme="minorHAnsi" w:hAnsiTheme="minorHAnsi" w:cstheme="minorHAnsi"/>
                <w:b/>
                <w:sz w:val="18"/>
                <w:szCs w:val="18"/>
              </w:rPr>
              <w:t>3.4. Consider adding Amikacin (or streptomycin in rare circumstances)</w:t>
            </w:r>
          </w:p>
          <w:p w14:paraId="17BC53D7" w14:textId="2451DBF6" w:rsidR="00E66655" w:rsidRPr="0063066B" w:rsidRDefault="00E66655" w:rsidP="00CB2F8E">
            <w:pPr>
              <w:pStyle w:val="Normal1"/>
              <w:numPr>
                <w:ilvl w:val="0"/>
                <w:numId w:val="35"/>
              </w:numPr>
              <w:rPr>
                <w:rFonts w:asciiTheme="minorHAnsi" w:hAnsiTheme="minorHAnsi" w:cstheme="minorHAnsi"/>
                <w:b/>
                <w:sz w:val="18"/>
                <w:szCs w:val="18"/>
              </w:rPr>
            </w:pPr>
            <w:r w:rsidRPr="0063066B">
              <w:rPr>
                <w:rFonts w:asciiTheme="minorHAnsi" w:hAnsiTheme="minorHAnsi" w:cstheme="minorHAnsi"/>
                <w:sz w:val="18"/>
                <w:szCs w:val="18"/>
              </w:rPr>
              <w:t>The aminoglycoside of choice is Am; because of its toxicity</w:t>
            </w:r>
            <w:r w:rsidR="00C00E97">
              <w:rPr>
                <w:rFonts w:asciiTheme="minorHAnsi" w:hAnsiTheme="minorHAnsi" w:cstheme="minorHAnsi"/>
                <w:sz w:val="18"/>
                <w:szCs w:val="18"/>
              </w:rPr>
              <w:t>,</w:t>
            </w:r>
            <w:r w:rsidRPr="0063066B">
              <w:rPr>
                <w:rFonts w:asciiTheme="minorHAnsi" w:hAnsiTheme="minorHAnsi" w:cstheme="minorHAnsi"/>
                <w:sz w:val="18"/>
                <w:szCs w:val="18"/>
              </w:rPr>
              <w:t xml:space="preserve"> it should only be given when other effective options do not exist and if drug susceptibility has been confirmed.</w:t>
            </w:r>
          </w:p>
          <w:p w14:paraId="2EE90ADD" w14:textId="77777777" w:rsidR="00E66655" w:rsidRPr="0063066B" w:rsidRDefault="00E66655" w:rsidP="00CB2F8E">
            <w:pPr>
              <w:pStyle w:val="Normal1"/>
              <w:numPr>
                <w:ilvl w:val="0"/>
                <w:numId w:val="35"/>
              </w:numPr>
              <w:rPr>
                <w:rFonts w:asciiTheme="minorHAnsi" w:hAnsiTheme="minorHAnsi" w:cstheme="minorHAnsi"/>
                <w:b/>
                <w:sz w:val="18"/>
                <w:szCs w:val="18"/>
              </w:rPr>
            </w:pPr>
            <w:r w:rsidRPr="0063066B">
              <w:rPr>
                <w:rFonts w:asciiTheme="minorHAnsi" w:hAnsiTheme="minorHAnsi" w:cstheme="minorHAnsi"/>
                <w:sz w:val="18"/>
                <w:szCs w:val="18"/>
              </w:rPr>
              <w:t>If Am is added, close monitoring of hearing, renal function, and electrolytes is essential. If close monitoring cannot be performed, use alternative drugs.</w:t>
            </w:r>
          </w:p>
          <w:p w14:paraId="3D529D1F" w14:textId="77777777" w:rsidR="00E66655" w:rsidRPr="0063066B" w:rsidRDefault="00E66655" w:rsidP="00CB2F8E">
            <w:pPr>
              <w:pStyle w:val="Normal1"/>
              <w:keepNext/>
              <w:keepLines/>
              <w:numPr>
                <w:ilvl w:val="0"/>
                <w:numId w:val="35"/>
              </w:numPr>
              <w:jc w:val="both"/>
              <w:outlineLvl w:val="6"/>
              <w:rPr>
                <w:rFonts w:asciiTheme="minorHAnsi" w:hAnsiTheme="minorHAnsi" w:cstheme="minorHAnsi"/>
                <w:b/>
                <w:sz w:val="18"/>
                <w:szCs w:val="18"/>
              </w:rPr>
            </w:pPr>
            <w:r w:rsidRPr="0063066B">
              <w:rPr>
                <w:rFonts w:asciiTheme="minorHAnsi" w:hAnsiTheme="minorHAnsi" w:cstheme="minorHAnsi"/>
                <w:sz w:val="18"/>
                <w:szCs w:val="18"/>
              </w:rPr>
              <w:t>Resistance to S is very frequent in MDR-TB; however, if phenotypic DST (rarely available) demonstrates susceptibility and there are no other options, S can be used.</w:t>
            </w:r>
          </w:p>
          <w:p w14:paraId="25628A20" w14:textId="6593A0E5" w:rsidR="00E66655" w:rsidRPr="0063066B" w:rsidRDefault="00E66655" w:rsidP="00CB2F8E">
            <w:pPr>
              <w:pStyle w:val="Normal1"/>
              <w:numPr>
                <w:ilvl w:val="0"/>
                <w:numId w:val="35"/>
              </w:numPr>
              <w:rPr>
                <w:rFonts w:asciiTheme="minorHAnsi" w:hAnsiTheme="minorHAnsi" w:cstheme="minorHAnsi"/>
                <w:b/>
                <w:sz w:val="18"/>
                <w:szCs w:val="18"/>
              </w:rPr>
            </w:pPr>
            <w:r w:rsidRPr="0063066B">
              <w:rPr>
                <w:rFonts w:asciiTheme="minorHAnsi" w:hAnsiTheme="minorHAnsi" w:cstheme="minorHAnsi"/>
                <w:sz w:val="18"/>
                <w:szCs w:val="18"/>
              </w:rPr>
              <w:t xml:space="preserve">The LPA to </w:t>
            </w:r>
            <w:r w:rsidR="00C00E97">
              <w:rPr>
                <w:rFonts w:asciiTheme="minorHAnsi" w:hAnsiTheme="minorHAnsi" w:cstheme="minorHAnsi"/>
                <w:sz w:val="18"/>
                <w:szCs w:val="18"/>
              </w:rPr>
              <w:t>second-</w:t>
            </w:r>
            <w:r w:rsidRPr="0063066B">
              <w:rPr>
                <w:rFonts w:asciiTheme="minorHAnsi" w:hAnsiTheme="minorHAnsi" w:cstheme="minorHAnsi"/>
                <w:sz w:val="18"/>
                <w:szCs w:val="18"/>
              </w:rPr>
              <w:t>line drugs (Hain MTBDR</w:t>
            </w:r>
            <w:r w:rsidRPr="0063066B">
              <w:rPr>
                <w:rFonts w:asciiTheme="minorHAnsi" w:hAnsiTheme="minorHAnsi" w:cstheme="minorHAnsi"/>
                <w:i/>
                <w:sz w:val="18"/>
                <w:szCs w:val="18"/>
              </w:rPr>
              <w:t>sl</w:t>
            </w:r>
            <w:r w:rsidRPr="0063066B">
              <w:rPr>
                <w:rFonts w:asciiTheme="minorHAnsi" w:hAnsiTheme="minorHAnsi" w:cstheme="minorHAnsi"/>
                <w:sz w:val="18"/>
                <w:szCs w:val="18"/>
              </w:rPr>
              <w:t>) can provide an indication on susceptibility to Am but not to S.</w:t>
            </w:r>
          </w:p>
          <w:p w14:paraId="5059BBA0" w14:textId="77777777" w:rsidR="00E66655" w:rsidRPr="0063066B" w:rsidRDefault="00E66655" w:rsidP="000D6CF4">
            <w:pPr>
              <w:pStyle w:val="Normal1"/>
              <w:ind w:left="360"/>
              <w:rPr>
                <w:rFonts w:asciiTheme="minorHAnsi" w:hAnsiTheme="minorHAnsi" w:cstheme="minorHAnsi"/>
                <w:b/>
                <w:sz w:val="18"/>
                <w:szCs w:val="18"/>
              </w:rPr>
            </w:pPr>
          </w:p>
          <w:p w14:paraId="1D7FC657" w14:textId="77777777" w:rsidR="00E66655" w:rsidRPr="0063066B" w:rsidRDefault="00E66655" w:rsidP="000D6CF4">
            <w:pPr>
              <w:pStyle w:val="Normal1"/>
              <w:rPr>
                <w:rFonts w:asciiTheme="minorHAnsi" w:hAnsiTheme="minorHAnsi" w:cstheme="minorHAnsi"/>
                <w:b/>
                <w:sz w:val="18"/>
                <w:szCs w:val="18"/>
              </w:rPr>
            </w:pPr>
            <w:r w:rsidRPr="0063066B">
              <w:rPr>
                <w:rFonts w:asciiTheme="minorHAnsi" w:hAnsiTheme="minorHAnsi" w:cstheme="minorHAnsi"/>
                <w:b/>
                <w:sz w:val="18"/>
                <w:szCs w:val="18"/>
              </w:rPr>
              <w:t>3.5. Consider adding ethionamide or prothionamide</w:t>
            </w:r>
          </w:p>
          <w:p w14:paraId="49E8A995" w14:textId="46AAB174" w:rsidR="00E66655" w:rsidRPr="0063066B" w:rsidRDefault="00E66655" w:rsidP="00CB2F8E">
            <w:pPr>
              <w:pStyle w:val="Normal1"/>
              <w:numPr>
                <w:ilvl w:val="0"/>
                <w:numId w:val="36"/>
              </w:numPr>
              <w:rPr>
                <w:rFonts w:asciiTheme="minorHAnsi" w:hAnsiTheme="minorHAnsi" w:cstheme="minorHAnsi"/>
                <w:sz w:val="18"/>
                <w:szCs w:val="18"/>
              </w:rPr>
            </w:pPr>
            <w:r w:rsidRPr="0063066B">
              <w:rPr>
                <w:rFonts w:asciiTheme="minorHAnsi" w:hAnsiTheme="minorHAnsi" w:cstheme="minorHAnsi"/>
                <w:sz w:val="18"/>
                <w:szCs w:val="18"/>
              </w:rPr>
              <w:t>Eto and Pto are very weak bacteriostatic and poorly tolerated drugs. If a regimen with five likely effective drugs is not possible otherwise, consider using Eto or Pto (</w:t>
            </w:r>
            <w:r w:rsidR="00F320A9">
              <w:rPr>
                <w:rFonts w:asciiTheme="minorHAnsi" w:hAnsiTheme="minorHAnsi" w:cstheme="minorHAnsi"/>
                <w:sz w:val="18"/>
                <w:szCs w:val="18"/>
              </w:rPr>
              <w:t xml:space="preserve">with aggressive </w:t>
            </w:r>
            <w:r w:rsidRPr="0063066B">
              <w:rPr>
                <w:rFonts w:asciiTheme="minorHAnsi" w:hAnsiTheme="minorHAnsi" w:cstheme="minorHAnsi"/>
                <w:sz w:val="18"/>
                <w:szCs w:val="18"/>
              </w:rPr>
              <w:t>manage</w:t>
            </w:r>
            <w:r w:rsidR="00F320A9">
              <w:rPr>
                <w:rFonts w:asciiTheme="minorHAnsi" w:hAnsiTheme="minorHAnsi" w:cstheme="minorHAnsi"/>
                <w:sz w:val="18"/>
                <w:szCs w:val="18"/>
              </w:rPr>
              <w:t>ment of</w:t>
            </w:r>
            <w:r w:rsidRPr="0063066B">
              <w:rPr>
                <w:rFonts w:asciiTheme="minorHAnsi" w:hAnsiTheme="minorHAnsi" w:cstheme="minorHAnsi"/>
                <w:sz w:val="18"/>
                <w:szCs w:val="18"/>
              </w:rPr>
              <w:t xml:space="preserve"> nausea and vomiting). They should not be included in the regimen if the </w:t>
            </w:r>
            <w:r w:rsidRPr="0063066B">
              <w:rPr>
                <w:rFonts w:asciiTheme="minorHAnsi" w:hAnsiTheme="minorHAnsi" w:cstheme="minorHAnsi"/>
                <w:i/>
                <w:sz w:val="18"/>
                <w:szCs w:val="18"/>
              </w:rPr>
              <w:t xml:space="preserve">inhA </w:t>
            </w:r>
            <w:r w:rsidRPr="0063066B">
              <w:rPr>
                <w:rFonts w:asciiTheme="minorHAnsi" w:hAnsiTheme="minorHAnsi" w:cstheme="minorHAnsi"/>
                <w:sz w:val="18"/>
                <w:szCs w:val="18"/>
              </w:rPr>
              <w:t xml:space="preserve">mutation is detected by first-line LPA or if phenotypic resistance is detected.  </w:t>
            </w:r>
          </w:p>
          <w:p w14:paraId="7DBE98E2" w14:textId="77777777" w:rsidR="00E66655" w:rsidRPr="0063066B" w:rsidRDefault="00E66655" w:rsidP="000D6CF4">
            <w:pPr>
              <w:widowControl w:val="0"/>
              <w:autoSpaceDE w:val="0"/>
              <w:autoSpaceDN w:val="0"/>
              <w:spacing w:before="0" w:after="0" w:line="192" w:lineRule="auto"/>
              <w:rPr>
                <w:rFonts w:asciiTheme="minorHAnsi" w:eastAsia="Calibri" w:hAnsiTheme="minorHAnsi" w:cstheme="minorHAnsi"/>
                <w:sz w:val="18"/>
                <w:szCs w:val="18"/>
              </w:rPr>
            </w:pPr>
          </w:p>
          <w:p w14:paraId="13FC1B8D" w14:textId="77777777"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b/>
                <w:sz w:val="18"/>
                <w:szCs w:val="18"/>
              </w:rPr>
              <w:t>3.5 Consider PAS</w:t>
            </w:r>
          </w:p>
          <w:p w14:paraId="49B9B708" w14:textId="3EE04868" w:rsidR="00E66655" w:rsidRPr="0063066B" w:rsidRDefault="00E66655" w:rsidP="00CB2F8E">
            <w:pPr>
              <w:pStyle w:val="Normal1"/>
              <w:numPr>
                <w:ilvl w:val="0"/>
                <w:numId w:val="36"/>
              </w:numPr>
              <w:rPr>
                <w:rFonts w:asciiTheme="minorHAnsi" w:hAnsiTheme="minorHAnsi" w:cstheme="minorHAnsi"/>
                <w:sz w:val="18"/>
                <w:szCs w:val="18"/>
              </w:rPr>
            </w:pPr>
            <w:r w:rsidRPr="0063066B">
              <w:rPr>
                <w:rFonts w:asciiTheme="minorHAnsi" w:hAnsiTheme="minorHAnsi" w:cstheme="minorHAnsi"/>
                <w:sz w:val="18"/>
                <w:szCs w:val="18"/>
              </w:rPr>
              <w:t>PAS is a very weak bacteriostatic and poorly tolerated drug. If a regimen with five likely effective drugs is not possible otherwise, consider using PAS (</w:t>
            </w:r>
            <w:r w:rsidR="00F320A9">
              <w:rPr>
                <w:rFonts w:asciiTheme="minorHAnsi" w:hAnsiTheme="minorHAnsi" w:cstheme="minorHAnsi"/>
                <w:sz w:val="18"/>
                <w:szCs w:val="18"/>
              </w:rPr>
              <w:t xml:space="preserve">with aggressive </w:t>
            </w:r>
            <w:r w:rsidRPr="0063066B">
              <w:rPr>
                <w:rFonts w:asciiTheme="minorHAnsi" w:hAnsiTheme="minorHAnsi" w:cstheme="minorHAnsi"/>
                <w:sz w:val="18"/>
                <w:szCs w:val="18"/>
              </w:rPr>
              <w:t>manage</w:t>
            </w:r>
            <w:r w:rsidR="00F320A9">
              <w:rPr>
                <w:rFonts w:asciiTheme="minorHAnsi" w:hAnsiTheme="minorHAnsi" w:cstheme="minorHAnsi"/>
                <w:sz w:val="18"/>
                <w:szCs w:val="18"/>
              </w:rPr>
              <w:t>ment</w:t>
            </w:r>
            <w:r w:rsidRPr="0063066B">
              <w:rPr>
                <w:rFonts w:asciiTheme="minorHAnsi" w:hAnsiTheme="minorHAnsi" w:cstheme="minorHAnsi"/>
                <w:sz w:val="18"/>
                <w:szCs w:val="18"/>
              </w:rPr>
              <w:t xml:space="preserve"> </w:t>
            </w:r>
            <w:r w:rsidR="005576D2">
              <w:rPr>
                <w:rFonts w:asciiTheme="minorHAnsi" w:hAnsiTheme="minorHAnsi" w:cstheme="minorHAnsi"/>
                <w:sz w:val="18"/>
                <w:szCs w:val="18"/>
              </w:rPr>
              <w:t xml:space="preserve">of </w:t>
            </w:r>
            <w:r w:rsidRPr="0063066B">
              <w:rPr>
                <w:rFonts w:asciiTheme="minorHAnsi" w:hAnsiTheme="minorHAnsi" w:cstheme="minorHAnsi"/>
                <w:sz w:val="18"/>
                <w:szCs w:val="18"/>
              </w:rPr>
              <w:t>nausea and vomiting).</w:t>
            </w:r>
          </w:p>
          <w:p w14:paraId="74AF7A55" w14:textId="77777777" w:rsidR="00E66655" w:rsidRPr="0063066B" w:rsidRDefault="00E66655" w:rsidP="000D6CF4">
            <w:pPr>
              <w:pStyle w:val="Normal1"/>
              <w:ind w:left="360"/>
              <w:rPr>
                <w:rFonts w:asciiTheme="minorHAnsi" w:hAnsiTheme="minorHAnsi" w:cstheme="minorHAnsi"/>
                <w:sz w:val="18"/>
                <w:szCs w:val="18"/>
              </w:rPr>
            </w:pPr>
          </w:p>
          <w:p w14:paraId="0AF4F336" w14:textId="4C2D0275"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b/>
                <w:sz w:val="18"/>
                <w:szCs w:val="18"/>
              </w:rPr>
              <w:t>3.6 Consider high-dose H</w:t>
            </w:r>
            <w:r w:rsidR="00A53824">
              <w:rPr>
                <w:rFonts w:asciiTheme="minorHAnsi" w:hAnsiTheme="minorHAnsi" w:cstheme="minorHAnsi"/>
                <w:b/>
                <w:bCs/>
                <w:sz w:val="18"/>
                <w:szCs w:val="18"/>
              </w:rPr>
              <w:t xml:space="preserve"> </w:t>
            </w:r>
            <w:r w:rsidR="00A53824" w:rsidRPr="00A53824">
              <w:rPr>
                <w:rFonts w:asciiTheme="minorHAnsi" w:hAnsiTheme="minorHAnsi" w:cstheme="minorHAnsi"/>
                <w:b/>
                <w:bCs/>
                <w:sz w:val="18"/>
                <w:szCs w:val="18"/>
              </w:rPr>
              <w:t>(H</w:t>
            </w:r>
            <w:r w:rsidR="00A53824" w:rsidRPr="00A53824">
              <w:rPr>
                <w:rFonts w:asciiTheme="minorHAnsi" w:hAnsiTheme="minorHAnsi" w:cstheme="minorHAnsi"/>
                <w:b/>
                <w:bCs/>
                <w:sz w:val="18"/>
                <w:szCs w:val="18"/>
                <w:vertAlign w:val="superscript"/>
              </w:rPr>
              <w:t>H</w:t>
            </w:r>
            <w:r w:rsidR="00A53824" w:rsidRPr="00A53824">
              <w:rPr>
                <w:rFonts w:asciiTheme="minorHAnsi" w:hAnsiTheme="minorHAnsi" w:cstheme="minorHAnsi"/>
                <w:b/>
                <w:bCs/>
                <w:sz w:val="18"/>
                <w:szCs w:val="18"/>
              </w:rPr>
              <w:t>)</w:t>
            </w:r>
          </w:p>
          <w:p w14:paraId="72231A7B" w14:textId="77777777" w:rsidR="00E66655" w:rsidRPr="0063066B" w:rsidRDefault="00E66655" w:rsidP="00CB2F8E">
            <w:pPr>
              <w:pStyle w:val="Normal1"/>
              <w:numPr>
                <w:ilvl w:val="0"/>
                <w:numId w:val="36"/>
              </w:numPr>
              <w:rPr>
                <w:rFonts w:asciiTheme="minorHAnsi" w:hAnsiTheme="minorHAnsi" w:cstheme="minorHAnsi"/>
                <w:sz w:val="18"/>
                <w:szCs w:val="18"/>
              </w:rPr>
            </w:pPr>
            <w:r w:rsidRPr="0063066B">
              <w:rPr>
                <w:rFonts w:asciiTheme="minorHAnsi" w:hAnsiTheme="minorHAnsi" w:cstheme="minorHAnsi"/>
                <w:sz w:val="18"/>
                <w:szCs w:val="18"/>
              </w:rPr>
              <w:t>H</w:t>
            </w:r>
            <w:r w:rsidRPr="0063066B">
              <w:rPr>
                <w:rFonts w:asciiTheme="minorHAnsi" w:hAnsiTheme="minorHAnsi" w:cstheme="minorHAnsi"/>
                <w:sz w:val="18"/>
                <w:szCs w:val="18"/>
                <w:vertAlign w:val="superscript"/>
              </w:rPr>
              <w:t xml:space="preserve">H </w:t>
            </w:r>
            <w:r w:rsidRPr="0063066B">
              <w:rPr>
                <w:rFonts w:asciiTheme="minorHAnsi" w:hAnsiTheme="minorHAnsi" w:cstheme="minorHAnsi"/>
                <w:sz w:val="18"/>
                <w:szCs w:val="18"/>
              </w:rPr>
              <w:t>should never be counted as a likely effective drug.</w:t>
            </w:r>
          </w:p>
          <w:p w14:paraId="47BBE5E8" w14:textId="77777777" w:rsidR="00E66655" w:rsidRPr="0063066B" w:rsidRDefault="00E66655" w:rsidP="00CB2F8E">
            <w:pPr>
              <w:pStyle w:val="Normal1"/>
              <w:numPr>
                <w:ilvl w:val="0"/>
                <w:numId w:val="36"/>
              </w:numPr>
              <w:rPr>
                <w:rFonts w:asciiTheme="minorHAnsi" w:hAnsiTheme="minorHAnsi" w:cstheme="minorHAnsi"/>
                <w:sz w:val="18"/>
                <w:szCs w:val="18"/>
              </w:rPr>
            </w:pPr>
            <w:r w:rsidRPr="0063066B">
              <w:rPr>
                <w:rFonts w:asciiTheme="minorHAnsi" w:hAnsiTheme="minorHAnsi" w:cstheme="minorHAnsi"/>
                <w:sz w:val="18"/>
                <w:szCs w:val="18"/>
              </w:rPr>
              <w:t>Do not use H</w:t>
            </w:r>
            <w:r w:rsidRPr="0063066B">
              <w:rPr>
                <w:rFonts w:asciiTheme="minorHAnsi" w:hAnsiTheme="minorHAnsi" w:cstheme="minorHAnsi"/>
                <w:sz w:val="18"/>
                <w:szCs w:val="18"/>
                <w:vertAlign w:val="superscript"/>
              </w:rPr>
              <w:t xml:space="preserve">H </w:t>
            </w:r>
            <w:r>
              <w:rPr>
                <w:rFonts w:asciiTheme="minorHAnsi" w:hAnsiTheme="minorHAnsi" w:cstheme="minorHAnsi"/>
                <w:sz w:val="18"/>
                <w:szCs w:val="18"/>
                <w:vertAlign w:val="superscript"/>
              </w:rPr>
              <w:t xml:space="preserve"> </w:t>
            </w:r>
            <w:r w:rsidRPr="0063066B">
              <w:rPr>
                <w:rFonts w:asciiTheme="minorHAnsi" w:hAnsiTheme="minorHAnsi" w:cstheme="minorHAnsi"/>
                <w:sz w:val="18"/>
                <w:szCs w:val="18"/>
              </w:rPr>
              <w:t xml:space="preserve">if the </w:t>
            </w:r>
            <w:r w:rsidRPr="0063066B">
              <w:rPr>
                <w:rFonts w:asciiTheme="minorHAnsi" w:hAnsiTheme="minorHAnsi" w:cstheme="minorHAnsi"/>
                <w:i/>
                <w:sz w:val="18"/>
                <w:szCs w:val="18"/>
              </w:rPr>
              <w:t>katG</w:t>
            </w:r>
            <w:r w:rsidRPr="0063066B">
              <w:rPr>
                <w:rFonts w:asciiTheme="minorHAnsi" w:hAnsiTheme="minorHAnsi" w:cstheme="minorHAnsi"/>
                <w:sz w:val="18"/>
                <w:szCs w:val="18"/>
              </w:rPr>
              <w:t xml:space="preserve"> mutation is detected by first-line LPA.</w:t>
            </w:r>
          </w:p>
          <w:p w14:paraId="0E6FCDA0" w14:textId="2B5AFF55" w:rsidR="00E66655" w:rsidRPr="0063066B" w:rsidRDefault="00E66655" w:rsidP="00CB2F8E">
            <w:pPr>
              <w:pStyle w:val="Normal1"/>
              <w:numPr>
                <w:ilvl w:val="0"/>
                <w:numId w:val="36"/>
              </w:numPr>
              <w:rPr>
                <w:rFonts w:asciiTheme="minorHAnsi" w:hAnsiTheme="minorHAnsi" w:cstheme="minorHAnsi"/>
                <w:sz w:val="18"/>
                <w:szCs w:val="18"/>
              </w:rPr>
            </w:pPr>
            <w:r w:rsidRPr="0063066B">
              <w:rPr>
                <w:rFonts w:asciiTheme="minorHAnsi" w:hAnsiTheme="minorHAnsi" w:cstheme="minorHAnsi"/>
                <w:sz w:val="18"/>
                <w:szCs w:val="18"/>
              </w:rPr>
              <w:t>Avoid</w:t>
            </w:r>
            <w:r w:rsidR="005576D2">
              <w:rPr>
                <w:rFonts w:asciiTheme="minorHAnsi" w:hAnsiTheme="minorHAnsi" w:cstheme="minorHAnsi"/>
                <w:sz w:val="18"/>
                <w:szCs w:val="18"/>
              </w:rPr>
              <w:t xml:space="preserve"> using</w:t>
            </w:r>
            <w:r w:rsidRPr="0063066B">
              <w:rPr>
                <w:rFonts w:asciiTheme="minorHAnsi" w:hAnsiTheme="minorHAnsi" w:cstheme="minorHAnsi"/>
                <w:sz w:val="18"/>
                <w:szCs w:val="18"/>
              </w:rPr>
              <w:t xml:space="preserve"> H</w:t>
            </w:r>
            <w:r w:rsidRPr="0063066B">
              <w:rPr>
                <w:rFonts w:asciiTheme="minorHAnsi" w:hAnsiTheme="minorHAnsi" w:cstheme="minorHAnsi"/>
                <w:sz w:val="18"/>
                <w:szCs w:val="18"/>
                <w:vertAlign w:val="superscript"/>
              </w:rPr>
              <w:t>H</w:t>
            </w:r>
            <w:r w:rsidRPr="0063066B" w:rsidDel="008B4354">
              <w:rPr>
                <w:rFonts w:asciiTheme="minorHAnsi" w:hAnsiTheme="minorHAnsi" w:cstheme="minorHAnsi"/>
                <w:sz w:val="18"/>
                <w:szCs w:val="18"/>
              </w:rPr>
              <w:t xml:space="preserve"> </w:t>
            </w:r>
            <w:r w:rsidRPr="0063066B">
              <w:rPr>
                <w:rFonts w:asciiTheme="minorHAnsi" w:hAnsiTheme="minorHAnsi" w:cstheme="minorHAnsi"/>
                <w:sz w:val="18"/>
                <w:szCs w:val="18"/>
              </w:rPr>
              <w:t>with Lzd because of potential additive toxicity of peripheral neuropathy.</w:t>
            </w:r>
          </w:p>
        </w:tc>
        <w:tc>
          <w:tcPr>
            <w:tcW w:w="567" w:type="pct"/>
            <w:shd w:val="clear" w:color="auto" w:fill="FFFFFF" w:themeFill="background1"/>
            <w:tcMar>
              <w:top w:w="100" w:type="dxa"/>
              <w:left w:w="100" w:type="dxa"/>
              <w:bottom w:w="100" w:type="dxa"/>
              <w:right w:w="100" w:type="dxa"/>
            </w:tcMar>
          </w:tcPr>
          <w:p w14:paraId="72302C84" w14:textId="77777777" w:rsidR="00E66655" w:rsidRPr="0063066B" w:rsidRDefault="00E66655" w:rsidP="000D6CF4">
            <w:pPr>
              <w:pStyle w:val="Normal1"/>
              <w:keepNext/>
              <w:keepLines/>
              <w:jc w:val="both"/>
              <w:outlineLvl w:val="6"/>
              <w:rPr>
                <w:rFonts w:asciiTheme="minorHAnsi" w:hAnsiTheme="minorHAnsi" w:cstheme="minorHAnsi"/>
                <w:sz w:val="18"/>
                <w:szCs w:val="18"/>
                <w:lang w:val="es-US"/>
              </w:rPr>
            </w:pPr>
            <w:r w:rsidRPr="0063066B">
              <w:rPr>
                <w:rFonts w:asciiTheme="minorHAnsi" w:hAnsiTheme="minorHAnsi" w:cstheme="minorHAnsi"/>
                <w:sz w:val="18"/>
                <w:szCs w:val="18"/>
                <w:lang w:val="es-US"/>
              </w:rPr>
              <w:t>E, Z</w:t>
            </w:r>
          </w:p>
          <w:p w14:paraId="3D28C967" w14:textId="77777777" w:rsidR="00E66655" w:rsidRPr="0063066B" w:rsidRDefault="00E66655" w:rsidP="000D6CF4">
            <w:pPr>
              <w:pStyle w:val="Normal1"/>
              <w:rPr>
                <w:rFonts w:asciiTheme="minorHAnsi" w:hAnsiTheme="minorHAnsi" w:cstheme="minorHAnsi"/>
                <w:sz w:val="18"/>
                <w:szCs w:val="18"/>
                <w:lang w:val="es-PE"/>
              </w:rPr>
            </w:pPr>
          </w:p>
          <w:p w14:paraId="60C33B39" w14:textId="77777777" w:rsidR="00E66655" w:rsidRPr="0063066B" w:rsidRDefault="00E66655" w:rsidP="000D6CF4">
            <w:pPr>
              <w:pStyle w:val="Normal1"/>
              <w:rPr>
                <w:rFonts w:asciiTheme="minorHAnsi" w:hAnsiTheme="minorHAnsi" w:cstheme="minorHAnsi"/>
                <w:sz w:val="18"/>
                <w:szCs w:val="18"/>
                <w:lang w:val="es-PE"/>
              </w:rPr>
            </w:pPr>
          </w:p>
          <w:p w14:paraId="3CC3EC7F" w14:textId="77777777" w:rsidR="00E66655" w:rsidRPr="0063066B" w:rsidRDefault="00E66655" w:rsidP="000D6CF4">
            <w:pPr>
              <w:pStyle w:val="Normal1"/>
              <w:rPr>
                <w:rFonts w:asciiTheme="minorHAnsi" w:hAnsiTheme="minorHAnsi" w:cstheme="minorHAnsi"/>
                <w:sz w:val="18"/>
                <w:szCs w:val="18"/>
                <w:lang w:val="es-PE"/>
              </w:rPr>
            </w:pPr>
          </w:p>
          <w:p w14:paraId="4354A877" w14:textId="77777777" w:rsidR="00E66655" w:rsidRPr="0063066B" w:rsidRDefault="00E66655" w:rsidP="000D6CF4">
            <w:pPr>
              <w:pStyle w:val="Normal1"/>
              <w:rPr>
                <w:rFonts w:asciiTheme="minorHAnsi" w:hAnsiTheme="minorHAnsi" w:cstheme="minorHAnsi"/>
                <w:sz w:val="18"/>
                <w:szCs w:val="18"/>
                <w:lang w:val="es-PE"/>
              </w:rPr>
            </w:pPr>
          </w:p>
          <w:p w14:paraId="21CFBF64" w14:textId="77777777" w:rsidR="00E66655" w:rsidRPr="0063066B" w:rsidRDefault="00E66655" w:rsidP="000D6CF4">
            <w:pPr>
              <w:pStyle w:val="Normal1"/>
              <w:rPr>
                <w:rFonts w:asciiTheme="minorHAnsi" w:hAnsiTheme="minorHAnsi" w:cstheme="minorHAnsi"/>
                <w:sz w:val="18"/>
                <w:szCs w:val="18"/>
                <w:lang w:val="es-PE"/>
              </w:rPr>
            </w:pPr>
          </w:p>
          <w:p w14:paraId="39EE10DB" w14:textId="77777777" w:rsidR="00E66655" w:rsidRPr="0063066B" w:rsidRDefault="00E66655" w:rsidP="000D6CF4">
            <w:pPr>
              <w:pStyle w:val="Normal1"/>
              <w:rPr>
                <w:rFonts w:asciiTheme="minorHAnsi" w:hAnsiTheme="minorHAnsi" w:cstheme="minorHAnsi"/>
                <w:sz w:val="18"/>
                <w:szCs w:val="18"/>
                <w:lang w:val="es-PE"/>
              </w:rPr>
            </w:pPr>
          </w:p>
          <w:p w14:paraId="7D097DDE" w14:textId="77777777" w:rsidR="00E66655" w:rsidRPr="0063066B" w:rsidRDefault="00E66655" w:rsidP="000D6CF4">
            <w:pPr>
              <w:pStyle w:val="Normal1"/>
              <w:rPr>
                <w:rFonts w:asciiTheme="minorHAnsi" w:hAnsiTheme="minorHAnsi" w:cstheme="minorHAnsi"/>
                <w:sz w:val="18"/>
                <w:szCs w:val="18"/>
                <w:lang w:val="es-PE"/>
              </w:rPr>
            </w:pPr>
          </w:p>
          <w:p w14:paraId="702EA575" w14:textId="77777777" w:rsidR="00E66655" w:rsidRPr="0063066B" w:rsidRDefault="00E66655" w:rsidP="000D6CF4">
            <w:pPr>
              <w:pStyle w:val="Normal1"/>
              <w:rPr>
                <w:rFonts w:asciiTheme="minorHAnsi" w:hAnsiTheme="minorHAnsi" w:cstheme="minorHAnsi"/>
                <w:sz w:val="18"/>
                <w:szCs w:val="18"/>
                <w:lang w:val="es-PE"/>
              </w:rPr>
            </w:pPr>
            <w:r w:rsidRPr="0063066B">
              <w:rPr>
                <w:rFonts w:asciiTheme="minorHAnsi" w:hAnsiTheme="minorHAnsi" w:cstheme="minorHAnsi"/>
                <w:sz w:val="18"/>
                <w:szCs w:val="18"/>
                <w:lang w:val="es-PE"/>
              </w:rPr>
              <w:t>Dlm</w:t>
            </w:r>
          </w:p>
          <w:p w14:paraId="488E646D" w14:textId="77777777" w:rsidR="00E66655" w:rsidRPr="0063066B" w:rsidRDefault="00E66655" w:rsidP="000D6CF4">
            <w:pPr>
              <w:pStyle w:val="Normal1"/>
              <w:rPr>
                <w:rFonts w:asciiTheme="minorHAnsi" w:hAnsiTheme="minorHAnsi" w:cstheme="minorHAnsi"/>
                <w:sz w:val="18"/>
                <w:szCs w:val="18"/>
                <w:lang w:val="es-PE"/>
              </w:rPr>
            </w:pPr>
          </w:p>
          <w:p w14:paraId="19AF8B3B" w14:textId="77777777" w:rsidR="00E66655" w:rsidRPr="0063066B" w:rsidRDefault="00E66655" w:rsidP="000D6CF4">
            <w:pPr>
              <w:pStyle w:val="Normal1"/>
              <w:rPr>
                <w:rFonts w:asciiTheme="minorHAnsi" w:hAnsiTheme="minorHAnsi" w:cstheme="minorHAnsi"/>
                <w:sz w:val="18"/>
                <w:szCs w:val="18"/>
                <w:lang w:val="es-PE"/>
              </w:rPr>
            </w:pPr>
          </w:p>
          <w:p w14:paraId="7E7D23E8" w14:textId="77777777" w:rsidR="00E66655" w:rsidRPr="0063066B" w:rsidRDefault="00E66655" w:rsidP="000D6CF4">
            <w:pPr>
              <w:pStyle w:val="Normal1"/>
              <w:rPr>
                <w:rFonts w:asciiTheme="minorHAnsi" w:hAnsiTheme="minorHAnsi" w:cstheme="minorHAnsi"/>
                <w:sz w:val="18"/>
                <w:szCs w:val="18"/>
                <w:lang w:val="es-PE"/>
              </w:rPr>
            </w:pPr>
          </w:p>
          <w:p w14:paraId="21D77471" w14:textId="77777777" w:rsidR="00E66655" w:rsidRPr="0063066B" w:rsidRDefault="00E66655" w:rsidP="000D6CF4">
            <w:pPr>
              <w:pStyle w:val="Normal1"/>
              <w:rPr>
                <w:rFonts w:asciiTheme="minorHAnsi" w:hAnsiTheme="minorHAnsi" w:cstheme="minorHAnsi"/>
                <w:sz w:val="18"/>
                <w:szCs w:val="18"/>
                <w:lang w:val="es-PE"/>
              </w:rPr>
            </w:pPr>
          </w:p>
          <w:p w14:paraId="619AE1F3" w14:textId="77777777" w:rsidR="00E66655" w:rsidRPr="0063066B" w:rsidRDefault="00E66655" w:rsidP="000D6CF4">
            <w:pPr>
              <w:pStyle w:val="Normal1"/>
              <w:rPr>
                <w:rFonts w:asciiTheme="minorHAnsi" w:hAnsiTheme="minorHAnsi" w:cstheme="minorHAnsi"/>
                <w:sz w:val="18"/>
              </w:rPr>
            </w:pPr>
            <w:r w:rsidRPr="0063066B">
              <w:rPr>
                <w:rFonts w:asciiTheme="minorHAnsi" w:hAnsiTheme="minorHAnsi" w:cstheme="minorHAnsi"/>
                <w:sz w:val="18"/>
                <w:szCs w:val="18"/>
              </w:rPr>
              <w:t>Imp/Cln,</w:t>
            </w:r>
          </w:p>
          <w:p w14:paraId="0DDB0B63" w14:textId="77777777" w:rsidR="00E66655" w:rsidRPr="0063066B" w:rsidRDefault="00E66655" w:rsidP="000D6CF4">
            <w:pPr>
              <w:pStyle w:val="Normal1"/>
              <w:rPr>
                <w:rFonts w:asciiTheme="minorHAnsi" w:hAnsiTheme="minorHAnsi" w:cstheme="minorHAnsi"/>
                <w:sz w:val="18"/>
              </w:rPr>
            </w:pPr>
            <w:r w:rsidRPr="0063066B">
              <w:rPr>
                <w:rFonts w:asciiTheme="minorHAnsi" w:hAnsiTheme="minorHAnsi" w:cstheme="minorHAnsi"/>
                <w:sz w:val="18"/>
                <w:szCs w:val="18"/>
              </w:rPr>
              <w:t>Mpm</w:t>
            </w:r>
            <w:r w:rsidRPr="0063066B" w:rsidDel="00A053F7">
              <w:rPr>
                <w:rFonts w:asciiTheme="minorHAnsi" w:hAnsiTheme="minorHAnsi" w:cstheme="minorHAnsi"/>
                <w:sz w:val="18"/>
                <w:szCs w:val="18"/>
              </w:rPr>
              <w:t xml:space="preserve"> </w:t>
            </w:r>
          </w:p>
          <w:p w14:paraId="27507BDB" w14:textId="77777777" w:rsidR="00E66655" w:rsidRPr="0063066B" w:rsidRDefault="00E66655" w:rsidP="000D6CF4">
            <w:pPr>
              <w:pStyle w:val="Normal1"/>
              <w:jc w:val="both"/>
              <w:rPr>
                <w:rFonts w:asciiTheme="minorHAnsi" w:hAnsiTheme="minorHAnsi" w:cstheme="minorHAnsi"/>
                <w:sz w:val="18"/>
                <w:szCs w:val="18"/>
              </w:rPr>
            </w:pPr>
            <w:r w:rsidRPr="0063066B">
              <w:rPr>
                <w:rFonts w:asciiTheme="minorHAnsi" w:hAnsiTheme="minorHAnsi" w:cstheme="minorHAnsi"/>
                <w:sz w:val="18"/>
                <w:szCs w:val="18"/>
              </w:rPr>
              <w:t>(+Amx/Clv)</w:t>
            </w:r>
          </w:p>
          <w:p w14:paraId="55AC3E73" w14:textId="77777777" w:rsidR="00E66655" w:rsidRPr="0063066B" w:rsidRDefault="00E66655" w:rsidP="000D6CF4">
            <w:pPr>
              <w:pStyle w:val="Normal1"/>
              <w:jc w:val="both"/>
              <w:rPr>
                <w:rFonts w:asciiTheme="minorHAnsi" w:hAnsiTheme="minorHAnsi" w:cstheme="minorHAnsi"/>
                <w:sz w:val="18"/>
                <w:szCs w:val="18"/>
              </w:rPr>
            </w:pPr>
          </w:p>
          <w:p w14:paraId="4BE49CF7" w14:textId="77777777" w:rsidR="00E66655" w:rsidRPr="0063066B" w:rsidRDefault="00E66655" w:rsidP="000D6CF4">
            <w:pPr>
              <w:pStyle w:val="Normal1"/>
              <w:jc w:val="both"/>
              <w:rPr>
                <w:rFonts w:asciiTheme="minorHAnsi" w:hAnsiTheme="minorHAnsi" w:cstheme="minorHAnsi"/>
                <w:sz w:val="18"/>
                <w:szCs w:val="18"/>
              </w:rPr>
            </w:pPr>
          </w:p>
          <w:p w14:paraId="1C668BBF" w14:textId="77777777" w:rsidR="00E66655" w:rsidRPr="0063066B" w:rsidRDefault="00E66655" w:rsidP="000D6CF4">
            <w:pPr>
              <w:pStyle w:val="Normal1"/>
              <w:jc w:val="both"/>
              <w:rPr>
                <w:rFonts w:asciiTheme="minorHAnsi" w:hAnsiTheme="minorHAnsi" w:cstheme="minorHAnsi"/>
                <w:sz w:val="18"/>
                <w:szCs w:val="18"/>
              </w:rPr>
            </w:pPr>
          </w:p>
          <w:p w14:paraId="250BD3F6" w14:textId="77777777" w:rsidR="00E66655" w:rsidRPr="0063066B" w:rsidRDefault="00E66655" w:rsidP="000D6CF4">
            <w:pPr>
              <w:pStyle w:val="Normal1"/>
              <w:rPr>
                <w:rFonts w:asciiTheme="minorHAnsi" w:hAnsiTheme="minorHAnsi" w:cstheme="minorHAnsi"/>
                <w:sz w:val="18"/>
                <w:szCs w:val="18"/>
              </w:rPr>
            </w:pPr>
          </w:p>
          <w:p w14:paraId="51CF5956" w14:textId="77777777"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sz w:val="18"/>
                <w:szCs w:val="18"/>
              </w:rPr>
              <w:t>Am</w:t>
            </w:r>
          </w:p>
          <w:p w14:paraId="1AA31156" w14:textId="77777777" w:rsidR="00E66655" w:rsidRPr="0063066B" w:rsidRDefault="00E66655" w:rsidP="000D6CF4">
            <w:pPr>
              <w:pStyle w:val="Normal1"/>
              <w:jc w:val="both"/>
              <w:rPr>
                <w:rFonts w:asciiTheme="minorHAnsi" w:hAnsiTheme="minorHAnsi" w:cstheme="minorHAnsi"/>
                <w:sz w:val="18"/>
                <w:szCs w:val="18"/>
              </w:rPr>
            </w:pPr>
          </w:p>
          <w:p w14:paraId="7CDCC297" w14:textId="77777777" w:rsidR="00E66655" w:rsidRPr="0063066B" w:rsidRDefault="00E66655" w:rsidP="000D6CF4">
            <w:pPr>
              <w:pStyle w:val="Normal1"/>
              <w:jc w:val="both"/>
              <w:rPr>
                <w:rFonts w:asciiTheme="minorHAnsi" w:hAnsiTheme="minorHAnsi" w:cstheme="minorHAnsi"/>
                <w:sz w:val="18"/>
                <w:szCs w:val="18"/>
              </w:rPr>
            </w:pPr>
          </w:p>
          <w:p w14:paraId="3C221D75" w14:textId="77777777" w:rsidR="00E66655" w:rsidRPr="0063066B" w:rsidRDefault="00E66655" w:rsidP="000D6CF4">
            <w:pPr>
              <w:pStyle w:val="Normal1"/>
              <w:jc w:val="both"/>
              <w:rPr>
                <w:rFonts w:asciiTheme="minorHAnsi" w:hAnsiTheme="minorHAnsi" w:cstheme="minorHAnsi"/>
                <w:sz w:val="18"/>
                <w:szCs w:val="18"/>
              </w:rPr>
            </w:pPr>
          </w:p>
          <w:p w14:paraId="03D0DC10" w14:textId="77777777" w:rsidR="00E66655" w:rsidRPr="0063066B" w:rsidRDefault="00E66655" w:rsidP="000D6CF4">
            <w:pPr>
              <w:pStyle w:val="Normal1"/>
              <w:jc w:val="both"/>
              <w:rPr>
                <w:rFonts w:asciiTheme="minorHAnsi" w:hAnsiTheme="minorHAnsi" w:cstheme="minorHAnsi"/>
                <w:sz w:val="18"/>
                <w:szCs w:val="18"/>
              </w:rPr>
            </w:pPr>
          </w:p>
          <w:p w14:paraId="7E96FB05" w14:textId="77777777" w:rsidR="00E66655" w:rsidRPr="0063066B" w:rsidRDefault="00E66655" w:rsidP="000D6CF4">
            <w:pPr>
              <w:pStyle w:val="Normal1"/>
              <w:jc w:val="both"/>
              <w:rPr>
                <w:rFonts w:asciiTheme="minorHAnsi" w:hAnsiTheme="minorHAnsi" w:cstheme="minorHAnsi"/>
                <w:sz w:val="18"/>
                <w:szCs w:val="18"/>
              </w:rPr>
            </w:pPr>
          </w:p>
          <w:p w14:paraId="0128EB47" w14:textId="77777777" w:rsidR="00E66655" w:rsidRPr="0063066B" w:rsidRDefault="00E66655" w:rsidP="000D6CF4">
            <w:pPr>
              <w:pStyle w:val="Normal1"/>
              <w:rPr>
                <w:rFonts w:asciiTheme="minorHAnsi" w:hAnsiTheme="minorHAnsi" w:cstheme="minorHAnsi"/>
                <w:sz w:val="18"/>
                <w:szCs w:val="18"/>
              </w:rPr>
            </w:pPr>
          </w:p>
          <w:p w14:paraId="19D6AB08" w14:textId="77777777" w:rsidR="00E66655" w:rsidRPr="0063066B" w:rsidRDefault="00E66655" w:rsidP="000D6CF4">
            <w:pPr>
              <w:pStyle w:val="Normal1"/>
              <w:rPr>
                <w:rFonts w:asciiTheme="minorHAnsi" w:hAnsiTheme="minorHAnsi" w:cstheme="minorHAnsi"/>
                <w:sz w:val="18"/>
                <w:szCs w:val="18"/>
              </w:rPr>
            </w:pPr>
          </w:p>
          <w:p w14:paraId="5B6C1A23" w14:textId="77777777" w:rsidR="00E66655" w:rsidRPr="0063066B" w:rsidRDefault="00E66655" w:rsidP="000D6CF4">
            <w:pPr>
              <w:pStyle w:val="Normal1"/>
              <w:rPr>
                <w:rFonts w:asciiTheme="minorHAnsi" w:hAnsiTheme="minorHAnsi" w:cstheme="minorHAnsi"/>
                <w:sz w:val="18"/>
                <w:szCs w:val="18"/>
              </w:rPr>
            </w:pPr>
          </w:p>
          <w:p w14:paraId="5D3399F3" w14:textId="77777777"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sz w:val="18"/>
                <w:szCs w:val="18"/>
              </w:rPr>
              <w:t>Eto/Pto</w:t>
            </w:r>
          </w:p>
          <w:p w14:paraId="1FA5F0B9" w14:textId="77777777" w:rsidR="00E66655" w:rsidRPr="0063066B" w:rsidRDefault="00E66655" w:rsidP="000D6CF4">
            <w:pPr>
              <w:pStyle w:val="Normal1"/>
              <w:rPr>
                <w:rFonts w:asciiTheme="minorHAnsi" w:hAnsiTheme="minorHAnsi" w:cstheme="minorHAnsi"/>
                <w:sz w:val="18"/>
                <w:szCs w:val="18"/>
              </w:rPr>
            </w:pPr>
          </w:p>
          <w:p w14:paraId="3C109CD5" w14:textId="77777777" w:rsidR="00E66655" w:rsidRPr="0063066B" w:rsidRDefault="00E66655" w:rsidP="000D6CF4">
            <w:pPr>
              <w:pStyle w:val="Normal1"/>
              <w:rPr>
                <w:rFonts w:asciiTheme="minorHAnsi" w:hAnsiTheme="minorHAnsi" w:cstheme="minorHAnsi"/>
                <w:sz w:val="18"/>
                <w:szCs w:val="18"/>
              </w:rPr>
            </w:pPr>
          </w:p>
          <w:p w14:paraId="645D76FC" w14:textId="77777777" w:rsidR="00E66655" w:rsidRPr="0063066B" w:rsidRDefault="00E66655" w:rsidP="000D6CF4">
            <w:pPr>
              <w:pStyle w:val="Normal1"/>
              <w:jc w:val="both"/>
              <w:rPr>
                <w:rFonts w:asciiTheme="minorHAnsi" w:hAnsiTheme="minorHAnsi" w:cstheme="minorHAnsi"/>
                <w:sz w:val="18"/>
                <w:szCs w:val="18"/>
              </w:rPr>
            </w:pPr>
          </w:p>
          <w:p w14:paraId="70AA990E" w14:textId="77777777" w:rsidR="00E66655" w:rsidRPr="0063066B" w:rsidRDefault="00E66655" w:rsidP="000D6CF4">
            <w:pPr>
              <w:pStyle w:val="Normal1"/>
              <w:jc w:val="both"/>
              <w:rPr>
                <w:rFonts w:asciiTheme="minorHAnsi" w:hAnsiTheme="minorHAnsi" w:cstheme="minorHAnsi"/>
                <w:sz w:val="18"/>
                <w:szCs w:val="18"/>
              </w:rPr>
            </w:pPr>
          </w:p>
          <w:p w14:paraId="5BBEA36C" w14:textId="77777777" w:rsidR="00E66655" w:rsidRPr="0063066B" w:rsidRDefault="00E66655" w:rsidP="000D6CF4">
            <w:pPr>
              <w:pStyle w:val="Normal1"/>
              <w:jc w:val="both"/>
              <w:rPr>
                <w:rFonts w:asciiTheme="minorHAnsi" w:hAnsiTheme="minorHAnsi" w:cstheme="minorHAnsi"/>
                <w:sz w:val="18"/>
                <w:szCs w:val="18"/>
              </w:rPr>
            </w:pPr>
            <w:r w:rsidRPr="0063066B">
              <w:rPr>
                <w:rFonts w:asciiTheme="minorHAnsi" w:hAnsiTheme="minorHAnsi" w:cstheme="minorHAnsi"/>
                <w:sz w:val="18"/>
                <w:szCs w:val="18"/>
              </w:rPr>
              <w:t>PAS</w:t>
            </w:r>
          </w:p>
          <w:p w14:paraId="3B905175" w14:textId="77777777" w:rsidR="00E66655" w:rsidRPr="0063066B" w:rsidRDefault="00E66655" w:rsidP="000D6CF4">
            <w:pPr>
              <w:pStyle w:val="Normal1"/>
              <w:rPr>
                <w:rFonts w:asciiTheme="minorHAnsi" w:hAnsiTheme="minorHAnsi" w:cstheme="minorHAnsi"/>
                <w:sz w:val="18"/>
                <w:szCs w:val="18"/>
              </w:rPr>
            </w:pPr>
          </w:p>
          <w:p w14:paraId="2A91CC92" w14:textId="77777777" w:rsidR="00E66655" w:rsidRPr="0063066B" w:rsidRDefault="00E66655" w:rsidP="000D6CF4">
            <w:pPr>
              <w:pStyle w:val="Normal1"/>
              <w:rPr>
                <w:rFonts w:asciiTheme="minorHAnsi" w:hAnsiTheme="minorHAnsi" w:cstheme="minorHAnsi"/>
                <w:sz w:val="18"/>
                <w:szCs w:val="18"/>
              </w:rPr>
            </w:pPr>
          </w:p>
          <w:p w14:paraId="3661D96D" w14:textId="77777777" w:rsidR="00E66655" w:rsidRPr="0063066B" w:rsidRDefault="00E66655" w:rsidP="000D6CF4">
            <w:pPr>
              <w:pStyle w:val="Normal1"/>
              <w:rPr>
                <w:rFonts w:asciiTheme="minorHAnsi" w:hAnsiTheme="minorHAnsi" w:cstheme="minorHAnsi"/>
                <w:sz w:val="18"/>
                <w:szCs w:val="18"/>
              </w:rPr>
            </w:pPr>
          </w:p>
          <w:p w14:paraId="62DF0303" w14:textId="77777777" w:rsidR="00E66655" w:rsidRPr="0063066B" w:rsidRDefault="00E66655" w:rsidP="000D6CF4">
            <w:pPr>
              <w:pStyle w:val="Normal1"/>
              <w:rPr>
                <w:rFonts w:asciiTheme="minorHAnsi" w:hAnsiTheme="minorHAnsi" w:cstheme="minorHAnsi"/>
                <w:sz w:val="18"/>
                <w:szCs w:val="18"/>
              </w:rPr>
            </w:pPr>
          </w:p>
          <w:p w14:paraId="208370D2" w14:textId="77777777" w:rsidR="00E66655" w:rsidRPr="0063066B" w:rsidRDefault="00E66655" w:rsidP="000D6CF4">
            <w:pPr>
              <w:pStyle w:val="Normal1"/>
              <w:rPr>
                <w:rFonts w:asciiTheme="minorHAnsi" w:hAnsiTheme="minorHAnsi" w:cstheme="minorHAnsi"/>
                <w:sz w:val="18"/>
                <w:szCs w:val="18"/>
              </w:rPr>
            </w:pPr>
            <w:r w:rsidRPr="0063066B">
              <w:rPr>
                <w:rFonts w:asciiTheme="minorHAnsi" w:hAnsiTheme="minorHAnsi" w:cstheme="minorHAnsi"/>
                <w:sz w:val="18"/>
                <w:szCs w:val="18"/>
              </w:rPr>
              <w:t>H</w:t>
            </w:r>
            <w:r w:rsidRPr="0063066B">
              <w:rPr>
                <w:rFonts w:asciiTheme="minorHAnsi" w:hAnsiTheme="minorHAnsi" w:cstheme="minorHAnsi"/>
                <w:sz w:val="18"/>
                <w:szCs w:val="18"/>
                <w:vertAlign w:val="superscript"/>
              </w:rPr>
              <w:t>H</w:t>
            </w:r>
          </w:p>
        </w:tc>
      </w:tr>
    </w:tbl>
    <w:p w14:paraId="29A5DDF0" w14:textId="77777777" w:rsidR="00E66655" w:rsidRDefault="00E66655" w:rsidP="00E66655">
      <w:pPr>
        <w:spacing w:before="0"/>
        <w:rPr>
          <w:rFonts w:asciiTheme="majorHAnsi" w:eastAsia="Calibri" w:hAnsiTheme="majorHAnsi" w:cs="Calibri"/>
          <w:b/>
          <w:bCs/>
          <w:i/>
          <w:iCs/>
          <w:color w:val="231F20"/>
          <w:sz w:val="20"/>
        </w:rPr>
      </w:pPr>
      <w:r w:rsidRPr="0004060F">
        <w:rPr>
          <w:rFonts w:asciiTheme="majorHAnsi" w:eastAsia="Calibri" w:hAnsiTheme="majorHAnsi" w:cs="Calibri"/>
          <w:b/>
          <w:bCs/>
          <w:i/>
          <w:iCs/>
          <w:color w:val="231F20"/>
          <w:sz w:val="20"/>
        </w:rPr>
        <w:t>Table 2</w:t>
      </w:r>
      <w:r>
        <w:rPr>
          <w:rFonts w:asciiTheme="majorHAnsi" w:eastAsia="Calibri" w:hAnsiTheme="majorHAnsi" w:cs="Calibri"/>
          <w:b/>
          <w:bCs/>
          <w:i/>
          <w:iCs/>
          <w:color w:val="231F20"/>
          <w:sz w:val="20"/>
        </w:rPr>
        <w:t xml:space="preserve">. </w:t>
      </w:r>
      <w:r w:rsidRPr="0004060F">
        <w:rPr>
          <w:rFonts w:asciiTheme="majorHAnsi" w:eastAsia="Calibri" w:hAnsiTheme="majorHAnsi" w:cs="Calibri"/>
          <w:b/>
          <w:bCs/>
          <w:i/>
          <w:iCs/>
          <w:color w:val="231F20"/>
          <w:sz w:val="20"/>
        </w:rPr>
        <w:t>Steps for building a longer MDR-TB treatment regimen (continued)</w:t>
      </w:r>
    </w:p>
    <w:p w14:paraId="5B400233" w14:textId="77777777" w:rsidR="00E66655" w:rsidRDefault="00E66655" w:rsidP="00E66655">
      <w:pPr>
        <w:spacing w:before="0" w:after="200" w:line="276" w:lineRule="auto"/>
        <w:jc w:val="left"/>
        <w:rPr>
          <w:rFonts w:asciiTheme="majorHAnsi" w:eastAsia="Calibri" w:hAnsiTheme="majorHAnsi" w:cs="Calibri"/>
          <w:b/>
          <w:bCs/>
          <w:i/>
          <w:iCs/>
          <w:color w:val="231F20"/>
          <w:sz w:val="20"/>
        </w:rPr>
      </w:pPr>
    </w:p>
    <w:p w14:paraId="41A13957" w14:textId="77777777" w:rsidR="00E66655" w:rsidRDefault="00E66655" w:rsidP="00E66655">
      <w:pPr>
        <w:spacing w:before="0" w:after="0"/>
        <w:jc w:val="left"/>
      </w:pPr>
      <w:r>
        <w:br w:type="page"/>
      </w:r>
    </w:p>
    <w:p w14:paraId="61219E23" w14:textId="77777777" w:rsidR="00E66655" w:rsidRPr="00AC01B3" w:rsidRDefault="00E66655" w:rsidP="00E66655">
      <w:pPr>
        <w:rPr>
          <w:rFonts w:asciiTheme="minorHAnsi" w:hAnsiTheme="minorHAnsi" w:cstheme="minorHAnsi"/>
        </w:rPr>
      </w:pPr>
      <w:r w:rsidRPr="00AC01B3">
        <w:rPr>
          <w:rFonts w:asciiTheme="minorHAnsi" w:hAnsiTheme="minorHAnsi" w:cstheme="minorHAnsi"/>
        </w:rPr>
        <w:lastRenderedPageBreak/>
        <w:t>All patients diagnosed with RR-/MDR-TB should have a molecular rapid DST to isoniazid and to second-line TB drugs. Commercial tests are available for isoniazid, the FQs and second-line injectable drugs. This is particularly important if the patient comes from an area with a high prevalence of FQ-resistant MDR-TB.</w:t>
      </w:r>
    </w:p>
    <w:p w14:paraId="4E62E3D4" w14:textId="77777777" w:rsidR="009025CC" w:rsidRPr="008757D0" w:rsidRDefault="009025CC" w:rsidP="00E66655">
      <w:pPr>
        <w:rPr>
          <w:sz w:val="20"/>
        </w:rPr>
      </w:pPr>
    </w:p>
    <w:p w14:paraId="1AB6D813" w14:textId="3FF11BC6" w:rsidR="00E66655" w:rsidRPr="00CE38D2" w:rsidRDefault="00E66655" w:rsidP="008717D9">
      <w:pPr>
        <w:pStyle w:val="Heading6"/>
      </w:pPr>
      <w:bookmarkStart w:id="363" w:name="_Toc527738900"/>
      <w:bookmarkStart w:id="364" w:name="_Toc12950617"/>
      <w:bookmarkStart w:id="365" w:name="_Toc13076976"/>
      <w:r w:rsidRPr="00F62862">
        <w:t xml:space="preserve">Table </w:t>
      </w:r>
      <w:r w:rsidR="00E37C7A">
        <w:t>2c</w:t>
      </w:r>
      <w:r w:rsidRPr="00F62862">
        <w:t>: Interpretation of phenotypic and genotypic DST results</w:t>
      </w:r>
      <w:bookmarkEnd w:id="363"/>
      <w:bookmarkEnd w:id="364"/>
      <w:bookmarkEnd w:id="365"/>
    </w:p>
    <w:tbl>
      <w:tblPr>
        <w:tblStyle w:val="TableGrid"/>
        <w:tblW w:w="0" w:type="auto"/>
        <w:tblCellMar>
          <w:left w:w="115" w:type="dxa"/>
          <w:right w:w="115" w:type="dxa"/>
        </w:tblCellMar>
        <w:tblLook w:val="04A0" w:firstRow="1" w:lastRow="0" w:firstColumn="1" w:lastColumn="0" w:noHBand="0" w:noVBand="1"/>
      </w:tblPr>
      <w:tblGrid>
        <w:gridCol w:w="1332"/>
        <w:gridCol w:w="7685"/>
      </w:tblGrid>
      <w:tr w:rsidR="00E66655" w:rsidRPr="00A53824" w14:paraId="0341AB83" w14:textId="77777777" w:rsidTr="00AC01B3">
        <w:tc>
          <w:tcPr>
            <w:tcW w:w="1345" w:type="dxa"/>
            <w:shd w:val="clear" w:color="auto" w:fill="235868"/>
            <w:tcMar>
              <w:top w:w="101" w:type="dxa"/>
              <w:left w:w="101" w:type="dxa"/>
              <w:bottom w:w="101" w:type="dxa"/>
              <w:right w:w="101" w:type="dxa"/>
            </w:tcMar>
          </w:tcPr>
          <w:p w14:paraId="738C153C" w14:textId="77777777" w:rsidR="00E66655" w:rsidRPr="00A53824" w:rsidRDefault="00E66655" w:rsidP="000D6CF4">
            <w:pPr>
              <w:pStyle w:val="Tabletext"/>
              <w:spacing w:before="0" w:after="0"/>
              <w:contextualSpacing/>
              <w:rPr>
                <w:rFonts w:asciiTheme="minorHAnsi" w:hAnsiTheme="minorHAnsi" w:cstheme="minorHAnsi"/>
                <w:b/>
                <w:color w:val="FFFFFF" w:themeColor="background1"/>
                <w:sz w:val="18"/>
                <w:szCs w:val="18"/>
              </w:rPr>
            </w:pPr>
            <w:r w:rsidRPr="00A53824">
              <w:rPr>
                <w:rFonts w:asciiTheme="minorHAnsi" w:hAnsiTheme="minorHAnsi" w:cstheme="minorHAnsi"/>
                <w:b/>
                <w:color w:val="FFFFFF" w:themeColor="background1"/>
                <w:sz w:val="18"/>
                <w:szCs w:val="18"/>
              </w:rPr>
              <w:t>Drug</w:t>
            </w:r>
          </w:p>
        </w:tc>
        <w:tc>
          <w:tcPr>
            <w:tcW w:w="7884" w:type="dxa"/>
            <w:shd w:val="clear" w:color="auto" w:fill="235868"/>
            <w:tcMar>
              <w:top w:w="101" w:type="dxa"/>
              <w:left w:w="101" w:type="dxa"/>
              <w:bottom w:w="101" w:type="dxa"/>
              <w:right w:w="101" w:type="dxa"/>
            </w:tcMar>
          </w:tcPr>
          <w:p w14:paraId="601791CF" w14:textId="77777777" w:rsidR="00E66655" w:rsidRPr="00A53824" w:rsidRDefault="00E66655" w:rsidP="000D6CF4">
            <w:pPr>
              <w:pStyle w:val="Tabletext"/>
              <w:spacing w:before="0" w:after="0"/>
              <w:contextualSpacing/>
              <w:rPr>
                <w:rFonts w:asciiTheme="minorHAnsi" w:hAnsiTheme="minorHAnsi" w:cstheme="minorHAnsi"/>
                <w:b/>
                <w:color w:val="FFFFFF" w:themeColor="background1"/>
                <w:sz w:val="18"/>
                <w:szCs w:val="18"/>
              </w:rPr>
            </w:pPr>
            <w:r w:rsidRPr="00A53824">
              <w:rPr>
                <w:rFonts w:asciiTheme="minorHAnsi" w:hAnsiTheme="minorHAnsi" w:cstheme="minorHAnsi"/>
                <w:b/>
                <w:color w:val="FFFFFF" w:themeColor="background1"/>
                <w:sz w:val="18"/>
                <w:szCs w:val="18"/>
              </w:rPr>
              <w:t>Notes</w:t>
            </w:r>
          </w:p>
        </w:tc>
      </w:tr>
      <w:tr w:rsidR="00E66655" w:rsidRPr="00A53824" w14:paraId="351AD237" w14:textId="77777777" w:rsidTr="000D6CF4">
        <w:trPr>
          <w:trHeight w:val="429"/>
        </w:trPr>
        <w:tc>
          <w:tcPr>
            <w:tcW w:w="1345" w:type="dxa"/>
            <w:tcMar>
              <w:top w:w="101" w:type="dxa"/>
              <w:left w:w="101" w:type="dxa"/>
              <w:bottom w:w="101" w:type="dxa"/>
              <w:right w:w="101" w:type="dxa"/>
            </w:tcMar>
          </w:tcPr>
          <w:p w14:paraId="095D76FE" w14:textId="77777777" w:rsidR="00E66655" w:rsidRPr="00A53824" w:rsidRDefault="00E66655" w:rsidP="000D6CF4">
            <w:pPr>
              <w:pStyle w:val="Tabletext"/>
              <w:spacing w:before="0" w:after="0"/>
              <w:contextualSpacing/>
              <w:rPr>
                <w:rFonts w:asciiTheme="minorHAnsi" w:hAnsiTheme="minorHAnsi" w:cstheme="minorHAnsi"/>
                <w:b/>
                <w:sz w:val="18"/>
                <w:szCs w:val="18"/>
              </w:rPr>
            </w:pPr>
            <w:r w:rsidRPr="00A53824">
              <w:rPr>
                <w:rFonts w:asciiTheme="minorHAnsi" w:hAnsiTheme="minorHAnsi" w:cstheme="minorHAnsi"/>
                <w:b/>
                <w:sz w:val="18"/>
                <w:szCs w:val="18"/>
              </w:rPr>
              <w:t>H</w:t>
            </w:r>
          </w:p>
        </w:tc>
        <w:tc>
          <w:tcPr>
            <w:tcW w:w="7884" w:type="dxa"/>
            <w:tcMar>
              <w:top w:w="101" w:type="dxa"/>
              <w:left w:w="101" w:type="dxa"/>
              <w:bottom w:w="101" w:type="dxa"/>
              <w:right w:w="101" w:type="dxa"/>
            </w:tcMar>
          </w:tcPr>
          <w:p w14:paraId="61AA9CCE" w14:textId="77777777"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lang w:val="en-GB"/>
              </w:rPr>
              <w:t>Resistance to H is classified as either high-level (MIC ≥2 µg/mL) or low-level (MIC 0.2–1 µg/mL) resistance.</w:t>
            </w:r>
          </w:p>
          <w:p w14:paraId="694E73F3" w14:textId="7115EDD1"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lang w:val="en-GB"/>
              </w:rPr>
              <w:t xml:space="preserve">A </w:t>
            </w:r>
            <w:r w:rsidRPr="00A53824">
              <w:rPr>
                <w:rFonts w:asciiTheme="minorHAnsi" w:hAnsiTheme="minorHAnsi" w:cstheme="minorHAnsi"/>
                <w:i/>
                <w:sz w:val="16"/>
                <w:szCs w:val="16"/>
                <w:lang w:val="en-GB"/>
              </w:rPr>
              <w:t>katG</w:t>
            </w:r>
            <w:r w:rsidRPr="00A53824">
              <w:rPr>
                <w:rFonts w:asciiTheme="minorHAnsi" w:hAnsiTheme="minorHAnsi" w:cstheme="minorHAnsi"/>
                <w:sz w:val="16"/>
                <w:szCs w:val="16"/>
                <w:lang w:val="en-GB"/>
              </w:rPr>
              <w:t xml:space="preserve"> mutation confers high-level resistance to H;</w:t>
            </w:r>
            <w:r>
              <w:rPr>
                <w:rFonts w:asciiTheme="minorHAnsi" w:hAnsiTheme="minorHAnsi" w:cstheme="minorHAnsi"/>
                <w:sz w:val="16"/>
                <w:szCs w:val="16"/>
                <w:lang w:val="en-GB"/>
              </w:rPr>
              <w:t xml:space="preserve"> </w:t>
            </w:r>
            <w:r w:rsidR="00C35E55">
              <w:rPr>
                <w:rFonts w:asciiTheme="minorHAnsi" w:hAnsiTheme="minorHAnsi" w:cstheme="minorHAnsi"/>
                <w:sz w:val="16"/>
                <w:szCs w:val="16"/>
                <w:lang w:val="en-GB"/>
              </w:rPr>
              <w:t>an</w:t>
            </w:r>
            <w:r w:rsidRPr="00A53824">
              <w:rPr>
                <w:rFonts w:asciiTheme="minorHAnsi" w:hAnsiTheme="minorHAnsi" w:cstheme="minorHAnsi"/>
                <w:sz w:val="16"/>
                <w:szCs w:val="16"/>
                <w:lang w:val="en-GB"/>
              </w:rPr>
              <w:t xml:space="preserve"> </w:t>
            </w:r>
            <w:r w:rsidRPr="00A53824">
              <w:rPr>
                <w:rFonts w:asciiTheme="minorHAnsi" w:hAnsiTheme="minorHAnsi" w:cstheme="minorHAnsi"/>
                <w:i/>
                <w:sz w:val="16"/>
                <w:szCs w:val="16"/>
                <w:lang w:val="en-GB"/>
              </w:rPr>
              <w:t>inhA</w:t>
            </w:r>
            <w:r w:rsidRPr="00A53824">
              <w:rPr>
                <w:rFonts w:asciiTheme="minorHAnsi" w:hAnsiTheme="minorHAnsi" w:cstheme="minorHAnsi"/>
                <w:sz w:val="16"/>
                <w:szCs w:val="16"/>
                <w:lang w:val="en-GB"/>
              </w:rPr>
              <w:t xml:space="preserve"> mutation confers low-level resistance to H.</w:t>
            </w:r>
          </w:p>
          <w:p w14:paraId="01C31C21" w14:textId="77777777"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lang w:val="en-GB"/>
              </w:rPr>
              <w:t>Some clinicians may choose to use high-dose H when DST shows low-level resistance, but there is very limited clinical evidence to support this practice.</w:t>
            </w:r>
          </w:p>
        </w:tc>
      </w:tr>
      <w:tr w:rsidR="00E66655" w:rsidRPr="00A53824" w14:paraId="589997F9" w14:textId="77777777" w:rsidTr="000D6CF4">
        <w:tc>
          <w:tcPr>
            <w:tcW w:w="1345" w:type="dxa"/>
            <w:tcMar>
              <w:top w:w="101" w:type="dxa"/>
              <w:left w:w="101" w:type="dxa"/>
              <w:bottom w:w="101" w:type="dxa"/>
              <w:right w:w="101" w:type="dxa"/>
            </w:tcMar>
          </w:tcPr>
          <w:p w14:paraId="60FF529C" w14:textId="77777777" w:rsidR="00E66655" w:rsidRPr="00A53824" w:rsidRDefault="00E66655" w:rsidP="000D6CF4">
            <w:pPr>
              <w:pStyle w:val="Tabletext"/>
              <w:spacing w:before="0" w:after="0"/>
              <w:contextualSpacing/>
              <w:rPr>
                <w:rFonts w:asciiTheme="minorHAnsi" w:hAnsiTheme="minorHAnsi" w:cstheme="minorHAnsi"/>
                <w:b/>
                <w:sz w:val="18"/>
                <w:szCs w:val="18"/>
              </w:rPr>
            </w:pPr>
            <w:r w:rsidRPr="00A53824">
              <w:rPr>
                <w:rFonts w:asciiTheme="minorHAnsi" w:hAnsiTheme="minorHAnsi" w:cstheme="minorHAnsi"/>
                <w:b/>
                <w:sz w:val="18"/>
                <w:szCs w:val="18"/>
              </w:rPr>
              <w:t>Z</w:t>
            </w:r>
          </w:p>
        </w:tc>
        <w:tc>
          <w:tcPr>
            <w:tcW w:w="7884" w:type="dxa"/>
            <w:tcMar>
              <w:top w:w="101" w:type="dxa"/>
              <w:left w:w="101" w:type="dxa"/>
              <w:bottom w:w="101" w:type="dxa"/>
              <w:right w:w="101" w:type="dxa"/>
            </w:tcMar>
          </w:tcPr>
          <w:p w14:paraId="3E111838" w14:textId="5B960203"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rPr>
              <w:t xml:space="preserve">Sequencing the </w:t>
            </w:r>
            <w:r w:rsidRPr="00A53824">
              <w:rPr>
                <w:rFonts w:asciiTheme="minorHAnsi" w:hAnsiTheme="minorHAnsi" w:cstheme="minorHAnsi"/>
                <w:i/>
                <w:sz w:val="16"/>
                <w:szCs w:val="16"/>
              </w:rPr>
              <w:t>pncA</w:t>
            </w:r>
            <w:r w:rsidRPr="00A53824">
              <w:rPr>
                <w:rFonts w:asciiTheme="minorHAnsi" w:hAnsiTheme="minorHAnsi" w:cstheme="minorHAnsi"/>
                <w:sz w:val="16"/>
                <w:szCs w:val="16"/>
              </w:rPr>
              <w:t xml:space="preserve"> gene may be helpful in determining </w:t>
            </w:r>
            <w:r w:rsidR="00C35E55">
              <w:rPr>
                <w:rFonts w:asciiTheme="minorHAnsi" w:hAnsiTheme="minorHAnsi" w:cstheme="minorHAnsi"/>
                <w:sz w:val="16"/>
                <w:szCs w:val="16"/>
              </w:rPr>
              <w:t>Z</w:t>
            </w:r>
            <w:r w:rsidRPr="00A53824">
              <w:rPr>
                <w:rFonts w:asciiTheme="minorHAnsi" w:hAnsiTheme="minorHAnsi" w:cstheme="minorHAnsi"/>
                <w:sz w:val="16"/>
                <w:szCs w:val="16"/>
              </w:rPr>
              <w:t xml:space="preserve"> resistance.</w:t>
            </w:r>
          </w:p>
          <w:p w14:paraId="30DAE540" w14:textId="77777777"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rPr>
              <w:t>Phenotypic testing of Z can be done in qualified laboratories.</w:t>
            </w:r>
          </w:p>
        </w:tc>
      </w:tr>
      <w:tr w:rsidR="00E66655" w:rsidRPr="00A53824" w14:paraId="3D8751A9" w14:textId="77777777" w:rsidTr="000D6CF4">
        <w:tc>
          <w:tcPr>
            <w:tcW w:w="1345" w:type="dxa"/>
            <w:tcMar>
              <w:top w:w="101" w:type="dxa"/>
              <w:left w:w="101" w:type="dxa"/>
              <w:bottom w:w="101" w:type="dxa"/>
              <w:right w:w="101" w:type="dxa"/>
            </w:tcMar>
          </w:tcPr>
          <w:p w14:paraId="17680F7D" w14:textId="77777777" w:rsidR="00E66655" w:rsidRPr="00A53824" w:rsidRDefault="00E66655" w:rsidP="000D6CF4">
            <w:pPr>
              <w:pStyle w:val="Tabletext"/>
              <w:spacing w:before="0" w:after="0"/>
              <w:contextualSpacing/>
              <w:rPr>
                <w:rFonts w:asciiTheme="minorHAnsi" w:hAnsiTheme="minorHAnsi" w:cstheme="minorHAnsi"/>
                <w:b/>
                <w:sz w:val="18"/>
                <w:szCs w:val="18"/>
              </w:rPr>
            </w:pPr>
            <w:r w:rsidRPr="00A53824">
              <w:rPr>
                <w:rFonts w:asciiTheme="minorHAnsi" w:hAnsiTheme="minorHAnsi" w:cstheme="minorHAnsi"/>
                <w:b/>
                <w:sz w:val="18"/>
                <w:szCs w:val="18"/>
              </w:rPr>
              <w:t>E</w:t>
            </w:r>
          </w:p>
        </w:tc>
        <w:tc>
          <w:tcPr>
            <w:tcW w:w="7884" w:type="dxa"/>
            <w:tcMar>
              <w:top w:w="101" w:type="dxa"/>
              <w:left w:w="101" w:type="dxa"/>
              <w:bottom w:w="101" w:type="dxa"/>
              <w:right w:w="101" w:type="dxa"/>
            </w:tcMar>
          </w:tcPr>
          <w:p w14:paraId="0E26F4B2" w14:textId="77777777" w:rsidR="00E66655" w:rsidRPr="00A53824" w:rsidRDefault="00E66655" w:rsidP="000D6CF4">
            <w:pPr>
              <w:pStyle w:val="ListBullet"/>
              <w:spacing w:before="0" w:after="0"/>
              <w:contextualSpacing/>
              <w:jc w:val="left"/>
              <w:rPr>
                <w:rFonts w:asciiTheme="minorHAnsi" w:hAnsiTheme="minorHAnsi" w:cstheme="minorHAnsi"/>
                <w:sz w:val="16"/>
                <w:szCs w:val="16"/>
              </w:rPr>
            </w:pPr>
            <w:r w:rsidRPr="00A53824">
              <w:rPr>
                <w:rFonts w:asciiTheme="minorHAnsi" w:hAnsiTheme="minorHAnsi" w:cstheme="minorHAnsi"/>
                <w:sz w:val="16"/>
                <w:szCs w:val="16"/>
              </w:rPr>
              <w:t>Commercially available genetic testing is not available.</w:t>
            </w:r>
          </w:p>
          <w:p w14:paraId="078612AE" w14:textId="6371E385" w:rsidR="00E66655" w:rsidRPr="00A53824" w:rsidRDefault="00E66655" w:rsidP="000D6CF4">
            <w:pPr>
              <w:pStyle w:val="ListBullet"/>
              <w:spacing w:before="0" w:after="0"/>
              <w:contextualSpacing/>
              <w:jc w:val="left"/>
              <w:rPr>
                <w:rFonts w:asciiTheme="minorHAnsi" w:hAnsiTheme="minorHAnsi" w:cstheme="minorHAnsi"/>
                <w:sz w:val="16"/>
                <w:szCs w:val="16"/>
              </w:rPr>
            </w:pPr>
            <w:r w:rsidRPr="00A53824">
              <w:rPr>
                <w:rFonts w:asciiTheme="minorHAnsi" w:hAnsiTheme="minorHAnsi" w:cstheme="minorHAnsi"/>
                <w:sz w:val="16"/>
                <w:szCs w:val="16"/>
              </w:rPr>
              <w:t xml:space="preserve">Both the phenotypic and genotypic tests are considered </w:t>
            </w:r>
            <w:r w:rsidR="00C35E55">
              <w:rPr>
                <w:rFonts w:asciiTheme="minorHAnsi" w:hAnsiTheme="minorHAnsi" w:cstheme="minorHAnsi"/>
                <w:sz w:val="16"/>
                <w:szCs w:val="16"/>
              </w:rPr>
              <w:t>un</w:t>
            </w:r>
            <w:r w:rsidRPr="00A53824">
              <w:rPr>
                <w:rFonts w:asciiTheme="minorHAnsi" w:hAnsiTheme="minorHAnsi" w:cstheme="minorHAnsi"/>
                <w:sz w:val="16"/>
                <w:szCs w:val="16"/>
              </w:rPr>
              <w:t>reliable.</w:t>
            </w:r>
          </w:p>
        </w:tc>
      </w:tr>
      <w:tr w:rsidR="00E66655" w:rsidRPr="00A53824" w14:paraId="08F7287C" w14:textId="77777777" w:rsidTr="000D6CF4">
        <w:tc>
          <w:tcPr>
            <w:tcW w:w="1345" w:type="dxa"/>
            <w:tcMar>
              <w:top w:w="101" w:type="dxa"/>
              <w:left w:w="101" w:type="dxa"/>
              <w:bottom w:w="101" w:type="dxa"/>
              <w:right w:w="101" w:type="dxa"/>
            </w:tcMar>
          </w:tcPr>
          <w:p w14:paraId="0B549FEF" w14:textId="77777777" w:rsidR="00E66655" w:rsidRPr="00A53824" w:rsidRDefault="00E66655" w:rsidP="000D6CF4">
            <w:pPr>
              <w:pStyle w:val="Tabletext"/>
              <w:spacing w:before="0" w:after="0"/>
              <w:contextualSpacing/>
              <w:rPr>
                <w:rFonts w:asciiTheme="minorHAnsi" w:hAnsiTheme="minorHAnsi" w:cstheme="minorHAnsi"/>
                <w:b/>
                <w:sz w:val="18"/>
                <w:szCs w:val="18"/>
              </w:rPr>
            </w:pPr>
            <w:r w:rsidRPr="00A53824">
              <w:rPr>
                <w:rFonts w:asciiTheme="minorHAnsi" w:hAnsiTheme="minorHAnsi" w:cstheme="minorHAnsi"/>
                <w:b/>
                <w:sz w:val="18"/>
                <w:szCs w:val="18"/>
              </w:rPr>
              <w:t>FQ (Lfx, Mfx)</w:t>
            </w:r>
          </w:p>
        </w:tc>
        <w:tc>
          <w:tcPr>
            <w:tcW w:w="7884" w:type="dxa"/>
            <w:tcMar>
              <w:top w:w="101" w:type="dxa"/>
              <w:left w:w="101" w:type="dxa"/>
              <w:bottom w:w="101" w:type="dxa"/>
              <w:right w:w="101" w:type="dxa"/>
            </w:tcMar>
          </w:tcPr>
          <w:p w14:paraId="488837A4" w14:textId="77777777"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lang w:val="en-GB"/>
              </w:rPr>
              <w:t xml:space="preserve">Some of the </w:t>
            </w:r>
            <w:r w:rsidRPr="00A53824">
              <w:rPr>
                <w:rFonts w:asciiTheme="minorHAnsi" w:hAnsiTheme="minorHAnsi" w:cstheme="minorHAnsi"/>
                <w:i/>
                <w:sz w:val="16"/>
                <w:szCs w:val="16"/>
                <w:u w:val="single"/>
                <w:lang w:val="en-GB"/>
              </w:rPr>
              <w:t>gyrA</w:t>
            </w:r>
            <w:r w:rsidRPr="00A53824">
              <w:rPr>
                <w:rFonts w:asciiTheme="minorHAnsi" w:hAnsiTheme="minorHAnsi" w:cstheme="minorHAnsi"/>
                <w:sz w:val="16"/>
                <w:szCs w:val="16"/>
                <w:lang w:val="en-GB"/>
              </w:rPr>
              <w:t xml:space="preserve"> mutations (D94G, D94N/Y, D94H) confer high-level resistance across the class of FQ. FQ (including Mfx</w:t>
            </w:r>
            <w:r w:rsidRPr="00A53824">
              <w:rPr>
                <w:rFonts w:asciiTheme="minorHAnsi" w:hAnsiTheme="minorHAnsi" w:cstheme="minorHAnsi"/>
                <w:sz w:val="16"/>
                <w:szCs w:val="16"/>
                <w:vertAlign w:val="superscript"/>
                <w:lang w:val="en-GB"/>
              </w:rPr>
              <w:t>H</w:t>
            </w:r>
            <w:r w:rsidRPr="00A53824">
              <w:rPr>
                <w:rFonts w:asciiTheme="minorHAnsi" w:hAnsiTheme="minorHAnsi" w:cstheme="minorHAnsi"/>
                <w:sz w:val="16"/>
                <w:szCs w:val="16"/>
                <w:lang w:val="en-GB"/>
              </w:rPr>
              <w:t xml:space="preserve">) should not be used in such cases. (An easy way to remember which mutations are associated with high resistance is all D94 mutations cause high-level resistance </w:t>
            </w:r>
            <w:r w:rsidRPr="00A53824">
              <w:rPr>
                <w:rFonts w:asciiTheme="minorHAnsi" w:hAnsiTheme="minorHAnsi" w:cstheme="minorHAnsi"/>
                <w:sz w:val="16"/>
                <w:szCs w:val="16"/>
                <w:u w:val="single"/>
                <w:lang w:val="en-GB"/>
              </w:rPr>
              <w:t>except D94A</w:t>
            </w:r>
            <w:r w:rsidRPr="00A53824">
              <w:rPr>
                <w:rFonts w:asciiTheme="minorHAnsi" w:hAnsiTheme="minorHAnsi" w:cstheme="minorHAnsi"/>
                <w:sz w:val="16"/>
                <w:szCs w:val="16"/>
                <w:lang w:val="en-GB"/>
              </w:rPr>
              <w:t>).</w:t>
            </w:r>
          </w:p>
          <w:p w14:paraId="2CCB61AD" w14:textId="77777777" w:rsidR="00E66655" w:rsidRPr="00A53824" w:rsidRDefault="00E66655" w:rsidP="000D6CF4">
            <w:pPr>
              <w:pStyle w:val="ListBullet"/>
              <w:numPr>
                <w:ilvl w:val="0"/>
                <w:numId w:val="0"/>
              </w:numPr>
              <w:spacing w:before="0" w:after="0"/>
              <w:ind w:left="360"/>
              <w:contextualSpacing/>
              <w:jc w:val="left"/>
              <w:rPr>
                <w:rFonts w:asciiTheme="minorHAnsi" w:hAnsiTheme="minorHAnsi" w:cstheme="minorHAnsi"/>
                <w:sz w:val="16"/>
                <w:szCs w:val="16"/>
                <w:lang w:val="en-GB"/>
              </w:rPr>
            </w:pPr>
          </w:p>
          <w:tbl>
            <w:tblPr>
              <w:tblStyle w:val="TableGrid"/>
              <w:tblW w:w="0" w:type="auto"/>
              <w:jc w:val="center"/>
              <w:tblLook w:val="04A0" w:firstRow="1" w:lastRow="0" w:firstColumn="1" w:lastColumn="0" w:noHBand="0" w:noVBand="1"/>
            </w:tblPr>
            <w:tblGrid>
              <w:gridCol w:w="1058"/>
              <w:gridCol w:w="3039"/>
            </w:tblGrid>
            <w:tr w:rsidR="00E66655" w:rsidRPr="00A53824" w14:paraId="0B16AB72" w14:textId="77777777" w:rsidTr="000D6CF4">
              <w:trPr>
                <w:trHeight w:hRule="exact" w:val="288"/>
                <w:jc w:val="center"/>
              </w:trPr>
              <w:tc>
                <w:tcPr>
                  <w:tcW w:w="0" w:type="auto"/>
                </w:tcPr>
                <w:p w14:paraId="116EEE2F" w14:textId="77777777" w:rsidR="00E66655" w:rsidRPr="00A53824" w:rsidRDefault="00E66655" w:rsidP="000D6CF4">
                  <w:pPr>
                    <w:spacing w:before="0" w:after="0"/>
                    <w:contextualSpacing/>
                    <w:rPr>
                      <w:rFonts w:asciiTheme="minorHAnsi" w:hAnsiTheme="minorHAnsi" w:cstheme="minorHAnsi"/>
                      <w:b/>
                      <w:sz w:val="16"/>
                      <w:szCs w:val="16"/>
                    </w:rPr>
                  </w:pPr>
                  <w:r w:rsidRPr="00A53824">
                    <w:rPr>
                      <w:rFonts w:asciiTheme="minorHAnsi" w:hAnsiTheme="minorHAnsi" w:cstheme="minorHAnsi"/>
                      <w:b/>
                      <w:sz w:val="16"/>
                      <w:szCs w:val="16"/>
                    </w:rPr>
                    <w:t>Mutation</w:t>
                  </w:r>
                </w:p>
              </w:tc>
              <w:tc>
                <w:tcPr>
                  <w:tcW w:w="0" w:type="auto"/>
                </w:tcPr>
                <w:p w14:paraId="67B44DB9" w14:textId="77777777" w:rsidR="00E66655" w:rsidRPr="00A53824" w:rsidRDefault="00E66655" w:rsidP="000D6CF4">
                  <w:pPr>
                    <w:spacing w:before="0" w:after="0"/>
                    <w:contextualSpacing/>
                    <w:rPr>
                      <w:rFonts w:asciiTheme="minorHAnsi" w:hAnsiTheme="minorHAnsi" w:cstheme="minorHAnsi"/>
                      <w:b/>
                      <w:sz w:val="16"/>
                      <w:szCs w:val="16"/>
                      <w:lang w:val="en-GB"/>
                    </w:rPr>
                  </w:pPr>
                  <w:r w:rsidRPr="00A53824">
                    <w:rPr>
                      <w:rFonts w:asciiTheme="minorHAnsi" w:hAnsiTheme="minorHAnsi" w:cstheme="minorHAnsi"/>
                      <w:b/>
                      <w:sz w:val="16"/>
                      <w:szCs w:val="16"/>
                      <w:lang w:val="en-GB"/>
                    </w:rPr>
                    <w:t xml:space="preserve">Name of mutation with Hain </w:t>
                  </w:r>
                  <w:r w:rsidRPr="00A53824">
                    <w:rPr>
                      <w:rFonts w:asciiTheme="minorHAnsi" w:hAnsiTheme="minorHAnsi" w:cstheme="minorHAnsi"/>
                      <w:b/>
                      <w:sz w:val="16"/>
                      <w:szCs w:val="16"/>
                    </w:rPr>
                    <w:t>MTBDR</w:t>
                  </w:r>
                  <w:r w:rsidRPr="00A53824">
                    <w:rPr>
                      <w:rFonts w:asciiTheme="minorHAnsi" w:hAnsiTheme="minorHAnsi" w:cstheme="minorHAnsi"/>
                      <w:b/>
                      <w:i/>
                      <w:sz w:val="16"/>
                      <w:szCs w:val="16"/>
                    </w:rPr>
                    <w:t>sl</w:t>
                  </w:r>
                  <w:r w:rsidRPr="00A53824">
                    <w:rPr>
                      <w:rFonts w:asciiTheme="minorHAnsi" w:hAnsiTheme="minorHAnsi" w:cstheme="minorHAnsi"/>
                      <w:b/>
                      <w:sz w:val="16"/>
                      <w:szCs w:val="16"/>
                    </w:rPr>
                    <w:t xml:space="preserve"> LPA</w:t>
                  </w:r>
                </w:p>
              </w:tc>
            </w:tr>
            <w:tr w:rsidR="00E66655" w:rsidRPr="00A53824" w14:paraId="0ED29CCC" w14:textId="77777777" w:rsidTr="000D6CF4">
              <w:trPr>
                <w:trHeight w:hRule="exact" w:val="288"/>
                <w:jc w:val="center"/>
              </w:trPr>
              <w:tc>
                <w:tcPr>
                  <w:tcW w:w="0" w:type="auto"/>
                </w:tcPr>
                <w:p w14:paraId="7FBBE3D7" w14:textId="77777777" w:rsidR="00E66655" w:rsidRPr="00A53824" w:rsidRDefault="00E66655" w:rsidP="000D6CF4">
                  <w:pPr>
                    <w:spacing w:before="0" w:after="0"/>
                    <w:contextualSpacing/>
                    <w:rPr>
                      <w:rFonts w:asciiTheme="minorHAnsi" w:hAnsiTheme="minorHAnsi" w:cstheme="minorHAnsi"/>
                      <w:sz w:val="16"/>
                      <w:szCs w:val="16"/>
                    </w:rPr>
                  </w:pPr>
                  <w:r w:rsidRPr="00A53824">
                    <w:rPr>
                      <w:rFonts w:asciiTheme="minorHAnsi" w:hAnsiTheme="minorHAnsi" w:cstheme="minorHAnsi"/>
                      <w:i/>
                      <w:sz w:val="16"/>
                      <w:szCs w:val="16"/>
                      <w:lang w:val="en-GB"/>
                    </w:rPr>
                    <w:t>gyrA</w:t>
                  </w:r>
                  <w:r w:rsidRPr="00A53824">
                    <w:rPr>
                      <w:rFonts w:asciiTheme="minorHAnsi" w:hAnsiTheme="minorHAnsi" w:cstheme="minorHAnsi"/>
                      <w:sz w:val="16"/>
                      <w:szCs w:val="16"/>
                      <w:lang w:val="en-GB"/>
                    </w:rPr>
                    <w:t xml:space="preserve"> D94G</w:t>
                  </w:r>
                </w:p>
              </w:tc>
              <w:tc>
                <w:tcPr>
                  <w:tcW w:w="0" w:type="auto"/>
                </w:tcPr>
                <w:p w14:paraId="6620AE7B" w14:textId="77777777" w:rsidR="00E66655" w:rsidRPr="00A53824" w:rsidRDefault="00E66655" w:rsidP="000D6CF4">
                  <w:pPr>
                    <w:spacing w:before="0" w:after="0"/>
                    <w:contextualSpacing/>
                    <w:rPr>
                      <w:rFonts w:asciiTheme="minorHAnsi" w:hAnsiTheme="minorHAnsi" w:cstheme="minorHAnsi"/>
                      <w:sz w:val="16"/>
                      <w:szCs w:val="16"/>
                      <w:lang w:val="en-GB"/>
                    </w:rPr>
                  </w:pPr>
                  <w:r w:rsidRPr="00A53824">
                    <w:rPr>
                      <w:rFonts w:asciiTheme="minorHAnsi" w:hAnsiTheme="minorHAnsi" w:cstheme="minorHAnsi"/>
                      <w:i/>
                      <w:sz w:val="16"/>
                      <w:szCs w:val="16"/>
                      <w:lang w:val="en-GB"/>
                    </w:rPr>
                    <w:t>gyrA</w:t>
                  </w:r>
                  <w:r w:rsidRPr="00A53824">
                    <w:rPr>
                      <w:rFonts w:asciiTheme="minorHAnsi" w:hAnsiTheme="minorHAnsi" w:cstheme="minorHAnsi"/>
                      <w:sz w:val="16"/>
                      <w:szCs w:val="16"/>
                      <w:lang w:val="en-GB"/>
                    </w:rPr>
                    <w:t xml:space="preserve"> MUT3C</w:t>
                  </w:r>
                </w:p>
              </w:tc>
            </w:tr>
            <w:tr w:rsidR="00E66655" w:rsidRPr="00A53824" w14:paraId="5802F622" w14:textId="77777777" w:rsidTr="000D6CF4">
              <w:trPr>
                <w:trHeight w:hRule="exact" w:val="288"/>
                <w:jc w:val="center"/>
              </w:trPr>
              <w:tc>
                <w:tcPr>
                  <w:tcW w:w="0" w:type="auto"/>
                </w:tcPr>
                <w:p w14:paraId="40D5F81B" w14:textId="77777777" w:rsidR="00E66655" w:rsidRPr="00A53824" w:rsidRDefault="00E66655" w:rsidP="000D6CF4">
                  <w:pPr>
                    <w:spacing w:before="0" w:after="0"/>
                    <w:contextualSpacing/>
                    <w:rPr>
                      <w:rFonts w:asciiTheme="minorHAnsi" w:hAnsiTheme="minorHAnsi" w:cstheme="minorHAnsi"/>
                      <w:sz w:val="16"/>
                      <w:szCs w:val="16"/>
                    </w:rPr>
                  </w:pPr>
                  <w:r w:rsidRPr="00A53824">
                    <w:rPr>
                      <w:rFonts w:asciiTheme="minorHAnsi" w:hAnsiTheme="minorHAnsi" w:cstheme="minorHAnsi"/>
                      <w:i/>
                      <w:sz w:val="16"/>
                      <w:szCs w:val="16"/>
                      <w:lang w:val="en-GB"/>
                    </w:rPr>
                    <w:t>gyrA</w:t>
                  </w:r>
                  <w:r w:rsidRPr="00A53824">
                    <w:rPr>
                      <w:rFonts w:asciiTheme="minorHAnsi" w:hAnsiTheme="minorHAnsi" w:cstheme="minorHAnsi"/>
                      <w:sz w:val="16"/>
                      <w:szCs w:val="16"/>
                      <w:lang w:val="en-GB"/>
                    </w:rPr>
                    <w:t xml:space="preserve"> D94N/Y </w:t>
                  </w:r>
                </w:p>
              </w:tc>
              <w:tc>
                <w:tcPr>
                  <w:tcW w:w="0" w:type="auto"/>
                </w:tcPr>
                <w:p w14:paraId="6B9BEDE9" w14:textId="77777777" w:rsidR="00E66655" w:rsidRPr="00A53824" w:rsidRDefault="00E66655" w:rsidP="000D6CF4">
                  <w:pPr>
                    <w:spacing w:before="0" w:after="0"/>
                    <w:contextualSpacing/>
                    <w:rPr>
                      <w:rFonts w:asciiTheme="minorHAnsi" w:hAnsiTheme="minorHAnsi" w:cstheme="minorHAnsi"/>
                      <w:sz w:val="16"/>
                      <w:szCs w:val="16"/>
                      <w:lang w:val="en-GB"/>
                    </w:rPr>
                  </w:pPr>
                  <w:r w:rsidRPr="00A53824">
                    <w:rPr>
                      <w:rFonts w:asciiTheme="minorHAnsi" w:hAnsiTheme="minorHAnsi" w:cstheme="minorHAnsi"/>
                      <w:i/>
                      <w:sz w:val="16"/>
                      <w:szCs w:val="16"/>
                      <w:lang w:val="en-GB"/>
                    </w:rPr>
                    <w:t>gyrA</w:t>
                  </w:r>
                  <w:r w:rsidRPr="00A53824">
                    <w:rPr>
                      <w:rFonts w:asciiTheme="minorHAnsi" w:hAnsiTheme="minorHAnsi" w:cstheme="minorHAnsi"/>
                      <w:sz w:val="16"/>
                      <w:szCs w:val="16"/>
                      <w:lang w:val="en-GB"/>
                    </w:rPr>
                    <w:t xml:space="preserve"> MUT3B </w:t>
                  </w:r>
                </w:p>
              </w:tc>
            </w:tr>
            <w:tr w:rsidR="00E66655" w:rsidRPr="00A53824" w14:paraId="658B81BB" w14:textId="77777777" w:rsidTr="000D6CF4">
              <w:trPr>
                <w:trHeight w:hRule="exact" w:val="288"/>
                <w:jc w:val="center"/>
              </w:trPr>
              <w:tc>
                <w:tcPr>
                  <w:tcW w:w="0" w:type="auto"/>
                </w:tcPr>
                <w:p w14:paraId="04A9652D" w14:textId="77777777" w:rsidR="00E66655" w:rsidRPr="00A53824" w:rsidRDefault="00E66655" w:rsidP="000D6CF4">
                  <w:pPr>
                    <w:spacing w:before="0" w:after="0"/>
                    <w:contextualSpacing/>
                    <w:rPr>
                      <w:rFonts w:asciiTheme="minorHAnsi" w:hAnsiTheme="minorHAnsi" w:cstheme="minorHAnsi"/>
                      <w:sz w:val="16"/>
                      <w:szCs w:val="16"/>
                    </w:rPr>
                  </w:pPr>
                  <w:r w:rsidRPr="00A53824">
                    <w:rPr>
                      <w:rFonts w:asciiTheme="minorHAnsi" w:hAnsiTheme="minorHAnsi" w:cstheme="minorHAnsi"/>
                      <w:i/>
                      <w:sz w:val="16"/>
                      <w:szCs w:val="16"/>
                      <w:lang w:val="en-GB"/>
                    </w:rPr>
                    <w:t>gyrA</w:t>
                  </w:r>
                  <w:r w:rsidRPr="00A53824">
                    <w:rPr>
                      <w:rFonts w:asciiTheme="minorHAnsi" w:hAnsiTheme="minorHAnsi" w:cstheme="minorHAnsi"/>
                      <w:sz w:val="16"/>
                      <w:szCs w:val="16"/>
                      <w:lang w:val="en-GB"/>
                    </w:rPr>
                    <w:t xml:space="preserve"> D94H</w:t>
                  </w:r>
                </w:p>
              </w:tc>
              <w:tc>
                <w:tcPr>
                  <w:tcW w:w="0" w:type="auto"/>
                </w:tcPr>
                <w:p w14:paraId="719B1542" w14:textId="77777777" w:rsidR="00E66655" w:rsidRPr="00A53824" w:rsidRDefault="00E66655" w:rsidP="000D6CF4">
                  <w:pPr>
                    <w:spacing w:before="0" w:after="0"/>
                    <w:contextualSpacing/>
                    <w:rPr>
                      <w:rFonts w:asciiTheme="minorHAnsi" w:hAnsiTheme="minorHAnsi" w:cstheme="minorHAnsi"/>
                      <w:sz w:val="16"/>
                      <w:szCs w:val="16"/>
                      <w:lang w:val="en-GB"/>
                    </w:rPr>
                  </w:pPr>
                  <w:r w:rsidRPr="00A53824">
                    <w:rPr>
                      <w:rFonts w:asciiTheme="minorHAnsi" w:hAnsiTheme="minorHAnsi" w:cstheme="minorHAnsi"/>
                      <w:i/>
                      <w:sz w:val="16"/>
                      <w:szCs w:val="16"/>
                      <w:lang w:val="en-GB"/>
                    </w:rPr>
                    <w:t>gyrA</w:t>
                  </w:r>
                  <w:r w:rsidRPr="00A53824">
                    <w:rPr>
                      <w:rFonts w:asciiTheme="minorHAnsi" w:hAnsiTheme="minorHAnsi" w:cstheme="minorHAnsi"/>
                      <w:sz w:val="16"/>
                      <w:szCs w:val="16"/>
                      <w:lang w:val="en-GB"/>
                    </w:rPr>
                    <w:t xml:space="preserve"> MUT3B</w:t>
                  </w:r>
                </w:p>
              </w:tc>
            </w:tr>
          </w:tbl>
          <w:p w14:paraId="33FCCD68" w14:textId="77777777" w:rsidR="00E66655" w:rsidRPr="00A53824" w:rsidRDefault="00E66655" w:rsidP="000D6CF4">
            <w:pPr>
              <w:pStyle w:val="ListBullet"/>
              <w:spacing w:before="0"/>
              <w:contextualSpacing/>
              <w:jc w:val="left"/>
              <w:rPr>
                <w:rFonts w:asciiTheme="minorHAnsi" w:hAnsiTheme="minorHAnsi" w:cstheme="minorHAnsi"/>
                <w:sz w:val="16"/>
                <w:szCs w:val="16"/>
              </w:rPr>
            </w:pPr>
            <w:r w:rsidRPr="00A53824">
              <w:rPr>
                <w:rFonts w:asciiTheme="minorHAnsi" w:hAnsiTheme="minorHAnsi" w:cstheme="minorHAnsi"/>
                <w:sz w:val="16"/>
                <w:szCs w:val="16"/>
              </w:rPr>
              <w:t>The definitions of low- and high-level resistance can also be determined by phenotypic testing:</w:t>
            </w:r>
          </w:p>
          <w:p w14:paraId="0460ECE5" w14:textId="77777777" w:rsidR="00E66655" w:rsidRPr="00A53824" w:rsidRDefault="00E66655" w:rsidP="000D6CF4">
            <w:pPr>
              <w:pStyle w:val="ListBullet2"/>
              <w:spacing w:before="0" w:after="0"/>
              <w:contextualSpacing/>
              <w:jc w:val="left"/>
              <w:rPr>
                <w:rFonts w:asciiTheme="minorHAnsi" w:hAnsiTheme="minorHAnsi" w:cstheme="minorHAnsi"/>
                <w:b/>
                <w:sz w:val="16"/>
                <w:szCs w:val="16"/>
                <w:lang w:val="en-GB"/>
              </w:rPr>
            </w:pPr>
            <w:r w:rsidRPr="00A53824">
              <w:rPr>
                <w:rFonts w:asciiTheme="minorHAnsi" w:hAnsiTheme="minorHAnsi" w:cstheme="minorHAnsi"/>
                <w:sz w:val="16"/>
                <w:szCs w:val="16"/>
                <w:u w:val="single"/>
                <w:lang w:val="en-GB"/>
              </w:rPr>
              <w:t>Low-level resistance to the FQ</w:t>
            </w:r>
            <w:r w:rsidRPr="00A53824">
              <w:rPr>
                <w:rFonts w:asciiTheme="minorHAnsi" w:hAnsiTheme="minorHAnsi" w:cstheme="minorHAnsi"/>
                <w:sz w:val="16"/>
                <w:szCs w:val="16"/>
                <w:lang w:val="en-GB"/>
              </w:rPr>
              <w:t xml:space="preserve"> is defined as resistance in MGIT to Ofx at 2.0 mg/L or Lfx at 1.0 mg/L or Mfx at 0.25 mg/L. Mfx</w:t>
            </w:r>
            <w:r w:rsidRPr="00A53824">
              <w:rPr>
                <w:rFonts w:asciiTheme="minorHAnsi" w:hAnsiTheme="minorHAnsi" w:cstheme="minorHAnsi"/>
                <w:sz w:val="16"/>
                <w:szCs w:val="16"/>
                <w:vertAlign w:val="superscript"/>
                <w:lang w:val="en-GB"/>
              </w:rPr>
              <w:t xml:space="preserve">H </w:t>
            </w:r>
            <w:r w:rsidRPr="00A53824">
              <w:rPr>
                <w:rFonts w:asciiTheme="minorHAnsi" w:hAnsiTheme="minorHAnsi" w:cstheme="minorHAnsi"/>
                <w:sz w:val="16"/>
                <w:szCs w:val="16"/>
                <w:lang w:val="en-GB"/>
              </w:rPr>
              <w:t>may be used in such cases but should not be counted as an effective drug.</w:t>
            </w:r>
          </w:p>
          <w:p w14:paraId="156CC611" w14:textId="77777777" w:rsidR="00E66655" w:rsidRPr="00A53824" w:rsidRDefault="00E66655" w:rsidP="000D6CF4">
            <w:pPr>
              <w:pStyle w:val="ListBullet2"/>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u w:val="single"/>
                <w:lang w:val="en-GB"/>
              </w:rPr>
              <w:t>High-level resistance to the FQ</w:t>
            </w:r>
            <w:r w:rsidRPr="00A53824">
              <w:rPr>
                <w:rFonts w:asciiTheme="minorHAnsi" w:hAnsiTheme="minorHAnsi" w:cstheme="minorHAnsi"/>
                <w:sz w:val="16"/>
                <w:szCs w:val="16"/>
                <w:lang w:val="en-GB"/>
              </w:rPr>
              <w:t xml:space="preserve"> is defined as resistance to Mfx in MGIT at 1.0 mg/L. Mfx</w:t>
            </w:r>
            <w:r w:rsidRPr="00A53824">
              <w:rPr>
                <w:rFonts w:asciiTheme="minorHAnsi" w:hAnsiTheme="minorHAnsi" w:cstheme="minorHAnsi"/>
                <w:sz w:val="16"/>
                <w:szCs w:val="16"/>
                <w:vertAlign w:val="superscript"/>
                <w:lang w:val="en-GB"/>
              </w:rPr>
              <w:t xml:space="preserve">H </w:t>
            </w:r>
            <w:r w:rsidRPr="00A53824">
              <w:rPr>
                <w:rFonts w:asciiTheme="minorHAnsi" w:hAnsiTheme="minorHAnsi" w:cstheme="minorHAnsi"/>
                <w:sz w:val="16"/>
                <w:szCs w:val="16"/>
                <w:lang w:val="en-GB"/>
              </w:rPr>
              <w:t>is unlikely</w:t>
            </w:r>
            <w:r w:rsidRPr="00A53824">
              <w:rPr>
                <w:rFonts w:asciiTheme="minorHAnsi" w:hAnsiTheme="minorHAnsi" w:cstheme="minorHAnsi"/>
                <w:sz w:val="16"/>
                <w:szCs w:val="16"/>
                <w:vertAlign w:val="superscript"/>
                <w:lang w:val="en-GB"/>
              </w:rPr>
              <w:t xml:space="preserve"> </w:t>
            </w:r>
            <w:r w:rsidRPr="00A53824">
              <w:rPr>
                <w:rFonts w:asciiTheme="minorHAnsi" w:hAnsiTheme="minorHAnsi" w:cstheme="minorHAnsi"/>
                <w:sz w:val="16"/>
                <w:szCs w:val="16"/>
                <w:lang w:val="en-GB"/>
              </w:rPr>
              <w:t>to be effective in such cases.</w:t>
            </w:r>
          </w:p>
        </w:tc>
      </w:tr>
      <w:tr w:rsidR="00E66655" w:rsidRPr="00A53824" w14:paraId="1AACB3F0" w14:textId="77777777" w:rsidTr="000D6CF4">
        <w:tc>
          <w:tcPr>
            <w:tcW w:w="1345" w:type="dxa"/>
            <w:tcMar>
              <w:top w:w="101" w:type="dxa"/>
              <w:left w:w="101" w:type="dxa"/>
              <w:bottom w:w="101" w:type="dxa"/>
              <w:right w:w="101" w:type="dxa"/>
            </w:tcMar>
          </w:tcPr>
          <w:p w14:paraId="0CD8DA44" w14:textId="77777777" w:rsidR="00E66655" w:rsidRPr="00A53824" w:rsidRDefault="00E66655" w:rsidP="000D6CF4">
            <w:pPr>
              <w:pStyle w:val="Tabletext"/>
              <w:spacing w:before="0" w:after="0"/>
              <w:contextualSpacing/>
              <w:rPr>
                <w:rFonts w:asciiTheme="minorHAnsi" w:hAnsiTheme="minorHAnsi" w:cstheme="minorHAnsi"/>
                <w:b/>
                <w:sz w:val="18"/>
                <w:szCs w:val="18"/>
              </w:rPr>
            </w:pPr>
            <w:r w:rsidRPr="00A53824">
              <w:rPr>
                <w:rFonts w:asciiTheme="minorHAnsi" w:hAnsiTheme="minorHAnsi" w:cstheme="minorHAnsi"/>
                <w:b/>
                <w:sz w:val="18"/>
                <w:szCs w:val="18"/>
              </w:rPr>
              <w:t>Injectable (Am, S)</w:t>
            </w:r>
          </w:p>
        </w:tc>
        <w:tc>
          <w:tcPr>
            <w:tcW w:w="7884" w:type="dxa"/>
            <w:tcMar>
              <w:top w:w="101" w:type="dxa"/>
              <w:left w:w="101" w:type="dxa"/>
              <w:bottom w:w="101" w:type="dxa"/>
              <w:right w:w="101" w:type="dxa"/>
            </w:tcMar>
          </w:tcPr>
          <w:p w14:paraId="763A2589" w14:textId="77777777"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lang w:val="en-GB"/>
              </w:rPr>
              <w:t>The</w:t>
            </w:r>
            <w:r w:rsidRPr="00A53824">
              <w:rPr>
                <w:rFonts w:asciiTheme="minorHAnsi" w:hAnsiTheme="minorHAnsi" w:cstheme="minorHAnsi"/>
                <w:i/>
                <w:sz w:val="16"/>
                <w:szCs w:val="16"/>
                <w:lang w:val="en-GB"/>
              </w:rPr>
              <w:t xml:space="preserve"> rrs</w:t>
            </w:r>
            <w:r w:rsidRPr="00A53824">
              <w:rPr>
                <w:rFonts w:asciiTheme="minorHAnsi" w:hAnsiTheme="minorHAnsi" w:cstheme="minorHAnsi"/>
                <w:sz w:val="16"/>
                <w:szCs w:val="16"/>
                <w:lang w:val="en-GB"/>
              </w:rPr>
              <w:t xml:space="preserve"> mutation is thought to confer cross-resistance to all injectables, including moderate resistance to Cm.</w:t>
            </w:r>
          </w:p>
          <w:p w14:paraId="2FBEF9DF" w14:textId="77777777" w:rsidR="00E66655" w:rsidRPr="00A53824" w:rsidRDefault="00E66655" w:rsidP="000D6CF4">
            <w:pPr>
              <w:pStyle w:val="ListBullet"/>
              <w:spacing w:before="0" w:after="0"/>
              <w:rPr>
                <w:rFonts w:asciiTheme="minorHAnsi" w:hAnsiTheme="minorHAnsi" w:cstheme="minorHAnsi"/>
                <w:color w:val="000000" w:themeColor="text1"/>
                <w:sz w:val="16"/>
                <w:szCs w:val="16"/>
                <w:lang w:val="en-GB"/>
              </w:rPr>
            </w:pPr>
            <w:r w:rsidRPr="00A53824">
              <w:rPr>
                <w:rFonts w:asciiTheme="minorHAnsi" w:hAnsiTheme="minorHAnsi" w:cstheme="minorHAnsi"/>
                <w:sz w:val="16"/>
                <w:szCs w:val="16"/>
                <w:lang w:val="en-GB"/>
              </w:rPr>
              <w:t xml:space="preserve">An </w:t>
            </w:r>
            <w:r w:rsidRPr="00A53824">
              <w:rPr>
                <w:rFonts w:asciiTheme="minorHAnsi" w:hAnsiTheme="minorHAnsi" w:cstheme="minorHAnsi"/>
                <w:i/>
                <w:sz w:val="16"/>
                <w:szCs w:val="16"/>
                <w:lang w:val="en-GB"/>
              </w:rPr>
              <w:t>eis</w:t>
            </w:r>
            <w:r w:rsidRPr="00A53824">
              <w:rPr>
                <w:rFonts w:asciiTheme="minorHAnsi" w:hAnsiTheme="minorHAnsi" w:cstheme="minorHAnsi"/>
                <w:sz w:val="16"/>
                <w:szCs w:val="16"/>
                <w:lang w:val="en-GB"/>
              </w:rPr>
              <w:t xml:space="preserve"> promoter mutation is thought to confer low-level resistance to Am. Some clinicians will use Am in the presence of the </w:t>
            </w:r>
            <w:r w:rsidRPr="00A53824">
              <w:rPr>
                <w:rFonts w:asciiTheme="minorHAnsi" w:hAnsiTheme="minorHAnsi" w:cstheme="minorHAnsi"/>
                <w:i/>
                <w:sz w:val="16"/>
                <w:szCs w:val="16"/>
                <w:lang w:val="en-GB"/>
              </w:rPr>
              <w:t>eis</w:t>
            </w:r>
            <w:r w:rsidRPr="00A53824">
              <w:rPr>
                <w:rFonts w:asciiTheme="minorHAnsi" w:hAnsiTheme="minorHAnsi" w:cstheme="minorHAnsi"/>
                <w:sz w:val="16"/>
                <w:szCs w:val="16"/>
                <w:lang w:val="en-GB"/>
              </w:rPr>
              <w:t xml:space="preserve"> promoter mutation while others are of the opinion that the side effect profile and the low-level resistance associated with the </w:t>
            </w:r>
            <w:r w:rsidRPr="00A53824">
              <w:rPr>
                <w:rFonts w:asciiTheme="minorHAnsi" w:hAnsiTheme="minorHAnsi" w:cstheme="minorHAnsi"/>
                <w:i/>
                <w:sz w:val="16"/>
                <w:szCs w:val="16"/>
                <w:lang w:val="en-GB"/>
              </w:rPr>
              <w:t>eis</w:t>
            </w:r>
            <w:r w:rsidRPr="00A53824">
              <w:rPr>
                <w:rFonts w:asciiTheme="minorHAnsi" w:hAnsiTheme="minorHAnsi" w:cstheme="minorHAnsi"/>
                <w:sz w:val="16"/>
                <w:szCs w:val="16"/>
                <w:lang w:val="en-GB"/>
              </w:rPr>
              <w:t xml:space="preserve"> mutation does not justify the use of Am. In such cases, Am should not be counted as an effective drug.</w:t>
            </w:r>
          </w:p>
          <w:p w14:paraId="4C84B8A7" w14:textId="77777777" w:rsidR="00E66655" w:rsidRPr="00A53824" w:rsidRDefault="00E66655" w:rsidP="000D6CF4">
            <w:pPr>
              <w:pStyle w:val="ListBullet"/>
              <w:spacing w:before="0" w:after="0"/>
              <w:rPr>
                <w:rFonts w:asciiTheme="minorHAnsi" w:hAnsiTheme="minorHAnsi" w:cstheme="minorHAnsi"/>
                <w:color w:val="000000" w:themeColor="text1"/>
                <w:sz w:val="16"/>
                <w:szCs w:val="16"/>
                <w:lang w:val="en-GB"/>
              </w:rPr>
            </w:pPr>
            <w:r w:rsidRPr="00A53824">
              <w:rPr>
                <w:rFonts w:asciiTheme="minorHAnsi" w:hAnsiTheme="minorHAnsi" w:cstheme="minorHAnsi"/>
                <w:color w:val="000000" w:themeColor="text1"/>
                <w:sz w:val="16"/>
                <w:szCs w:val="16"/>
                <w:lang w:val="en-GB"/>
              </w:rPr>
              <w:t>The LPA to second-line drugs (Hain MTBDR</w:t>
            </w:r>
            <w:r w:rsidRPr="00A53824">
              <w:rPr>
                <w:rFonts w:asciiTheme="minorHAnsi" w:hAnsiTheme="minorHAnsi" w:cstheme="minorHAnsi"/>
                <w:i/>
                <w:color w:val="000000" w:themeColor="text1"/>
                <w:sz w:val="16"/>
                <w:szCs w:val="16"/>
                <w:lang w:val="en-GB"/>
              </w:rPr>
              <w:t>sl</w:t>
            </w:r>
            <w:r w:rsidRPr="00A53824">
              <w:rPr>
                <w:rFonts w:asciiTheme="minorHAnsi" w:hAnsiTheme="minorHAnsi" w:cstheme="minorHAnsi"/>
                <w:color w:val="000000" w:themeColor="text1"/>
                <w:sz w:val="16"/>
                <w:szCs w:val="16"/>
                <w:lang w:val="en-GB"/>
              </w:rPr>
              <w:t>) does not provide information on S resistance and no commercially available rapid tests provide genetic information on S resistance.</w:t>
            </w:r>
          </w:p>
        </w:tc>
      </w:tr>
      <w:tr w:rsidR="00E66655" w:rsidRPr="00A53824" w14:paraId="527FED52" w14:textId="77777777" w:rsidTr="000D6CF4">
        <w:tc>
          <w:tcPr>
            <w:tcW w:w="1345" w:type="dxa"/>
            <w:tcMar>
              <w:top w:w="101" w:type="dxa"/>
              <w:left w:w="101" w:type="dxa"/>
              <w:bottom w:w="101" w:type="dxa"/>
              <w:right w:w="101" w:type="dxa"/>
            </w:tcMar>
          </w:tcPr>
          <w:p w14:paraId="6E7FCCC9" w14:textId="77777777" w:rsidR="00E66655" w:rsidRPr="00A53824" w:rsidRDefault="00E66655" w:rsidP="000D6CF4">
            <w:pPr>
              <w:pStyle w:val="Tabletext"/>
              <w:spacing w:before="0" w:after="0"/>
              <w:contextualSpacing/>
              <w:rPr>
                <w:rFonts w:asciiTheme="minorHAnsi" w:hAnsiTheme="minorHAnsi" w:cstheme="minorHAnsi"/>
                <w:b/>
                <w:sz w:val="18"/>
                <w:szCs w:val="18"/>
              </w:rPr>
            </w:pPr>
            <w:r w:rsidRPr="00A53824">
              <w:rPr>
                <w:rFonts w:asciiTheme="minorHAnsi" w:hAnsiTheme="minorHAnsi" w:cstheme="minorHAnsi"/>
                <w:b/>
                <w:sz w:val="18"/>
                <w:szCs w:val="18"/>
              </w:rPr>
              <w:t>Eto/Pto</w:t>
            </w:r>
          </w:p>
        </w:tc>
        <w:tc>
          <w:tcPr>
            <w:tcW w:w="7884" w:type="dxa"/>
            <w:tcMar>
              <w:top w:w="101" w:type="dxa"/>
              <w:left w:w="101" w:type="dxa"/>
              <w:bottom w:w="101" w:type="dxa"/>
              <w:right w:w="101" w:type="dxa"/>
            </w:tcMar>
          </w:tcPr>
          <w:p w14:paraId="37E0299D" w14:textId="77777777" w:rsidR="00E66655" w:rsidRPr="00A53824" w:rsidRDefault="00E66655" w:rsidP="000D6CF4">
            <w:pPr>
              <w:pStyle w:val="ListBullet"/>
              <w:spacing w:before="0" w:after="0"/>
              <w:contextualSpacing/>
              <w:jc w:val="left"/>
              <w:rPr>
                <w:rFonts w:asciiTheme="minorHAnsi" w:hAnsiTheme="minorHAnsi" w:cstheme="minorHAnsi"/>
                <w:sz w:val="16"/>
                <w:szCs w:val="16"/>
              </w:rPr>
            </w:pPr>
            <w:r w:rsidRPr="00A53824">
              <w:rPr>
                <w:rFonts w:asciiTheme="minorHAnsi" w:hAnsiTheme="minorHAnsi" w:cstheme="minorHAnsi"/>
                <w:sz w:val="16"/>
                <w:szCs w:val="16"/>
                <w:lang w:val="en-GB"/>
              </w:rPr>
              <w:t xml:space="preserve">The </w:t>
            </w:r>
            <w:r w:rsidRPr="00A53824">
              <w:rPr>
                <w:rFonts w:asciiTheme="minorHAnsi" w:hAnsiTheme="minorHAnsi" w:cstheme="minorHAnsi"/>
                <w:i/>
                <w:sz w:val="16"/>
                <w:szCs w:val="16"/>
                <w:lang w:val="en-GB"/>
              </w:rPr>
              <w:t>inhA</w:t>
            </w:r>
            <w:r w:rsidRPr="00A53824">
              <w:rPr>
                <w:rFonts w:asciiTheme="minorHAnsi" w:hAnsiTheme="minorHAnsi" w:cstheme="minorHAnsi"/>
                <w:sz w:val="16"/>
                <w:szCs w:val="16"/>
                <w:lang w:val="en-GB"/>
              </w:rPr>
              <w:t xml:space="preserve"> mutation confers cross-resistance to H and Eto/Pto; the </w:t>
            </w:r>
            <w:r w:rsidRPr="00A53824">
              <w:rPr>
                <w:rFonts w:asciiTheme="minorHAnsi" w:hAnsiTheme="minorHAnsi" w:cstheme="minorHAnsi"/>
                <w:i/>
                <w:sz w:val="16"/>
                <w:szCs w:val="16"/>
                <w:lang w:val="en-GB"/>
              </w:rPr>
              <w:t>katG</w:t>
            </w:r>
            <w:r w:rsidRPr="00A53824">
              <w:rPr>
                <w:rFonts w:asciiTheme="minorHAnsi" w:hAnsiTheme="minorHAnsi" w:cstheme="minorHAnsi"/>
                <w:sz w:val="16"/>
                <w:szCs w:val="16"/>
                <w:lang w:val="en-GB"/>
              </w:rPr>
              <w:t xml:space="preserve"> mutation confers resistance to H but not to Eto/Pto. If an </w:t>
            </w:r>
            <w:r w:rsidRPr="00A53824">
              <w:rPr>
                <w:rFonts w:asciiTheme="minorHAnsi" w:hAnsiTheme="minorHAnsi" w:cstheme="minorHAnsi"/>
                <w:i/>
                <w:sz w:val="16"/>
                <w:szCs w:val="16"/>
                <w:lang w:val="en-GB"/>
              </w:rPr>
              <w:t>inhA</w:t>
            </w:r>
            <w:r w:rsidRPr="00A53824">
              <w:rPr>
                <w:rFonts w:asciiTheme="minorHAnsi" w:hAnsiTheme="minorHAnsi" w:cstheme="minorHAnsi"/>
                <w:sz w:val="16"/>
                <w:szCs w:val="16"/>
                <w:lang w:val="en-GB"/>
              </w:rPr>
              <w:t xml:space="preserve"> mutation is present, then Eto/Pto should not be used. In the absence of an </w:t>
            </w:r>
            <w:r w:rsidRPr="00A53824">
              <w:rPr>
                <w:rFonts w:asciiTheme="minorHAnsi" w:hAnsiTheme="minorHAnsi" w:cstheme="minorHAnsi"/>
                <w:i/>
                <w:sz w:val="16"/>
                <w:szCs w:val="16"/>
                <w:lang w:val="en-GB"/>
              </w:rPr>
              <w:t>inhA</w:t>
            </w:r>
            <w:r w:rsidRPr="00A53824">
              <w:rPr>
                <w:rFonts w:asciiTheme="minorHAnsi" w:hAnsiTheme="minorHAnsi" w:cstheme="minorHAnsi"/>
                <w:sz w:val="16"/>
                <w:szCs w:val="16"/>
                <w:lang w:val="en-GB"/>
              </w:rPr>
              <w:t xml:space="preserve"> mutation, the clinical history should be taken into consideration, since there are other mutations that confer resistance to Eto/Pto (e.g. </w:t>
            </w:r>
            <w:r w:rsidRPr="00A53824">
              <w:rPr>
                <w:rFonts w:asciiTheme="minorHAnsi" w:hAnsiTheme="minorHAnsi" w:cstheme="minorHAnsi"/>
                <w:i/>
                <w:sz w:val="16"/>
                <w:szCs w:val="16"/>
                <w:lang w:val="en-GB"/>
              </w:rPr>
              <w:t>ethA</w:t>
            </w:r>
            <w:r w:rsidRPr="00A53824">
              <w:rPr>
                <w:rFonts w:asciiTheme="minorHAnsi" w:hAnsiTheme="minorHAnsi" w:cstheme="minorHAnsi"/>
                <w:sz w:val="16"/>
                <w:szCs w:val="16"/>
                <w:lang w:val="en-GB"/>
              </w:rPr>
              <w:t>) that are not tested in commercially available LPA.</w:t>
            </w:r>
          </w:p>
          <w:p w14:paraId="2DA949C6" w14:textId="77777777"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rPr>
              <w:t>Phenotypic testing of Eto/Pto can be done in qualified laboratories.</w:t>
            </w:r>
          </w:p>
        </w:tc>
      </w:tr>
      <w:tr w:rsidR="00E66655" w:rsidRPr="00A53824" w14:paraId="074F39C4" w14:textId="77777777" w:rsidTr="000D6CF4">
        <w:trPr>
          <w:trHeight w:val="614"/>
        </w:trPr>
        <w:tc>
          <w:tcPr>
            <w:tcW w:w="1345" w:type="dxa"/>
            <w:tcMar>
              <w:top w:w="101" w:type="dxa"/>
              <w:left w:w="101" w:type="dxa"/>
              <w:bottom w:w="101" w:type="dxa"/>
              <w:right w:w="101" w:type="dxa"/>
            </w:tcMar>
          </w:tcPr>
          <w:p w14:paraId="10C04C11" w14:textId="77777777" w:rsidR="00E66655" w:rsidRPr="00A53824" w:rsidRDefault="00E66655" w:rsidP="000D6CF4">
            <w:pPr>
              <w:pStyle w:val="Tabletext"/>
              <w:spacing w:before="0" w:after="0"/>
              <w:contextualSpacing/>
              <w:rPr>
                <w:rFonts w:asciiTheme="minorHAnsi" w:hAnsiTheme="minorHAnsi" w:cstheme="minorHAnsi"/>
                <w:b/>
                <w:sz w:val="18"/>
                <w:szCs w:val="18"/>
              </w:rPr>
            </w:pPr>
            <w:r w:rsidRPr="00A53824">
              <w:rPr>
                <w:rFonts w:asciiTheme="minorHAnsi" w:hAnsiTheme="minorHAnsi" w:cstheme="minorHAnsi"/>
                <w:b/>
                <w:sz w:val="18"/>
                <w:szCs w:val="18"/>
              </w:rPr>
              <w:t>Cs/Trd, PAS</w:t>
            </w:r>
          </w:p>
        </w:tc>
        <w:tc>
          <w:tcPr>
            <w:tcW w:w="7884" w:type="dxa"/>
            <w:tcMar>
              <w:top w:w="101" w:type="dxa"/>
              <w:left w:w="101" w:type="dxa"/>
              <w:bottom w:w="101" w:type="dxa"/>
              <w:right w:w="101" w:type="dxa"/>
            </w:tcMar>
          </w:tcPr>
          <w:p w14:paraId="3C32E385" w14:textId="77777777" w:rsidR="00E66655" w:rsidRPr="00A53824" w:rsidRDefault="00E66655" w:rsidP="000D6CF4">
            <w:pPr>
              <w:pStyle w:val="ListBullet"/>
              <w:spacing w:before="0" w:after="0"/>
              <w:contextualSpacing/>
              <w:jc w:val="left"/>
              <w:rPr>
                <w:rFonts w:asciiTheme="minorHAnsi" w:hAnsiTheme="minorHAnsi" w:cstheme="minorHAnsi"/>
                <w:sz w:val="16"/>
                <w:szCs w:val="16"/>
                <w:lang w:val="en-GB"/>
              </w:rPr>
            </w:pPr>
            <w:r w:rsidRPr="00A53824">
              <w:rPr>
                <w:rFonts w:asciiTheme="minorHAnsi" w:hAnsiTheme="minorHAnsi" w:cstheme="minorHAnsi"/>
                <w:sz w:val="16"/>
                <w:szCs w:val="16"/>
              </w:rPr>
              <w:t>Phenotypic DST of PAS and Cs/Trd are not considered reliable tests, even if done at a highly qualified laboratory.</w:t>
            </w:r>
          </w:p>
        </w:tc>
      </w:tr>
      <w:tr w:rsidR="00E66655" w:rsidRPr="00A53824" w14:paraId="649228C8" w14:textId="77777777" w:rsidTr="000D6CF4">
        <w:trPr>
          <w:trHeight w:val="290"/>
        </w:trPr>
        <w:tc>
          <w:tcPr>
            <w:tcW w:w="1345" w:type="dxa"/>
            <w:tcMar>
              <w:top w:w="101" w:type="dxa"/>
              <w:left w:w="101" w:type="dxa"/>
              <w:bottom w:w="101" w:type="dxa"/>
              <w:right w:w="101" w:type="dxa"/>
            </w:tcMar>
          </w:tcPr>
          <w:p w14:paraId="0567BC85" w14:textId="77777777" w:rsidR="00E66655" w:rsidRPr="00A53824" w:rsidRDefault="00E66655" w:rsidP="000D6CF4">
            <w:pPr>
              <w:pStyle w:val="Tabletext"/>
              <w:spacing w:before="0" w:after="0"/>
              <w:contextualSpacing/>
              <w:rPr>
                <w:rFonts w:asciiTheme="minorHAnsi" w:hAnsiTheme="minorHAnsi" w:cstheme="minorHAnsi"/>
                <w:b/>
                <w:sz w:val="18"/>
                <w:szCs w:val="18"/>
              </w:rPr>
            </w:pPr>
            <w:r w:rsidRPr="00A53824">
              <w:rPr>
                <w:rFonts w:asciiTheme="minorHAnsi" w:hAnsiTheme="minorHAnsi" w:cstheme="minorHAnsi"/>
                <w:b/>
                <w:sz w:val="18"/>
                <w:szCs w:val="18"/>
              </w:rPr>
              <w:t>Bdq, Lzd, Cfz, Dlm</w:t>
            </w:r>
          </w:p>
        </w:tc>
        <w:tc>
          <w:tcPr>
            <w:tcW w:w="7884" w:type="dxa"/>
            <w:tcMar>
              <w:top w:w="101" w:type="dxa"/>
              <w:left w:w="101" w:type="dxa"/>
              <w:bottom w:w="101" w:type="dxa"/>
              <w:right w:w="101" w:type="dxa"/>
            </w:tcMar>
          </w:tcPr>
          <w:p w14:paraId="77B7E326" w14:textId="472F1E61" w:rsidR="00E66655" w:rsidRPr="00A53824" w:rsidRDefault="00E66655" w:rsidP="000D6CF4">
            <w:pPr>
              <w:pStyle w:val="ListBullet"/>
              <w:spacing w:before="0" w:after="0"/>
              <w:contextualSpacing/>
              <w:jc w:val="left"/>
              <w:rPr>
                <w:rFonts w:asciiTheme="minorHAnsi" w:hAnsiTheme="minorHAnsi" w:cstheme="minorHAnsi"/>
                <w:sz w:val="16"/>
                <w:szCs w:val="16"/>
              </w:rPr>
            </w:pPr>
            <w:r w:rsidRPr="00A53824">
              <w:rPr>
                <w:rFonts w:asciiTheme="minorHAnsi" w:hAnsiTheme="minorHAnsi" w:cstheme="minorHAnsi"/>
                <w:sz w:val="16"/>
                <w:szCs w:val="16"/>
              </w:rPr>
              <w:t>Phenotypic testing of these drugs is limited to supranational laboratories and is generally considered reliable. The clinical significance of these results</w:t>
            </w:r>
            <w:r w:rsidR="008A71AD">
              <w:rPr>
                <w:rFonts w:asciiTheme="minorHAnsi" w:hAnsiTheme="minorHAnsi" w:cstheme="minorHAnsi"/>
                <w:sz w:val="16"/>
                <w:szCs w:val="16"/>
              </w:rPr>
              <w:t>,</w:t>
            </w:r>
            <w:r w:rsidRPr="00A53824">
              <w:rPr>
                <w:rFonts w:asciiTheme="minorHAnsi" w:hAnsiTheme="minorHAnsi" w:cstheme="minorHAnsi"/>
                <w:sz w:val="16"/>
                <w:szCs w:val="16"/>
              </w:rPr>
              <w:t xml:space="preserve"> however, is still unclear.</w:t>
            </w:r>
          </w:p>
        </w:tc>
      </w:tr>
    </w:tbl>
    <w:p w14:paraId="321DF8CF" w14:textId="42DEDF49" w:rsidR="004305C4" w:rsidRPr="00B85017" w:rsidRDefault="004305C4" w:rsidP="002C212F">
      <w:pPr>
        <w:rPr>
          <w:color w:val="000000" w:themeColor="text1"/>
        </w:rPr>
      </w:pPr>
    </w:p>
    <w:p w14:paraId="7B28D54C" w14:textId="77777777" w:rsidR="00727AA7" w:rsidRPr="00B85017" w:rsidRDefault="00727AA7" w:rsidP="002C212F">
      <w:pPr>
        <w:rPr>
          <w:color w:val="000000" w:themeColor="text1"/>
        </w:rPr>
      </w:pPr>
    </w:p>
    <w:p w14:paraId="23EA5FC3" w14:textId="77777777" w:rsidR="004305C4" w:rsidRPr="003D4A48" w:rsidRDefault="004305C4" w:rsidP="002C212F"/>
    <w:sectPr w:rsidR="004305C4" w:rsidRPr="003D4A48" w:rsidSect="00E865A8">
      <w:headerReference w:type="even" r:id="rId46"/>
      <w:headerReference w:type="default" r:id="rId47"/>
      <w:footerReference w:type="default" r:id="rId48"/>
      <w:headerReference w:type="first" r:id="rId49"/>
      <w:pgSz w:w="11907" w:h="16839"/>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03C10" w14:textId="77777777" w:rsidR="002C65F9" w:rsidRDefault="002C65F9">
      <w:r>
        <w:separator/>
      </w:r>
    </w:p>
  </w:endnote>
  <w:endnote w:type="continuationSeparator" w:id="0">
    <w:p w14:paraId="68214F94" w14:textId="77777777" w:rsidR="002C65F9" w:rsidRDefault="002C65F9">
      <w:r>
        <w:continuationSeparator/>
      </w:r>
    </w:p>
  </w:endnote>
  <w:endnote w:type="continuationNotice" w:id="1">
    <w:p w14:paraId="7780BA06" w14:textId="77777777" w:rsidR="002C65F9" w:rsidRDefault="002C65F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0000500000000020000"/>
    <w:charset w:val="00"/>
    <w:family w:val="auto"/>
    <w:pitch w:val="variable"/>
    <w:sig w:usb0="E0002EFF" w:usb1="D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Minion-Regular">
    <w:panose1 w:val="020B0604020202020204"/>
    <w:charset w:val="00"/>
    <w:family w:val="roman"/>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38953918"/>
      <w:docPartObj>
        <w:docPartGallery w:val="Page Numbers (Bottom of Page)"/>
        <w:docPartUnique/>
      </w:docPartObj>
    </w:sdtPr>
    <w:sdtEndPr>
      <w:rPr>
        <w:rStyle w:val="PageNumber"/>
      </w:rPr>
    </w:sdtEndPr>
    <w:sdtContent>
      <w:p w14:paraId="2B3AEE41" w14:textId="4F4DE89E" w:rsidR="00395962" w:rsidRDefault="00395962" w:rsidP="0083231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BEF6B5" w14:textId="77777777" w:rsidR="00395962" w:rsidRDefault="00395962" w:rsidP="008323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166C7" w14:textId="77777777" w:rsidR="00395962" w:rsidRDefault="00395962" w:rsidP="0083231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43F7D" w14:textId="77777777" w:rsidR="00395962" w:rsidRDefault="003959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90638251"/>
      <w:docPartObj>
        <w:docPartGallery w:val="Page Numbers (Bottom of Page)"/>
        <w:docPartUnique/>
      </w:docPartObj>
    </w:sdtPr>
    <w:sdtEndPr>
      <w:rPr>
        <w:rStyle w:val="PageNumber"/>
      </w:rPr>
    </w:sdtEndPr>
    <w:sdtContent>
      <w:p w14:paraId="62917A61" w14:textId="5AB3FBC0" w:rsidR="00395962" w:rsidRDefault="00395962" w:rsidP="00EA52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4FB2F7" w14:textId="77777777" w:rsidR="00395962" w:rsidRDefault="00395962" w:rsidP="001C7A69">
    <w:pPr>
      <w:pStyle w:val="Footer"/>
      <w:ind w:right="360"/>
    </w:pPr>
  </w:p>
  <w:p w14:paraId="7A5DC244" w14:textId="77777777" w:rsidR="00395962" w:rsidRDefault="00395962"/>
  <w:p w14:paraId="54B55EAE" w14:textId="77777777" w:rsidR="00395962" w:rsidRDefault="0039596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38931808"/>
      <w:docPartObj>
        <w:docPartGallery w:val="Page Numbers (Bottom of Page)"/>
        <w:docPartUnique/>
      </w:docPartObj>
    </w:sdtPr>
    <w:sdtEndPr>
      <w:rPr>
        <w:rStyle w:val="PageNumber"/>
      </w:rPr>
    </w:sdtEndPr>
    <w:sdtContent>
      <w:p w14:paraId="78517C9C" w14:textId="48F9144E" w:rsidR="00395962" w:rsidRDefault="00395962" w:rsidP="000A384C">
        <w:pPr>
          <w:pStyle w:val="Footer"/>
          <w:framePr w:wrap="none" w:vAnchor="text" w:hAnchor="margin" w:xAlign="right" w:y="1"/>
          <w:rPr>
            <w:rStyle w:val="PageNumber"/>
          </w:rPr>
        </w:pPr>
        <w:r w:rsidRPr="00FA52D0">
          <w:rPr>
            <w:rStyle w:val="PageNumber"/>
            <w:rFonts w:asciiTheme="minorHAnsi" w:hAnsiTheme="minorHAnsi"/>
          </w:rPr>
          <w:fldChar w:fldCharType="begin"/>
        </w:r>
        <w:r w:rsidRPr="00FA52D0">
          <w:rPr>
            <w:rStyle w:val="PageNumber"/>
            <w:rFonts w:asciiTheme="minorHAnsi" w:hAnsiTheme="minorHAnsi"/>
          </w:rPr>
          <w:instrText xml:space="preserve"> PAGE </w:instrText>
        </w:r>
        <w:r w:rsidRPr="00FA52D0">
          <w:rPr>
            <w:rStyle w:val="PageNumber"/>
            <w:rFonts w:asciiTheme="minorHAnsi" w:hAnsiTheme="minorHAnsi"/>
          </w:rPr>
          <w:fldChar w:fldCharType="separate"/>
        </w:r>
        <w:r w:rsidRPr="00FA52D0">
          <w:rPr>
            <w:rStyle w:val="PageNumber"/>
            <w:rFonts w:asciiTheme="minorHAnsi" w:hAnsiTheme="minorHAnsi"/>
            <w:noProof/>
          </w:rPr>
          <w:t>2</w:t>
        </w:r>
        <w:r w:rsidRPr="00FA52D0">
          <w:rPr>
            <w:rStyle w:val="PageNumber"/>
            <w:rFonts w:asciiTheme="minorHAnsi" w:hAnsiTheme="minorHAnsi"/>
          </w:rPr>
          <w:fldChar w:fldCharType="end"/>
        </w:r>
      </w:p>
    </w:sdtContent>
  </w:sdt>
  <w:p w14:paraId="73B16A8C" w14:textId="77777777" w:rsidR="00395962" w:rsidRDefault="00395962" w:rsidP="001C7A69">
    <w:pPr>
      <w:pStyle w:val="Footer"/>
      <w:ind w:right="360"/>
    </w:pPr>
  </w:p>
  <w:p w14:paraId="168BA239" w14:textId="77777777" w:rsidR="00395962" w:rsidRDefault="00395962"/>
  <w:p w14:paraId="5FC5CE57" w14:textId="77777777" w:rsidR="00395962" w:rsidRDefault="0039596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14659008"/>
      <w:docPartObj>
        <w:docPartGallery w:val="Page Numbers (Bottom of Page)"/>
        <w:docPartUnique/>
      </w:docPartObj>
    </w:sdtPr>
    <w:sdtEndPr>
      <w:rPr>
        <w:rStyle w:val="PageNumber"/>
      </w:rPr>
    </w:sdtEndPr>
    <w:sdtContent>
      <w:p w14:paraId="4B5B148B" w14:textId="2CFB44A4" w:rsidR="00395962" w:rsidRDefault="00395962" w:rsidP="009025C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3168EAD" w14:textId="77777777" w:rsidR="00395962" w:rsidRDefault="00395962" w:rsidP="00097A2C">
    <w:pPr>
      <w:pStyle w:val="Footer"/>
      <w:ind w:right="360"/>
    </w:pPr>
  </w:p>
  <w:p w14:paraId="41DE014E" w14:textId="77777777" w:rsidR="00395962" w:rsidRDefault="00395962"/>
  <w:p w14:paraId="19996E6C" w14:textId="77777777" w:rsidR="00395962" w:rsidRDefault="0039596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86198343"/>
      <w:docPartObj>
        <w:docPartGallery w:val="Page Numbers (Bottom of Page)"/>
        <w:docPartUnique/>
      </w:docPartObj>
    </w:sdtPr>
    <w:sdtEndPr>
      <w:rPr>
        <w:rStyle w:val="PageNumber"/>
      </w:rPr>
    </w:sdtEndPr>
    <w:sdtContent>
      <w:p w14:paraId="5811A494" w14:textId="6CC2F6D4" w:rsidR="00395962" w:rsidRDefault="00395962" w:rsidP="00522A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p>
    </w:sdtContent>
  </w:sdt>
  <w:p w14:paraId="36E734CE" w14:textId="41BDD44B" w:rsidR="00395962" w:rsidRPr="00400065" w:rsidRDefault="00395962" w:rsidP="00EA52F7">
    <w:pPr>
      <w:pStyle w:val="Tabletext"/>
      <w:tabs>
        <w:tab w:val="right" w:pos="864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FD255" w14:textId="77777777" w:rsidR="002C65F9" w:rsidRDefault="002C65F9">
      <w:r>
        <w:separator/>
      </w:r>
    </w:p>
  </w:footnote>
  <w:footnote w:type="continuationSeparator" w:id="0">
    <w:p w14:paraId="5385F227" w14:textId="77777777" w:rsidR="002C65F9" w:rsidRDefault="002C65F9">
      <w:r>
        <w:continuationSeparator/>
      </w:r>
    </w:p>
  </w:footnote>
  <w:footnote w:type="continuationNotice" w:id="1">
    <w:p w14:paraId="3B91DBFD" w14:textId="77777777" w:rsidR="002C65F9" w:rsidRDefault="002C65F9">
      <w:pPr>
        <w:spacing w:before="0" w:after="0"/>
      </w:pPr>
    </w:p>
  </w:footnote>
  <w:footnote w:id="2">
    <w:p w14:paraId="1B4538C5" w14:textId="77777777" w:rsidR="00395962" w:rsidRPr="00DE5FDC" w:rsidRDefault="00395962" w:rsidP="00840AD7">
      <w:pPr>
        <w:pStyle w:val="FootnoteText"/>
        <w:rPr>
          <w:rFonts w:asciiTheme="minorHAnsi" w:hAnsiTheme="minorHAnsi"/>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endTB Consortium. </w:t>
      </w:r>
      <w:r w:rsidRPr="00DE5FDC">
        <w:rPr>
          <w:rFonts w:asciiTheme="minorHAnsi" w:hAnsiTheme="minorHAnsi"/>
          <w:i/>
          <w:sz w:val="16"/>
          <w:szCs w:val="16"/>
        </w:rPr>
        <w:t>endTB Clinical and Programmatic Guide for Patient Management with New TB Drugs</w:t>
      </w:r>
      <w:r w:rsidRPr="00DE5FDC">
        <w:rPr>
          <w:rFonts w:asciiTheme="minorHAnsi" w:hAnsiTheme="minorHAnsi"/>
          <w:sz w:val="16"/>
          <w:szCs w:val="16"/>
        </w:rPr>
        <w:t>. Version 4.0; January 2018.</w:t>
      </w:r>
    </w:p>
  </w:footnote>
  <w:footnote w:id="3">
    <w:p w14:paraId="59405589" w14:textId="6B713774" w:rsidR="00395962" w:rsidRPr="00DE5FDC" w:rsidRDefault="00395962" w:rsidP="00DE5FDC">
      <w:pPr>
        <w:pStyle w:val="FootnoteText"/>
        <w:spacing w:before="0" w:after="0"/>
        <w:contextualSpacing/>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WHO consolidated guidelines on drug-resistant tuberculosis treatment. Geneva: World Health Organization; 2019. License: CC BY-NC-SA 3.0 IGO. </w:t>
      </w:r>
    </w:p>
  </w:footnote>
  <w:footnote w:id="4">
    <w:p w14:paraId="569991FB" w14:textId="2A4E8C3F" w:rsidR="00395962" w:rsidRPr="00DE5FDC" w:rsidRDefault="00395962" w:rsidP="00DE5FDC">
      <w:pPr>
        <w:pStyle w:val="FootnoteText"/>
        <w:spacing w:before="0" w:after="0"/>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The endTB toolkit for the implementation of all-oral shorter treatment regimens (STRs) under operational research conditions will be available on the endTB website in August 2019 at: </w:t>
      </w:r>
      <w:hyperlink r:id="rId1" w:history="1">
        <w:r w:rsidRPr="00DE5FDC">
          <w:rPr>
            <w:rStyle w:val="Hyperlink"/>
            <w:rFonts w:asciiTheme="minorHAnsi" w:hAnsiTheme="minorHAnsi"/>
            <w:sz w:val="16"/>
            <w:szCs w:val="16"/>
          </w:rPr>
          <w:t>www.endTB.org/toolkit</w:t>
        </w:r>
      </w:hyperlink>
      <w:r w:rsidRPr="00DE5FDC">
        <w:rPr>
          <w:rFonts w:asciiTheme="minorHAnsi" w:hAnsiTheme="minorHAnsi"/>
          <w:sz w:val="16"/>
          <w:szCs w:val="16"/>
        </w:rPr>
        <w:t xml:space="preserve">.  </w:t>
      </w:r>
    </w:p>
  </w:footnote>
  <w:footnote w:id="5">
    <w:p w14:paraId="6B71DF6A" w14:textId="77777777" w:rsidR="00395962" w:rsidRPr="00DE5FDC" w:rsidRDefault="00395962" w:rsidP="00DE5FDC">
      <w:pPr>
        <w:spacing w:before="0" w:after="0"/>
        <w:contextualSpacing/>
        <w:jc w:val="lef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The Evaluation of Effectiveness and Safety of Novel Shorter Treatment Regimens for Multidrug-Resistant Tuberculosis. Operational Research Protocol Template. A publication of the Global Drug-resistant TB Initiative (GDI) A Working Group of the Stop TB Partnership. May 2018. Available at: </w:t>
      </w:r>
      <w:hyperlink r:id="rId2" w:history="1">
        <w:r w:rsidRPr="00DE5FDC">
          <w:rPr>
            <w:rStyle w:val="Hyperlink"/>
            <w:rFonts w:asciiTheme="minorHAnsi" w:hAnsiTheme="minorHAnsi"/>
            <w:sz w:val="16"/>
            <w:szCs w:val="16"/>
          </w:rPr>
          <w:t>http://www.stoptb.org/wg/mdrtb/assets/documents/GDI%20OR%20generic%20protocol%20final.pdf</w:t>
        </w:r>
      </w:hyperlink>
    </w:p>
  </w:footnote>
  <w:footnote w:id="6">
    <w:p w14:paraId="2B884806" w14:textId="71BE5F8A" w:rsidR="00395962" w:rsidRPr="00DE5FDC" w:rsidRDefault="00395962" w:rsidP="00DE5FDC">
      <w:pPr>
        <w:pStyle w:val="FootnoteText"/>
        <w:spacing w:before="0" w:after="0"/>
        <w:contextualSpacing/>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Discovering Evidences Supporting the effectiveness of new Treatment for drug Resistant Tuberculosis (DESTRoy TB); publication pending. </w:t>
      </w:r>
    </w:p>
  </w:footnote>
  <w:footnote w:id="7">
    <w:p w14:paraId="1D1523A8" w14:textId="5F0BA8E7" w:rsidR="00395962" w:rsidRPr="006F2F18" w:rsidRDefault="00395962" w:rsidP="00DE5FDC">
      <w:pPr>
        <w:spacing w:before="0" w:after="0"/>
        <w:jc w:val="left"/>
        <w:rPr>
          <w:sz w:val="24"/>
          <w:szCs w:val="24"/>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Publication pending by TDR – for research in diseases of poverty. </w:t>
      </w:r>
      <w:hyperlink r:id="rId3" w:history="1">
        <w:r w:rsidRPr="00DE5FDC">
          <w:rPr>
            <w:rStyle w:val="Hyperlink"/>
            <w:rFonts w:asciiTheme="minorHAnsi" w:hAnsiTheme="minorHAnsi"/>
            <w:sz w:val="16"/>
            <w:szCs w:val="16"/>
          </w:rPr>
          <w:t>https://www.who.int/tdr/en/</w:t>
        </w:r>
      </w:hyperlink>
      <w:r>
        <w:rPr>
          <w:rStyle w:val="Hyperlink"/>
          <w:sz w:val="20"/>
          <w:szCs w:val="20"/>
        </w:rPr>
        <w:t xml:space="preserve">  </w:t>
      </w:r>
    </w:p>
  </w:footnote>
  <w:footnote w:id="8">
    <w:p w14:paraId="33E4A766" w14:textId="7ABC80D0" w:rsidR="00395962" w:rsidRPr="00DE5FDC" w:rsidRDefault="00395962" w:rsidP="008B3FED">
      <w:pPr>
        <w:pStyle w:val="FootnoteText"/>
        <w:spacing w:before="0"/>
        <w:contextualSpacing/>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Active tuberculosis drug-safety monitoring and management (aDSM). Framework for implementation. Geneva: World Health Organization; 2015 (WHO/HTM/TB/2015.28; http://apps.who.int/iris/ bitstream/10665/204465/1/WHO_HTM_TB_2015.28_eng.pdf, accessed 15 February 2019)</w:t>
      </w:r>
    </w:p>
  </w:footnote>
  <w:footnote w:id="9">
    <w:p w14:paraId="3EC90FFC" w14:textId="3F8571D3" w:rsidR="00395962" w:rsidRDefault="00395962">
      <w:pPr>
        <w:pStyle w:val="FootnoteText"/>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The endTB Medical Committee can be contacted through the chair Cathy Hewison, </w:t>
      </w:r>
      <w:hyperlink r:id="rId4" w:history="1">
        <w:r w:rsidRPr="00DE5FDC">
          <w:rPr>
            <w:rStyle w:val="Hyperlink"/>
            <w:rFonts w:asciiTheme="minorHAnsi" w:hAnsiTheme="minorHAnsi"/>
            <w:sz w:val="16"/>
            <w:szCs w:val="16"/>
          </w:rPr>
          <w:t>Cathy.Hewison@paris.msf.org</w:t>
        </w:r>
      </w:hyperlink>
      <w:r>
        <w:t xml:space="preserve"> </w:t>
      </w:r>
    </w:p>
  </w:footnote>
  <w:footnote w:id="10">
    <w:p w14:paraId="05FC57F7" w14:textId="2B1F30D7" w:rsidR="00395962" w:rsidRPr="00DE5FDC" w:rsidRDefault="00395962">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Diacon AH et al. Randomized pilot trial of eight weeks of bedaquiline (TMC207) treatment for multidrug- resistant tuberculosis: long-term outcome, tolerability, and effect on emergence of drug resistance. Antimicrobial Agents and Chemotherapy 2012;56(6):3271–3276</w:t>
      </w:r>
    </w:p>
  </w:footnote>
  <w:footnote w:id="11">
    <w:p w14:paraId="4AE8EB71" w14:textId="1DC956F3" w:rsidR="00395962" w:rsidRPr="00DE5FDC" w:rsidRDefault="00395962">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Diacon AH, et al. TMC207-C208 Study Group. Multidrug-resistant tuberculosis and culture conversion with bedaquiline. N Engl J Med. 2014 Aug 21;371(8):723-32.</w:t>
      </w:r>
    </w:p>
  </w:footnote>
  <w:footnote w:id="12">
    <w:p w14:paraId="5A04A973" w14:textId="3F9F10CB" w:rsidR="00395962" w:rsidRPr="00DE5FDC" w:rsidRDefault="00395962">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Guglielmetti L, Jaspard M, Le Dû D, Lachâtre M, Marigot-Outtandy D, Bernard C, Veziris N, Robert J, Yazdanpanah Y, Caumes E, Fréchet-Jachym M; French MDR-TB Management Group. Long-term outcome and safety of prolonged bedaquiline treatment for multidrug-resistant tuberculosis. Eur Respir J. 2017;49(3).</w:t>
      </w:r>
    </w:p>
  </w:footnote>
  <w:footnote w:id="13">
    <w:p w14:paraId="1D289741" w14:textId="5D0D1C6D" w:rsidR="00395962" w:rsidRPr="00DE5FDC" w:rsidRDefault="00395962">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Bedaquiline- and delamanid-containing regimens achieve excellent interim treatment response without safety concerns: endTB interim analysis. 2018. endTB: Boston, MA</w:t>
      </w:r>
    </w:p>
  </w:footnote>
  <w:footnote w:id="14">
    <w:p w14:paraId="10047D96" w14:textId="77777777" w:rsidR="00395962" w:rsidRPr="00DE5FDC" w:rsidRDefault="00395962" w:rsidP="000704BB">
      <w:pPr>
        <w:pStyle w:val="FootnoteText"/>
        <w:rPr>
          <w:rFonts w:asciiTheme="minorHAnsi" w:hAnsiTheme="minorHAnsi"/>
        </w:rPr>
      </w:pPr>
      <w:r w:rsidRPr="00DE5FDC">
        <w:rPr>
          <w:rStyle w:val="FootnoteReference"/>
          <w:rFonts w:asciiTheme="minorHAnsi" w:hAnsiTheme="minorHAnsi"/>
          <w:sz w:val="16"/>
          <w:szCs w:val="16"/>
        </w:rPr>
        <w:footnoteRef/>
      </w:r>
      <w:r w:rsidRPr="00DE5FDC">
        <w:rPr>
          <w:rFonts w:asciiTheme="minorHAnsi" w:hAnsiTheme="minorHAnsi"/>
          <w:sz w:val="16"/>
          <w:szCs w:val="16"/>
          <w:lang w:val="fr-FR"/>
        </w:rPr>
        <w:t xml:space="preserve"> Brüggemann RJ, Alffenaar JC, Blijlevens NM, et al. </w:t>
      </w:r>
      <w:r w:rsidRPr="00DE5FDC">
        <w:rPr>
          <w:rFonts w:asciiTheme="minorHAnsi" w:hAnsiTheme="minorHAnsi"/>
          <w:sz w:val="16"/>
          <w:szCs w:val="16"/>
        </w:rPr>
        <w:t>Clinical relevance of the pharmacokinetic interactions of azole antifungal drugs with other coadministered agents. </w:t>
      </w:r>
      <w:r w:rsidRPr="00DE5FDC">
        <w:rPr>
          <w:rStyle w:val="Emphasis"/>
          <w:rFonts w:asciiTheme="minorHAnsi" w:hAnsiTheme="minorHAnsi"/>
          <w:sz w:val="16"/>
          <w:szCs w:val="16"/>
        </w:rPr>
        <w:t xml:space="preserve">Clin Inf Dis </w:t>
      </w:r>
      <w:r w:rsidRPr="00DE5FDC">
        <w:rPr>
          <w:rFonts w:asciiTheme="minorHAnsi" w:hAnsiTheme="minorHAnsi"/>
          <w:sz w:val="16"/>
          <w:szCs w:val="16"/>
        </w:rPr>
        <w:t>2009; 48(10): 1441–58.</w:t>
      </w:r>
    </w:p>
  </w:footnote>
  <w:footnote w:id="15">
    <w:p w14:paraId="5E802F30" w14:textId="3D12CE9F" w:rsidR="00395962" w:rsidRPr="00DE5FDC" w:rsidRDefault="00395962" w:rsidP="0045124A">
      <w:pPr>
        <w:rPr>
          <w:rFonts w:asciiTheme="minorHAnsi" w:hAnsiTheme="minorHAnsi"/>
          <w:sz w:val="20"/>
          <w:szCs w:val="20"/>
        </w:rPr>
      </w:pPr>
      <w:r w:rsidRPr="00DE5FDC">
        <w:rPr>
          <w:rStyle w:val="FootnoteReference"/>
          <w:rFonts w:asciiTheme="minorHAnsi" w:hAnsiTheme="minorHAnsi"/>
          <w:sz w:val="16"/>
          <w:szCs w:val="20"/>
        </w:rPr>
        <w:footnoteRef/>
      </w:r>
      <w:r w:rsidRPr="00DE5FDC">
        <w:rPr>
          <w:rFonts w:asciiTheme="minorHAnsi" w:hAnsiTheme="minorHAnsi"/>
          <w:sz w:val="20"/>
          <w:szCs w:val="20"/>
        </w:rPr>
        <w:t xml:space="preserve"> </w:t>
      </w:r>
      <w:r w:rsidRPr="00DE5FDC">
        <w:rPr>
          <w:rFonts w:asciiTheme="minorHAnsi" w:hAnsiTheme="minorHAnsi"/>
          <w:sz w:val="16"/>
          <w:szCs w:val="16"/>
        </w:rPr>
        <w:t>Other drugs that can cause peripheral neuropathy include heart or blood pressure drugs (amiodarone, Hydralazine), drugs used to fight cancer (cisplatin, vincristine, and other cytotoxic drugs); drugs used to fight non-TB infections (dapsone, metronidazole, nitrofurantoin and others); drugs used to treat seizures (phenytoin, phenobarbital, and others); anti-alcohol drugs (disulfiram); drugs to fight HIV (didanosine, emtricitabine, stavudine, tenofovir and emtricitabine (Truvada)) and others (colchicine, used to treat gout). This list is not exhaustive.</w:t>
      </w:r>
      <w:r w:rsidRPr="00DE5FDC">
        <w:rPr>
          <w:rFonts w:asciiTheme="minorHAnsi" w:hAnsiTheme="minorHAnsi"/>
          <w:sz w:val="20"/>
          <w:szCs w:val="20"/>
        </w:rPr>
        <w:t xml:space="preserve"> </w:t>
      </w:r>
    </w:p>
    <w:p w14:paraId="694FBEA6" w14:textId="66C2E961" w:rsidR="00395962" w:rsidRDefault="00395962">
      <w:pPr>
        <w:pStyle w:val="FootnoteText"/>
      </w:pPr>
    </w:p>
  </w:footnote>
  <w:footnote w:id="16">
    <w:p w14:paraId="314F4CAF" w14:textId="208A1963" w:rsidR="00395962" w:rsidRPr="00DE5FDC" w:rsidRDefault="00395962">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Gler MT, et al. Delamanid for multidrug-resistant pulmonary tuberculosis. N Engl J Med. 2012 Jun 7;366(23):2151-60.</w:t>
      </w:r>
    </w:p>
  </w:footnote>
  <w:footnote w:id="17">
    <w:p w14:paraId="225C2D59" w14:textId="62370F50" w:rsidR="00395962" w:rsidRDefault="00395962">
      <w:pPr>
        <w:pStyle w:val="FootnoteText"/>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von Groote-Bidlingmaier F, et al.  Efficacy and safety of delamanid in combination with an optimised background regimen for treatment of multidrug-resistant tuberculosis: a multicentre, randomised, double-blind, placebo-controlled, parallel group phase 3 trial. Lancet Respir Med. 2019 Mar;7(3):249-259.</w:t>
      </w:r>
    </w:p>
  </w:footnote>
  <w:footnote w:id="18">
    <w:p w14:paraId="353040D8" w14:textId="26F45E19" w:rsidR="00395962" w:rsidRPr="00DE5FDC" w:rsidRDefault="00395962">
      <w:pPr>
        <w:pStyle w:val="FootnoteText"/>
        <w:rPr>
          <w:rFonts w:asciiTheme="minorHAnsi" w:hAnsiTheme="minorHAnsi"/>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Ibrahim M, Andries K, Lounis N, Chauffour A, Truffot-Pernot C, Jarlier V, et al. Synergistic activity of R207910 combined with pyrazinamide against murine tuberculosis. Antimicrob Agents Chemother. 2007 Mar 1;51(3):1011–5. PMCID: PMC1803154</w:t>
      </w:r>
    </w:p>
  </w:footnote>
  <w:footnote w:id="19">
    <w:p w14:paraId="126A4E75" w14:textId="2C78C403" w:rsidR="00395962" w:rsidRPr="00DE5FDC" w:rsidRDefault="00395962" w:rsidP="00DD607A">
      <w:pPr>
        <w:pStyle w:val="FootnoteText"/>
        <w:rPr>
          <w:rFonts w:asciiTheme="minorHAnsi" w:hAnsiTheme="minorHAnsi"/>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endTB Medical Review Board. Beta-blocker use in MDR-TB patients, ver 2.0. 17 January 2017 (unpublished, personal communication Cathy Hewison and Michael Rich). </w:t>
      </w:r>
    </w:p>
  </w:footnote>
  <w:footnote w:id="20">
    <w:p w14:paraId="0BC18D7A" w14:textId="77777777" w:rsidR="00395962" w:rsidRPr="00DE5FDC" w:rsidRDefault="00395962" w:rsidP="00686393">
      <w:pPr>
        <w:pStyle w:val="FootnoteText"/>
        <w:rPr>
          <w:rFonts w:asciiTheme="minorHAnsi" w:hAnsiTheme="minorHAnsi"/>
          <w:sz w:val="16"/>
          <w:szCs w:val="16"/>
          <w:lang w:val="fr-FR"/>
        </w:rPr>
      </w:pPr>
      <w:r w:rsidRPr="00DE5FDC">
        <w:rPr>
          <w:rStyle w:val="FootnoteReference"/>
          <w:rFonts w:asciiTheme="minorHAnsi" w:hAnsiTheme="minorHAnsi"/>
          <w:sz w:val="16"/>
          <w:szCs w:val="16"/>
        </w:rPr>
        <w:footnoteRef/>
      </w:r>
      <w:r w:rsidRPr="00DE5FDC">
        <w:rPr>
          <w:rFonts w:asciiTheme="minorHAnsi" w:hAnsiTheme="minorHAnsi"/>
          <w:sz w:val="16"/>
          <w:szCs w:val="16"/>
          <w:lang w:val="fr-FR"/>
        </w:rPr>
        <w:t xml:space="preserve"> Guglielmetti L, Jaspard M, Le Du D, Lachatre M, Marigot-Outtandy D, et al. </w:t>
      </w:r>
      <w:r w:rsidRPr="00DE5FDC">
        <w:rPr>
          <w:rFonts w:asciiTheme="minorHAnsi" w:hAnsiTheme="minorHAnsi"/>
          <w:sz w:val="16"/>
          <w:szCs w:val="16"/>
        </w:rPr>
        <w:t xml:space="preserve">Long-term outcome and safety of prolonged bedaquiline treatment for multidrug-resistant tuberculosis. </w:t>
      </w:r>
      <w:r w:rsidRPr="00DE5FDC">
        <w:rPr>
          <w:rFonts w:asciiTheme="minorHAnsi" w:hAnsiTheme="minorHAnsi"/>
          <w:i/>
          <w:iCs/>
          <w:sz w:val="16"/>
          <w:szCs w:val="16"/>
          <w:lang w:val="fr-FR"/>
        </w:rPr>
        <w:t>Eur Respir J</w:t>
      </w:r>
      <w:r w:rsidRPr="00DE5FDC">
        <w:rPr>
          <w:rFonts w:asciiTheme="minorHAnsi" w:hAnsiTheme="minorHAnsi"/>
          <w:sz w:val="16"/>
          <w:szCs w:val="16"/>
          <w:lang w:val="fr-FR"/>
        </w:rPr>
        <w:t xml:space="preserve"> 2017; 49(3): 1601799.</w:t>
      </w:r>
    </w:p>
  </w:footnote>
  <w:footnote w:id="21">
    <w:p w14:paraId="1B5D34CC" w14:textId="77777777" w:rsidR="00395962" w:rsidRPr="00DE5FDC" w:rsidRDefault="00395962" w:rsidP="00686393">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lang w:val="fr-FR"/>
        </w:rPr>
        <w:t xml:space="preserve"> Ndjeka N, Conradie F, Schnippel K, Hughes J, Bantubani N, et al. </w:t>
      </w:r>
      <w:r w:rsidRPr="00DE5FDC">
        <w:rPr>
          <w:rFonts w:asciiTheme="minorHAnsi" w:hAnsiTheme="minorHAnsi"/>
          <w:sz w:val="16"/>
          <w:szCs w:val="16"/>
        </w:rPr>
        <w:t xml:space="preserve">Treatment of drug-resistant tuberculosis with bedaquiline in a high HIV prevalence setting: an interim cohort analysis. </w:t>
      </w:r>
      <w:r w:rsidRPr="00DE5FDC">
        <w:rPr>
          <w:rFonts w:asciiTheme="minorHAnsi" w:hAnsiTheme="minorHAnsi"/>
          <w:i/>
          <w:iCs/>
          <w:sz w:val="16"/>
          <w:szCs w:val="16"/>
        </w:rPr>
        <w:t>Int J Tuberc Lung Dis</w:t>
      </w:r>
      <w:r w:rsidRPr="00DE5FDC">
        <w:rPr>
          <w:rFonts w:asciiTheme="minorHAnsi" w:hAnsiTheme="minorHAnsi"/>
          <w:sz w:val="16"/>
          <w:szCs w:val="16"/>
        </w:rPr>
        <w:t xml:space="preserve"> 2015; 19(8): 979-985.</w:t>
      </w:r>
    </w:p>
  </w:footnote>
  <w:footnote w:id="22">
    <w:p w14:paraId="61BF47C8" w14:textId="77777777" w:rsidR="00395962" w:rsidRPr="00DE5FDC" w:rsidRDefault="00395962" w:rsidP="00686393">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Pym AS, Diacon AH, Tang SJ, Conradie F, Danilovits M, et al. Bedaquiline in the treatment of multidrug- and extensively drug-resistant tuberculosis. </w:t>
      </w:r>
      <w:r w:rsidRPr="00DE5FDC">
        <w:rPr>
          <w:rFonts w:asciiTheme="minorHAnsi" w:hAnsiTheme="minorHAnsi"/>
          <w:i/>
          <w:iCs/>
          <w:sz w:val="16"/>
          <w:szCs w:val="16"/>
        </w:rPr>
        <w:t>Eur Respir J</w:t>
      </w:r>
      <w:r w:rsidRPr="00DE5FDC">
        <w:rPr>
          <w:rFonts w:asciiTheme="minorHAnsi" w:hAnsiTheme="minorHAnsi"/>
          <w:sz w:val="16"/>
          <w:szCs w:val="16"/>
        </w:rPr>
        <w:t xml:space="preserve"> 2016; 47(2):564-574.</w:t>
      </w:r>
    </w:p>
  </w:footnote>
  <w:footnote w:id="23">
    <w:p w14:paraId="4462A396" w14:textId="3F1D2D11" w:rsidR="00395962" w:rsidRPr="00DE5FDC" w:rsidRDefault="00395962" w:rsidP="00686393">
      <w:pPr>
        <w:pStyle w:val="FootnoteText"/>
        <w:rPr>
          <w:rFonts w:asciiTheme="minorHAnsi" w:hAnsiTheme="minorHAnsi"/>
          <w:sz w:val="16"/>
          <w:szCs w:val="16"/>
          <w:lang w:eastAsia="ko-KR"/>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Udwadia ZF, Ganatra S, Mullerpattan JB. Compassionate use of bedaquiline in highly drug-resistant tuberculosis patients in Mumbai, India. </w:t>
      </w:r>
      <w:r w:rsidRPr="00DE5FDC">
        <w:rPr>
          <w:rFonts w:asciiTheme="minorHAnsi" w:hAnsiTheme="minorHAnsi"/>
          <w:i/>
          <w:iCs/>
          <w:sz w:val="16"/>
          <w:szCs w:val="16"/>
        </w:rPr>
        <w:t>Eur Respir J</w:t>
      </w:r>
      <w:r w:rsidRPr="00DE5FDC">
        <w:rPr>
          <w:rFonts w:asciiTheme="minorHAnsi" w:hAnsiTheme="minorHAnsi"/>
          <w:sz w:val="16"/>
          <w:szCs w:val="16"/>
        </w:rPr>
        <w:t xml:space="preserve"> 2017; 49(3).</w:t>
      </w:r>
    </w:p>
  </w:footnote>
  <w:footnote w:id="24">
    <w:p w14:paraId="3EA2D9E9" w14:textId="77777777" w:rsidR="00395962" w:rsidRPr="00DE5FDC" w:rsidRDefault="00395962" w:rsidP="0028721F">
      <w:pPr>
        <w:pStyle w:val="FootnoteText"/>
        <w:rPr>
          <w:rFonts w:asciiTheme="minorHAnsi" w:hAnsiTheme="minorHAnsi"/>
          <w:sz w:val="16"/>
          <w:szCs w:val="16"/>
          <w:lang w:val="fr-FR"/>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Hewison C, Ferlazzo G, Avaliani Z, Hayrapetyan A, Jonckheere S, et al. Six-month response to delamanid treatment in MDR TB patients. </w:t>
      </w:r>
      <w:r w:rsidRPr="00DE5FDC">
        <w:rPr>
          <w:rFonts w:asciiTheme="minorHAnsi" w:hAnsiTheme="minorHAnsi"/>
          <w:i/>
          <w:iCs/>
          <w:sz w:val="16"/>
          <w:szCs w:val="16"/>
          <w:lang w:val="fr-FR"/>
        </w:rPr>
        <w:t>Emerg Infect Dis</w:t>
      </w:r>
      <w:r w:rsidRPr="00DE5FDC">
        <w:rPr>
          <w:rFonts w:asciiTheme="minorHAnsi" w:hAnsiTheme="minorHAnsi"/>
          <w:sz w:val="16"/>
          <w:szCs w:val="16"/>
          <w:lang w:val="fr-FR"/>
        </w:rPr>
        <w:t xml:space="preserve"> 2017; 23(10). doi: 10.3201/eid2310.170468.</w:t>
      </w:r>
    </w:p>
  </w:footnote>
  <w:footnote w:id="25">
    <w:p w14:paraId="31A65B6D" w14:textId="77777777" w:rsidR="00395962" w:rsidRPr="00DE5FDC" w:rsidRDefault="00395962" w:rsidP="00DE5FDC">
      <w:pPr>
        <w:pStyle w:val="FootnoteText"/>
        <w:spacing w:before="0" w:after="0"/>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Ager S, Gould K. Clinical update on linezolid in the treatment of Gram-positive bacterial infections. Infect Drug Resist. 2012; 5: 87–102</w:t>
      </w:r>
    </w:p>
  </w:footnote>
  <w:footnote w:id="26">
    <w:p w14:paraId="560E29AE" w14:textId="77777777" w:rsidR="00395962" w:rsidRPr="00DE5FDC" w:rsidRDefault="00395962" w:rsidP="00DE5FDC">
      <w:pPr>
        <w:spacing w:before="0" w:after="0"/>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Deng J, Su LX, Liang ZX, Liang LL, Yan P, Jia YH, Zhang XG, Feng D, Xie LX. Effects of vitamin b6 therapy for sepsis patients with linezolid-associated cytopenias: a retrospective study. Curr Ther Res Clin Exp. 2013 Jun;74:26-32</w:t>
      </w:r>
    </w:p>
    <w:p w14:paraId="7861E42E" w14:textId="77777777" w:rsidR="00395962" w:rsidRDefault="00395962" w:rsidP="001C7A69">
      <w:pPr>
        <w:pStyle w:val="FootnoteText"/>
      </w:pPr>
    </w:p>
  </w:footnote>
  <w:footnote w:id="27">
    <w:p w14:paraId="17FD7F09" w14:textId="2BB9E9CA" w:rsidR="00395962" w:rsidRPr="00DE5FDC" w:rsidRDefault="00395962">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Seddon JA, Schaaf HS, Marais BJ, McKenna L, Garcia-Prats AJ, Hesseling AC, Hughes J, Howell P, Detjen A, Amanullah F, Singh U, Master I, Perez-Velez CM, Misra N, Becerra MC, Furin JJ. Time to act on injectable-free regimens for children with multidrug-resistant tuberculosis. Lancet Respir Med. 2018 09; 6(9):662-664.</w:t>
      </w:r>
    </w:p>
  </w:footnote>
  <w:footnote w:id="28">
    <w:p w14:paraId="5ADA0D01" w14:textId="42AD9CD1" w:rsidR="00395962" w:rsidRDefault="00395962">
      <w:pPr>
        <w:pStyle w:val="FootnoteText"/>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Nachman S, Ahmed A, Amanullah F, et al. Towards early inclusion of children in tuberculosis drugs trials: a consensus statement. Lancet Infect Dis. 2015 Jun;15(6):711-20.</w:t>
      </w:r>
    </w:p>
  </w:footnote>
  <w:footnote w:id="29">
    <w:p w14:paraId="2E726B9E" w14:textId="4418827A" w:rsidR="00395962" w:rsidRPr="00DE5FDC" w:rsidRDefault="00395962">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Gupta A, Mathad JS, Abdel-Rahman SM, et al. Toward Earlier Inclusion of Pregnant and Postpartum Women in Tuberculosis Drug Trials: Consensus Statements From an International Expert Panel.  Clin Infect Dis. 2016 Mar 15;62(6):761-769.</w:t>
      </w:r>
    </w:p>
  </w:footnote>
  <w:footnote w:id="30">
    <w:p w14:paraId="49F92B9F" w14:textId="77777777" w:rsidR="00395962" w:rsidRDefault="00395962" w:rsidP="001C7A69">
      <w:pPr>
        <w:pStyle w:val="FootnoteText"/>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Jaspard M, Elefant-Amoura E, Melonio I, De Montgolfier I, Veziris N, et al. Bedaquiline and linezolid for extensively drug-resistant tuberculosis in pregnant woman. </w:t>
      </w:r>
      <w:r w:rsidRPr="00DE5FDC">
        <w:rPr>
          <w:rFonts w:asciiTheme="minorHAnsi" w:hAnsiTheme="minorHAnsi"/>
          <w:i/>
          <w:iCs/>
          <w:sz w:val="16"/>
          <w:szCs w:val="16"/>
        </w:rPr>
        <w:t>Emerg Infect Dis</w:t>
      </w:r>
      <w:r w:rsidRPr="00DE5FDC">
        <w:rPr>
          <w:rFonts w:asciiTheme="minorHAnsi" w:hAnsiTheme="minorHAnsi"/>
          <w:sz w:val="16"/>
          <w:szCs w:val="16"/>
        </w:rPr>
        <w:t xml:space="preserve"> 2017; 23(10). doi: 10.3201/eid2310.161398.</w:t>
      </w:r>
    </w:p>
  </w:footnote>
  <w:footnote w:id="31">
    <w:p w14:paraId="770B4EEC" w14:textId="77777777" w:rsidR="00395962" w:rsidRPr="00DE5FDC" w:rsidRDefault="00395962" w:rsidP="001C7A69">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Akkerman OW, Odish OF, Bolhuis MS, et al. Pharmacokinetics of bedaquiline in cerebrospinal fluid and serum in multidrug-resistant tuberculous meningitis. </w:t>
      </w:r>
      <w:r w:rsidRPr="00DE5FDC">
        <w:rPr>
          <w:rFonts w:asciiTheme="minorHAnsi" w:hAnsiTheme="minorHAnsi"/>
          <w:i/>
          <w:iCs/>
          <w:sz w:val="16"/>
          <w:szCs w:val="16"/>
        </w:rPr>
        <w:t>Clin Inf Dis</w:t>
      </w:r>
      <w:r w:rsidRPr="00DE5FDC">
        <w:rPr>
          <w:rFonts w:asciiTheme="minorHAnsi" w:hAnsiTheme="minorHAnsi"/>
          <w:sz w:val="16"/>
          <w:szCs w:val="16"/>
        </w:rPr>
        <w:t xml:space="preserve"> 2016; 62(4): 523-4. </w:t>
      </w:r>
    </w:p>
  </w:footnote>
  <w:footnote w:id="32">
    <w:p w14:paraId="07DF9D9D" w14:textId="77777777" w:rsidR="00395962" w:rsidRDefault="00395962" w:rsidP="001C7A69">
      <w:pPr>
        <w:pStyle w:val="FootnoteText"/>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Tsona A, Metallidis S, Foroglou N, Selviaridis P, Chrysanthidis T, Lazaraki G, Papaioannou M, Nikolaidis J, Nikolaidis P. Linezolid penetration into cerebrospinal fluid and brain tissue. J Chemother. 2010 Feb;22(1):17-9.</w:t>
      </w:r>
    </w:p>
  </w:footnote>
  <w:footnote w:id="33">
    <w:p w14:paraId="3471A2F7" w14:textId="77777777" w:rsidR="00395962" w:rsidRPr="00DE5FDC" w:rsidRDefault="00395962" w:rsidP="00BD1048">
      <w:pPr>
        <w:pStyle w:val="FootnoteText"/>
        <w:rPr>
          <w:rFonts w:asciiTheme="minorHAnsi" w:hAnsiTheme="minorHAnsi"/>
          <w:sz w:val="16"/>
          <w:szCs w:val="16"/>
        </w:rPr>
      </w:pPr>
      <w:r w:rsidRPr="00DE5FDC">
        <w:rPr>
          <w:rStyle w:val="FootnoteReference"/>
          <w:rFonts w:asciiTheme="minorHAnsi" w:hAnsiTheme="minorHAnsi"/>
          <w:sz w:val="16"/>
          <w:szCs w:val="16"/>
        </w:rPr>
        <w:footnoteRef/>
      </w:r>
      <w:r w:rsidRPr="00DE5FDC">
        <w:rPr>
          <w:rFonts w:asciiTheme="minorHAnsi" w:hAnsiTheme="minorHAnsi"/>
          <w:sz w:val="16"/>
          <w:szCs w:val="16"/>
        </w:rPr>
        <w:t xml:space="preserve"> </w:t>
      </w:r>
      <w:r w:rsidRPr="00DE5FDC">
        <w:rPr>
          <w:rFonts w:asciiTheme="minorHAnsi" w:hAnsiTheme="minorHAnsi"/>
          <w:sz w:val="16"/>
          <w:szCs w:val="16"/>
          <w:lang w:val="en-GB"/>
        </w:rPr>
        <w:t xml:space="preserve">WHO global database for TB active drug safety monitoring, information can be accessed at </w:t>
      </w:r>
      <w:hyperlink r:id="rId5" w:history="1">
        <w:r w:rsidRPr="00DE5FDC">
          <w:rPr>
            <w:rStyle w:val="Hyperlink"/>
            <w:rFonts w:asciiTheme="minorHAnsi" w:hAnsiTheme="minorHAnsi"/>
            <w:sz w:val="16"/>
            <w:szCs w:val="16"/>
          </w:rPr>
          <w:t>https://www.who.int/tdr/research/tb_hiv/adsm/en/</w:t>
        </w:r>
      </w:hyperlink>
    </w:p>
    <w:p w14:paraId="51B55C48" w14:textId="2909B03F" w:rsidR="00395962" w:rsidRDefault="00395962">
      <w:pPr>
        <w:pStyle w:val="FootnoteText"/>
      </w:pPr>
    </w:p>
  </w:footnote>
  <w:footnote w:id="34">
    <w:p w14:paraId="3E6CA0C4" w14:textId="77777777" w:rsidR="00395962" w:rsidRPr="00E564C6" w:rsidRDefault="00395962" w:rsidP="001C7A69">
      <w:pPr>
        <w:pStyle w:val="FootnoteText"/>
        <w:rPr>
          <w:rFonts w:asciiTheme="minorHAnsi" w:hAnsiTheme="minorHAnsi"/>
        </w:rPr>
      </w:pPr>
      <w:r w:rsidRPr="00D6496E">
        <w:rPr>
          <w:rStyle w:val="FootnoteReference"/>
          <w:rFonts w:asciiTheme="minorHAnsi" w:hAnsiTheme="minorHAnsi"/>
          <w:sz w:val="16"/>
          <w:szCs w:val="16"/>
        </w:rPr>
        <w:footnoteRef/>
      </w:r>
      <w:r w:rsidRPr="00D6496E">
        <w:rPr>
          <w:rFonts w:asciiTheme="minorHAnsi" w:hAnsiTheme="minorHAnsi"/>
          <w:sz w:val="16"/>
          <w:szCs w:val="16"/>
        </w:rPr>
        <w:t xml:space="preserve"> The scale includes all terms from the National Institute of Allergy and infectious Diseases (NIAID) Division of Microbiology and Infectious Diseases (DMID) grading system and a selection of relevant terms from the National Cancer Institute (NCI) Common Terminology Criteria for Adverse Events (CTCAE) or other scales.</w:t>
      </w:r>
    </w:p>
  </w:footnote>
  <w:footnote w:id="35">
    <w:p w14:paraId="0ABD97FC" w14:textId="77777777" w:rsidR="00395962" w:rsidRDefault="00395962" w:rsidP="004305C4">
      <w:pPr>
        <w:pStyle w:val="FootnoteText"/>
      </w:pPr>
      <w:r>
        <w:rPr>
          <w:rStyle w:val="FootnoteReference"/>
        </w:rPr>
        <w:footnoteRef/>
      </w:r>
      <w:r w:rsidRPr="00B508B9">
        <w:rPr>
          <w:sz w:val="16"/>
        </w:rPr>
        <w:t xml:space="preserve"> </w:t>
      </w:r>
      <w:hyperlink r:id="rId6" w:history="1">
        <w:r w:rsidRPr="00B508B9">
          <w:rPr>
            <w:rStyle w:val="Hyperlink"/>
            <w:sz w:val="16"/>
          </w:rPr>
          <w:t>tbsentinelproject@gmail.com</w:t>
        </w:r>
      </w:hyperlink>
    </w:p>
  </w:footnote>
  <w:footnote w:id="36">
    <w:p w14:paraId="267C6163" w14:textId="77777777" w:rsidR="00395962" w:rsidRDefault="00395962" w:rsidP="004305C4">
      <w:pPr>
        <w:pStyle w:val="FootnoteText"/>
      </w:pPr>
      <w:r>
        <w:rPr>
          <w:rStyle w:val="FootnoteReference"/>
        </w:rPr>
        <w:footnoteRef/>
      </w:r>
      <w:r w:rsidRPr="00B508B9">
        <w:rPr>
          <w:sz w:val="16"/>
        </w:rPr>
        <w:t xml:space="preserve"> </w:t>
      </w:r>
      <w:hyperlink r:id="rId7" w:history="1">
        <w:r w:rsidRPr="00B508B9">
          <w:rPr>
            <w:rStyle w:val="Hyperlink"/>
            <w:sz w:val="16"/>
          </w:rPr>
          <w:t>tbsentinelproject@gmail.com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0AD8F" w14:textId="24C36EF8" w:rsidR="00395962" w:rsidRDefault="00395962">
    <w:pPr>
      <w:pStyle w:val="Header"/>
    </w:pPr>
    <w:r>
      <w:rPr>
        <w:noProof/>
      </w:rPr>
      <mc:AlternateContent>
        <mc:Choice Requires="wps">
          <w:drawing>
            <wp:anchor distT="0" distB="0" distL="114300" distR="114300" simplePos="0" relativeHeight="251658292" behindDoc="1" locked="0" layoutInCell="0" allowOverlap="1" wp14:anchorId="012588F5" wp14:editId="6C1C4A96">
              <wp:simplePos x="0" y="0"/>
              <wp:positionH relativeFrom="margin">
                <wp:align>center</wp:align>
              </wp:positionH>
              <wp:positionV relativeFrom="margin">
                <wp:align>center</wp:align>
              </wp:positionV>
              <wp:extent cx="6285230" cy="2094865"/>
              <wp:effectExtent l="0" t="0" r="0" b="0"/>
              <wp:wrapNone/>
              <wp:docPr id="694454881"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A914C3"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12588F5" id="_x0000_t202" coordsize="21600,21600" o:spt="202" path="m,l,21600r21600,l21600,xe">
              <v:stroke joinstyle="miter"/>
              <v:path gradientshapeok="t" o:connecttype="rect"/>
            </v:shapetype>
            <v:shape id="PowerPlusWaterMarkObject704960273" o:spid="_x0000_s1027" type="#_x0000_t202" style="position:absolute;left:0;text-align:left;margin-left:0;margin-top:0;width:494.9pt;height:164.95pt;rotation:-45;z-index:-2516581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ef/2ywIAAHU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" o:allowincell="f" filled="f" stroked="f">
              <v:stroke joinstyle="round"/>
              <o:lock v:ext="edit" rotation="t" aspectratio="t" verticies="t" adjusthandles="t" grouping="t" shapetype="t"/>
              <v:textbox>
                <w:txbxContent>
                  <w:p w14:paraId="1CA914C3"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3" behindDoc="1" locked="0" layoutInCell="0" allowOverlap="1" wp14:anchorId="40FB6C98" wp14:editId="36223436">
              <wp:simplePos x="0" y="0"/>
              <wp:positionH relativeFrom="margin">
                <wp:align>center</wp:align>
              </wp:positionH>
              <wp:positionV relativeFrom="margin">
                <wp:align>center</wp:align>
              </wp:positionV>
              <wp:extent cx="6285230" cy="2094865"/>
              <wp:effectExtent l="0" t="0" r="0" b="0"/>
              <wp:wrapNone/>
              <wp:docPr id="694454880"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9C18B3"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0FB6C98" id="_x0000_s1028" type="#_x0000_t202" style="position:absolute;left:0;text-align:left;margin-left:0;margin-top:0;width:494.9pt;height:164.95pt;rotation:-45;z-index:-25165819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DX18qLzgIAAHw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7C9C18B3"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4" behindDoc="1" locked="0" layoutInCell="0" allowOverlap="1" wp14:anchorId="737138B3" wp14:editId="49F2A3A9">
              <wp:simplePos x="0" y="0"/>
              <wp:positionH relativeFrom="margin">
                <wp:align>center</wp:align>
              </wp:positionH>
              <wp:positionV relativeFrom="margin">
                <wp:align>center</wp:align>
              </wp:positionV>
              <wp:extent cx="6285230" cy="2094865"/>
              <wp:effectExtent l="0" t="0" r="0" b="0"/>
              <wp:wrapNone/>
              <wp:docPr id="789972407"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96F5669"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37138B3" id="_x0000_s1029" type="#_x0000_t202" style="position:absolute;left:0;text-align:left;margin-left:0;margin-top:0;width:494.9pt;height:164.95pt;rotation:-45;z-index:-25165820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aS3/Vc8CAAB8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596F5669"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5" behindDoc="1" locked="0" layoutInCell="0" allowOverlap="1" wp14:anchorId="63D59A01" wp14:editId="6B509985">
              <wp:simplePos x="0" y="0"/>
              <wp:positionH relativeFrom="margin">
                <wp:align>center</wp:align>
              </wp:positionH>
              <wp:positionV relativeFrom="margin">
                <wp:align>center</wp:align>
              </wp:positionV>
              <wp:extent cx="6285230" cy="2094865"/>
              <wp:effectExtent l="0" t="0" r="0" b="0"/>
              <wp:wrapNone/>
              <wp:docPr id="789972406"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A2D693"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3D59A01" id="_x0000_s1030" type="#_x0000_t202" style="position:absolute;left:0;text-align:left;margin-left:0;margin-top:0;width:494.9pt;height:164.95pt;rotation:-45;z-index:-25165821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Dr1u7tzgIAAHw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47A2D693"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9" behindDoc="1" locked="0" layoutInCell="0" allowOverlap="1" wp14:anchorId="28F8DC78" wp14:editId="65FCD310">
              <wp:simplePos x="0" y="0"/>
              <wp:positionH relativeFrom="margin">
                <wp:align>center</wp:align>
              </wp:positionH>
              <wp:positionV relativeFrom="margin">
                <wp:align>center</wp:align>
              </wp:positionV>
              <wp:extent cx="6285230" cy="2094865"/>
              <wp:effectExtent l="0" t="0" r="0" b="0"/>
              <wp:wrapNone/>
              <wp:docPr id="583444790"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118E8B8"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8F8DC78" id="_x0000_s1031" type="#_x0000_t202" style="position:absolute;left:0;text-align:left;margin-left:0;margin-top:0;width:494.9pt;height:164.95pt;rotation:-45;z-index:-25165817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uZuChM8CAAB8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1118E8B8"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0" behindDoc="1" locked="0" layoutInCell="0" allowOverlap="1" wp14:anchorId="1E137624" wp14:editId="0700A06A">
              <wp:simplePos x="0" y="0"/>
              <wp:positionH relativeFrom="margin">
                <wp:align>center</wp:align>
              </wp:positionH>
              <wp:positionV relativeFrom="margin">
                <wp:align>center</wp:align>
              </wp:positionV>
              <wp:extent cx="6285230" cy="2094865"/>
              <wp:effectExtent l="0" t="0" r="0" b="0"/>
              <wp:wrapNone/>
              <wp:docPr id="583444789"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489BDA"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E137624" id="_x0000_s1032" type="#_x0000_t202" style="position:absolute;left:0;text-align:left;margin-left:0;margin-top:0;width:494.9pt;height:164.95pt;rotation:-45;z-index:-25165817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JOGbzwIAAHw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eSThm88CAAB8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72489BDA"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6" behindDoc="1" locked="0" layoutInCell="0" allowOverlap="1" wp14:anchorId="17313B29" wp14:editId="51824A5D">
              <wp:simplePos x="0" y="0"/>
              <wp:positionH relativeFrom="margin">
                <wp:align>center</wp:align>
              </wp:positionH>
              <wp:positionV relativeFrom="margin">
                <wp:align>center</wp:align>
              </wp:positionV>
              <wp:extent cx="6285230" cy="2094865"/>
              <wp:effectExtent l="0" t="0" r="0" b="0"/>
              <wp:wrapNone/>
              <wp:docPr id="583444769"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AAFAEA"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7313B29" id="_x0000_s1033" type="#_x0000_t202" style="position:absolute;left:0;text-align:left;margin-left:0;margin-top:0;width:494.9pt;height:164.9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ocXi0AIAAHw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IahxeLQAgAAfA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64AAFAEA"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47" behindDoc="1" locked="0" layoutInCell="0" allowOverlap="1" wp14:anchorId="6AF1B78C" wp14:editId="107FF479">
              <wp:simplePos x="0" y="0"/>
              <wp:positionH relativeFrom="margin">
                <wp:align>center</wp:align>
              </wp:positionH>
              <wp:positionV relativeFrom="margin">
                <wp:align>center</wp:align>
              </wp:positionV>
              <wp:extent cx="6285230" cy="2094865"/>
              <wp:effectExtent l="0" t="0" r="0" b="0"/>
              <wp:wrapNone/>
              <wp:docPr id="12"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A4D6574"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AF1B78C" id="_x0000_s1034" type="#_x0000_t202" style="position:absolute;left:0;text-align:left;margin-left:0;margin-top:0;width:494.9pt;height:164.95pt;rotation:-45;z-index:-25165823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" o:allowincell="f" filled="f" stroked="f">
              <v:stroke joinstyle="round"/>
              <o:lock v:ext="edit" rotation="t" aspectratio="t" verticies="t" adjusthandles="t" grouping="t" shapetype="t"/>
              <v:textbox>
                <w:txbxContent>
                  <w:p w14:paraId="3A4D6574"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0" behindDoc="1" locked="0" layoutInCell="0" allowOverlap="1" wp14:anchorId="08FAFD34" wp14:editId="077C9B0E">
              <wp:simplePos x="0" y="0"/>
              <wp:positionH relativeFrom="margin">
                <wp:align>center</wp:align>
              </wp:positionH>
              <wp:positionV relativeFrom="margin">
                <wp:align>center</wp:align>
              </wp:positionV>
              <wp:extent cx="6285230" cy="2094865"/>
              <wp:effectExtent l="0" t="0" r="0" b="0"/>
              <wp:wrapNone/>
              <wp:docPr id="49" name="PowerPlusWaterMarkObject70496027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4002ED"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8FAFD34" id="_x0000_s1035" type="#_x0000_t202" style="position:absolute;left:0;text-align:left;margin-left:0;margin-top:0;width:494.9pt;height:164.95pt;rotation:-45;z-index:-2516581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GWjbGnKAgAAdQ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164002ED"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p w14:paraId="31D4ED67" w14:textId="77777777" w:rsidR="00395962" w:rsidRDefault="00395962"/>
  <w:p w14:paraId="2350F003" w14:textId="77777777" w:rsidR="00395962" w:rsidRDefault="00395962"/>
  <w:p w14:paraId="617391C2" w14:textId="77777777" w:rsidR="00395962" w:rsidRDefault="00395962">
    <w:r>
      <w:rPr>
        <w:noProof/>
      </w:rPr>
      <mc:AlternateContent>
        <mc:Choice Requires="wps">
          <w:drawing>
            <wp:anchor distT="0" distB="0" distL="114300" distR="114300" simplePos="0" relativeHeight="251658244" behindDoc="1" locked="0" layoutInCell="1" allowOverlap="1" wp14:anchorId="05B06E78" wp14:editId="176AF687">
              <wp:simplePos x="0" y="0"/>
              <wp:positionH relativeFrom="page">
                <wp:posOffset>0</wp:posOffset>
              </wp:positionH>
              <wp:positionV relativeFrom="page">
                <wp:posOffset>0</wp:posOffset>
              </wp:positionV>
              <wp:extent cx="0" cy="0"/>
              <wp:effectExtent l="0" t="0" r="0" b="0"/>
              <wp:wrapNone/>
              <wp:docPr id="694454862"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5="http://schemas.microsoft.com/office/drawing/2012/main" xmlns:a14="http://schemas.microsoft.com/office/drawing/2010/main" xmlns:a="http://schemas.openxmlformats.org/drawingml/2006/main" xmlns:w16="http://schemas.microsoft.com/office/word/2018/wordml" xmlns:w16cex="http://schemas.microsoft.com/office/word/2018/wordml/cex">
          <w:pict w14:anchorId="63511DFE">
            <v:rect id="Rectangle 1" style="position:absolute;margin-left:0;margin-top:0;width:0;height:0;z-index:-251658236;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045221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">
              <o:lock v:ext="edit" selection="t" grouping="t" rotation="t" verticies="t" adjusthandles="t" text="t" aspectratio="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9366C" w14:textId="1BB52E34" w:rsidR="00395962" w:rsidRDefault="00395962">
    <w:pPr>
      <w:pStyle w:val="Header"/>
    </w:pPr>
    <w:r>
      <w:rPr>
        <w:noProof/>
      </w:rPr>
      <mc:AlternateContent>
        <mc:Choice Requires="wps">
          <w:drawing>
            <wp:anchor distT="0" distB="0" distL="114300" distR="114300" simplePos="0" relativeHeight="251658293" behindDoc="1" locked="0" layoutInCell="0" allowOverlap="1" wp14:anchorId="6BD8B441" wp14:editId="14D7D2D8">
              <wp:simplePos x="0" y="0"/>
              <wp:positionH relativeFrom="margin">
                <wp:align>center</wp:align>
              </wp:positionH>
              <wp:positionV relativeFrom="margin">
                <wp:align>center</wp:align>
              </wp:positionV>
              <wp:extent cx="6285230" cy="2094865"/>
              <wp:effectExtent l="0" t="0" r="0" b="0"/>
              <wp:wrapNone/>
              <wp:docPr id="694454879"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19EFD4"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BD8B441" id="_x0000_t202" coordsize="21600,21600" o:spt="202" path="m,l,21600r21600,l21600,xe">
              <v:stroke joinstyle="miter"/>
              <v:path gradientshapeok="t" o:connecttype="rect"/>
            </v:shapetype>
            <v:shape id="PowerPlusWaterMarkObject704960274" o:spid="_x0000_s1036" type="#_x0000_t202" style="position:absolute;left:0;text-align:left;margin-left:0;margin-top:0;width:494.9pt;height:164.95pt;rotation:-45;z-index:-25165818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JZPp588CAAB8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6519EFD4"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4" behindDoc="1" locked="0" layoutInCell="0" allowOverlap="1" wp14:anchorId="2A560DEB" wp14:editId="2C0A4145">
              <wp:simplePos x="0" y="0"/>
              <wp:positionH relativeFrom="margin">
                <wp:align>center</wp:align>
              </wp:positionH>
              <wp:positionV relativeFrom="margin">
                <wp:align>center</wp:align>
              </wp:positionV>
              <wp:extent cx="6285230" cy="2094865"/>
              <wp:effectExtent l="0" t="0" r="0" b="0"/>
              <wp:wrapNone/>
              <wp:docPr id="694454878"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E634A11"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A560DEB" id="_x0000_s1037" type="#_x0000_t202" style="position:absolute;left:0;text-align:left;margin-left:0;margin-top:0;width:494.9pt;height:164.95pt;rotation:-45;z-index:-2516581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L+avkc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6E634A11"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5" behindDoc="1" locked="0" layoutInCell="0" allowOverlap="1" wp14:anchorId="3305BC93" wp14:editId="4DDD7EED">
              <wp:simplePos x="0" y="0"/>
              <wp:positionH relativeFrom="margin">
                <wp:align>center</wp:align>
              </wp:positionH>
              <wp:positionV relativeFrom="margin">
                <wp:align>center</wp:align>
              </wp:positionV>
              <wp:extent cx="6285230" cy="2094865"/>
              <wp:effectExtent l="0" t="0" r="0" b="0"/>
              <wp:wrapNone/>
              <wp:docPr id="789972405"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B447EAB"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305BC93" id="_x0000_s1038" type="#_x0000_t202" style="position:absolute;left:0;text-align:left;margin-left:0;margin-top:0;width:494.9pt;height:164.95pt;rotation:-45;z-index:-25165820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CXRXBk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2B447EAB"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6" behindDoc="1" locked="0" layoutInCell="0" allowOverlap="1" wp14:anchorId="3F039374" wp14:editId="4DE9CA90">
              <wp:simplePos x="0" y="0"/>
              <wp:positionH relativeFrom="margin">
                <wp:align>center</wp:align>
              </wp:positionH>
              <wp:positionV relativeFrom="margin">
                <wp:align>center</wp:align>
              </wp:positionV>
              <wp:extent cx="6285230" cy="2094865"/>
              <wp:effectExtent l="0" t="0" r="0" b="0"/>
              <wp:wrapNone/>
              <wp:docPr id="789972404"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10AD1A"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F039374" id="_x0000_s1039" type="#_x0000_t202" style="position:absolute;left:0;text-align:left;margin-left:0;margin-top:0;width:494.9pt;height:164.95pt;rotation:-45;z-index:-25165821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3cUAcM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5110AD1A"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1" behindDoc="1" locked="0" layoutInCell="0" allowOverlap="1" wp14:anchorId="28493A3D" wp14:editId="3FDD874D">
              <wp:simplePos x="0" y="0"/>
              <wp:positionH relativeFrom="margin">
                <wp:align>center</wp:align>
              </wp:positionH>
              <wp:positionV relativeFrom="margin">
                <wp:align>center</wp:align>
              </wp:positionV>
              <wp:extent cx="6285230" cy="2094865"/>
              <wp:effectExtent l="0" t="0" r="0" b="0"/>
              <wp:wrapNone/>
              <wp:docPr id="583444788"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92AC93F"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8493A3D" id="_x0000_s1040" type="#_x0000_t202" style="position:absolute;left:0;text-align:left;margin-left:0;margin-top:0;width:494.9pt;height:164.95pt;rotation:-45;z-index:-25165816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E2yjKn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092AC93F"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2" behindDoc="1" locked="0" layoutInCell="0" allowOverlap="1" wp14:anchorId="165D5097" wp14:editId="7E126675">
              <wp:simplePos x="0" y="0"/>
              <wp:positionH relativeFrom="margin">
                <wp:align>center</wp:align>
              </wp:positionH>
              <wp:positionV relativeFrom="margin">
                <wp:align>center</wp:align>
              </wp:positionV>
              <wp:extent cx="6285230" cy="2094865"/>
              <wp:effectExtent l="0" t="0" r="0" b="0"/>
              <wp:wrapNone/>
              <wp:docPr id="583444787"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B974CA"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65D5097" id="_x0000_s1041" type="#_x0000_t202" style="position:absolute;left:0;text-align:left;margin-left:0;margin-top:0;width:494.9pt;height:164.95pt;rotation:-45;z-index:-251658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FUm74D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47B974CA"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7" behindDoc="1" locked="0" layoutInCell="0" allowOverlap="1" wp14:anchorId="5D0D51EC" wp14:editId="1759BDB1">
              <wp:simplePos x="0" y="0"/>
              <wp:positionH relativeFrom="margin">
                <wp:align>center</wp:align>
              </wp:positionH>
              <wp:positionV relativeFrom="margin">
                <wp:align>center</wp:align>
              </wp:positionV>
              <wp:extent cx="6285230" cy="2094865"/>
              <wp:effectExtent l="0" t="0" r="0" b="0"/>
              <wp:wrapNone/>
              <wp:docPr id="583444768"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87147BE"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D0D51EC" id="_x0000_s1042" type="#_x0000_t202" style="position:absolute;left:0;text-align:left;margin-left:0;margin-top:0;width:494.9pt;height:164.95pt;rotation:-45;z-index:-25165822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Pgg2Xc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587147BE"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48" behindDoc="1" locked="0" layoutInCell="0" allowOverlap="1" wp14:anchorId="7EF32426" wp14:editId="17D26CD9">
              <wp:simplePos x="0" y="0"/>
              <wp:positionH relativeFrom="margin">
                <wp:align>center</wp:align>
              </wp:positionH>
              <wp:positionV relativeFrom="margin">
                <wp:align>center</wp:align>
              </wp:positionV>
              <wp:extent cx="6285230" cy="2094865"/>
              <wp:effectExtent l="0" t="0" r="0" b="0"/>
              <wp:wrapNone/>
              <wp:docPr id="11"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5E1B7B"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EF32426" id="_x0000_s1043" type="#_x0000_t202" style="position:absolute;left:0;text-align:left;margin-left:0;margin-top:0;width:494.9pt;height:164.95pt;rotation:-45;z-index:-2516582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" o:allowincell="f" filled="f" stroked="f">
              <v:stroke joinstyle="round"/>
              <o:lock v:ext="edit" rotation="t" aspectratio="t" verticies="t" adjusthandles="t" grouping="t" shapetype="t"/>
              <v:textbox>
                <w:txbxContent>
                  <w:p w14:paraId="0D5E1B7B"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1" behindDoc="1" locked="0" layoutInCell="0" allowOverlap="1" wp14:anchorId="1202068C" wp14:editId="750CB769">
              <wp:simplePos x="0" y="0"/>
              <wp:positionH relativeFrom="margin">
                <wp:align>center</wp:align>
              </wp:positionH>
              <wp:positionV relativeFrom="margin">
                <wp:align>center</wp:align>
              </wp:positionV>
              <wp:extent cx="6285230" cy="2094865"/>
              <wp:effectExtent l="0" t="0" r="0" b="0"/>
              <wp:wrapNone/>
              <wp:docPr id="48" name="PowerPlusWaterMarkObject70496027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632644F"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202068C" id="_x0000_s1044" type="#_x0000_t202" style="position:absolute;left:0;text-align:left;margin-left:0;margin-top:0;width:494.9pt;height:164.95pt;rotation:-45;z-index:-25165817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B98ClDKAgAAdg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2632644F"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p w14:paraId="50A452D2" w14:textId="77777777" w:rsidR="00395962" w:rsidRDefault="00395962"/>
  <w:p w14:paraId="7314768F" w14:textId="77777777" w:rsidR="00395962" w:rsidRDefault="00395962"/>
  <w:p w14:paraId="29ABADFF" w14:textId="77777777" w:rsidR="00395962" w:rsidRDefault="00395962">
    <w:r>
      <w:rPr>
        <w:noProof/>
      </w:rPr>
      <mc:AlternateContent>
        <mc:Choice Requires="wps">
          <w:drawing>
            <wp:anchor distT="0" distB="0" distL="114300" distR="114300" simplePos="0" relativeHeight="251658243" behindDoc="1" locked="0" layoutInCell="1" allowOverlap="1" wp14:anchorId="5C8AA8E4" wp14:editId="559A0EE5">
              <wp:simplePos x="0" y="0"/>
              <wp:positionH relativeFrom="page">
                <wp:posOffset>0</wp:posOffset>
              </wp:positionH>
              <wp:positionV relativeFrom="page">
                <wp:posOffset>0</wp:posOffset>
              </wp:positionV>
              <wp:extent cx="0" cy="0"/>
              <wp:effectExtent l="0" t="0" r="0" b="0"/>
              <wp:wrapNone/>
              <wp:docPr id="694454863"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5="http://schemas.microsoft.com/office/drawing/2012/main" xmlns:a14="http://schemas.microsoft.com/office/drawing/2010/main" xmlns:a="http://schemas.openxmlformats.org/drawingml/2006/main" xmlns:w16="http://schemas.microsoft.com/office/word/2018/wordml" xmlns:w16cex="http://schemas.microsoft.com/office/word/2018/wordml/cex">
          <w:pict w14:anchorId="1813A275">
            <v:rect id="Rectangle 1" style="position:absolute;margin-left:0;margin-top:0;width:0;height:0;z-index:-251658237;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5BC976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">
              <o:lock v:ext="edit" selection="t" grouping="t" rotation="t" verticies="t" adjusthandles="t" text="t" aspectratio="t" shapetype="t"/>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4816A" w14:textId="54F02F5E" w:rsidR="00395962" w:rsidRDefault="00395962">
    <w:pPr>
      <w:pStyle w:val="Header"/>
    </w:pPr>
    <w:r>
      <w:rPr>
        <w:noProof/>
      </w:rPr>
      <mc:AlternateContent>
        <mc:Choice Requires="wps">
          <w:drawing>
            <wp:anchor distT="0" distB="0" distL="114300" distR="114300" simplePos="0" relativeHeight="251658291" behindDoc="1" locked="0" layoutInCell="0" allowOverlap="1" wp14:anchorId="56AE84E5" wp14:editId="318D7FA9">
              <wp:simplePos x="0" y="0"/>
              <wp:positionH relativeFrom="margin">
                <wp:align>center</wp:align>
              </wp:positionH>
              <wp:positionV relativeFrom="margin">
                <wp:align>center</wp:align>
              </wp:positionV>
              <wp:extent cx="6285230" cy="2094865"/>
              <wp:effectExtent l="0" t="0" r="0" b="0"/>
              <wp:wrapNone/>
              <wp:docPr id="694454877"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FB2FA2"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56AE84E5" id="_x0000_t202" coordsize="21600,21600" o:spt="202" path="m,l,21600r21600,l21600,xe">
              <v:stroke joinstyle="miter"/>
              <v:path gradientshapeok="t" o:connecttype="rect"/>
            </v:shapetype>
            <v:shape id="PowerPlusWaterMarkObject704960272" o:spid="_x0000_s1045" type="#_x0000_t202" style="position:absolute;left:0;text-align:left;margin-left:0;margin-top:0;width:494.9pt;height:164.95pt;rotation:-45;z-index:-25165818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KH8DWr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28FB2FA2"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2" behindDoc="1" locked="0" layoutInCell="0" allowOverlap="1" wp14:anchorId="24F5F7D9" wp14:editId="765D5FB7">
              <wp:simplePos x="0" y="0"/>
              <wp:positionH relativeFrom="margin">
                <wp:align>center</wp:align>
              </wp:positionH>
              <wp:positionV relativeFrom="margin">
                <wp:align>center</wp:align>
              </wp:positionV>
              <wp:extent cx="6285230" cy="2094865"/>
              <wp:effectExtent l="0" t="0" r="0" b="0"/>
              <wp:wrapNone/>
              <wp:docPr id="694454876"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6F8D8F"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4F5F7D9" id="_x0000_s1046" type="#_x0000_t202" style="position:absolute;left:0;text-align:left;margin-left:0;margin-top:0;width:494.9pt;height:164.95pt;rotation:-45;z-index:-25165819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MPF/8H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736F8D8F"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3" behindDoc="1" locked="0" layoutInCell="0" allowOverlap="1" wp14:anchorId="00CD03BD" wp14:editId="786D9309">
              <wp:simplePos x="0" y="0"/>
              <wp:positionH relativeFrom="margin">
                <wp:align>center</wp:align>
              </wp:positionH>
              <wp:positionV relativeFrom="margin">
                <wp:align>center</wp:align>
              </wp:positionV>
              <wp:extent cx="6285230" cy="2094865"/>
              <wp:effectExtent l="0" t="0" r="0" b="0"/>
              <wp:wrapNone/>
              <wp:docPr id="789972403"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AB6BD9"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0CD03BD" id="_x0000_s1047" type="#_x0000_t202" style="position:absolute;left:0;text-align:left;margin-left:0;margin-top:0;width:494.9pt;height:164.95pt;rotation:-45;z-index:-25165820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7gLRqc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38AB6BD9"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4" behindDoc="1" locked="0" layoutInCell="0" allowOverlap="1" wp14:anchorId="19B753D3" wp14:editId="4A301929">
              <wp:simplePos x="0" y="0"/>
              <wp:positionH relativeFrom="margin">
                <wp:align>center</wp:align>
              </wp:positionH>
              <wp:positionV relativeFrom="margin">
                <wp:align>center</wp:align>
              </wp:positionV>
              <wp:extent cx="6285230" cy="2094865"/>
              <wp:effectExtent l="0" t="0" r="0" b="0"/>
              <wp:wrapNone/>
              <wp:docPr id="789972402"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8632DD"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9B753D3" id="_x0000_s1048" type="#_x0000_t202" style="position:absolute;left:0;text-align:left;margin-left:0;margin-top:0;width:494.9pt;height:164.95pt;rotation:-45;z-index:-251658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CMOyMC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348632DD"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3" behindDoc="1" locked="0" layoutInCell="0" allowOverlap="1" wp14:anchorId="3B005514" wp14:editId="3F261AF7">
              <wp:simplePos x="0" y="0"/>
              <wp:positionH relativeFrom="margin">
                <wp:align>center</wp:align>
              </wp:positionH>
              <wp:positionV relativeFrom="margin">
                <wp:align>center</wp:align>
              </wp:positionV>
              <wp:extent cx="6285230" cy="2094865"/>
              <wp:effectExtent l="0" t="0" r="0" b="0"/>
              <wp:wrapNone/>
              <wp:docPr id="583444786"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157B827"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B005514" id="_x0000_s1049" type="#_x0000_t202" style="position:absolute;left:0;text-align:left;margin-left:0;margin-top:0;width:494.9pt;height:164.95pt;rotation:-45;z-index:-25165816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gMNyqM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0157B827"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4" behindDoc="1" locked="0" layoutInCell="0" allowOverlap="1" wp14:anchorId="1E502A58" wp14:editId="7485E957">
              <wp:simplePos x="0" y="0"/>
              <wp:positionH relativeFrom="margin">
                <wp:align>center</wp:align>
              </wp:positionH>
              <wp:positionV relativeFrom="margin">
                <wp:align>center</wp:align>
              </wp:positionV>
              <wp:extent cx="6285230" cy="2094865"/>
              <wp:effectExtent l="0" t="0" r="0" b="0"/>
              <wp:wrapNone/>
              <wp:docPr id="583444785"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458EF98"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E502A58" id="_x0000_s1050" type="#_x0000_t202" style="position:absolute;left:0;text-align:left;margin-left:0;margin-top:0;width:494.9pt;height:164.95pt;rotation:-45;z-index:-25165816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E83lzD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2458EF98"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5" behindDoc="1" locked="0" layoutInCell="0" allowOverlap="1" wp14:anchorId="20539CAF" wp14:editId="4B671ADF">
              <wp:simplePos x="0" y="0"/>
              <wp:positionH relativeFrom="margin">
                <wp:align>center</wp:align>
              </wp:positionH>
              <wp:positionV relativeFrom="margin">
                <wp:align>center</wp:align>
              </wp:positionV>
              <wp:extent cx="6285230" cy="2094865"/>
              <wp:effectExtent l="0" t="0" r="0" b="0"/>
              <wp:wrapNone/>
              <wp:docPr id="583444767"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025359"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0539CAF" id="_x0000_s1051" type="#_x0000_t202" style="position:absolute;left:0;text-align:left;margin-left:0;margin-top:0;width:494.9pt;height:164.95pt;rotation:-45;z-index:-25165822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AUc+6j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13025359"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46" behindDoc="1" locked="0" layoutInCell="0" allowOverlap="1" wp14:anchorId="74D6EDE0" wp14:editId="7EA67EB8">
              <wp:simplePos x="0" y="0"/>
              <wp:positionH relativeFrom="margin">
                <wp:align>center</wp:align>
              </wp:positionH>
              <wp:positionV relativeFrom="margin">
                <wp:align>center</wp:align>
              </wp:positionV>
              <wp:extent cx="6285230" cy="2094865"/>
              <wp:effectExtent l="0" t="0" r="0" b="0"/>
              <wp:wrapNone/>
              <wp:docPr id="10"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E7E981"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4D6EDE0" id="_x0000_s1052" type="#_x0000_t202" style="position:absolute;left:0;text-align:left;margin-left:0;margin-top:0;width:494.9pt;height:164.95pt;rotation:-45;z-index:-25165823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" o:allowincell="f" filled="f" stroked="f">
              <v:stroke joinstyle="round"/>
              <o:lock v:ext="edit" rotation="t" aspectratio="t" verticies="t" adjusthandles="t" grouping="t" shapetype="t"/>
              <v:textbox>
                <w:txbxContent>
                  <w:p w14:paraId="74E7E981"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2" behindDoc="1" locked="0" layoutInCell="0" allowOverlap="1" wp14:anchorId="3A34B45B" wp14:editId="6509DFE6">
              <wp:simplePos x="0" y="0"/>
              <wp:positionH relativeFrom="margin">
                <wp:align>center</wp:align>
              </wp:positionH>
              <wp:positionV relativeFrom="margin">
                <wp:align>center</wp:align>
              </wp:positionV>
              <wp:extent cx="6285230" cy="2094865"/>
              <wp:effectExtent l="0" t="0" r="0" b="0"/>
              <wp:wrapNone/>
              <wp:docPr id="47" name="PowerPlusWaterMarkObject704960272"/>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9142F3F"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A34B45B" id="_x0000_s1053" type="#_x0000_t202" style="position:absolute;left:0;text-align:left;margin-left:0;margin-top:0;width:494.9pt;height:164.95pt;rotation:-45;z-index:-25165817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" o:allowincell="f" filled="f" stroked="f">
              <v:stroke joinstyle="round"/>
              <o:lock v:ext="edit" rotation="t" aspectratio="t" verticies="t" adjusthandles="t" grouping="t" shapetype="t"/>
              <v:textbox>
                <w:txbxContent>
                  <w:p w14:paraId="69142F3F"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p w14:paraId="4B0A2A4A" w14:textId="77777777" w:rsidR="00395962" w:rsidRDefault="00395962"/>
  <w:p w14:paraId="0F57311D" w14:textId="77777777" w:rsidR="00395962" w:rsidRDefault="00395962"/>
  <w:p w14:paraId="3A3EE668" w14:textId="77777777" w:rsidR="00395962" w:rsidRDefault="00395962">
    <w:r>
      <w:rPr>
        <w:noProof/>
      </w:rPr>
      <mc:AlternateContent>
        <mc:Choice Requires="wps">
          <w:drawing>
            <wp:anchor distT="0" distB="0" distL="114300" distR="114300" simplePos="0" relativeHeight="251658245" behindDoc="1" locked="0" layoutInCell="1" allowOverlap="1" wp14:anchorId="4E7E0E9D" wp14:editId="38BFE41C">
              <wp:simplePos x="0" y="0"/>
              <wp:positionH relativeFrom="page">
                <wp:posOffset>0</wp:posOffset>
              </wp:positionH>
              <wp:positionV relativeFrom="page">
                <wp:posOffset>0</wp:posOffset>
              </wp:positionV>
              <wp:extent cx="0" cy="0"/>
              <wp:effectExtent l="0" t="0" r="0" b="0"/>
              <wp:wrapNone/>
              <wp:docPr id="694454861" name="Rectangle 1">
                <a:extLst xmlns:a="http://schemas.openxmlformats.org/drawingml/2006/main">
                  <a:ext uri="{A998136B-4AC2-44c3-8CCF-79AB77ABDD1D}">
                    <a15:backgroundPr xmlns:a15="http://schemas.microsoft.com/office/drawing/2012/main" bwMode="white" bwPure="auto" bwNormal="auto" targetScreenSize="1024x768"/>
                  </a:ext>
                </a:extLst>
              </wp:docPr>
              <wp:cNvGraphicFramePr>
                <a:graphicFrameLocks xmlns:a="http://schemas.openxmlformats.org/drawingml/2006/main" noGrp="1" noDrilldown="1" noSelect="1" noChangeAspect="1" noResize="1"/>
              </wp:cNvGraphicFramePr>
              <a:graphic xmlns:a="http://schemas.openxmlformats.org/drawingml/2006/main">
                <a:graphicData uri="http://schemas.microsoft.com/office/word/2010/wordprocessingShape">
                  <wps:wsp>
                    <wps:cNvSpPr>
                      <a:spLocks noGrp="1" noSelect="1" noRot="1" noChangeAspect="1" noResize="1" noEditPoints="1" noAdjustHandles="1" noChangeArrowheads="1" noChangeShapeType="1" noTextEdit="1"/>
                    </wps:cNvSpPr>
                    <wps:spPr bwMode="white">
                      <a:xfrm>
                        <a:off x="0" y="0"/>
                        <a:ext cx="0" cy="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wps:wsp>
                </a:graphicData>
              </a:graphic>
              <wp14:sizeRelH relativeFrom="page">
                <wp14:pctWidth>100000</wp14:pctWidth>
              </wp14:sizeRelH>
              <wp14:sizeRelV relativeFrom="page">
                <wp14:pctHeight>100000</wp14:pctHeight>
              </wp14:sizeRelV>
            </wp:anchor>
          </w:drawing>
        </mc:Choice>
        <mc:Fallback xmlns:arto="http://schemas.microsoft.com/office/word/2006/arto" xmlns:a15="http://schemas.microsoft.com/office/drawing/2012/main" xmlns:a14="http://schemas.microsoft.com/office/drawing/2010/main" xmlns:a="http://schemas.openxmlformats.org/drawingml/2006/main" xmlns:w16="http://schemas.microsoft.com/office/word/2018/wordml" xmlns:w16cex="http://schemas.microsoft.com/office/word/2018/wordml/cex">
          <w:pict w14:anchorId="05544545">
            <v:rect id="Rectangle 1" style="position:absolute;margin-left:0;margin-top:0;width:0;height:0;z-index:-251658235;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top" o:spid="_x0000_s1026" stroked="f" strokeweight="0" o:bwmode="white" w14:anchorId="786093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">
              <o:lock v:ext="edit" selection="t" grouping="t" rotation="t" verticies="t" adjusthandles="t" text="t" aspectratio="t" shapetype="t"/>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F8829" w14:textId="09C89E0C" w:rsidR="00395962" w:rsidRDefault="00395962">
    <w:pPr>
      <w:pStyle w:val="Header"/>
    </w:pPr>
    <w:r>
      <w:rPr>
        <w:noProof/>
      </w:rPr>
      <mc:AlternateContent>
        <mc:Choice Requires="wps">
          <w:drawing>
            <wp:anchor distT="0" distB="0" distL="114300" distR="114300" simplePos="0" relativeHeight="251658295" behindDoc="1" locked="0" layoutInCell="0" allowOverlap="1" wp14:anchorId="1642B773" wp14:editId="23AB4E89">
              <wp:simplePos x="0" y="0"/>
              <wp:positionH relativeFrom="margin">
                <wp:align>center</wp:align>
              </wp:positionH>
              <wp:positionV relativeFrom="margin">
                <wp:align>center</wp:align>
              </wp:positionV>
              <wp:extent cx="6285230" cy="2094865"/>
              <wp:effectExtent l="0" t="0" r="0" b="0"/>
              <wp:wrapNone/>
              <wp:docPr id="694454875"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2A5FAF"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1642B773" id="_x0000_t202" coordsize="21600,21600" o:spt="202" path="m,l,21600r21600,l21600,xe">
              <v:stroke joinstyle="miter"/>
              <v:path gradientshapeok="t" o:connecttype="rect"/>
            </v:shapetype>
            <v:shape id="PowerPlusWaterMarkObject704960276" o:spid="_x0000_s1054" type="#_x0000_t202" style="position:absolute;left:0;text-align:left;margin-left:0;margin-top:0;width:494.9pt;height:164.95pt;rotation:-45;z-index:-25165818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BBTyUr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352A5FAF"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6" behindDoc="1" locked="0" layoutInCell="0" allowOverlap="1" wp14:anchorId="670458DD" wp14:editId="7E983967">
              <wp:simplePos x="0" y="0"/>
              <wp:positionH relativeFrom="margin">
                <wp:align>center</wp:align>
              </wp:positionH>
              <wp:positionV relativeFrom="margin">
                <wp:align>center</wp:align>
              </wp:positionV>
              <wp:extent cx="6285230" cy="2094865"/>
              <wp:effectExtent l="0" t="0" r="0" b="0"/>
              <wp:wrapNone/>
              <wp:docPr id="694454874"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F04494"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70458DD" id="_x0000_s1055" type="#_x0000_t202" style="position:absolute;left:0;text-align:left;margin-left:0;margin-top:0;width:494.9pt;height:164.95pt;rotation:-45;z-index:-25165819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ChJVGn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47F04494"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7" behindDoc="1" locked="0" layoutInCell="0" allowOverlap="1" wp14:anchorId="01526B55" wp14:editId="1C923CB0">
              <wp:simplePos x="0" y="0"/>
              <wp:positionH relativeFrom="margin">
                <wp:align>center</wp:align>
              </wp:positionH>
              <wp:positionV relativeFrom="margin">
                <wp:align>center</wp:align>
              </wp:positionV>
              <wp:extent cx="6285230" cy="2094865"/>
              <wp:effectExtent l="0" t="0" r="0" b="0"/>
              <wp:wrapNone/>
              <wp:docPr id="789972401"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2FCE3B"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1526B55" id="_x0000_s1056" type="#_x0000_t202" style="position:absolute;left:0;text-align:left;margin-left:0;margin-top:0;width:494.9pt;height:164.95pt;rotation:-45;z-index:-25165820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JNzUUM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512FCE3B"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8" behindDoc="1" locked="0" layoutInCell="0" allowOverlap="1" wp14:anchorId="4C5A7E57" wp14:editId="3AFB1DD3">
              <wp:simplePos x="0" y="0"/>
              <wp:positionH relativeFrom="margin">
                <wp:align>center</wp:align>
              </wp:positionH>
              <wp:positionV relativeFrom="margin">
                <wp:align>center</wp:align>
              </wp:positionV>
              <wp:extent cx="6285230" cy="2094865"/>
              <wp:effectExtent l="0" t="0" r="0" b="0"/>
              <wp:wrapNone/>
              <wp:docPr id="789972400"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ED2442C"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C5A7E57" id="_x0000_s1057" type="#_x0000_t202" style="position:absolute;left:0;text-align:left;margin-left:0;margin-top:0;width:494.9pt;height:164.95pt;rotation:-45;z-index:-2516582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AknYKf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1ED2442C"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5" behindDoc="1" locked="0" layoutInCell="0" allowOverlap="1" wp14:anchorId="11F250DE" wp14:editId="141CA3B8">
              <wp:simplePos x="0" y="0"/>
              <wp:positionH relativeFrom="margin">
                <wp:align>center</wp:align>
              </wp:positionH>
              <wp:positionV relativeFrom="margin">
                <wp:align>center</wp:align>
              </wp:positionV>
              <wp:extent cx="6285230" cy="2094865"/>
              <wp:effectExtent l="0" t="0" r="0" b="0"/>
              <wp:wrapNone/>
              <wp:docPr id="583444784"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0818EE"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1F250DE" id="_x0000_s1058" type="#_x0000_t202" style="position:absolute;left:0;text-align:left;margin-left:0;margin-top:0;width:494.9pt;height:164.95pt;rotation:-45;z-index:-25165816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3FGKzwIAAH0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ANxRis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4C0818EE"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6" behindDoc="1" locked="0" layoutInCell="0" allowOverlap="1" wp14:anchorId="64319B84" wp14:editId="5025C5FE">
              <wp:simplePos x="0" y="0"/>
              <wp:positionH relativeFrom="margin">
                <wp:align>center</wp:align>
              </wp:positionH>
              <wp:positionV relativeFrom="margin">
                <wp:align>center</wp:align>
              </wp:positionV>
              <wp:extent cx="6285230" cy="2094865"/>
              <wp:effectExtent l="0" t="0" r="0" b="0"/>
              <wp:wrapNone/>
              <wp:docPr id="583444783"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3E75AA"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4319B84" id="_x0000_s1059" type="#_x0000_t202" style="position:absolute;left:0;text-align:left;margin-left:0;margin-top:0;width:494.9pt;height:164.95pt;rotation:-45;z-index:-2516581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L0KGcv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283E75AA"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9" behindDoc="1" locked="0" layoutInCell="0" allowOverlap="1" wp14:anchorId="320C00AD" wp14:editId="17B0352B">
              <wp:simplePos x="0" y="0"/>
              <wp:positionH relativeFrom="margin">
                <wp:align>center</wp:align>
              </wp:positionH>
              <wp:positionV relativeFrom="margin">
                <wp:align>center</wp:align>
              </wp:positionV>
              <wp:extent cx="6285230" cy="2094865"/>
              <wp:effectExtent l="0" t="0" r="0" b="0"/>
              <wp:wrapNone/>
              <wp:docPr id="583444766"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8FF151"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20C00AD" id="_x0000_s1060" type="#_x0000_t202" style="position:absolute;left:0;text-align:left;margin-left:0;margin-top:0;width:494.9pt;height:164.95pt;rotation:-45;z-index:-25165822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" o:allowincell="f" filled="f" stroked="f">
              <v:stroke joinstyle="round"/>
              <o:lock v:ext="edit" rotation="t" aspectratio="t" verticies="t" adjusthandles="t" grouping="t" shapetype="t"/>
              <v:textbox>
                <w:txbxContent>
                  <w:p w14:paraId="0D8FF151"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0" behindDoc="1" locked="0" layoutInCell="0" allowOverlap="1" wp14:anchorId="23D076E9" wp14:editId="54585A65">
              <wp:simplePos x="0" y="0"/>
              <wp:positionH relativeFrom="margin">
                <wp:align>center</wp:align>
              </wp:positionH>
              <wp:positionV relativeFrom="margin">
                <wp:align>center</wp:align>
              </wp:positionV>
              <wp:extent cx="6285230" cy="2094865"/>
              <wp:effectExtent l="0" t="0" r="0" b="0"/>
              <wp:wrapNone/>
              <wp:docPr id="9"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AE50046"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3D076E9" id="_x0000_s1061" type="#_x0000_t202" style="position:absolute;left:0;text-align:left;margin-left:0;margin-top:0;width:494.9pt;height:164.95pt;rotation:-45;z-index:-25165823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C++WbHKAgAAdQ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3AE50046"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3" behindDoc="1" locked="0" layoutInCell="0" allowOverlap="1" wp14:anchorId="7308577A" wp14:editId="61257E3C">
              <wp:simplePos x="0" y="0"/>
              <wp:positionH relativeFrom="margin">
                <wp:align>center</wp:align>
              </wp:positionH>
              <wp:positionV relativeFrom="margin">
                <wp:align>center</wp:align>
              </wp:positionV>
              <wp:extent cx="6285230" cy="2094865"/>
              <wp:effectExtent l="0" t="0" r="0" b="0"/>
              <wp:wrapNone/>
              <wp:docPr id="46" name="PowerPlusWaterMarkObject70496027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EFA1DD5"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308577A" id="_x0000_s1062" type="#_x0000_t202" style="position:absolute;left:0;text-align:left;margin-left:0;margin-top:0;width:494.9pt;height:164.95pt;rotation:-45;z-index:-25165817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P/fwEDKAgAAdg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2EFA1DD5"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p w14:paraId="6ADC8EA0" w14:textId="5F342F51" w:rsidR="00395962" w:rsidRDefault="00395962"/>
  <w:p w14:paraId="6A2182A6" w14:textId="77777777" w:rsidR="00395962" w:rsidRDefault="0039596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F9F38" w14:textId="45F8F772" w:rsidR="00395962" w:rsidRDefault="00395962">
    <w:pPr>
      <w:pStyle w:val="Header"/>
    </w:pPr>
    <w:r>
      <w:rPr>
        <w:noProof/>
      </w:rPr>
      <mc:AlternateContent>
        <mc:Choice Requires="wps">
          <w:drawing>
            <wp:anchor distT="0" distB="0" distL="114300" distR="114300" simplePos="0" relativeHeight="251658296" behindDoc="1" locked="0" layoutInCell="0" allowOverlap="1" wp14:anchorId="22126F1C" wp14:editId="4171E94E">
              <wp:simplePos x="0" y="0"/>
              <wp:positionH relativeFrom="margin">
                <wp:align>center</wp:align>
              </wp:positionH>
              <wp:positionV relativeFrom="margin">
                <wp:align>center</wp:align>
              </wp:positionV>
              <wp:extent cx="6285230" cy="2094865"/>
              <wp:effectExtent l="0" t="0" r="0" b="0"/>
              <wp:wrapNone/>
              <wp:docPr id="694454873"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5BEC08"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22126F1C" id="_x0000_t202" coordsize="21600,21600" o:spt="202" path="m,l,21600r21600,l21600,xe">
              <v:stroke joinstyle="miter"/>
              <v:path gradientshapeok="t" o:connecttype="rect"/>
            </v:shapetype>
            <v:shape id="PowerPlusWaterMarkObject704960277" o:spid="_x0000_s1063" type="#_x0000_t202" style="position:absolute;left:0;text-align:left;margin-left:0;margin-top:0;width:494.9pt;height:164.95pt;rotation:-45;z-index:-2516581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Z5+20AIAAH0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BZnn7b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135BEC08"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7" behindDoc="1" locked="0" layoutInCell="0" allowOverlap="1" wp14:anchorId="1829BC45" wp14:editId="551CE74D">
              <wp:simplePos x="0" y="0"/>
              <wp:positionH relativeFrom="margin">
                <wp:align>center</wp:align>
              </wp:positionH>
              <wp:positionV relativeFrom="margin">
                <wp:align>center</wp:align>
              </wp:positionV>
              <wp:extent cx="6285230" cy="2094865"/>
              <wp:effectExtent l="0" t="0" r="0" b="0"/>
              <wp:wrapNone/>
              <wp:docPr id="694454872"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B85D395"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829BC45" id="_x0000_s1064" type="#_x0000_t202" style="position:absolute;left:0;text-align:left;margin-left:0;margin-top:0;width:494.9pt;height:164.95pt;rotation:-45;z-index:-25165819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HRebR3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1B85D395"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8" behindDoc="1" locked="0" layoutInCell="0" allowOverlap="1" wp14:anchorId="1A0B1730" wp14:editId="1E1763F9">
              <wp:simplePos x="0" y="0"/>
              <wp:positionH relativeFrom="margin">
                <wp:align>center</wp:align>
              </wp:positionH>
              <wp:positionV relativeFrom="margin">
                <wp:align>center</wp:align>
              </wp:positionV>
              <wp:extent cx="6285230" cy="2094865"/>
              <wp:effectExtent l="0" t="0" r="0" b="0"/>
              <wp:wrapNone/>
              <wp:docPr id="789972399"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23BA20"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A0B1730" id="_x0000_s1065" type="#_x0000_t202" style="position:absolute;left:0;text-align:left;margin-left:0;margin-top:0;width:494.9pt;height:164.95pt;rotation:-45;z-index:-25165820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cQL0AIAAH0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NI1xAv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4C23BA20"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9" behindDoc="1" locked="0" layoutInCell="0" allowOverlap="1" wp14:anchorId="077D7091" wp14:editId="6E028B7B">
              <wp:simplePos x="0" y="0"/>
              <wp:positionH relativeFrom="margin">
                <wp:align>center</wp:align>
              </wp:positionH>
              <wp:positionV relativeFrom="margin">
                <wp:align>center</wp:align>
              </wp:positionV>
              <wp:extent cx="6285230" cy="2094865"/>
              <wp:effectExtent l="0" t="0" r="0" b="0"/>
              <wp:wrapNone/>
              <wp:docPr id="789972398"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199DF2"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77D7091" id="_x0000_s1066" type="#_x0000_t202" style="position:absolute;left:0;text-align:left;margin-left:0;margin-top:0;width:494.9pt;height:164.95pt;rotation:-45;z-index:-25165821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LAMNqD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67199DF2"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7" behindDoc="1" locked="0" layoutInCell="0" allowOverlap="1" wp14:anchorId="4CF16C67" wp14:editId="6D114F23">
              <wp:simplePos x="0" y="0"/>
              <wp:positionH relativeFrom="margin">
                <wp:align>center</wp:align>
              </wp:positionH>
              <wp:positionV relativeFrom="margin">
                <wp:align>center</wp:align>
              </wp:positionV>
              <wp:extent cx="6285230" cy="2094865"/>
              <wp:effectExtent l="0" t="0" r="0" b="0"/>
              <wp:wrapNone/>
              <wp:docPr id="583444782"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6E7EA2"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CF16C67" id="_x0000_s1067" type="#_x0000_t202" style="position:absolute;left:0;text-align:left;margin-left:0;margin-top:0;width:494.9pt;height:164.95pt;rotation:-45;z-index:-25165816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MOWGSn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726E7EA2"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8" behindDoc="1" locked="0" layoutInCell="0" allowOverlap="1" wp14:anchorId="69E83C07" wp14:editId="03615924">
              <wp:simplePos x="0" y="0"/>
              <wp:positionH relativeFrom="margin">
                <wp:align>center</wp:align>
              </wp:positionH>
              <wp:positionV relativeFrom="margin">
                <wp:align>center</wp:align>
              </wp:positionV>
              <wp:extent cx="6285230" cy="2094865"/>
              <wp:effectExtent l="0" t="0" r="0" b="0"/>
              <wp:wrapNone/>
              <wp:docPr id="583444781"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88BFC4"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9E83C07" id="_x0000_s1068" type="#_x0000_t202" style="position:absolute;left:0;text-align:left;margin-left:0;margin-top:0;width:494.9pt;height:164.95pt;rotation:-45;z-index:-25165816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vyxzgIAAH0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AMYvyx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6688BFC4"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0" behindDoc="1" locked="0" layoutInCell="0" allowOverlap="1" wp14:anchorId="025A2A07" wp14:editId="080454FF">
              <wp:simplePos x="0" y="0"/>
              <wp:positionH relativeFrom="margin">
                <wp:align>center</wp:align>
              </wp:positionH>
              <wp:positionV relativeFrom="margin">
                <wp:align>center</wp:align>
              </wp:positionV>
              <wp:extent cx="6285230" cy="2094865"/>
              <wp:effectExtent l="0" t="0" r="0" b="0"/>
              <wp:wrapNone/>
              <wp:docPr id="583444765"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4D1D9FC"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25A2A07" id="_x0000_s1069" type="#_x0000_t202" style="position:absolute;left:0;text-align:left;margin-left:0;margin-top:0;width:494.9pt;height:164.95pt;rotation:-45;z-index:-2516582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KBr3Nj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64D1D9FC"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1" behindDoc="1" locked="0" layoutInCell="0" allowOverlap="1" wp14:anchorId="776A702C" wp14:editId="5C90B0C7">
              <wp:simplePos x="0" y="0"/>
              <wp:positionH relativeFrom="margin">
                <wp:align>center</wp:align>
              </wp:positionH>
              <wp:positionV relativeFrom="margin">
                <wp:align>center</wp:align>
              </wp:positionV>
              <wp:extent cx="6285230" cy="2094865"/>
              <wp:effectExtent l="0" t="0" r="0" b="0"/>
              <wp:wrapNone/>
              <wp:docPr id="8"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783E4A0"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76A702C" id="_x0000_s1070" type="#_x0000_t202" style="position:absolute;left:0;text-align:left;margin-left:0;margin-top:0;width:494.9pt;height:164.95pt;rotation:-45;z-index:-25165822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NQK7KjKAgAAdQ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5783E4A0"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4" behindDoc="1" locked="0" layoutInCell="0" allowOverlap="1" wp14:anchorId="28739D5C" wp14:editId="744E35E0">
              <wp:simplePos x="0" y="0"/>
              <wp:positionH relativeFrom="margin">
                <wp:align>center</wp:align>
              </wp:positionH>
              <wp:positionV relativeFrom="margin">
                <wp:align>center</wp:align>
              </wp:positionV>
              <wp:extent cx="6285230" cy="2094865"/>
              <wp:effectExtent l="0" t="0" r="0" b="0"/>
              <wp:wrapNone/>
              <wp:docPr id="45" name="PowerPlusWaterMarkObject704960277"/>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A135D44"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8739D5C" id="_x0000_s1071" type="#_x0000_t202" style="position:absolute;left:0;text-align:left;margin-left:0;margin-top:0;width:494.9pt;height:164.95pt;rotation:-45;z-index:-2516581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JBrlHHKAgAAdg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0A135D44"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p w14:paraId="5ADBA507" w14:textId="49F1E03C" w:rsidR="00395962" w:rsidRDefault="00395962"/>
  <w:p w14:paraId="143FA061" w14:textId="77777777" w:rsidR="00395962" w:rsidRDefault="0039596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D836F" w14:textId="6DDDD5F0" w:rsidR="00395962" w:rsidRDefault="00395962">
    <w:pPr>
      <w:pStyle w:val="Header"/>
    </w:pPr>
    <w:r>
      <w:rPr>
        <w:noProof/>
      </w:rPr>
      <mc:AlternateContent>
        <mc:Choice Requires="wps">
          <w:drawing>
            <wp:anchor distT="0" distB="0" distL="114300" distR="114300" simplePos="0" relativeHeight="251658294" behindDoc="1" locked="0" layoutInCell="0" allowOverlap="1" wp14:anchorId="6BDF5FFD" wp14:editId="7A27C5C9">
              <wp:simplePos x="0" y="0"/>
              <wp:positionH relativeFrom="margin">
                <wp:align>center</wp:align>
              </wp:positionH>
              <wp:positionV relativeFrom="margin">
                <wp:align>center</wp:align>
              </wp:positionV>
              <wp:extent cx="6285230" cy="2094865"/>
              <wp:effectExtent l="0" t="0" r="0" b="0"/>
              <wp:wrapNone/>
              <wp:docPr id="694454871"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A6016D3"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6BDF5FFD" id="_x0000_t202" coordsize="21600,21600" o:spt="202" path="m,l,21600r21600,l21600,xe">
              <v:stroke joinstyle="miter"/>
              <v:path gradientshapeok="t" o:connecttype="rect"/>
            </v:shapetype>
            <v:shape id="PowerPlusWaterMarkObject704960275" o:spid="_x0000_s1072" type="#_x0000_t202" style="position:absolute;left:0;text-align:left;margin-left:0;margin-top:0;width:494.9pt;height:164.95pt;rotation:-45;z-index:-25165818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C/fNzs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2A6016D3"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5" behindDoc="1" locked="0" layoutInCell="0" allowOverlap="1" wp14:anchorId="2BED87EE" wp14:editId="17B9034F">
              <wp:simplePos x="0" y="0"/>
              <wp:positionH relativeFrom="margin">
                <wp:align>center</wp:align>
              </wp:positionH>
              <wp:positionV relativeFrom="margin">
                <wp:align>center</wp:align>
              </wp:positionV>
              <wp:extent cx="6285230" cy="2094865"/>
              <wp:effectExtent l="0" t="0" r="0" b="0"/>
              <wp:wrapNone/>
              <wp:docPr id="694454870"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883318"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BED87EE" id="_x0000_s1073" type="#_x0000_t202" style="position:absolute;left:0;text-align:left;margin-left:0;margin-top:0;width:494.9pt;height:164.95pt;rotation:-45;z-index:-25165819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QXe92s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67883318"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6" behindDoc="1" locked="0" layoutInCell="0" allowOverlap="1" wp14:anchorId="6D0DC3EF" wp14:editId="268DDFA2">
              <wp:simplePos x="0" y="0"/>
              <wp:positionH relativeFrom="margin">
                <wp:align>center</wp:align>
              </wp:positionH>
              <wp:positionV relativeFrom="margin">
                <wp:align>center</wp:align>
              </wp:positionV>
              <wp:extent cx="6285230" cy="2094865"/>
              <wp:effectExtent l="0" t="0" r="0" b="0"/>
              <wp:wrapNone/>
              <wp:docPr id="789972397"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7E6742"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D0DC3EF" id="_x0000_s1074" type="#_x0000_t202" style="position:absolute;left:0;text-align:left;margin-left:0;margin-top:0;width:494.9pt;height:164.95pt;rotation:-45;z-index:-2516582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FOSC+7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087E6742"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7" behindDoc="1" locked="0" layoutInCell="0" allowOverlap="1" wp14:anchorId="16DC2FA2" wp14:editId="419C4456">
              <wp:simplePos x="0" y="0"/>
              <wp:positionH relativeFrom="margin">
                <wp:align>center</wp:align>
              </wp:positionH>
              <wp:positionV relativeFrom="margin">
                <wp:align>center</wp:align>
              </wp:positionV>
              <wp:extent cx="6285230" cy="2094865"/>
              <wp:effectExtent l="0" t="0" r="0" b="0"/>
              <wp:wrapNone/>
              <wp:docPr id="789972396"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E31084"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6DC2FA2" id="_x0000_s1075" type="#_x0000_t202" style="position:absolute;left:0;text-align:left;margin-left:0;margin-top:0;width:494.9pt;height:164.95pt;rotation:-45;z-index:-25165821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GuIls3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18E31084"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19" behindDoc="1" locked="0" layoutInCell="0" allowOverlap="1" wp14:anchorId="6FD3BCF0" wp14:editId="532D0230">
              <wp:simplePos x="0" y="0"/>
              <wp:positionH relativeFrom="margin">
                <wp:align>center</wp:align>
              </wp:positionH>
              <wp:positionV relativeFrom="margin">
                <wp:align>center</wp:align>
              </wp:positionV>
              <wp:extent cx="6285230" cy="2094865"/>
              <wp:effectExtent l="0" t="0" r="0" b="0"/>
              <wp:wrapNone/>
              <wp:docPr id="583444780"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CA26BC"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FD3BCF0" id="_x0000_s1076" type="#_x0000_t202" style="position:absolute;left:0;text-align:left;margin-left:0;margin-top:0;width:494.9pt;height:164.95pt;rotation:-45;z-index:-25165816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Ublz1c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28CA26BC"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20" behindDoc="1" locked="0" layoutInCell="0" allowOverlap="1" wp14:anchorId="5F411216" wp14:editId="4D1F58E6">
              <wp:simplePos x="0" y="0"/>
              <wp:positionH relativeFrom="margin">
                <wp:align>center</wp:align>
              </wp:positionH>
              <wp:positionV relativeFrom="margin">
                <wp:align>center</wp:align>
              </wp:positionV>
              <wp:extent cx="6285230" cy="2094865"/>
              <wp:effectExtent l="0" t="0" r="0" b="0"/>
              <wp:wrapNone/>
              <wp:docPr id="583444779"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AD1573"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F411216" id="_x0000_s1077" type="#_x0000_t202" style="position:absolute;left:0;text-align:left;margin-left:0;margin-top:0;width:494.9pt;height:164.95pt;rotation:-45;z-index:-2516581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490cbc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12AD1573"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8" behindDoc="1" locked="0" layoutInCell="0" allowOverlap="1" wp14:anchorId="309046EE" wp14:editId="51A7F7FB">
              <wp:simplePos x="0" y="0"/>
              <wp:positionH relativeFrom="margin">
                <wp:align>center</wp:align>
              </wp:positionH>
              <wp:positionV relativeFrom="margin">
                <wp:align>center</wp:align>
              </wp:positionV>
              <wp:extent cx="6285230" cy="2094865"/>
              <wp:effectExtent l="0" t="0" r="0" b="0"/>
              <wp:wrapNone/>
              <wp:docPr id="583444764"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FCDCA5"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09046EE" id="_x0000_s1078" type="#_x0000_t202" style="position:absolute;left:0;text-align:left;margin-left:0;margin-top:0;width:494.9pt;height:164.95pt;rotation:-45;z-index:-25165822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AjLbQ4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35FCDCA5"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49" behindDoc="1" locked="0" layoutInCell="0" allowOverlap="1" wp14:anchorId="5EDD9EF7" wp14:editId="35DAA533">
              <wp:simplePos x="0" y="0"/>
              <wp:positionH relativeFrom="margin">
                <wp:align>center</wp:align>
              </wp:positionH>
              <wp:positionV relativeFrom="margin">
                <wp:align>center</wp:align>
              </wp:positionV>
              <wp:extent cx="6285230" cy="2094865"/>
              <wp:effectExtent l="0" t="0" r="0" b="0"/>
              <wp:wrapNone/>
              <wp:docPr id="7"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51C00F"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EDD9EF7" id="_x0000_s1079" type="#_x0000_t202" style="position:absolute;left:0;text-align:left;margin-left:0;margin-top:0;width:494.9pt;height:164.95pt;rotation:-45;z-index:-25165823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DyVYW7KAgAAdQ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3451C00F"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5" behindDoc="1" locked="0" layoutInCell="0" allowOverlap="1" wp14:anchorId="117EAA5B" wp14:editId="1118E84A">
              <wp:simplePos x="0" y="0"/>
              <wp:positionH relativeFrom="margin">
                <wp:align>center</wp:align>
              </wp:positionH>
              <wp:positionV relativeFrom="margin">
                <wp:align>center</wp:align>
              </wp:positionV>
              <wp:extent cx="6285230" cy="2094865"/>
              <wp:effectExtent l="0" t="0" r="0" b="0"/>
              <wp:wrapNone/>
              <wp:docPr id="44" name="PowerPlusWaterMarkObject70496027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D009AE"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17EAA5B" id="_x0000_s1080" type="#_x0000_t202" style="position:absolute;left:0;text-align:left;margin-left:0;margin-top:0;width:494.9pt;height:164.95pt;rotation:-45;z-index:-25165817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" o:allowincell="f" filled="f" stroked="f">
              <v:stroke joinstyle="round"/>
              <o:lock v:ext="edit" rotation="t" aspectratio="t" verticies="t" adjusthandles="t" grouping="t" shapetype="t"/>
              <v:textbox>
                <w:txbxContent>
                  <w:p w14:paraId="1CD009AE"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p w14:paraId="3497FB19" w14:textId="2F256DCB" w:rsidR="00395962" w:rsidRDefault="00395962"/>
  <w:p w14:paraId="12E40257" w14:textId="77777777" w:rsidR="00395962" w:rsidRDefault="0039596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3A32C" w14:textId="342DCF63" w:rsidR="00395962" w:rsidRDefault="00395962">
    <w:pPr>
      <w:pStyle w:val="Header"/>
    </w:pPr>
    <w:r>
      <w:rPr>
        <w:noProof/>
      </w:rPr>
      <mc:AlternateContent>
        <mc:Choice Requires="wps">
          <w:drawing>
            <wp:anchor distT="0" distB="0" distL="114300" distR="114300" simplePos="0" relativeHeight="251658298" behindDoc="1" locked="0" layoutInCell="0" allowOverlap="1" wp14:anchorId="07937BDC" wp14:editId="19C3AEFA">
              <wp:simplePos x="0" y="0"/>
              <wp:positionH relativeFrom="margin">
                <wp:align>center</wp:align>
              </wp:positionH>
              <wp:positionV relativeFrom="margin">
                <wp:align>center</wp:align>
              </wp:positionV>
              <wp:extent cx="6285230" cy="2094865"/>
              <wp:effectExtent l="0" t="0" r="0" b="0"/>
              <wp:wrapNone/>
              <wp:docPr id="694454869"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427A0EA"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7937BDC" id="_x0000_t202" coordsize="21600,21600" o:spt="202" path="m,l,21600r21600,l21600,xe">
              <v:stroke joinstyle="miter"/>
              <v:path gradientshapeok="t" o:connecttype="rect"/>
            </v:shapetype>
            <v:shape id="PowerPlusWaterMarkObject704960279" o:spid="_x0000_s1081" type="#_x0000_t202" style="position:absolute;left:0;text-align:left;margin-left:0;margin-top:0;width:494.9pt;height:164.95pt;rotation:-45;z-index:-25165818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1o2b9M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4427A0EA"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9" behindDoc="1" locked="0" layoutInCell="0" allowOverlap="1" wp14:anchorId="45897B80" wp14:editId="7D2C61DA">
              <wp:simplePos x="0" y="0"/>
              <wp:positionH relativeFrom="margin">
                <wp:align>center</wp:align>
              </wp:positionH>
              <wp:positionV relativeFrom="margin">
                <wp:align>center</wp:align>
              </wp:positionV>
              <wp:extent cx="6285230" cy="2094865"/>
              <wp:effectExtent l="0" t="0" r="0" b="0"/>
              <wp:wrapNone/>
              <wp:docPr id="694454868"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674D09"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5897B80" id="_x0000_s1082" type="#_x0000_t202" style="position:absolute;left:0;text-align:left;margin-left:0;margin-top:0;width:494.9pt;height:164.95pt;rotation:-45;z-index:-25165819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C0tGlf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54674D09"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0" behindDoc="1" locked="0" layoutInCell="0" allowOverlap="1" wp14:anchorId="371DE9B4" wp14:editId="20E5EBBE">
              <wp:simplePos x="0" y="0"/>
              <wp:positionH relativeFrom="margin">
                <wp:align>center</wp:align>
              </wp:positionH>
              <wp:positionV relativeFrom="margin">
                <wp:align>center</wp:align>
              </wp:positionV>
              <wp:extent cx="6285230" cy="2094865"/>
              <wp:effectExtent l="0" t="0" r="0" b="0"/>
              <wp:wrapNone/>
              <wp:docPr id="789972395"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99BBA9"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71DE9B4" id="_x0000_s1083" type="#_x0000_t202" style="position:absolute;left:0;text-align:left;margin-left:0;margin-top:0;width:494.9pt;height:164.95pt;rotation:-45;z-index:-2516582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Nt3P3/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4199BBA9"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1" behindDoc="1" locked="0" layoutInCell="0" allowOverlap="1" wp14:anchorId="32E9D061" wp14:editId="7C2D9C3D">
              <wp:simplePos x="0" y="0"/>
              <wp:positionH relativeFrom="margin">
                <wp:align>center</wp:align>
              </wp:positionH>
              <wp:positionV relativeFrom="margin">
                <wp:align>center</wp:align>
              </wp:positionV>
              <wp:extent cx="6285230" cy="2094865"/>
              <wp:effectExtent l="0" t="0" r="0" b="0"/>
              <wp:wrapNone/>
              <wp:docPr id="789972394"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E6A902"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2E9D061" id="_x0000_s1084" type="#_x0000_t202" style="position:absolute;left:0;text-align:left;margin-left:0;margin-top:0;width:494.9pt;height:164.95pt;rotation:-45;z-index:-25165820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LlOzdT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0DE6A902"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21" behindDoc="1" locked="0" layoutInCell="0" allowOverlap="1" wp14:anchorId="56684DDB" wp14:editId="0439DE7F">
              <wp:simplePos x="0" y="0"/>
              <wp:positionH relativeFrom="margin">
                <wp:align>center</wp:align>
              </wp:positionH>
              <wp:positionV relativeFrom="margin">
                <wp:align>center</wp:align>
              </wp:positionV>
              <wp:extent cx="6285230" cy="2094865"/>
              <wp:effectExtent l="0" t="0" r="0" b="0"/>
              <wp:wrapNone/>
              <wp:docPr id="583444778"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CFC161"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56684DDB" id="_x0000_s1085" type="#_x0000_t202" style="position:absolute;left:0;text-align:left;margin-left:0;margin-top:0;width:494.9pt;height:164.95pt;rotation:-45;z-index:-25165815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DGtGkA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3DCFC161"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22" behindDoc="1" locked="0" layoutInCell="0" allowOverlap="1" wp14:anchorId="6DB5451C" wp14:editId="020DB270">
              <wp:simplePos x="0" y="0"/>
              <wp:positionH relativeFrom="margin">
                <wp:align>center</wp:align>
              </wp:positionH>
              <wp:positionV relativeFrom="margin">
                <wp:align>center</wp:align>
              </wp:positionV>
              <wp:extent cx="6285230" cy="2094865"/>
              <wp:effectExtent l="0" t="0" r="0" b="0"/>
              <wp:wrapNone/>
              <wp:docPr id="583444777"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9F850C"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DB5451C" id="_x0000_s1086" type="#_x0000_t202" style="position:absolute;left:0;text-align:left;margin-left:0;margin-top:0;width:494.9pt;height:164.95pt;rotation:-45;z-index:-25165815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5+38Ms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7C9F850C"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2" behindDoc="1" locked="0" layoutInCell="0" allowOverlap="1" wp14:anchorId="014FE0DD" wp14:editId="143FB075">
              <wp:simplePos x="0" y="0"/>
              <wp:positionH relativeFrom="margin">
                <wp:align>center</wp:align>
              </wp:positionH>
              <wp:positionV relativeFrom="margin">
                <wp:align>center</wp:align>
              </wp:positionV>
              <wp:extent cx="6285230" cy="2094865"/>
              <wp:effectExtent l="0" t="0" r="0" b="0"/>
              <wp:wrapNone/>
              <wp:docPr id="583444763"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8910F4"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14FE0DD" id="_x0000_s1087" type="#_x0000_t202" style="position:absolute;left:0;text-align:left;margin-left:0;margin-top:0;width:494.9pt;height:164.95pt;rotation:-45;z-index:-25165821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EQclg7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288910F4"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3" behindDoc="1" locked="0" layoutInCell="0" allowOverlap="1" wp14:anchorId="39FBE775" wp14:editId="20006661">
              <wp:simplePos x="0" y="0"/>
              <wp:positionH relativeFrom="margin">
                <wp:align>center</wp:align>
              </wp:positionH>
              <wp:positionV relativeFrom="margin">
                <wp:align>center</wp:align>
              </wp:positionV>
              <wp:extent cx="6285230" cy="2094865"/>
              <wp:effectExtent l="0" t="0" r="0" b="0"/>
              <wp:wrapNone/>
              <wp:docPr id="6"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4CAB8A"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9FBE775" id="_x0000_s1088" type="#_x0000_t202" style="position:absolute;left:0;text-align:left;margin-left:0;margin-top:0;width:494.9pt;height:164.95pt;rotation:-45;z-index:-25165822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" o:allowincell="f" filled="f" stroked="f">
              <v:stroke joinstyle="round"/>
              <o:lock v:ext="edit" rotation="t" aspectratio="t" verticies="t" adjusthandles="t" grouping="t" shapetype="t"/>
              <v:textbox>
                <w:txbxContent>
                  <w:p w14:paraId="354CAB8A"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6" behindDoc="1" locked="0" layoutInCell="0" allowOverlap="1" wp14:anchorId="1B5120DE" wp14:editId="7ADB16A4">
              <wp:simplePos x="0" y="0"/>
              <wp:positionH relativeFrom="margin">
                <wp:align>center</wp:align>
              </wp:positionH>
              <wp:positionV relativeFrom="margin">
                <wp:align>center</wp:align>
              </wp:positionV>
              <wp:extent cx="6285230" cy="2094865"/>
              <wp:effectExtent l="0" t="0" r="0" b="0"/>
              <wp:wrapNone/>
              <wp:docPr id="43" name="PowerPlusWaterMarkObject704960279"/>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59F99C"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B5120DE" id="_x0000_s1089" type="#_x0000_t202" style="position:absolute;left:0;text-align:left;margin-left:0;margin-top:0;width:494.9pt;height:164.95pt;rotation:-45;z-index:-25165817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" o:allowincell="f" filled="f" stroked="f">
              <v:stroke joinstyle="round"/>
              <o:lock v:ext="edit" rotation="t" aspectratio="t" verticies="t" adjusthandles="t" grouping="t" shapetype="t"/>
              <v:textbox>
                <w:txbxContent>
                  <w:p w14:paraId="7C59F99C"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7C1FF" w14:textId="4A74D0B7" w:rsidR="00395962" w:rsidRPr="00672C4D" w:rsidRDefault="00395962" w:rsidP="00672C4D">
    <w:pPr>
      <w:pStyle w:val="Header"/>
    </w:pPr>
    <w:r>
      <w:rPr>
        <w:noProof/>
      </w:rPr>
      <mc:AlternateContent>
        <mc:Choice Requires="wps">
          <w:drawing>
            <wp:anchor distT="0" distB="0" distL="114300" distR="114300" simplePos="0" relativeHeight="251658299" behindDoc="1" locked="0" layoutInCell="0" allowOverlap="1" wp14:anchorId="17E5F58E" wp14:editId="440E3134">
              <wp:simplePos x="0" y="0"/>
              <wp:positionH relativeFrom="margin">
                <wp:align>center</wp:align>
              </wp:positionH>
              <wp:positionV relativeFrom="margin">
                <wp:align>center</wp:align>
              </wp:positionV>
              <wp:extent cx="6285230" cy="2094865"/>
              <wp:effectExtent l="0" t="0" r="0" b="0"/>
              <wp:wrapNone/>
              <wp:docPr id="694454867"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597F7E"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17E5F58E" id="_x0000_t202" coordsize="21600,21600" o:spt="202" path="m,l,21600r21600,l21600,xe">
              <v:stroke joinstyle="miter"/>
              <v:path gradientshapeok="t" o:connecttype="rect"/>
            </v:shapetype>
            <v:shape id="PowerPlusWaterMarkObject704960280" o:spid="_x0000_s1090" type="#_x0000_t202" style="position:absolute;left:0;text-align:left;margin-left:0;margin-top:0;width:494.9pt;height:164.95pt;rotation:-45;z-index:-25165818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ax/y8s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3D597F7E"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90" behindDoc="1" locked="0" layoutInCell="0" allowOverlap="1" wp14:anchorId="35C8A982" wp14:editId="6AAF2197">
              <wp:simplePos x="0" y="0"/>
              <wp:positionH relativeFrom="margin">
                <wp:align>center</wp:align>
              </wp:positionH>
              <wp:positionV relativeFrom="margin">
                <wp:align>center</wp:align>
              </wp:positionV>
              <wp:extent cx="6285230" cy="2094865"/>
              <wp:effectExtent l="0" t="0" r="0" b="0"/>
              <wp:wrapNone/>
              <wp:docPr id="694454866"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7B1A351"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5C8A982" id="_x0000_s1091" type="#_x0000_t202" style="position:absolute;left:0;text-align:left;margin-left:0;margin-top:0;width:494.9pt;height:164.95pt;rotation:-45;z-index:-25165819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MOv2Qs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77B1A351"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1" behindDoc="1" locked="0" layoutInCell="0" allowOverlap="1" wp14:anchorId="20B5E98D" wp14:editId="753A1D6B">
              <wp:simplePos x="0" y="0"/>
              <wp:positionH relativeFrom="margin">
                <wp:align>center</wp:align>
              </wp:positionH>
              <wp:positionV relativeFrom="margin">
                <wp:align>center</wp:align>
              </wp:positionV>
              <wp:extent cx="6285230" cy="2094865"/>
              <wp:effectExtent l="0" t="0" r="0" b="0"/>
              <wp:wrapNone/>
              <wp:docPr id="789972393"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1CD578"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0B5E98D" id="_x0000_s1092" type="#_x0000_t202" style="position:absolute;left:0;text-align:left;margin-left:0;margin-top:0;width:494.9pt;height:164.95pt;rotation:-45;z-index:-25165819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w6d9Ec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4D1CD578"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2" behindDoc="1" locked="0" layoutInCell="0" allowOverlap="1" wp14:anchorId="46276EC3" wp14:editId="5B433B72">
              <wp:simplePos x="0" y="0"/>
              <wp:positionH relativeFrom="margin">
                <wp:align>center</wp:align>
              </wp:positionH>
              <wp:positionV relativeFrom="margin">
                <wp:align>center</wp:align>
              </wp:positionV>
              <wp:extent cx="6285230" cy="2094865"/>
              <wp:effectExtent l="0" t="0" r="0" b="0"/>
              <wp:wrapNone/>
              <wp:docPr id="789972392"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E74605D"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6276EC3" id="_x0000_s1093" type="#_x0000_t202" style="position:absolute;left:0;text-align:left;margin-left:0;margin-top:0;width:494.9pt;height:164.95pt;rotation:-45;z-index:-2516582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IknDQX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6E74605D"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23" behindDoc="1" locked="0" layoutInCell="0" allowOverlap="1" wp14:anchorId="428CA030" wp14:editId="7F02739F">
              <wp:simplePos x="0" y="0"/>
              <wp:positionH relativeFrom="margin">
                <wp:align>center</wp:align>
              </wp:positionH>
              <wp:positionV relativeFrom="margin">
                <wp:align>center</wp:align>
              </wp:positionV>
              <wp:extent cx="6285230" cy="2094865"/>
              <wp:effectExtent l="0" t="0" r="0" b="0"/>
              <wp:wrapNone/>
              <wp:docPr id="583444776"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947D059"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28CA030" id="_x0000_s1094" type="#_x0000_t202" style="position:absolute;left:0;text-align:left;margin-left:0;margin-top:0;width:494.9pt;height:164.95pt;rotation:-45;z-index:-25165815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BjImZX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5947D059"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24" behindDoc="1" locked="0" layoutInCell="0" allowOverlap="1" wp14:anchorId="4F64D2F7" wp14:editId="0DF5EE00">
              <wp:simplePos x="0" y="0"/>
              <wp:positionH relativeFrom="margin">
                <wp:align>center</wp:align>
              </wp:positionH>
              <wp:positionV relativeFrom="margin">
                <wp:align>center</wp:align>
              </wp:positionV>
              <wp:extent cx="6285230" cy="2094865"/>
              <wp:effectExtent l="0" t="0" r="0" b="0"/>
              <wp:wrapNone/>
              <wp:docPr id="583444775"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C3B698"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F64D2F7" id="_x0000_s1095" type="#_x0000_t202" style="position:absolute;left:0;text-align:left;margin-left:0;margin-top:0;width:494.9pt;height:164.95pt;rotation:-45;z-index:-2516581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I0fE4X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02C3B698"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3" behindDoc="1" locked="0" layoutInCell="0" allowOverlap="1" wp14:anchorId="371F8557" wp14:editId="106D2689">
              <wp:simplePos x="0" y="0"/>
              <wp:positionH relativeFrom="margin">
                <wp:align>center</wp:align>
              </wp:positionH>
              <wp:positionV relativeFrom="margin">
                <wp:align>center</wp:align>
              </wp:positionV>
              <wp:extent cx="6285230" cy="2094865"/>
              <wp:effectExtent l="0" t="0" r="0" b="0"/>
              <wp:wrapNone/>
              <wp:docPr id="583444762"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6ECC28"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71F8557" id="_x0000_s1096" type="#_x0000_t202" style="position:absolute;left:0;text-align:left;margin-left:0;margin-top:0;width:494.9pt;height:164.95pt;rotation:-45;z-index:-25165821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FQU8y/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066ECC28"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4" behindDoc="1" locked="0" layoutInCell="0" allowOverlap="1" wp14:anchorId="1CAC36C5" wp14:editId="4A644A57">
              <wp:simplePos x="0" y="0"/>
              <wp:positionH relativeFrom="margin">
                <wp:align>center</wp:align>
              </wp:positionH>
              <wp:positionV relativeFrom="margin">
                <wp:align>center</wp:align>
              </wp:positionV>
              <wp:extent cx="6285230" cy="2094865"/>
              <wp:effectExtent l="0" t="0" r="0" b="0"/>
              <wp:wrapNone/>
              <wp:docPr id="5"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1C4451"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1CAC36C5" id="_x0000_s1097" type="#_x0000_t202" style="position:absolute;left:0;text-align:left;margin-left:0;margin-top:0;width:494.9pt;height:164.95pt;rotation:-45;z-index:-25165822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Fv2L8TKAgAAdQ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6C1C4451"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7" behindDoc="1" locked="0" layoutInCell="0" allowOverlap="1" wp14:anchorId="270F104E" wp14:editId="31F53E58">
              <wp:simplePos x="0" y="0"/>
              <wp:positionH relativeFrom="margin">
                <wp:align>center</wp:align>
              </wp:positionH>
              <wp:positionV relativeFrom="margin">
                <wp:align>center</wp:align>
              </wp:positionV>
              <wp:extent cx="6285230" cy="2094865"/>
              <wp:effectExtent l="0" t="0" r="0" b="0"/>
              <wp:wrapNone/>
              <wp:docPr id="42" name="PowerPlusWaterMarkObject704960280"/>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8EDD4B0"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70F104E" id="_x0000_s1098" type="#_x0000_t202" style="position:absolute;left:0;text-align:left;margin-left:0;margin-top:0;width:494.9pt;height:164.95pt;rotation:-45;z-index:-25165817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D+h6fnKAgAAdg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68EDD4B0"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6C596" w14:textId="573A8FE4" w:rsidR="00395962" w:rsidRDefault="00395962">
    <w:pPr>
      <w:pStyle w:val="Header"/>
    </w:pPr>
    <w:r>
      <w:rPr>
        <w:noProof/>
      </w:rPr>
      <mc:AlternateContent>
        <mc:Choice Requires="wps">
          <w:drawing>
            <wp:anchor distT="0" distB="0" distL="114300" distR="114300" simplePos="0" relativeHeight="251658297" behindDoc="1" locked="0" layoutInCell="0" allowOverlap="1" wp14:anchorId="56FD372B" wp14:editId="723F472B">
              <wp:simplePos x="0" y="0"/>
              <wp:positionH relativeFrom="margin">
                <wp:align>center</wp:align>
              </wp:positionH>
              <wp:positionV relativeFrom="margin">
                <wp:align>center</wp:align>
              </wp:positionV>
              <wp:extent cx="6285230" cy="2094865"/>
              <wp:effectExtent l="0" t="0" r="0" b="0"/>
              <wp:wrapNone/>
              <wp:docPr id="694454865"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CB58F0F"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56FD372B" id="_x0000_t202" coordsize="21600,21600" o:spt="202" path="m,l,21600r21600,l21600,xe">
              <v:stroke joinstyle="miter"/>
              <v:path gradientshapeok="t" o:connecttype="rect"/>
            </v:shapetype>
            <v:shape id="PowerPlusWaterMarkObject704960278" o:spid="_x0000_s1099" type="#_x0000_t202" style="position:absolute;left:0;text-align:left;margin-left:0;margin-top:0;width:494.9pt;height:164.95pt;rotation:-45;z-index:-25165818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Jm+Fcc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0CB58F0F"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88" behindDoc="1" locked="0" layoutInCell="0" allowOverlap="1" wp14:anchorId="4E7EAEEC" wp14:editId="5D2568D6">
              <wp:simplePos x="0" y="0"/>
              <wp:positionH relativeFrom="margin">
                <wp:align>center</wp:align>
              </wp:positionH>
              <wp:positionV relativeFrom="margin">
                <wp:align>center</wp:align>
              </wp:positionV>
              <wp:extent cx="6285230" cy="2094865"/>
              <wp:effectExtent l="0" t="0" r="0" b="0"/>
              <wp:wrapNone/>
              <wp:docPr id="694454864"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24D83A" w14:textId="77777777" w:rsidR="00395962" w:rsidRDefault="00395962" w:rsidP="00085F8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E7EAEEC" id="_x0000_s1100" type="#_x0000_t202" style="position:absolute;left:0;text-align:left;margin-left:0;margin-top:0;width:494.9pt;height:164.95pt;rotation:-45;z-index:-251658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RFZ32s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1324D83A" w14:textId="77777777" w:rsidR="00395962" w:rsidRDefault="00395962" w:rsidP="00085F8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9" behindDoc="1" locked="0" layoutInCell="0" allowOverlap="1" wp14:anchorId="03BE5356" wp14:editId="7F238E03">
              <wp:simplePos x="0" y="0"/>
              <wp:positionH relativeFrom="margin">
                <wp:align>center</wp:align>
              </wp:positionH>
              <wp:positionV relativeFrom="margin">
                <wp:align>center</wp:align>
              </wp:positionV>
              <wp:extent cx="6285230" cy="2094865"/>
              <wp:effectExtent l="0" t="0" r="0" b="0"/>
              <wp:wrapNone/>
              <wp:docPr id="789972391"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B89666"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03BE5356" id="_x0000_s1101" type="#_x0000_t202" style="position:absolute;left:0;text-align:left;margin-left:0;margin-top:0;width:494.9pt;height:164.95pt;rotation:-45;z-index:-251658201;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1wqSzwIAAH0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" o:allowincell="f" filled="f" stroked="f">
              <v:stroke joinstyle="round"/>
              <o:lock v:ext="edit" rotation="t" aspectratio="t" verticies="t" adjusthandles="t" grouping="t" shapetype="t"/>
              <v:textbox>
                <w:txbxContent>
                  <w:p w14:paraId="29B89666"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70" behindDoc="1" locked="0" layoutInCell="0" allowOverlap="1" wp14:anchorId="7D0536F5" wp14:editId="176B36F7">
              <wp:simplePos x="0" y="0"/>
              <wp:positionH relativeFrom="margin">
                <wp:align>center</wp:align>
              </wp:positionH>
              <wp:positionV relativeFrom="margin">
                <wp:align>center</wp:align>
              </wp:positionV>
              <wp:extent cx="6285230" cy="2094865"/>
              <wp:effectExtent l="0" t="0" r="0" b="0"/>
              <wp:wrapNone/>
              <wp:docPr id="789972390"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FDB526" w14:textId="77777777" w:rsidR="00395962" w:rsidRDefault="00395962" w:rsidP="00B62A44">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7D0536F5" id="_x0000_s1102" type="#_x0000_t202" style="position:absolute;left:0;text-align:left;margin-left:0;margin-top:0;width:494.9pt;height:164.95pt;rotation:-45;z-index:-25165821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Ds7vg5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2DFDB526" w14:textId="77777777" w:rsidR="00395962" w:rsidRDefault="00395962" w:rsidP="00B62A44">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25" behindDoc="1" locked="0" layoutInCell="0" allowOverlap="1" wp14:anchorId="2F90137D" wp14:editId="29FE5F8F">
              <wp:simplePos x="0" y="0"/>
              <wp:positionH relativeFrom="margin">
                <wp:align>center</wp:align>
              </wp:positionH>
              <wp:positionV relativeFrom="margin">
                <wp:align>center</wp:align>
              </wp:positionV>
              <wp:extent cx="6285230" cy="2094865"/>
              <wp:effectExtent l="0" t="0" r="0" b="0"/>
              <wp:wrapNone/>
              <wp:docPr id="583444774"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EE3BB7"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F90137D" id="_x0000_s1103" type="#_x0000_t202" style="position:absolute;left:0;text-align:left;margin-left:0;margin-top:0;width:494.9pt;height:164.95pt;rotation:-45;z-index:-25165815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O4W0AIAAH0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FW47hb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42EE3BB7"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26" behindDoc="1" locked="0" layoutInCell="0" allowOverlap="1" wp14:anchorId="3206E922" wp14:editId="7FB8F3B5">
              <wp:simplePos x="0" y="0"/>
              <wp:positionH relativeFrom="margin">
                <wp:align>center</wp:align>
              </wp:positionH>
              <wp:positionV relativeFrom="margin">
                <wp:align>center</wp:align>
              </wp:positionV>
              <wp:extent cx="6285230" cy="2094865"/>
              <wp:effectExtent l="0" t="0" r="0" b="0"/>
              <wp:wrapNone/>
              <wp:docPr id="583444773"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C93401" w14:textId="77777777" w:rsidR="00395962" w:rsidRDefault="00395962" w:rsidP="00F320A9">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3206E922" id="_x0000_s1104" type="#_x0000_t202" style="position:absolute;left:0;text-align:left;margin-left:0;margin-top:0;width:494.9pt;height:164.95pt;rotation:-45;z-index:-25165815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" o:allowincell="f" filled="f" stroked="f">
              <v:stroke joinstyle="round"/>
              <o:lock v:ext="edit" rotation="t" aspectratio="t" verticies="t" adjusthandles="t" grouping="t" shapetype="t"/>
              <v:textbox>
                <w:txbxContent>
                  <w:p w14:paraId="66C93401" w14:textId="77777777" w:rsidR="00395962" w:rsidRDefault="00395962" w:rsidP="00F320A9">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61" behindDoc="1" locked="0" layoutInCell="0" allowOverlap="1" wp14:anchorId="6C5B2C9F" wp14:editId="39EF7D35">
              <wp:simplePos x="0" y="0"/>
              <wp:positionH relativeFrom="margin">
                <wp:align>center</wp:align>
              </wp:positionH>
              <wp:positionV relativeFrom="margin">
                <wp:align>center</wp:align>
              </wp:positionV>
              <wp:extent cx="6285230" cy="2094865"/>
              <wp:effectExtent l="0" t="0" r="0" b="0"/>
              <wp:wrapNone/>
              <wp:docPr id="583444761"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9F58CE8" w14:textId="77777777" w:rsidR="00395962" w:rsidRDefault="00395962" w:rsidP="00F90868">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6C5B2C9F" id="_x0000_s1105" type="#_x0000_t202" style="position:absolute;left:0;text-align:left;margin-left:0;margin-top:0;width:494.9pt;height:164.95pt;rotation:-45;z-index:-25165821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" o:allowincell="f" filled="f" stroked="f">
              <v:stroke joinstyle="round"/>
              <o:lock v:ext="edit" rotation="t" aspectratio="t" verticies="t" adjusthandles="t" grouping="t" shapetype="t"/>
              <v:textbox>
                <w:txbxContent>
                  <w:p w14:paraId="19F58CE8" w14:textId="77777777" w:rsidR="00395962" w:rsidRDefault="00395962" w:rsidP="00F90868">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252" behindDoc="1" locked="0" layoutInCell="0" allowOverlap="1" wp14:anchorId="262A2961" wp14:editId="0484C0CE">
              <wp:simplePos x="0" y="0"/>
              <wp:positionH relativeFrom="margin">
                <wp:align>center</wp:align>
              </wp:positionH>
              <wp:positionV relativeFrom="margin">
                <wp:align>center</wp:align>
              </wp:positionV>
              <wp:extent cx="6285230" cy="2094865"/>
              <wp:effectExtent l="0" t="0" r="0" b="0"/>
              <wp:wrapNone/>
              <wp:docPr id="4"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554CC77" w14:textId="77777777" w:rsidR="00395962" w:rsidRDefault="00395962" w:rsidP="002F5A13">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62A2961" id="_x0000_s1106" type="#_x0000_t202" style="position:absolute;left:0;text-align:left;margin-left:0;margin-top:0;width:494.9pt;height:164.95pt;rotation:-45;z-index:-2516582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" o:allowincell="f" filled="f" stroked="f">
              <v:stroke joinstyle="round"/>
              <o:lock v:ext="edit" rotation="t" aspectratio="t" verticies="t" adjusthandles="t" grouping="t" shapetype="t"/>
              <v:textbox>
                <w:txbxContent>
                  <w:p w14:paraId="1554CC77" w14:textId="77777777" w:rsidR="00395962" w:rsidRDefault="00395962" w:rsidP="002F5A13">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r>
      <w:rPr>
        <w:noProof/>
      </w:rPr>
      <mc:AlternateContent>
        <mc:Choice Requires="wps">
          <w:drawing>
            <wp:anchor distT="0" distB="0" distL="114300" distR="114300" simplePos="0" relativeHeight="251658308" behindDoc="1" locked="0" layoutInCell="0" allowOverlap="1" wp14:anchorId="2586CEBD" wp14:editId="42A9591D">
              <wp:simplePos x="0" y="0"/>
              <wp:positionH relativeFrom="margin">
                <wp:align>center</wp:align>
              </wp:positionH>
              <wp:positionV relativeFrom="margin">
                <wp:align>center</wp:align>
              </wp:positionV>
              <wp:extent cx="6285230" cy="2094865"/>
              <wp:effectExtent l="0" t="0" r="0" b="0"/>
              <wp:wrapNone/>
              <wp:docPr id="41" name="PowerPlusWaterMarkObject704960278"/>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6285230" cy="2094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932BDF3" w14:textId="77777777" w:rsidR="00395962" w:rsidRDefault="00395962" w:rsidP="00041005">
                          <w:pPr>
                            <w:jc w:val="center"/>
                            <w:rPr>
                              <w:sz w:val="24"/>
                              <w:szCs w:val="24"/>
                            </w:rPr>
                          </w:pPr>
                          <w:r>
                            <w:rPr>
                              <w:rFonts w:ascii="Calibri" w:hAnsi="Calibri" w:cs="Calibri"/>
                              <w:color w:val="E4E4E4"/>
                              <w:sz w:val="72"/>
                              <w:szCs w:val="72"/>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2586CEBD" id="_x0000_s1107" type="#_x0000_t202" style="position:absolute;left:0;text-align:left;margin-left:0;margin-top:0;width:494.9pt;height:164.95pt;rotation:-45;z-index:-2516581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" o:allowincell="f" filled="f" stroked="f">
              <v:stroke joinstyle="round"/>
              <o:lock v:ext="edit" rotation="t" aspectratio="t" verticies="t" adjusthandles="t" grouping="t" shapetype="t"/>
              <v:textbox>
                <w:txbxContent>
                  <w:p w14:paraId="7932BDF3" w14:textId="77777777" w:rsidR="00395962" w:rsidRDefault="00395962" w:rsidP="00041005">
                    <w:pPr>
                      <w:jc w:val="center"/>
                      <w:rPr>
                        <w:sz w:val="24"/>
                        <w:szCs w:val="24"/>
                      </w:rPr>
                    </w:pPr>
                    <w:r>
                      <w:rPr>
                        <w:rFonts w:ascii="Calibri" w:hAnsi="Calibri" w:cs="Calibri"/>
                        <w:color w:val="E4E4E4"/>
                        <w:sz w:val="72"/>
                        <w:szCs w:val="72"/>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BE94E6C8"/>
    <w:lvl w:ilvl="0">
      <w:start w:val="1"/>
      <w:numFmt w:val="lowerRoman"/>
      <w:pStyle w:val="ListNumber3"/>
      <w:lvlText w:val="%1."/>
      <w:lvlJc w:val="right"/>
      <w:pPr>
        <w:ind w:left="1080" w:hanging="360"/>
      </w:pPr>
    </w:lvl>
  </w:abstractNum>
  <w:abstractNum w:abstractNumId="1" w15:restartNumberingAfterBreak="0">
    <w:nsid w:val="FFFFFF7F"/>
    <w:multiLevelType w:val="singleLevel"/>
    <w:tmpl w:val="859E8234"/>
    <w:lvl w:ilvl="0">
      <w:start w:val="1"/>
      <w:numFmt w:val="bullet"/>
      <w:lvlText w:val=""/>
      <w:lvlJc w:val="left"/>
      <w:pPr>
        <w:ind w:left="720" w:hanging="360"/>
      </w:pPr>
      <w:rPr>
        <w:rFonts w:ascii="Symbol" w:hAnsi="Symbol" w:hint="default"/>
      </w:rPr>
    </w:lvl>
  </w:abstractNum>
  <w:abstractNum w:abstractNumId="2" w15:restartNumberingAfterBreak="0">
    <w:nsid w:val="FFFFFF82"/>
    <w:multiLevelType w:val="singleLevel"/>
    <w:tmpl w:val="570E225E"/>
    <w:lvl w:ilvl="0">
      <w:start w:val="1"/>
      <w:numFmt w:val="bullet"/>
      <w:pStyle w:val="ListBullet3"/>
      <w:lvlText w:val=""/>
      <w:lvlJc w:val="left"/>
      <w:pPr>
        <w:ind w:left="1080" w:hanging="360"/>
      </w:pPr>
      <w:rPr>
        <w:rFonts w:ascii="Wingdings" w:hAnsi="Wingdings" w:hint="default"/>
      </w:rPr>
    </w:lvl>
  </w:abstractNum>
  <w:abstractNum w:abstractNumId="3" w15:restartNumberingAfterBreak="0">
    <w:nsid w:val="FFFFFF83"/>
    <w:multiLevelType w:val="singleLevel"/>
    <w:tmpl w:val="0A06E49A"/>
    <w:lvl w:ilvl="0">
      <w:start w:val="1"/>
      <w:numFmt w:val="bullet"/>
      <w:pStyle w:val="ListBullet2"/>
      <w:lvlText w:val="o"/>
      <w:lvlJc w:val="left"/>
      <w:pPr>
        <w:ind w:left="720" w:hanging="360"/>
      </w:pPr>
      <w:rPr>
        <w:rFonts w:ascii="Courier New" w:hAnsi="Courier New" w:cs="Courier New" w:hint="default"/>
      </w:rPr>
    </w:lvl>
  </w:abstractNum>
  <w:abstractNum w:abstractNumId="4" w15:restartNumberingAfterBreak="0">
    <w:nsid w:val="FFFFFF89"/>
    <w:multiLevelType w:val="singleLevel"/>
    <w:tmpl w:val="7130CB3E"/>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5" w15:restartNumberingAfterBreak="0">
    <w:nsid w:val="0DFE70F8"/>
    <w:multiLevelType w:val="hybridMultilevel"/>
    <w:tmpl w:val="3820A1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7F534E"/>
    <w:multiLevelType w:val="hybridMultilevel"/>
    <w:tmpl w:val="1CAEA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A7C64"/>
    <w:multiLevelType w:val="multilevel"/>
    <w:tmpl w:val="5F746402"/>
    <w:lvl w:ilvl="0">
      <w:start w:val="1"/>
      <w:numFmt w:val="decimal"/>
      <w:pStyle w:val="Heading1"/>
      <w:lvlText w:val="%1"/>
      <w:lvlJc w:val="left"/>
      <w:pPr>
        <w:ind w:left="432" w:hanging="432"/>
      </w:pPr>
      <w:rPr>
        <w:rFonts w:cs="Times New Roman"/>
        <w:b/>
        <w:color w:val="auto"/>
      </w:rPr>
    </w:lvl>
    <w:lvl w:ilvl="1">
      <w:start w:val="1"/>
      <w:numFmt w:val="decimal"/>
      <w:pStyle w:val="Heading2"/>
      <w:lvlText w:val="%1.%2"/>
      <w:lvlJc w:val="left"/>
      <w:pPr>
        <w:ind w:left="576" w:hanging="576"/>
      </w:pPr>
      <w:rPr>
        <w:rFonts w:cs="Times New Roman"/>
      </w:rPr>
    </w:lvl>
    <w:lvl w:ilvl="2">
      <w:start w:val="1"/>
      <w:numFmt w:val="decimal"/>
      <w:lvlText w:val="%1.%2.%3"/>
      <w:lvlJc w:val="left"/>
      <w:pPr>
        <w:ind w:left="720" w:hanging="720"/>
      </w:pPr>
      <w:rPr>
        <w:rFonts w:cs="Times New Roman"/>
        <w:b w:val="0"/>
        <w:color w:val="auto"/>
      </w:rPr>
    </w:lvl>
    <w:lvl w:ilvl="3">
      <w:start w:val="1"/>
      <w:numFmt w:val="decimal"/>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8" w15:restartNumberingAfterBreak="0">
    <w:nsid w:val="114B1E99"/>
    <w:multiLevelType w:val="hybridMultilevel"/>
    <w:tmpl w:val="653C360C"/>
    <w:lvl w:ilvl="0" w:tplc="04090001">
      <w:start w:val="1"/>
      <w:numFmt w:val="bullet"/>
      <w:lvlText w:val=""/>
      <w:lvlJc w:val="left"/>
      <w:pPr>
        <w:ind w:left="720" w:hanging="360"/>
      </w:pPr>
      <w:rPr>
        <w:rFonts w:ascii="Symbol" w:hAnsi="Symbol" w:hint="default"/>
      </w:rPr>
    </w:lvl>
    <w:lvl w:ilvl="1" w:tplc="9DD6A8E4">
      <w:start w:val="34"/>
      <w:numFmt w:val="bullet"/>
      <w:lvlText w:val="-"/>
      <w:lvlJc w:val="left"/>
      <w:pPr>
        <w:ind w:left="1440" w:hanging="360"/>
      </w:pPr>
      <w:rPr>
        <w:rFonts w:ascii="Times" w:eastAsia="PMingLiU" w:hAnsi="Times" w:cs="Time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00FF0"/>
    <w:multiLevelType w:val="hybridMultilevel"/>
    <w:tmpl w:val="7EF4F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50B6D30"/>
    <w:multiLevelType w:val="hybridMultilevel"/>
    <w:tmpl w:val="90E88838"/>
    <w:lvl w:ilvl="0" w:tplc="04090019">
      <w:start w:val="1"/>
      <w:numFmt w:val="lowerLetter"/>
      <w:lvlText w:val="%1."/>
      <w:lvlJc w:val="left"/>
      <w:pPr>
        <w:ind w:left="705" w:hanging="360"/>
      </w:pPr>
    </w:lvl>
    <w:lvl w:ilvl="1" w:tplc="04090019">
      <w:start w:val="1"/>
      <w:numFmt w:val="lowerLetter"/>
      <w:lvlText w:val="%2."/>
      <w:lvlJc w:val="left"/>
      <w:pPr>
        <w:ind w:left="1425" w:hanging="360"/>
      </w:pPr>
    </w:lvl>
    <w:lvl w:ilvl="2" w:tplc="0409001B">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15:restartNumberingAfterBreak="0">
    <w:nsid w:val="166C7228"/>
    <w:multiLevelType w:val="hybridMultilevel"/>
    <w:tmpl w:val="5CEAEF48"/>
    <w:lvl w:ilvl="0" w:tplc="40CA1450">
      <w:start w:val="1"/>
      <w:numFmt w:val="decimal"/>
      <w:pStyle w:val="ListNumb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6AB478F"/>
    <w:multiLevelType w:val="multilevel"/>
    <w:tmpl w:val="0B7E496C"/>
    <w:lvl w:ilvl="0">
      <w:numFmt w:val="bullet"/>
      <w:lvlText w:val="•"/>
      <w:lvlJc w:val="left"/>
      <w:pPr>
        <w:ind w:left="360" w:hanging="360"/>
      </w:pPr>
      <w:rPr>
        <w:rFonts w:ascii="Cambria" w:hAnsi="Cambria" w:hint="default"/>
        <w:b w:val="0"/>
        <w:i w:val="0"/>
        <w:color w:val="231F20"/>
        <w:spacing w:val="-24"/>
        <w:w w:val="100"/>
        <w:sz w:val="20"/>
        <w:szCs w:val="24"/>
        <w:u w:val="none"/>
      </w:rPr>
    </w:lvl>
    <w:lvl w:ilvl="1">
      <w:numFmt w:val="bullet"/>
      <w:lvlText w:val="•"/>
      <w:lvlJc w:val="left"/>
      <w:pPr>
        <w:ind w:left="360" w:hanging="360"/>
      </w:pPr>
      <w:rPr>
        <w:rFonts w:ascii="Cambria" w:hAnsi="Cambria" w:hint="default"/>
        <w:b w:val="0"/>
        <w:i w:val="0"/>
        <w:sz w:val="20"/>
        <w:u w:val="none"/>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13" w15:restartNumberingAfterBreak="0">
    <w:nsid w:val="1D0209EE"/>
    <w:multiLevelType w:val="singleLevel"/>
    <w:tmpl w:val="FAB0F880"/>
    <w:lvl w:ilvl="0">
      <w:start w:val="1"/>
      <w:numFmt w:val="decimal"/>
      <w:lvlText w:val="%1."/>
      <w:lvlJc w:val="left"/>
      <w:pPr>
        <w:tabs>
          <w:tab w:val="num" w:pos="360"/>
        </w:tabs>
        <w:ind w:left="360" w:hanging="360"/>
      </w:pPr>
    </w:lvl>
  </w:abstractNum>
  <w:abstractNum w:abstractNumId="14" w15:restartNumberingAfterBreak="0">
    <w:nsid w:val="21004479"/>
    <w:multiLevelType w:val="hybridMultilevel"/>
    <w:tmpl w:val="0B9CE50C"/>
    <w:lvl w:ilvl="0" w:tplc="28328906">
      <w:start w:val="1"/>
      <w:numFmt w:val="lowerLetter"/>
      <w:pStyle w:val="ListNumber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413D02"/>
    <w:multiLevelType w:val="multilevel"/>
    <w:tmpl w:val="57FCC0F8"/>
    <w:lvl w:ilvl="0">
      <w:numFmt w:val="bullet"/>
      <w:lvlText w:val="•"/>
      <w:lvlJc w:val="left"/>
      <w:pPr>
        <w:ind w:left="360" w:hanging="360"/>
      </w:pPr>
      <w:rPr>
        <w:rFonts w:ascii="Cambria" w:hAnsi="Cambria" w:hint="default"/>
        <w:b w:val="0"/>
        <w:i w:val="0"/>
        <w:color w:val="231F20"/>
        <w:spacing w:val="-24"/>
        <w:w w:val="100"/>
        <w:sz w:val="20"/>
        <w:szCs w:val="24"/>
        <w:u w:val="none"/>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16" w15:restartNumberingAfterBreak="0">
    <w:nsid w:val="2DC7684F"/>
    <w:multiLevelType w:val="hybridMultilevel"/>
    <w:tmpl w:val="D6DA1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DF126C6"/>
    <w:multiLevelType w:val="hybridMultilevel"/>
    <w:tmpl w:val="83CCB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3858D5"/>
    <w:multiLevelType w:val="hybridMultilevel"/>
    <w:tmpl w:val="49CA5854"/>
    <w:lvl w:ilvl="0" w:tplc="AAC83C34">
      <w:start w:val="1"/>
      <w:numFmt w:val="bullet"/>
      <w:lvlText w:val=""/>
      <w:lvlJc w:val="left"/>
      <w:pPr>
        <w:ind w:left="1080" w:hanging="360"/>
      </w:pPr>
      <w:rPr>
        <w:rFonts w:ascii="Symbol" w:eastAsia="Symbol" w:hAnsi="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5B108E6"/>
    <w:multiLevelType w:val="hybridMultilevel"/>
    <w:tmpl w:val="6B8A05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152014"/>
    <w:multiLevelType w:val="hybridMultilevel"/>
    <w:tmpl w:val="BD423824"/>
    <w:lvl w:ilvl="0" w:tplc="068434CE">
      <w:start w:val="1"/>
      <w:numFmt w:val="bullet"/>
      <w:lvlText w:val=""/>
      <w:lvlJc w:val="left"/>
      <w:pPr>
        <w:ind w:left="720" w:hanging="360"/>
      </w:pPr>
      <w:rPr>
        <w:rFonts w:ascii="Symbol" w:hAnsi="Symbol" w:hint="default"/>
      </w:rPr>
    </w:lvl>
    <w:lvl w:ilvl="1" w:tplc="1BA86924">
      <w:start w:val="1"/>
      <w:numFmt w:val="bullet"/>
      <w:lvlText w:val="o"/>
      <w:lvlJc w:val="left"/>
      <w:pPr>
        <w:ind w:left="1440" w:hanging="360"/>
      </w:pPr>
      <w:rPr>
        <w:rFonts w:ascii="Courier New" w:hAnsi="Courier New" w:hint="default"/>
      </w:rPr>
    </w:lvl>
    <w:lvl w:ilvl="2" w:tplc="FB0492B4">
      <w:start w:val="1"/>
      <w:numFmt w:val="bullet"/>
      <w:lvlText w:val=""/>
      <w:lvlJc w:val="left"/>
      <w:pPr>
        <w:ind w:left="2160" w:hanging="360"/>
      </w:pPr>
      <w:rPr>
        <w:rFonts w:ascii="Wingdings" w:hAnsi="Wingdings" w:hint="default"/>
      </w:rPr>
    </w:lvl>
    <w:lvl w:ilvl="3" w:tplc="9DF0A3F6">
      <w:start w:val="1"/>
      <w:numFmt w:val="bullet"/>
      <w:lvlText w:val=""/>
      <w:lvlJc w:val="left"/>
      <w:pPr>
        <w:ind w:left="2880" w:hanging="360"/>
      </w:pPr>
      <w:rPr>
        <w:rFonts w:ascii="Symbol" w:hAnsi="Symbol" w:hint="default"/>
      </w:rPr>
    </w:lvl>
    <w:lvl w:ilvl="4" w:tplc="9904AD52">
      <w:start w:val="1"/>
      <w:numFmt w:val="bullet"/>
      <w:lvlText w:val="o"/>
      <w:lvlJc w:val="left"/>
      <w:pPr>
        <w:ind w:left="3600" w:hanging="360"/>
      </w:pPr>
      <w:rPr>
        <w:rFonts w:ascii="Courier New" w:hAnsi="Courier New" w:hint="default"/>
      </w:rPr>
    </w:lvl>
    <w:lvl w:ilvl="5" w:tplc="D14022AC">
      <w:start w:val="1"/>
      <w:numFmt w:val="bullet"/>
      <w:lvlText w:val=""/>
      <w:lvlJc w:val="left"/>
      <w:pPr>
        <w:ind w:left="4320" w:hanging="360"/>
      </w:pPr>
      <w:rPr>
        <w:rFonts w:ascii="Wingdings" w:hAnsi="Wingdings" w:hint="default"/>
      </w:rPr>
    </w:lvl>
    <w:lvl w:ilvl="6" w:tplc="A99A2E00">
      <w:start w:val="1"/>
      <w:numFmt w:val="bullet"/>
      <w:lvlText w:val=""/>
      <w:lvlJc w:val="left"/>
      <w:pPr>
        <w:ind w:left="5040" w:hanging="360"/>
      </w:pPr>
      <w:rPr>
        <w:rFonts w:ascii="Symbol" w:hAnsi="Symbol" w:hint="default"/>
      </w:rPr>
    </w:lvl>
    <w:lvl w:ilvl="7" w:tplc="18A61FDE">
      <w:start w:val="1"/>
      <w:numFmt w:val="bullet"/>
      <w:lvlText w:val="o"/>
      <w:lvlJc w:val="left"/>
      <w:pPr>
        <w:ind w:left="5760" w:hanging="360"/>
      </w:pPr>
      <w:rPr>
        <w:rFonts w:ascii="Courier New" w:hAnsi="Courier New" w:hint="default"/>
      </w:rPr>
    </w:lvl>
    <w:lvl w:ilvl="8" w:tplc="C9A41CB6">
      <w:start w:val="1"/>
      <w:numFmt w:val="bullet"/>
      <w:lvlText w:val=""/>
      <w:lvlJc w:val="left"/>
      <w:pPr>
        <w:ind w:left="6480" w:hanging="360"/>
      </w:pPr>
      <w:rPr>
        <w:rFonts w:ascii="Wingdings" w:hAnsi="Wingdings" w:hint="default"/>
      </w:rPr>
    </w:lvl>
  </w:abstractNum>
  <w:abstractNum w:abstractNumId="21" w15:restartNumberingAfterBreak="0">
    <w:nsid w:val="3D663D99"/>
    <w:multiLevelType w:val="hybridMultilevel"/>
    <w:tmpl w:val="C5D86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ECE2282"/>
    <w:multiLevelType w:val="hybridMultilevel"/>
    <w:tmpl w:val="3ED006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27C459E"/>
    <w:multiLevelType w:val="hybridMultilevel"/>
    <w:tmpl w:val="AA38B70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442043EF"/>
    <w:multiLevelType w:val="multilevel"/>
    <w:tmpl w:val="BD5C1D76"/>
    <w:lvl w:ilvl="0">
      <w:numFmt w:val="bullet"/>
      <w:lvlText w:val="•"/>
      <w:lvlJc w:val="left"/>
      <w:pPr>
        <w:ind w:left="360" w:hanging="360"/>
      </w:pPr>
      <w:rPr>
        <w:rFonts w:ascii="Cambria" w:hAnsi="Cambria" w:hint="default"/>
        <w:b w:val="0"/>
        <w:i w:val="0"/>
        <w:color w:val="231F20"/>
        <w:spacing w:val="-24"/>
        <w:w w:val="100"/>
        <w:sz w:val="20"/>
        <w:szCs w:val="24"/>
        <w:u w:val="none"/>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25" w15:restartNumberingAfterBreak="0">
    <w:nsid w:val="49CF436C"/>
    <w:multiLevelType w:val="hybridMultilevel"/>
    <w:tmpl w:val="C608BEAC"/>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9E526B2"/>
    <w:multiLevelType w:val="hybridMultilevel"/>
    <w:tmpl w:val="71E25B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D86D70"/>
    <w:multiLevelType w:val="hybridMultilevel"/>
    <w:tmpl w:val="729E8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A214C"/>
    <w:multiLevelType w:val="hybridMultilevel"/>
    <w:tmpl w:val="4B127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EF6580"/>
    <w:multiLevelType w:val="hybridMultilevel"/>
    <w:tmpl w:val="665C32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F372A20"/>
    <w:multiLevelType w:val="hybridMultilevel"/>
    <w:tmpl w:val="455EB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B32C9A"/>
    <w:multiLevelType w:val="multilevel"/>
    <w:tmpl w:val="AE0A69F4"/>
    <w:lvl w:ilvl="0">
      <w:numFmt w:val="bullet"/>
      <w:lvlText w:val="•"/>
      <w:lvlJc w:val="left"/>
      <w:pPr>
        <w:ind w:left="360" w:hanging="360"/>
      </w:pPr>
      <w:rPr>
        <w:rFonts w:ascii="Cambria" w:hAnsi="Cambria" w:hint="default"/>
        <w:b w:val="0"/>
        <w:i w:val="0"/>
        <w:color w:val="231F20"/>
        <w:spacing w:val="-24"/>
        <w:w w:val="100"/>
        <w:sz w:val="20"/>
        <w:szCs w:val="24"/>
        <w:u w:val="none"/>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32" w15:restartNumberingAfterBreak="0">
    <w:nsid w:val="5C0E5F94"/>
    <w:multiLevelType w:val="hybridMultilevel"/>
    <w:tmpl w:val="F6943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393527"/>
    <w:multiLevelType w:val="hybridMultilevel"/>
    <w:tmpl w:val="B8B6A5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9832514"/>
    <w:multiLevelType w:val="hybridMultilevel"/>
    <w:tmpl w:val="6D467C82"/>
    <w:lvl w:ilvl="0" w:tplc="040C000F">
      <w:start w:val="1"/>
      <w:numFmt w:val="decimal"/>
      <w:lvlText w:val="%1."/>
      <w:lvlJc w:val="left"/>
      <w:pPr>
        <w:ind w:left="705" w:hanging="360"/>
      </w:pPr>
    </w:lvl>
    <w:lvl w:ilvl="1" w:tplc="04090019">
      <w:start w:val="1"/>
      <w:numFmt w:val="lowerLetter"/>
      <w:lvlText w:val="%2."/>
      <w:lvlJc w:val="left"/>
      <w:pPr>
        <w:ind w:left="1425" w:hanging="360"/>
      </w:pPr>
    </w:lvl>
    <w:lvl w:ilvl="2" w:tplc="0409001B">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35" w15:restartNumberingAfterBreak="0">
    <w:nsid w:val="6BA73B41"/>
    <w:multiLevelType w:val="hybridMultilevel"/>
    <w:tmpl w:val="4D3C46DE"/>
    <w:lvl w:ilvl="0" w:tplc="50B2319A">
      <w:start w:val="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5B7A71"/>
    <w:multiLevelType w:val="hybridMultilevel"/>
    <w:tmpl w:val="261C80A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7" w15:restartNumberingAfterBreak="0">
    <w:nsid w:val="6F22480F"/>
    <w:multiLevelType w:val="multilevel"/>
    <w:tmpl w:val="58B6D054"/>
    <w:lvl w:ilvl="0">
      <w:numFmt w:val="bullet"/>
      <w:lvlText w:val="•"/>
      <w:lvlJc w:val="left"/>
      <w:pPr>
        <w:ind w:left="360" w:hanging="360"/>
      </w:pPr>
      <w:rPr>
        <w:rFonts w:ascii="Cambria" w:hAnsi="Cambria" w:hint="default"/>
        <w:b w:val="0"/>
        <w:i w:val="0"/>
        <w:color w:val="231F20"/>
        <w:spacing w:val="-24"/>
        <w:w w:val="100"/>
        <w:sz w:val="20"/>
        <w:szCs w:val="24"/>
        <w:u w:val="none"/>
      </w:rPr>
    </w:lvl>
    <w:lvl w:ilvl="1">
      <w:start w:val="6"/>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38" w15:restartNumberingAfterBreak="0">
    <w:nsid w:val="769B5DF4"/>
    <w:multiLevelType w:val="hybridMultilevel"/>
    <w:tmpl w:val="FE080E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8E1C61"/>
    <w:multiLevelType w:val="hybridMultilevel"/>
    <w:tmpl w:val="92B0F55E"/>
    <w:lvl w:ilvl="0" w:tplc="A68A8054">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2163F8"/>
    <w:multiLevelType w:val="hybridMultilevel"/>
    <w:tmpl w:val="FE021A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C4E1F03"/>
    <w:multiLevelType w:val="hybridMultilevel"/>
    <w:tmpl w:val="27D8E580"/>
    <w:lvl w:ilvl="0" w:tplc="04090001">
      <w:start w:val="1"/>
      <w:numFmt w:val="bullet"/>
      <w:lvlText w:val=""/>
      <w:lvlJc w:val="left"/>
      <w:pPr>
        <w:ind w:left="360" w:hanging="360"/>
      </w:pPr>
      <w:rPr>
        <w:rFonts w:ascii="Symbol" w:hAnsi="Symbol" w:hint="default"/>
      </w:rPr>
    </w:lvl>
    <w:lvl w:ilvl="1" w:tplc="D708C94C">
      <w:numFmt w:val="bullet"/>
      <w:lvlText w:val="-"/>
      <w:lvlJc w:val="left"/>
      <w:pPr>
        <w:ind w:left="1080" w:hanging="360"/>
      </w:pPr>
      <w:rPr>
        <w:rFonts w:ascii="Arial" w:eastAsia="Arial" w:hAnsi="Arial" w:cs="Arial" w:hint="default"/>
        <w:w w:val="100"/>
        <w:sz w:val="22"/>
        <w:szCs w:val="22"/>
      </w:rPr>
    </w:lvl>
    <w:lvl w:ilvl="2" w:tplc="04090003">
      <w:start w:val="1"/>
      <w:numFmt w:val="bullet"/>
      <w:lvlText w:val="o"/>
      <w:lvlJc w:val="left"/>
      <w:pPr>
        <w:ind w:left="1800" w:hanging="360"/>
      </w:pPr>
      <w:rPr>
        <w:rFonts w:ascii="Courier New" w:hAnsi="Courier New" w:cs="Courier New" w:hint="default"/>
      </w:rPr>
    </w:lvl>
    <w:lvl w:ilvl="3" w:tplc="04090003">
      <w:start w:val="1"/>
      <w:numFmt w:val="bullet"/>
      <w:lvlText w:val="o"/>
      <w:lvlJc w:val="left"/>
      <w:pPr>
        <w:ind w:left="1080" w:hanging="360"/>
      </w:pPr>
      <w:rPr>
        <w:rFonts w:ascii="Courier New" w:hAnsi="Courier New" w:cs="Courier New" w:hint="default"/>
      </w:rPr>
    </w:lvl>
    <w:lvl w:ilvl="4" w:tplc="04090003">
      <w:start w:val="1"/>
      <w:numFmt w:val="bullet"/>
      <w:lvlText w:val="o"/>
      <w:lvlJc w:val="left"/>
      <w:pPr>
        <w:ind w:left="3240" w:hanging="360"/>
      </w:pPr>
      <w:rPr>
        <w:rFonts w:ascii="Courier New" w:hAnsi="Courier New" w:cs="Courier New" w:hint="default"/>
      </w:rPr>
    </w:lvl>
    <w:lvl w:ilvl="5" w:tplc="08667FF2">
      <w:numFmt w:val="bullet"/>
      <w:lvlText w:val=""/>
      <w:lvlJc w:val="left"/>
      <w:pPr>
        <w:ind w:left="3960" w:hanging="360"/>
      </w:pPr>
      <w:rPr>
        <w:rFonts w:ascii="Wingdings" w:eastAsia="MS Mincho" w:hAnsi="Wingdings" w:cs="Times New Roman"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EBE19B9"/>
    <w:multiLevelType w:val="hybridMultilevel"/>
    <w:tmpl w:val="F8961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36"/>
  </w:num>
  <w:num w:numId="3">
    <w:abstractNumId w:val="4"/>
  </w:num>
  <w:num w:numId="4">
    <w:abstractNumId w:val="3"/>
  </w:num>
  <w:num w:numId="5">
    <w:abstractNumId w:val="2"/>
  </w:num>
  <w:num w:numId="6">
    <w:abstractNumId w:val="0"/>
  </w:num>
  <w:num w:numId="7">
    <w:abstractNumId w:val="16"/>
  </w:num>
  <w:num w:numId="8">
    <w:abstractNumId w:val="5"/>
  </w:num>
  <w:num w:numId="9">
    <w:abstractNumId w:val="40"/>
  </w:num>
  <w:num w:numId="10">
    <w:abstractNumId w:val="11"/>
  </w:num>
  <w:num w:numId="11">
    <w:abstractNumId w:val="11"/>
    <w:lvlOverride w:ilvl="0">
      <w:startOverride w:val="1"/>
    </w:lvlOverride>
  </w:num>
  <w:num w:numId="12">
    <w:abstractNumId w:val="11"/>
    <w:lvlOverride w:ilvl="0">
      <w:startOverride w:val="1"/>
    </w:lvlOverride>
  </w:num>
  <w:num w:numId="13">
    <w:abstractNumId w:val="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3"/>
  </w:num>
  <w:num w:numId="17">
    <w:abstractNumId w:val="14"/>
  </w:num>
  <w:num w:numId="18">
    <w:abstractNumId w:val="11"/>
    <w:lvlOverride w:ilvl="0">
      <w:startOverride w:val="1"/>
    </w:lvlOverride>
  </w:num>
  <w:num w:numId="19">
    <w:abstractNumId w:val="28"/>
  </w:num>
  <w:num w:numId="20">
    <w:abstractNumId w:val="39"/>
  </w:num>
  <w:num w:numId="21">
    <w:abstractNumId w:val="8"/>
  </w:num>
  <w:num w:numId="22">
    <w:abstractNumId w:val="19"/>
  </w:num>
  <w:num w:numId="23">
    <w:abstractNumId w:val="26"/>
  </w:num>
  <w:num w:numId="24">
    <w:abstractNumId w:val="21"/>
  </w:num>
  <w:num w:numId="25">
    <w:abstractNumId w:val="18"/>
  </w:num>
  <w:num w:numId="26">
    <w:abstractNumId w:val="41"/>
  </w:num>
  <w:num w:numId="27">
    <w:abstractNumId w:val="38"/>
  </w:num>
  <w:num w:numId="28">
    <w:abstractNumId w:val="27"/>
  </w:num>
  <w:num w:numId="29">
    <w:abstractNumId w:val="6"/>
  </w:num>
  <w:num w:numId="30">
    <w:abstractNumId w:val="17"/>
  </w:num>
  <w:num w:numId="31">
    <w:abstractNumId w:val="30"/>
  </w:num>
  <w:num w:numId="32">
    <w:abstractNumId w:val="23"/>
  </w:num>
  <w:num w:numId="33">
    <w:abstractNumId w:val="22"/>
  </w:num>
  <w:num w:numId="34">
    <w:abstractNumId w:val="29"/>
  </w:num>
  <w:num w:numId="35">
    <w:abstractNumId w:val="9"/>
  </w:num>
  <w:num w:numId="36">
    <w:abstractNumId w:val="25"/>
  </w:num>
  <w:num w:numId="37">
    <w:abstractNumId w:val="33"/>
  </w:num>
  <w:num w:numId="38">
    <w:abstractNumId w:val="37"/>
  </w:num>
  <w:num w:numId="39">
    <w:abstractNumId w:val="31"/>
  </w:num>
  <w:num w:numId="40">
    <w:abstractNumId w:val="12"/>
  </w:num>
  <w:num w:numId="41">
    <w:abstractNumId w:val="15"/>
  </w:num>
  <w:num w:numId="42">
    <w:abstractNumId w:val="24"/>
  </w:num>
  <w:num w:numId="43">
    <w:abstractNumId w:val="20"/>
  </w:num>
  <w:num w:numId="44">
    <w:abstractNumId w:val="10"/>
  </w:num>
  <w:num w:numId="45">
    <w:abstractNumId w:val="34"/>
  </w:num>
  <w:num w:numId="46">
    <w:abstractNumId w:val="35"/>
  </w:num>
  <w:num w:numId="47">
    <w:abstractNumId w:val="42"/>
  </w:num>
  <w:num w:numId="48">
    <w:abstractNumId w:val="32"/>
  </w:num>
  <w:num w:numId="49">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EFB"/>
    <w:rsid w:val="0000077C"/>
    <w:rsid w:val="000010B6"/>
    <w:rsid w:val="00001619"/>
    <w:rsid w:val="000018DA"/>
    <w:rsid w:val="00001E52"/>
    <w:rsid w:val="00001F27"/>
    <w:rsid w:val="000023C2"/>
    <w:rsid w:val="0000255F"/>
    <w:rsid w:val="00003170"/>
    <w:rsid w:val="00003603"/>
    <w:rsid w:val="00003CFB"/>
    <w:rsid w:val="00003FA1"/>
    <w:rsid w:val="00004722"/>
    <w:rsid w:val="0000491A"/>
    <w:rsid w:val="00004949"/>
    <w:rsid w:val="00004D5E"/>
    <w:rsid w:val="000051D5"/>
    <w:rsid w:val="00005661"/>
    <w:rsid w:val="00006297"/>
    <w:rsid w:val="0000630D"/>
    <w:rsid w:val="00006ACD"/>
    <w:rsid w:val="00006DE2"/>
    <w:rsid w:val="00006F22"/>
    <w:rsid w:val="00007364"/>
    <w:rsid w:val="0001094D"/>
    <w:rsid w:val="00010A0A"/>
    <w:rsid w:val="000113B2"/>
    <w:rsid w:val="0001157D"/>
    <w:rsid w:val="0001192A"/>
    <w:rsid w:val="00011C00"/>
    <w:rsid w:val="00011F4A"/>
    <w:rsid w:val="000125EC"/>
    <w:rsid w:val="00012882"/>
    <w:rsid w:val="0001326E"/>
    <w:rsid w:val="0001370B"/>
    <w:rsid w:val="00013824"/>
    <w:rsid w:val="0001404E"/>
    <w:rsid w:val="00014235"/>
    <w:rsid w:val="00014480"/>
    <w:rsid w:val="000149A3"/>
    <w:rsid w:val="0001503D"/>
    <w:rsid w:val="0001519B"/>
    <w:rsid w:val="000152E8"/>
    <w:rsid w:val="000158D0"/>
    <w:rsid w:val="00015A32"/>
    <w:rsid w:val="00016458"/>
    <w:rsid w:val="00016619"/>
    <w:rsid w:val="00017AA2"/>
    <w:rsid w:val="00017D7D"/>
    <w:rsid w:val="00020025"/>
    <w:rsid w:val="000202A8"/>
    <w:rsid w:val="00020579"/>
    <w:rsid w:val="000213D1"/>
    <w:rsid w:val="0002224D"/>
    <w:rsid w:val="000225BE"/>
    <w:rsid w:val="0002283A"/>
    <w:rsid w:val="0002294B"/>
    <w:rsid w:val="000230EB"/>
    <w:rsid w:val="0002310D"/>
    <w:rsid w:val="000233E7"/>
    <w:rsid w:val="00024877"/>
    <w:rsid w:val="00025005"/>
    <w:rsid w:val="00025022"/>
    <w:rsid w:val="00026108"/>
    <w:rsid w:val="000261BD"/>
    <w:rsid w:val="00026A42"/>
    <w:rsid w:val="00026C64"/>
    <w:rsid w:val="00027093"/>
    <w:rsid w:val="00027652"/>
    <w:rsid w:val="00027669"/>
    <w:rsid w:val="00027B63"/>
    <w:rsid w:val="0003017D"/>
    <w:rsid w:val="000301A8"/>
    <w:rsid w:val="0003073E"/>
    <w:rsid w:val="00030D59"/>
    <w:rsid w:val="00030F86"/>
    <w:rsid w:val="000330B1"/>
    <w:rsid w:val="0003367A"/>
    <w:rsid w:val="00033A4A"/>
    <w:rsid w:val="00033AE8"/>
    <w:rsid w:val="00033F34"/>
    <w:rsid w:val="0003416C"/>
    <w:rsid w:val="00035B35"/>
    <w:rsid w:val="0003601C"/>
    <w:rsid w:val="00036400"/>
    <w:rsid w:val="00036451"/>
    <w:rsid w:val="000366AD"/>
    <w:rsid w:val="000371F2"/>
    <w:rsid w:val="00037666"/>
    <w:rsid w:val="000406DB"/>
    <w:rsid w:val="00040B86"/>
    <w:rsid w:val="00041005"/>
    <w:rsid w:val="00041234"/>
    <w:rsid w:val="00041668"/>
    <w:rsid w:val="00041D75"/>
    <w:rsid w:val="00042119"/>
    <w:rsid w:val="0004246D"/>
    <w:rsid w:val="00043B80"/>
    <w:rsid w:val="000443AB"/>
    <w:rsid w:val="000448CE"/>
    <w:rsid w:val="00046321"/>
    <w:rsid w:val="00046968"/>
    <w:rsid w:val="00047615"/>
    <w:rsid w:val="00047705"/>
    <w:rsid w:val="00047D9C"/>
    <w:rsid w:val="00051A7F"/>
    <w:rsid w:val="00051B7B"/>
    <w:rsid w:val="00051C44"/>
    <w:rsid w:val="000520C9"/>
    <w:rsid w:val="000521B8"/>
    <w:rsid w:val="00052713"/>
    <w:rsid w:val="00052A46"/>
    <w:rsid w:val="00052B89"/>
    <w:rsid w:val="00052CD8"/>
    <w:rsid w:val="00052EDC"/>
    <w:rsid w:val="00053B50"/>
    <w:rsid w:val="00053D5F"/>
    <w:rsid w:val="00053DDE"/>
    <w:rsid w:val="00054487"/>
    <w:rsid w:val="00054546"/>
    <w:rsid w:val="000554EA"/>
    <w:rsid w:val="00055E46"/>
    <w:rsid w:val="00055F7E"/>
    <w:rsid w:val="000564DF"/>
    <w:rsid w:val="0005670F"/>
    <w:rsid w:val="00056784"/>
    <w:rsid w:val="00056E44"/>
    <w:rsid w:val="000574E2"/>
    <w:rsid w:val="00060139"/>
    <w:rsid w:val="00060F81"/>
    <w:rsid w:val="0006144B"/>
    <w:rsid w:val="00061C3A"/>
    <w:rsid w:val="00062432"/>
    <w:rsid w:val="0006257B"/>
    <w:rsid w:val="00062DF5"/>
    <w:rsid w:val="00063490"/>
    <w:rsid w:val="000635A5"/>
    <w:rsid w:val="000636CF"/>
    <w:rsid w:val="00063E94"/>
    <w:rsid w:val="00063FE2"/>
    <w:rsid w:val="0006476F"/>
    <w:rsid w:val="00064920"/>
    <w:rsid w:val="00065E37"/>
    <w:rsid w:val="00065EE7"/>
    <w:rsid w:val="000663EF"/>
    <w:rsid w:val="00066FB6"/>
    <w:rsid w:val="00067421"/>
    <w:rsid w:val="00067504"/>
    <w:rsid w:val="0006756F"/>
    <w:rsid w:val="000704BB"/>
    <w:rsid w:val="000704D8"/>
    <w:rsid w:val="00071071"/>
    <w:rsid w:val="000713CA"/>
    <w:rsid w:val="000718DF"/>
    <w:rsid w:val="00071BC9"/>
    <w:rsid w:val="000727BA"/>
    <w:rsid w:val="00072DB5"/>
    <w:rsid w:val="00073309"/>
    <w:rsid w:val="0007405B"/>
    <w:rsid w:val="00074B6E"/>
    <w:rsid w:val="00074BE5"/>
    <w:rsid w:val="00074D49"/>
    <w:rsid w:val="000760B3"/>
    <w:rsid w:val="000766E7"/>
    <w:rsid w:val="0007678D"/>
    <w:rsid w:val="000769C4"/>
    <w:rsid w:val="000801E7"/>
    <w:rsid w:val="00080362"/>
    <w:rsid w:val="000805C9"/>
    <w:rsid w:val="00080B79"/>
    <w:rsid w:val="00081560"/>
    <w:rsid w:val="00082462"/>
    <w:rsid w:val="000827A3"/>
    <w:rsid w:val="00082D00"/>
    <w:rsid w:val="000833CD"/>
    <w:rsid w:val="00084071"/>
    <w:rsid w:val="00084174"/>
    <w:rsid w:val="000841BC"/>
    <w:rsid w:val="000842C6"/>
    <w:rsid w:val="00084A02"/>
    <w:rsid w:val="000857A1"/>
    <w:rsid w:val="000858B7"/>
    <w:rsid w:val="00085E60"/>
    <w:rsid w:val="00085F89"/>
    <w:rsid w:val="000860FE"/>
    <w:rsid w:val="00086AEB"/>
    <w:rsid w:val="00086DB6"/>
    <w:rsid w:val="00086F12"/>
    <w:rsid w:val="000870ED"/>
    <w:rsid w:val="00087528"/>
    <w:rsid w:val="0009008E"/>
    <w:rsid w:val="0009115E"/>
    <w:rsid w:val="00091FA1"/>
    <w:rsid w:val="00092085"/>
    <w:rsid w:val="000921F0"/>
    <w:rsid w:val="000925ED"/>
    <w:rsid w:val="00092CB0"/>
    <w:rsid w:val="00092FE8"/>
    <w:rsid w:val="00092FFE"/>
    <w:rsid w:val="00093530"/>
    <w:rsid w:val="00093E2C"/>
    <w:rsid w:val="00093E3E"/>
    <w:rsid w:val="00094093"/>
    <w:rsid w:val="00094A47"/>
    <w:rsid w:val="00094C80"/>
    <w:rsid w:val="0009508D"/>
    <w:rsid w:val="000950D8"/>
    <w:rsid w:val="000954CD"/>
    <w:rsid w:val="0009564B"/>
    <w:rsid w:val="00095CA3"/>
    <w:rsid w:val="00096027"/>
    <w:rsid w:val="000960A1"/>
    <w:rsid w:val="0009660D"/>
    <w:rsid w:val="000969BD"/>
    <w:rsid w:val="00096DA7"/>
    <w:rsid w:val="00096FC1"/>
    <w:rsid w:val="00097688"/>
    <w:rsid w:val="00097880"/>
    <w:rsid w:val="00097A2C"/>
    <w:rsid w:val="000A01D9"/>
    <w:rsid w:val="000A0A91"/>
    <w:rsid w:val="000A0C63"/>
    <w:rsid w:val="000A105A"/>
    <w:rsid w:val="000A1B52"/>
    <w:rsid w:val="000A1B67"/>
    <w:rsid w:val="000A24EF"/>
    <w:rsid w:val="000A2D08"/>
    <w:rsid w:val="000A2DF9"/>
    <w:rsid w:val="000A360B"/>
    <w:rsid w:val="000A384C"/>
    <w:rsid w:val="000A4DDB"/>
    <w:rsid w:val="000A5076"/>
    <w:rsid w:val="000A6B93"/>
    <w:rsid w:val="000A6EEA"/>
    <w:rsid w:val="000A7A5E"/>
    <w:rsid w:val="000B02AE"/>
    <w:rsid w:val="000B0EF4"/>
    <w:rsid w:val="000B1010"/>
    <w:rsid w:val="000B1E2D"/>
    <w:rsid w:val="000B201C"/>
    <w:rsid w:val="000B202C"/>
    <w:rsid w:val="000B27D6"/>
    <w:rsid w:val="000B2EA6"/>
    <w:rsid w:val="000B3007"/>
    <w:rsid w:val="000B3DF6"/>
    <w:rsid w:val="000B49F8"/>
    <w:rsid w:val="000B544E"/>
    <w:rsid w:val="000B5783"/>
    <w:rsid w:val="000B5C73"/>
    <w:rsid w:val="000B5F3F"/>
    <w:rsid w:val="000B6EBB"/>
    <w:rsid w:val="000B7519"/>
    <w:rsid w:val="000B751E"/>
    <w:rsid w:val="000B775C"/>
    <w:rsid w:val="000B7AE6"/>
    <w:rsid w:val="000B7DC7"/>
    <w:rsid w:val="000C0265"/>
    <w:rsid w:val="000C0470"/>
    <w:rsid w:val="000C0888"/>
    <w:rsid w:val="000C0B82"/>
    <w:rsid w:val="000C0BE2"/>
    <w:rsid w:val="000C0F4A"/>
    <w:rsid w:val="000C12CB"/>
    <w:rsid w:val="000C1612"/>
    <w:rsid w:val="000C18C5"/>
    <w:rsid w:val="000C1E61"/>
    <w:rsid w:val="000C2C99"/>
    <w:rsid w:val="000C316D"/>
    <w:rsid w:val="000C368B"/>
    <w:rsid w:val="000C3933"/>
    <w:rsid w:val="000C3D5E"/>
    <w:rsid w:val="000C4405"/>
    <w:rsid w:val="000C4CD4"/>
    <w:rsid w:val="000C529A"/>
    <w:rsid w:val="000C5436"/>
    <w:rsid w:val="000C5EE4"/>
    <w:rsid w:val="000C6726"/>
    <w:rsid w:val="000C67C8"/>
    <w:rsid w:val="000C70C3"/>
    <w:rsid w:val="000C7212"/>
    <w:rsid w:val="000D0487"/>
    <w:rsid w:val="000D0C35"/>
    <w:rsid w:val="000D0D07"/>
    <w:rsid w:val="000D14B9"/>
    <w:rsid w:val="000D1B20"/>
    <w:rsid w:val="000D1EBB"/>
    <w:rsid w:val="000D1F1D"/>
    <w:rsid w:val="000D299C"/>
    <w:rsid w:val="000D3378"/>
    <w:rsid w:val="000D342A"/>
    <w:rsid w:val="000D3643"/>
    <w:rsid w:val="000D3C43"/>
    <w:rsid w:val="000D4372"/>
    <w:rsid w:val="000D4590"/>
    <w:rsid w:val="000D45C1"/>
    <w:rsid w:val="000D49EF"/>
    <w:rsid w:val="000D5B42"/>
    <w:rsid w:val="000D5B6B"/>
    <w:rsid w:val="000D5C76"/>
    <w:rsid w:val="000D5DFC"/>
    <w:rsid w:val="000D6BBC"/>
    <w:rsid w:val="000D6CF4"/>
    <w:rsid w:val="000D6D45"/>
    <w:rsid w:val="000D797A"/>
    <w:rsid w:val="000D7992"/>
    <w:rsid w:val="000D7F27"/>
    <w:rsid w:val="000E0987"/>
    <w:rsid w:val="000E1A35"/>
    <w:rsid w:val="000E1D37"/>
    <w:rsid w:val="000E20E1"/>
    <w:rsid w:val="000E259D"/>
    <w:rsid w:val="000E2CFD"/>
    <w:rsid w:val="000E36AD"/>
    <w:rsid w:val="000E37A1"/>
    <w:rsid w:val="000E3906"/>
    <w:rsid w:val="000E4F8F"/>
    <w:rsid w:val="000E565B"/>
    <w:rsid w:val="000E5BD8"/>
    <w:rsid w:val="000E6223"/>
    <w:rsid w:val="000E6D39"/>
    <w:rsid w:val="000E6EA3"/>
    <w:rsid w:val="000E6F4D"/>
    <w:rsid w:val="000E72FB"/>
    <w:rsid w:val="000E778B"/>
    <w:rsid w:val="000E7C25"/>
    <w:rsid w:val="000F0EC6"/>
    <w:rsid w:val="000F0FC5"/>
    <w:rsid w:val="000F142F"/>
    <w:rsid w:val="000F1C78"/>
    <w:rsid w:val="000F348C"/>
    <w:rsid w:val="000F375A"/>
    <w:rsid w:val="000F3B6E"/>
    <w:rsid w:val="000F3C17"/>
    <w:rsid w:val="000F4132"/>
    <w:rsid w:val="000F427E"/>
    <w:rsid w:val="000F436C"/>
    <w:rsid w:val="000F4DC9"/>
    <w:rsid w:val="000F5132"/>
    <w:rsid w:val="000F5D16"/>
    <w:rsid w:val="000F6344"/>
    <w:rsid w:val="000F6991"/>
    <w:rsid w:val="000F70D0"/>
    <w:rsid w:val="000F79A2"/>
    <w:rsid w:val="000F7A62"/>
    <w:rsid w:val="00100CEB"/>
    <w:rsid w:val="0010110B"/>
    <w:rsid w:val="0010119F"/>
    <w:rsid w:val="00101240"/>
    <w:rsid w:val="00101385"/>
    <w:rsid w:val="00101968"/>
    <w:rsid w:val="00102B1D"/>
    <w:rsid w:val="0010302E"/>
    <w:rsid w:val="00103717"/>
    <w:rsid w:val="00103757"/>
    <w:rsid w:val="001049C3"/>
    <w:rsid w:val="00104D1B"/>
    <w:rsid w:val="001051AB"/>
    <w:rsid w:val="001064C7"/>
    <w:rsid w:val="00106507"/>
    <w:rsid w:val="0010771F"/>
    <w:rsid w:val="00107DB3"/>
    <w:rsid w:val="00110039"/>
    <w:rsid w:val="001107AD"/>
    <w:rsid w:val="00110AFF"/>
    <w:rsid w:val="0011114C"/>
    <w:rsid w:val="00111667"/>
    <w:rsid w:val="0011188E"/>
    <w:rsid w:val="00111E84"/>
    <w:rsid w:val="00112403"/>
    <w:rsid w:val="00112627"/>
    <w:rsid w:val="001126E4"/>
    <w:rsid w:val="00112AE7"/>
    <w:rsid w:val="00112C4C"/>
    <w:rsid w:val="00112FCD"/>
    <w:rsid w:val="00113517"/>
    <w:rsid w:val="001138F7"/>
    <w:rsid w:val="00113AA9"/>
    <w:rsid w:val="001141E6"/>
    <w:rsid w:val="001146E4"/>
    <w:rsid w:val="001148B3"/>
    <w:rsid w:val="00114B11"/>
    <w:rsid w:val="00114BDD"/>
    <w:rsid w:val="00114F50"/>
    <w:rsid w:val="00115210"/>
    <w:rsid w:val="00115622"/>
    <w:rsid w:val="00115F65"/>
    <w:rsid w:val="001163D6"/>
    <w:rsid w:val="001168F9"/>
    <w:rsid w:val="00116A37"/>
    <w:rsid w:val="001172D3"/>
    <w:rsid w:val="001173F5"/>
    <w:rsid w:val="00117B2E"/>
    <w:rsid w:val="0012106B"/>
    <w:rsid w:val="0012177B"/>
    <w:rsid w:val="00121F96"/>
    <w:rsid w:val="00122E07"/>
    <w:rsid w:val="00123E91"/>
    <w:rsid w:val="001240F8"/>
    <w:rsid w:val="00124F8B"/>
    <w:rsid w:val="00125146"/>
    <w:rsid w:val="00125D1F"/>
    <w:rsid w:val="001263E9"/>
    <w:rsid w:val="00126EA8"/>
    <w:rsid w:val="001273BA"/>
    <w:rsid w:val="00130010"/>
    <w:rsid w:val="0013014D"/>
    <w:rsid w:val="001304FC"/>
    <w:rsid w:val="00130A55"/>
    <w:rsid w:val="00130DED"/>
    <w:rsid w:val="001314CD"/>
    <w:rsid w:val="001316DD"/>
    <w:rsid w:val="00131BF0"/>
    <w:rsid w:val="00132739"/>
    <w:rsid w:val="0013276C"/>
    <w:rsid w:val="00132917"/>
    <w:rsid w:val="00133068"/>
    <w:rsid w:val="00133430"/>
    <w:rsid w:val="00133676"/>
    <w:rsid w:val="00134186"/>
    <w:rsid w:val="00134678"/>
    <w:rsid w:val="00134996"/>
    <w:rsid w:val="0013528B"/>
    <w:rsid w:val="001356F2"/>
    <w:rsid w:val="0013574B"/>
    <w:rsid w:val="0013582A"/>
    <w:rsid w:val="001359B9"/>
    <w:rsid w:val="00136C8E"/>
    <w:rsid w:val="00137CE5"/>
    <w:rsid w:val="00140609"/>
    <w:rsid w:val="0014064B"/>
    <w:rsid w:val="0014073D"/>
    <w:rsid w:val="001408C0"/>
    <w:rsid w:val="001413D4"/>
    <w:rsid w:val="00141D6F"/>
    <w:rsid w:val="00141D7C"/>
    <w:rsid w:val="00141DD5"/>
    <w:rsid w:val="001421E6"/>
    <w:rsid w:val="00142A07"/>
    <w:rsid w:val="001441CF"/>
    <w:rsid w:val="00144B28"/>
    <w:rsid w:val="00144FD8"/>
    <w:rsid w:val="001451F6"/>
    <w:rsid w:val="00145528"/>
    <w:rsid w:val="00145A98"/>
    <w:rsid w:val="00145C9C"/>
    <w:rsid w:val="001464E6"/>
    <w:rsid w:val="00146544"/>
    <w:rsid w:val="001474EB"/>
    <w:rsid w:val="00147E66"/>
    <w:rsid w:val="00147E89"/>
    <w:rsid w:val="0015002F"/>
    <w:rsid w:val="0015066C"/>
    <w:rsid w:val="00150879"/>
    <w:rsid w:val="00151C65"/>
    <w:rsid w:val="00151CB3"/>
    <w:rsid w:val="00151CD9"/>
    <w:rsid w:val="00151D5A"/>
    <w:rsid w:val="00151F96"/>
    <w:rsid w:val="001525AB"/>
    <w:rsid w:val="00152EBB"/>
    <w:rsid w:val="00153199"/>
    <w:rsid w:val="001532D1"/>
    <w:rsid w:val="00153CEE"/>
    <w:rsid w:val="00153F0D"/>
    <w:rsid w:val="001540F4"/>
    <w:rsid w:val="00154506"/>
    <w:rsid w:val="0015538F"/>
    <w:rsid w:val="001557A0"/>
    <w:rsid w:val="00155D38"/>
    <w:rsid w:val="001569C0"/>
    <w:rsid w:val="00156A02"/>
    <w:rsid w:val="00156C73"/>
    <w:rsid w:val="00157643"/>
    <w:rsid w:val="00157CD3"/>
    <w:rsid w:val="00160094"/>
    <w:rsid w:val="001604AD"/>
    <w:rsid w:val="00160FE0"/>
    <w:rsid w:val="001610E3"/>
    <w:rsid w:val="001610F9"/>
    <w:rsid w:val="00161484"/>
    <w:rsid w:val="00161744"/>
    <w:rsid w:val="00162833"/>
    <w:rsid w:val="00162CCC"/>
    <w:rsid w:val="001636D6"/>
    <w:rsid w:val="00163BEC"/>
    <w:rsid w:val="00163E27"/>
    <w:rsid w:val="00163FCA"/>
    <w:rsid w:val="0016429B"/>
    <w:rsid w:val="00165CBA"/>
    <w:rsid w:val="001661BF"/>
    <w:rsid w:val="00166A47"/>
    <w:rsid w:val="00166BA2"/>
    <w:rsid w:val="00166C2A"/>
    <w:rsid w:val="00166FA1"/>
    <w:rsid w:val="00167076"/>
    <w:rsid w:val="00167112"/>
    <w:rsid w:val="001671A0"/>
    <w:rsid w:val="0016727F"/>
    <w:rsid w:val="00167B8F"/>
    <w:rsid w:val="00167C96"/>
    <w:rsid w:val="001708A4"/>
    <w:rsid w:val="001715EB"/>
    <w:rsid w:val="00171A50"/>
    <w:rsid w:val="00171A9A"/>
    <w:rsid w:val="0017225C"/>
    <w:rsid w:val="001723A0"/>
    <w:rsid w:val="00172528"/>
    <w:rsid w:val="001726B9"/>
    <w:rsid w:val="00173215"/>
    <w:rsid w:val="001732AC"/>
    <w:rsid w:val="001732CE"/>
    <w:rsid w:val="00173461"/>
    <w:rsid w:val="00173503"/>
    <w:rsid w:val="00173EA5"/>
    <w:rsid w:val="0017434E"/>
    <w:rsid w:val="001748A6"/>
    <w:rsid w:val="001756A6"/>
    <w:rsid w:val="00175E55"/>
    <w:rsid w:val="00176945"/>
    <w:rsid w:val="001769C2"/>
    <w:rsid w:val="00176E6D"/>
    <w:rsid w:val="001776BD"/>
    <w:rsid w:val="00180500"/>
    <w:rsid w:val="00181000"/>
    <w:rsid w:val="00181379"/>
    <w:rsid w:val="0018205B"/>
    <w:rsid w:val="00182BB0"/>
    <w:rsid w:val="001836E0"/>
    <w:rsid w:val="001843E8"/>
    <w:rsid w:val="00184CF6"/>
    <w:rsid w:val="00186842"/>
    <w:rsid w:val="00186E1E"/>
    <w:rsid w:val="00187325"/>
    <w:rsid w:val="00187328"/>
    <w:rsid w:val="001901F0"/>
    <w:rsid w:val="00190AD1"/>
    <w:rsid w:val="0019153A"/>
    <w:rsid w:val="001915C5"/>
    <w:rsid w:val="00191BCB"/>
    <w:rsid w:val="00191BFC"/>
    <w:rsid w:val="00191D6B"/>
    <w:rsid w:val="00191EB8"/>
    <w:rsid w:val="00191F06"/>
    <w:rsid w:val="00192674"/>
    <w:rsid w:val="00192987"/>
    <w:rsid w:val="00192BB1"/>
    <w:rsid w:val="00192C42"/>
    <w:rsid w:val="00192E9D"/>
    <w:rsid w:val="00192FE0"/>
    <w:rsid w:val="00193358"/>
    <w:rsid w:val="001934DF"/>
    <w:rsid w:val="00193813"/>
    <w:rsid w:val="00193A6D"/>
    <w:rsid w:val="001942B5"/>
    <w:rsid w:val="001949B8"/>
    <w:rsid w:val="001950DC"/>
    <w:rsid w:val="0019538B"/>
    <w:rsid w:val="0019578E"/>
    <w:rsid w:val="00195F86"/>
    <w:rsid w:val="0019684E"/>
    <w:rsid w:val="00197388"/>
    <w:rsid w:val="001976C7"/>
    <w:rsid w:val="00197D43"/>
    <w:rsid w:val="001A0014"/>
    <w:rsid w:val="001A01DF"/>
    <w:rsid w:val="001A0BE9"/>
    <w:rsid w:val="001A1677"/>
    <w:rsid w:val="001A1773"/>
    <w:rsid w:val="001A1AE9"/>
    <w:rsid w:val="001A1EA9"/>
    <w:rsid w:val="001A27C3"/>
    <w:rsid w:val="001A2AA5"/>
    <w:rsid w:val="001A2EEB"/>
    <w:rsid w:val="001A340A"/>
    <w:rsid w:val="001A4997"/>
    <w:rsid w:val="001A49CE"/>
    <w:rsid w:val="001A4B68"/>
    <w:rsid w:val="001A5E1A"/>
    <w:rsid w:val="001A6162"/>
    <w:rsid w:val="001A6D04"/>
    <w:rsid w:val="001A725A"/>
    <w:rsid w:val="001A77EC"/>
    <w:rsid w:val="001B0135"/>
    <w:rsid w:val="001B02AA"/>
    <w:rsid w:val="001B03B2"/>
    <w:rsid w:val="001B1184"/>
    <w:rsid w:val="001B14DE"/>
    <w:rsid w:val="001B188B"/>
    <w:rsid w:val="001B1B56"/>
    <w:rsid w:val="001B2BCE"/>
    <w:rsid w:val="001B2F79"/>
    <w:rsid w:val="001B3D7C"/>
    <w:rsid w:val="001B40C5"/>
    <w:rsid w:val="001B4224"/>
    <w:rsid w:val="001B4406"/>
    <w:rsid w:val="001B48F0"/>
    <w:rsid w:val="001B55A2"/>
    <w:rsid w:val="001B6123"/>
    <w:rsid w:val="001B6139"/>
    <w:rsid w:val="001B635D"/>
    <w:rsid w:val="001B77BC"/>
    <w:rsid w:val="001C0446"/>
    <w:rsid w:val="001C08E9"/>
    <w:rsid w:val="001C12C3"/>
    <w:rsid w:val="001C1624"/>
    <w:rsid w:val="001C1D57"/>
    <w:rsid w:val="001C1F77"/>
    <w:rsid w:val="001C252A"/>
    <w:rsid w:val="001C25FC"/>
    <w:rsid w:val="001C2795"/>
    <w:rsid w:val="001C2F0B"/>
    <w:rsid w:val="001C42E1"/>
    <w:rsid w:val="001C4430"/>
    <w:rsid w:val="001C49B3"/>
    <w:rsid w:val="001C4A8B"/>
    <w:rsid w:val="001C58B3"/>
    <w:rsid w:val="001C6A18"/>
    <w:rsid w:val="001C6D1E"/>
    <w:rsid w:val="001C6D87"/>
    <w:rsid w:val="001C7A69"/>
    <w:rsid w:val="001C7E15"/>
    <w:rsid w:val="001C7E86"/>
    <w:rsid w:val="001C7E9F"/>
    <w:rsid w:val="001D0291"/>
    <w:rsid w:val="001D0BC4"/>
    <w:rsid w:val="001D0FCF"/>
    <w:rsid w:val="001D1159"/>
    <w:rsid w:val="001D1265"/>
    <w:rsid w:val="001D2E81"/>
    <w:rsid w:val="001D316A"/>
    <w:rsid w:val="001D3ADF"/>
    <w:rsid w:val="001D3B15"/>
    <w:rsid w:val="001D3ECA"/>
    <w:rsid w:val="001D40E5"/>
    <w:rsid w:val="001D47B8"/>
    <w:rsid w:val="001D4882"/>
    <w:rsid w:val="001D4A06"/>
    <w:rsid w:val="001D4F63"/>
    <w:rsid w:val="001D5106"/>
    <w:rsid w:val="001D5212"/>
    <w:rsid w:val="001D5280"/>
    <w:rsid w:val="001D5738"/>
    <w:rsid w:val="001D5740"/>
    <w:rsid w:val="001D5805"/>
    <w:rsid w:val="001D582E"/>
    <w:rsid w:val="001D5C08"/>
    <w:rsid w:val="001D5E80"/>
    <w:rsid w:val="001D653F"/>
    <w:rsid w:val="001D6AA5"/>
    <w:rsid w:val="001D6E16"/>
    <w:rsid w:val="001D6F46"/>
    <w:rsid w:val="001D7BB8"/>
    <w:rsid w:val="001D7D3F"/>
    <w:rsid w:val="001D7E1F"/>
    <w:rsid w:val="001E06A9"/>
    <w:rsid w:val="001E1107"/>
    <w:rsid w:val="001E15DB"/>
    <w:rsid w:val="001E22E0"/>
    <w:rsid w:val="001E2975"/>
    <w:rsid w:val="001E2F11"/>
    <w:rsid w:val="001E346E"/>
    <w:rsid w:val="001E37A0"/>
    <w:rsid w:val="001E4378"/>
    <w:rsid w:val="001E4979"/>
    <w:rsid w:val="001E49C0"/>
    <w:rsid w:val="001E4AF2"/>
    <w:rsid w:val="001E4E2C"/>
    <w:rsid w:val="001E4E7B"/>
    <w:rsid w:val="001E5032"/>
    <w:rsid w:val="001E5960"/>
    <w:rsid w:val="001E5965"/>
    <w:rsid w:val="001E5D0F"/>
    <w:rsid w:val="001E601F"/>
    <w:rsid w:val="001E6AE4"/>
    <w:rsid w:val="001E6D3C"/>
    <w:rsid w:val="001E6E1E"/>
    <w:rsid w:val="001E6FB4"/>
    <w:rsid w:val="001E7D2D"/>
    <w:rsid w:val="001E7F26"/>
    <w:rsid w:val="001F0138"/>
    <w:rsid w:val="001F0A7E"/>
    <w:rsid w:val="001F115F"/>
    <w:rsid w:val="001F1A51"/>
    <w:rsid w:val="001F1E9B"/>
    <w:rsid w:val="001F2A31"/>
    <w:rsid w:val="001F2A96"/>
    <w:rsid w:val="001F2D18"/>
    <w:rsid w:val="001F319E"/>
    <w:rsid w:val="001F3600"/>
    <w:rsid w:val="001F38A0"/>
    <w:rsid w:val="001F4424"/>
    <w:rsid w:val="001F4638"/>
    <w:rsid w:val="001F5056"/>
    <w:rsid w:val="001F51FF"/>
    <w:rsid w:val="001F523D"/>
    <w:rsid w:val="001F597D"/>
    <w:rsid w:val="001F5AE5"/>
    <w:rsid w:val="001F7E1B"/>
    <w:rsid w:val="0020063C"/>
    <w:rsid w:val="002006EA"/>
    <w:rsid w:val="00200F07"/>
    <w:rsid w:val="0020115E"/>
    <w:rsid w:val="00201690"/>
    <w:rsid w:val="00201729"/>
    <w:rsid w:val="00201831"/>
    <w:rsid w:val="002020E3"/>
    <w:rsid w:val="002033AD"/>
    <w:rsid w:val="002033E6"/>
    <w:rsid w:val="002037DE"/>
    <w:rsid w:val="0020396E"/>
    <w:rsid w:val="00203DF1"/>
    <w:rsid w:val="0020492F"/>
    <w:rsid w:val="00204C18"/>
    <w:rsid w:val="00204E5E"/>
    <w:rsid w:val="002051AA"/>
    <w:rsid w:val="00205D49"/>
    <w:rsid w:val="00205DB8"/>
    <w:rsid w:val="0020626F"/>
    <w:rsid w:val="00206DD4"/>
    <w:rsid w:val="00206EA4"/>
    <w:rsid w:val="002070CE"/>
    <w:rsid w:val="00207190"/>
    <w:rsid w:val="00207591"/>
    <w:rsid w:val="0021114E"/>
    <w:rsid w:val="002116F9"/>
    <w:rsid w:val="00212511"/>
    <w:rsid w:val="002127A3"/>
    <w:rsid w:val="002128A3"/>
    <w:rsid w:val="00212EC6"/>
    <w:rsid w:val="00212FFB"/>
    <w:rsid w:val="002133F3"/>
    <w:rsid w:val="00213B9D"/>
    <w:rsid w:val="00213D3E"/>
    <w:rsid w:val="00213F9C"/>
    <w:rsid w:val="00213FF8"/>
    <w:rsid w:val="00214E85"/>
    <w:rsid w:val="00215369"/>
    <w:rsid w:val="00215535"/>
    <w:rsid w:val="002155D8"/>
    <w:rsid w:val="0021563A"/>
    <w:rsid w:val="00215BB3"/>
    <w:rsid w:val="00215F8A"/>
    <w:rsid w:val="002160AC"/>
    <w:rsid w:val="00216182"/>
    <w:rsid w:val="00216242"/>
    <w:rsid w:val="00216330"/>
    <w:rsid w:val="002164B6"/>
    <w:rsid w:val="0021656D"/>
    <w:rsid w:val="00216A2F"/>
    <w:rsid w:val="00216A60"/>
    <w:rsid w:val="0021723B"/>
    <w:rsid w:val="0021734E"/>
    <w:rsid w:val="00217C10"/>
    <w:rsid w:val="002207FA"/>
    <w:rsid w:val="00220A27"/>
    <w:rsid w:val="00221433"/>
    <w:rsid w:val="00221BB8"/>
    <w:rsid w:val="0022272D"/>
    <w:rsid w:val="00222B43"/>
    <w:rsid w:val="002230FC"/>
    <w:rsid w:val="002238A7"/>
    <w:rsid w:val="00223A55"/>
    <w:rsid w:val="00223B0D"/>
    <w:rsid w:val="00223F89"/>
    <w:rsid w:val="00224AC1"/>
    <w:rsid w:val="0022545E"/>
    <w:rsid w:val="0022572D"/>
    <w:rsid w:val="00225FB6"/>
    <w:rsid w:val="002260D3"/>
    <w:rsid w:val="00226D45"/>
    <w:rsid w:val="00227348"/>
    <w:rsid w:val="002276B5"/>
    <w:rsid w:val="0022770E"/>
    <w:rsid w:val="00230E4F"/>
    <w:rsid w:val="002310D4"/>
    <w:rsid w:val="002311A8"/>
    <w:rsid w:val="00231506"/>
    <w:rsid w:val="002322DE"/>
    <w:rsid w:val="0023276A"/>
    <w:rsid w:val="00232E72"/>
    <w:rsid w:val="00233520"/>
    <w:rsid w:val="00233BED"/>
    <w:rsid w:val="00233E9C"/>
    <w:rsid w:val="00234091"/>
    <w:rsid w:val="0023452B"/>
    <w:rsid w:val="00235235"/>
    <w:rsid w:val="00235255"/>
    <w:rsid w:val="002357B0"/>
    <w:rsid w:val="00235EF4"/>
    <w:rsid w:val="0023649D"/>
    <w:rsid w:val="0023697B"/>
    <w:rsid w:val="002369F8"/>
    <w:rsid w:val="00236A28"/>
    <w:rsid w:val="00236B0F"/>
    <w:rsid w:val="0023747F"/>
    <w:rsid w:val="00237B42"/>
    <w:rsid w:val="002404C6"/>
    <w:rsid w:val="00240A8D"/>
    <w:rsid w:val="0024115F"/>
    <w:rsid w:val="0024176D"/>
    <w:rsid w:val="00242338"/>
    <w:rsid w:val="00242639"/>
    <w:rsid w:val="00243A2D"/>
    <w:rsid w:val="00243A86"/>
    <w:rsid w:val="00243B06"/>
    <w:rsid w:val="00243B7D"/>
    <w:rsid w:val="0024410B"/>
    <w:rsid w:val="002442A2"/>
    <w:rsid w:val="00244A4F"/>
    <w:rsid w:val="00244C51"/>
    <w:rsid w:val="00245364"/>
    <w:rsid w:val="00246259"/>
    <w:rsid w:val="00246712"/>
    <w:rsid w:val="00246759"/>
    <w:rsid w:val="00246D55"/>
    <w:rsid w:val="00247927"/>
    <w:rsid w:val="00247E2D"/>
    <w:rsid w:val="002500A5"/>
    <w:rsid w:val="00250A62"/>
    <w:rsid w:val="00251120"/>
    <w:rsid w:val="0025169F"/>
    <w:rsid w:val="002516E9"/>
    <w:rsid w:val="00251A84"/>
    <w:rsid w:val="00251E3C"/>
    <w:rsid w:val="00251F99"/>
    <w:rsid w:val="00253D19"/>
    <w:rsid w:val="00253FBC"/>
    <w:rsid w:val="0025404B"/>
    <w:rsid w:val="00254858"/>
    <w:rsid w:val="00254EA7"/>
    <w:rsid w:val="00254F24"/>
    <w:rsid w:val="002555D8"/>
    <w:rsid w:val="00255AD3"/>
    <w:rsid w:val="0025687F"/>
    <w:rsid w:val="002570F1"/>
    <w:rsid w:val="0025729E"/>
    <w:rsid w:val="0025781B"/>
    <w:rsid w:val="0025791A"/>
    <w:rsid w:val="002603FC"/>
    <w:rsid w:val="00261D0D"/>
    <w:rsid w:val="0026234C"/>
    <w:rsid w:val="00262635"/>
    <w:rsid w:val="00262663"/>
    <w:rsid w:val="00262695"/>
    <w:rsid w:val="002632B5"/>
    <w:rsid w:val="0026351D"/>
    <w:rsid w:val="00263603"/>
    <w:rsid w:val="00263B0B"/>
    <w:rsid w:val="00265678"/>
    <w:rsid w:val="002660AD"/>
    <w:rsid w:val="00266856"/>
    <w:rsid w:val="00266BA0"/>
    <w:rsid w:val="00266D60"/>
    <w:rsid w:val="002672B3"/>
    <w:rsid w:val="00267961"/>
    <w:rsid w:val="00267D9C"/>
    <w:rsid w:val="002706BA"/>
    <w:rsid w:val="00270798"/>
    <w:rsid w:val="00271147"/>
    <w:rsid w:val="002722FD"/>
    <w:rsid w:val="002725D6"/>
    <w:rsid w:val="00272804"/>
    <w:rsid w:val="002729F4"/>
    <w:rsid w:val="00272D4A"/>
    <w:rsid w:val="00272EF1"/>
    <w:rsid w:val="00272F06"/>
    <w:rsid w:val="00273586"/>
    <w:rsid w:val="00273C73"/>
    <w:rsid w:val="002741DD"/>
    <w:rsid w:val="00274819"/>
    <w:rsid w:val="00274C5D"/>
    <w:rsid w:val="00275410"/>
    <w:rsid w:val="002756F1"/>
    <w:rsid w:val="00275ABF"/>
    <w:rsid w:val="00275E52"/>
    <w:rsid w:val="0027609D"/>
    <w:rsid w:val="002766E6"/>
    <w:rsid w:val="00276C49"/>
    <w:rsid w:val="00277821"/>
    <w:rsid w:val="00280783"/>
    <w:rsid w:val="00280C04"/>
    <w:rsid w:val="00280FAF"/>
    <w:rsid w:val="002812E1"/>
    <w:rsid w:val="0028141F"/>
    <w:rsid w:val="00281775"/>
    <w:rsid w:val="0028228C"/>
    <w:rsid w:val="00282332"/>
    <w:rsid w:val="00282EA5"/>
    <w:rsid w:val="002836CF"/>
    <w:rsid w:val="00283BD6"/>
    <w:rsid w:val="002846C2"/>
    <w:rsid w:val="00284F8E"/>
    <w:rsid w:val="0028613B"/>
    <w:rsid w:val="00286863"/>
    <w:rsid w:val="0028721F"/>
    <w:rsid w:val="00287526"/>
    <w:rsid w:val="0028752E"/>
    <w:rsid w:val="00290FCA"/>
    <w:rsid w:val="0029151E"/>
    <w:rsid w:val="00291739"/>
    <w:rsid w:val="00291885"/>
    <w:rsid w:val="00291A37"/>
    <w:rsid w:val="00291E6B"/>
    <w:rsid w:val="002923CA"/>
    <w:rsid w:val="002923DD"/>
    <w:rsid w:val="0029241B"/>
    <w:rsid w:val="002924C7"/>
    <w:rsid w:val="00292566"/>
    <w:rsid w:val="00292A73"/>
    <w:rsid w:val="00292B8E"/>
    <w:rsid w:val="00292ED9"/>
    <w:rsid w:val="00292EF3"/>
    <w:rsid w:val="0029323D"/>
    <w:rsid w:val="00294964"/>
    <w:rsid w:val="00294A6C"/>
    <w:rsid w:val="00294B5C"/>
    <w:rsid w:val="00294EAF"/>
    <w:rsid w:val="002950E6"/>
    <w:rsid w:val="0029515C"/>
    <w:rsid w:val="00295289"/>
    <w:rsid w:val="002953AA"/>
    <w:rsid w:val="00295486"/>
    <w:rsid w:val="00296955"/>
    <w:rsid w:val="00297FEE"/>
    <w:rsid w:val="002A00F2"/>
    <w:rsid w:val="002A0ED5"/>
    <w:rsid w:val="002A1276"/>
    <w:rsid w:val="002A136E"/>
    <w:rsid w:val="002A2482"/>
    <w:rsid w:val="002A25E5"/>
    <w:rsid w:val="002A299D"/>
    <w:rsid w:val="002A30DD"/>
    <w:rsid w:val="002A3FCC"/>
    <w:rsid w:val="002A41C4"/>
    <w:rsid w:val="002A4971"/>
    <w:rsid w:val="002A5095"/>
    <w:rsid w:val="002A5170"/>
    <w:rsid w:val="002A5678"/>
    <w:rsid w:val="002A6CF6"/>
    <w:rsid w:val="002A6FBD"/>
    <w:rsid w:val="002B08F4"/>
    <w:rsid w:val="002B0D09"/>
    <w:rsid w:val="002B157A"/>
    <w:rsid w:val="002B1E79"/>
    <w:rsid w:val="002B22A2"/>
    <w:rsid w:val="002B2317"/>
    <w:rsid w:val="002B3397"/>
    <w:rsid w:val="002B39D4"/>
    <w:rsid w:val="002B3B13"/>
    <w:rsid w:val="002B439D"/>
    <w:rsid w:val="002B43CC"/>
    <w:rsid w:val="002B4F9C"/>
    <w:rsid w:val="002B50F9"/>
    <w:rsid w:val="002B564A"/>
    <w:rsid w:val="002B5710"/>
    <w:rsid w:val="002B5A22"/>
    <w:rsid w:val="002B5A85"/>
    <w:rsid w:val="002B68E9"/>
    <w:rsid w:val="002B6BE6"/>
    <w:rsid w:val="002B7DA7"/>
    <w:rsid w:val="002C0047"/>
    <w:rsid w:val="002C0074"/>
    <w:rsid w:val="002C05FF"/>
    <w:rsid w:val="002C0A9A"/>
    <w:rsid w:val="002C1425"/>
    <w:rsid w:val="002C1688"/>
    <w:rsid w:val="002C1CC3"/>
    <w:rsid w:val="002C212F"/>
    <w:rsid w:val="002C2CFE"/>
    <w:rsid w:val="002C34B6"/>
    <w:rsid w:val="002C3750"/>
    <w:rsid w:val="002C4914"/>
    <w:rsid w:val="002C4B74"/>
    <w:rsid w:val="002C4B7B"/>
    <w:rsid w:val="002C4E81"/>
    <w:rsid w:val="002C4FED"/>
    <w:rsid w:val="002C50A7"/>
    <w:rsid w:val="002C51A4"/>
    <w:rsid w:val="002C5EE2"/>
    <w:rsid w:val="002C6548"/>
    <w:rsid w:val="002C65F9"/>
    <w:rsid w:val="002C77E1"/>
    <w:rsid w:val="002C7F8A"/>
    <w:rsid w:val="002D01D3"/>
    <w:rsid w:val="002D029F"/>
    <w:rsid w:val="002D0E4A"/>
    <w:rsid w:val="002D1A8E"/>
    <w:rsid w:val="002D1B98"/>
    <w:rsid w:val="002D1C87"/>
    <w:rsid w:val="002D2268"/>
    <w:rsid w:val="002D27F5"/>
    <w:rsid w:val="002D2BD2"/>
    <w:rsid w:val="002D2D4E"/>
    <w:rsid w:val="002D2EFD"/>
    <w:rsid w:val="002D36E1"/>
    <w:rsid w:val="002D3A58"/>
    <w:rsid w:val="002D5278"/>
    <w:rsid w:val="002D539A"/>
    <w:rsid w:val="002D5680"/>
    <w:rsid w:val="002D6BC3"/>
    <w:rsid w:val="002D7330"/>
    <w:rsid w:val="002D7906"/>
    <w:rsid w:val="002E15DF"/>
    <w:rsid w:val="002E1CE9"/>
    <w:rsid w:val="002E1FB0"/>
    <w:rsid w:val="002E20CC"/>
    <w:rsid w:val="002E29DF"/>
    <w:rsid w:val="002E3030"/>
    <w:rsid w:val="002E3198"/>
    <w:rsid w:val="002E3E2B"/>
    <w:rsid w:val="002E4418"/>
    <w:rsid w:val="002E4A54"/>
    <w:rsid w:val="002E4D2F"/>
    <w:rsid w:val="002E5342"/>
    <w:rsid w:val="002E550F"/>
    <w:rsid w:val="002E59F6"/>
    <w:rsid w:val="002E5FC1"/>
    <w:rsid w:val="002E691B"/>
    <w:rsid w:val="002E6C64"/>
    <w:rsid w:val="002E6D3B"/>
    <w:rsid w:val="002E7B87"/>
    <w:rsid w:val="002F1778"/>
    <w:rsid w:val="002F1874"/>
    <w:rsid w:val="002F193F"/>
    <w:rsid w:val="002F1B84"/>
    <w:rsid w:val="002F2CF9"/>
    <w:rsid w:val="002F2E5C"/>
    <w:rsid w:val="002F2FDE"/>
    <w:rsid w:val="002F38D2"/>
    <w:rsid w:val="002F3D6C"/>
    <w:rsid w:val="002F4508"/>
    <w:rsid w:val="002F466F"/>
    <w:rsid w:val="002F467C"/>
    <w:rsid w:val="002F515C"/>
    <w:rsid w:val="002F5836"/>
    <w:rsid w:val="002F5A13"/>
    <w:rsid w:val="002F5EC3"/>
    <w:rsid w:val="002F60CF"/>
    <w:rsid w:val="002F6AA2"/>
    <w:rsid w:val="002F7561"/>
    <w:rsid w:val="002F7A40"/>
    <w:rsid w:val="00300321"/>
    <w:rsid w:val="0030122C"/>
    <w:rsid w:val="0030126F"/>
    <w:rsid w:val="003016C7"/>
    <w:rsid w:val="00301A13"/>
    <w:rsid w:val="0030268C"/>
    <w:rsid w:val="00302739"/>
    <w:rsid w:val="003027F6"/>
    <w:rsid w:val="00302F9B"/>
    <w:rsid w:val="003033E5"/>
    <w:rsid w:val="00303607"/>
    <w:rsid w:val="00304693"/>
    <w:rsid w:val="00304741"/>
    <w:rsid w:val="0030479E"/>
    <w:rsid w:val="00304C62"/>
    <w:rsid w:val="003050C9"/>
    <w:rsid w:val="00305A0B"/>
    <w:rsid w:val="00306786"/>
    <w:rsid w:val="003069F5"/>
    <w:rsid w:val="003072F7"/>
    <w:rsid w:val="00307C14"/>
    <w:rsid w:val="00307CFA"/>
    <w:rsid w:val="0031046B"/>
    <w:rsid w:val="003115BE"/>
    <w:rsid w:val="00311698"/>
    <w:rsid w:val="003118D8"/>
    <w:rsid w:val="00311960"/>
    <w:rsid w:val="00311B8E"/>
    <w:rsid w:val="00313222"/>
    <w:rsid w:val="00313254"/>
    <w:rsid w:val="00313594"/>
    <w:rsid w:val="00314C8E"/>
    <w:rsid w:val="0031550B"/>
    <w:rsid w:val="003169DC"/>
    <w:rsid w:val="00317195"/>
    <w:rsid w:val="00317473"/>
    <w:rsid w:val="0031754E"/>
    <w:rsid w:val="00317CCF"/>
    <w:rsid w:val="00317D38"/>
    <w:rsid w:val="003201E8"/>
    <w:rsid w:val="0032025D"/>
    <w:rsid w:val="0032033C"/>
    <w:rsid w:val="003203D0"/>
    <w:rsid w:val="00320909"/>
    <w:rsid w:val="00320D7D"/>
    <w:rsid w:val="00320F81"/>
    <w:rsid w:val="00320FEC"/>
    <w:rsid w:val="0032141E"/>
    <w:rsid w:val="0032155D"/>
    <w:rsid w:val="00321765"/>
    <w:rsid w:val="00322389"/>
    <w:rsid w:val="00322453"/>
    <w:rsid w:val="003233E8"/>
    <w:rsid w:val="00323D31"/>
    <w:rsid w:val="003242CA"/>
    <w:rsid w:val="003244B1"/>
    <w:rsid w:val="00324608"/>
    <w:rsid w:val="0032475F"/>
    <w:rsid w:val="0032488A"/>
    <w:rsid w:val="00324AAA"/>
    <w:rsid w:val="00324B9D"/>
    <w:rsid w:val="00324C5D"/>
    <w:rsid w:val="00325161"/>
    <w:rsid w:val="00325363"/>
    <w:rsid w:val="003254BB"/>
    <w:rsid w:val="0032562F"/>
    <w:rsid w:val="003262BB"/>
    <w:rsid w:val="003263B8"/>
    <w:rsid w:val="00326627"/>
    <w:rsid w:val="00326BDE"/>
    <w:rsid w:val="0032729A"/>
    <w:rsid w:val="0032742C"/>
    <w:rsid w:val="003279E2"/>
    <w:rsid w:val="00327B53"/>
    <w:rsid w:val="00327D2D"/>
    <w:rsid w:val="00330082"/>
    <w:rsid w:val="00331B27"/>
    <w:rsid w:val="00331CA5"/>
    <w:rsid w:val="00331D65"/>
    <w:rsid w:val="00332CA8"/>
    <w:rsid w:val="00332E8F"/>
    <w:rsid w:val="00333371"/>
    <w:rsid w:val="00333381"/>
    <w:rsid w:val="0033341F"/>
    <w:rsid w:val="003334E4"/>
    <w:rsid w:val="00333584"/>
    <w:rsid w:val="003337A5"/>
    <w:rsid w:val="003339D1"/>
    <w:rsid w:val="00333BB8"/>
    <w:rsid w:val="00333E74"/>
    <w:rsid w:val="003343B3"/>
    <w:rsid w:val="00334584"/>
    <w:rsid w:val="0033472E"/>
    <w:rsid w:val="0033500C"/>
    <w:rsid w:val="00335373"/>
    <w:rsid w:val="003357FC"/>
    <w:rsid w:val="00336023"/>
    <w:rsid w:val="003362C0"/>
    <w:rsid w:val="00336404"/>
    <w:rsid w:val="003366A5"/>
    <w:rsid w:val="003369DF"/>
    <w:rsid w:val="00336B49"/>
    <w:rsid w:val="00336E3D"/>
    <w:rsid w:val="00336F94"/>
    <w:rsid w:val="0034038C"/>
    <w:rsid w:val="00340432"/>
    <w:rsid w:val="0034065B"/>
    <w:rsid w:val="003414AF"/>
    <w:rsid w:val="003423C1"/>
    <w:rsid w:val="00342970"/>
    <w:rsid w:val="00343027"/>
    <w:rsid w:val="00343178"/>
    <w:rsid w:val="003432FC"/>
    <w:rsid w:val="00343DA3"/>
    <w:rsid w:val="0034428A"/>
    <w:rsid w:val="003445E8"/>
    <w:rsid w:val="00344C30"/>
    <w:rsid w:val="003458BE"/>
    <w:rsid w:val="00345976"/>
    <w:rsid w:val="00345E8E"/>
    <w:rsid w:val="00346174"/>
    <w:rsid w:val="003468FB"/>
    <w:rsid w:val="00347592"/>
    <w:rsid w:val="00347623"/>
    <w:rsid w:val="0034770C"/>
    <w:rsid w:val="0034791D"/>
    <w:rsid w:val="003501B3"/>
    <w:rsid w:val="00350DBF"/>
    <w:rsid w:val="00350E9F"/>
    <w:rsid w:val="00351367"/>
    <w:rsid w:val="00351B94"/>
    <w:rsid w:val="003526F2"/>
    <w:rsid w:val="0035363C"/>
    <w:rsid w:val="0035371E"/>
    <w:rsid w:val="00353CE7"/>
    <w:rsid w:val="0035449F"/>
    <w:rsid w:val="003544BA"/>
    <w:rsid w:val="00354FA9"/>
    <w:rsid w:val="00355127"/>
    <w:rsid w:val="00355861"/>
    <w:rsid w:val="003559E8"/>
    <w:rsid w:val="00355BE0"/>
    <w:rsid w:val="00356333"/>
    <w:rsid w:val="003563DA"/>
    <w:rsid w:val="00356D8B"/>
    <w:rsid w:val="00356E4C"/>
    <w:rsid w:val="003572F0"/>
    <w:rsid w:val="00357AAB"/>
    <w:rsid w:val="003605B9"/>
    <w:rsid w:val="00360984"/>
    <w:rsid w:val="0036098C"/>
    <w:rsid w:val="0036100E"/>
    <w:rsid w:val="00361201"/>
    <w:rsid w:val="0036128D"/>
    <w:rsid w:val="00361394"/>
    <w:rsid w:val="003615CC"/>
    <w:rsid w:val="00362A1F"/>
    <w:rsid w:val="00362DBA"/>
    <w:rsid w:val="00363130"/>
    <w:rsid w:val="003632F6"/>
    <w:rsid w:val="0036346E"/>
    <w:rsid w:val="0036350C"/>
    <w:rsid w:val="00363625"/>
    <w:rsid w:val="00363DF5"/>
    <w:rsid w:val="00364451"/>
    <w:rsid w:val="0036450D"/>
    <w:rsid w:val="00364772"/>
    <w:rsid w:val="00366E93"/>
    <w:rsid w:val="00367146"/>
    <w:rsid w:val="00367768"/>
    <w:rsid w:val="0036781F"/>
    <w:rsid w:val="00367F2B"/>
    <w:rsid w:val="00370320"/>
    <w:rsid w:val="00370E49"/>
    <w:rsid w:val="0037145B"/>
    <w:rsid w:val="00371B82"/>
    <w:rsid w:val="00372195"/>
    <w:rsid w:val="003738B5"/>
    <w:rsid w:val="00373E2B"/>
    <w:rsid w:val="0037412F"/>
    <w:rsid w:val="0037455B"/>
    <w:rsid w:val="00375016"/>
    <w:rsid w:val="003751EA"/>
    <w:rsid w:val="00375A08"/>
    <w:rsid w:val="00375D73"/>
    <w:rsid w:val="00376317"/>
    <w:rsid w:val="00377F1A"/>
    <w:rsid w:val="003818D5"/>
    <w:rsid w:val="00383896"/>
    <w:rsid w:val="00383E0B"/>
    <w:rsid w:val="00383F46"/>
    <w:rsid w:val="0038431B"/>
    <w:rsid w:val="003859D7"/>
    <w:rsid w:val="0038622F"/>
    <w:rsid w:val="0038788B"/>
    <w:rsid w:val="00387B3E"/>
    <w:rsid w:val="00387F62"/>
    <w:rsid w:val="003903FA"/>
    <w:rsid w:val="00391C42"/>
    <w:rsid w:val="003933B2"/>
    <w:rsid w:val="00393469"/>
    <w:rsid w:val="003936ED"/>
    <w:rsid w:val="00393C68"/>
    <w:rsid w:val="00394145"/>
    <w:rsid w:val="003945AE"/>
    <w:rsid w:val="003948E0"/>
    <w:rsid w:val="00394E83"/>
    <w:rsid w:val="00394FA1"/>
    <w:rsid w:val="00395869"/>
    <w:rsid w:val="00395962"/>
    <w:rsid w:val="00396F98"/>
    <w:rsid w:val="00397052"/>
    <w:rsid w:val="00397518"/>
    <w:rsid w:val="0039754C"/>
    <w:rsid w:val="0039799D"/>
    <w:rsid w:val="003A0A36"/>
    <w:rsid w:val="003A0F9A"/>
    <w:rsid w:val="003A133C"/>
    <w:rsid w:val="003A144D"/>
    <w:rsid w:val="003A15C8"/>
    <w:rsid w:val="003A16B2"/>
    <w:rsid w:val="003A2124"/>
    <w:rsid w:val="003A2199"/>
    <w:rsid w:val="003A22B5"/>
    <w:rsid w:val="003A2F93"/>
    <w:rsid w:val="003A30F5"/>
    <w:rsid w:val="003A3A0A"/>
    <w:rsid w:val="003A42DD"/>
    <w:rsid w:val="003A48E6"/>
    <w:rsid w:val="003A4F5B"/>
    <w:rsid w:val="003A5D98"/>
    <w:rsid w:val="003A5E4B"/>
    <w:rsid w:val="003A5F21"/>
    <w:rsid w:val="003A6901"/>
    <w:rsid w:val="003A6D3F"/>
    <w:rsid w:val="003A713B"/>
    <w:rsid w:val="003A7DD4"/>
    <w:rsid w:val="003B0552"/>
    <w:rsid w:val="003B0D9F"/>
    <w:rsid w:val="003B1734"/>
    <w:rsid w:val="003B1D42"/>
    <w:rsid w:val="003B2625"/>
    <w:rsid w:val="003B2AE7"/>
    <w:rsid w:val="003B2C02"/>
    <w:rsid w:val="003B3857"/>
    <w:rsid w:val="003B39D3"/>
    <w:rsid w:val="003B43E5"/>
    <w:rsid w:val="003B476D"/>
    <w:rsid w:val="003B4F1E"/>
    <w:rsid w:val="003B5491"/>
    <w:rsid w:val="003B5708"/>
    <w:rsid w:val="003B63F2"/>
    <w:rsid w:val="003B74D1"/>
    <w:rsid w:val="003B755E"/>
    <w:rsid w:val="003B7805"/>
    <w:rsid w:val="003B7F55"/>
    <w:rsid w:val="003C0E7E"/>
    <w:rsid w:val="003C0F28"/>
    <w:rsid w:val="003C1234"/>
    <w:rsid w:val="003C13A2"/>
    <w:rsid w:val="003C24F1"/>
    <w:rsid w:val="003C2555"/>
    <w:rsid w:val="003C2BC5"/>
    <w:rsid w:val="003C30C5"/>
    <w:rsid w:val="003C34EA"/>
    <w:rsid w:val="003C3773"/>
    <w:rsid w:val="003C3F9F"/>
    <w:rsid w:val="003C456E"/>
    <w:rsid w:val="003C4918"/>
    <w:rsid w:val="003C4978"/>
    <w:rsid w:val="003C4D76"/>
    <w:rsid w:val="003C4ED0"/>
    <w:rsid w:val="003C5196"/>
    <w:rsid w:val="003C539C"/>
    <w:rsid w:val="003C5414"/>
    <w:rsid w:val="003C5927"/>
    <w:rsid w:val="003C5C3B"/>
    <w:rsid w:val="003C5EA2"/>
    <w:rsid w:val="003C6030"/>
    <w:rsid w:val="003C615B"/>
    <w:rsid w:val="003C64CC"/>
    <w:rsid w:val="003C6865"/>
    <w:rsid w:val="003C6942"/>
    <w:rsid w:val="003C76D2"/>
    <w:rsid w:val="003C7724"/>
    <w:rsid w:val="003C7F16"/>
    <w:rsid w:val="003D133B"/>
    <w:rsid w:val="003D15B7"/>
    <w:rsid w:val="003D2A46"/>
    <w:rsid w:val="003D3AF4"/>
    <w:rsid w:val="003D43D3"/>
    <w:rsid w:val="003D4A48"/>
    <w:rsid w:val="003D4D1F"/>
    <w:rsid w:val="003D61F8"/>
    <w:rsid w:val="003D6716"/>
    <w:rsid w:val="003D6F8A"/>
    <w:rsid w:val="003D7407"/>
    <w:rsid w:val="003D7533"/>
    <w:rsid w:val="003D77D8"/>
    <w:rsid w:val="003E06E5"/>
    <w:rsid w:val="003E0865"/>
    <w:rsid w:val="003E108A"/>
    <w:rsid w:val="003E1280"/>
    <w:rsid w:val="003E17DF"/>
    <w:rsid w:val="003E1E98"/>
    <w:rsid w:val="003E1FCB"/>
    <w:rsid w:val="003E23EC"/>
    <w:rsid w:val="003E254B"/>
    <w:rsid w:val="003E28ED"/>
    <w:rsid w:val="003E2D3D"/>
    <w:rsid w:val="003E3543"/>
    <w:rsid w:val="003E4503"/>
    <w:rsid w:val="003E4D05"/>
    <w:rsid w:val="003E4E3F"/>
    <w:rsid w:val="003E508A"/>
    <w:rsid w:val="003E5ADC"/>
    <w:rsid w:val="003E5D9C"/>
    <w:rsid w:val="003E6376"/>
    <w:rsid w:val="003E6893"/>
    <w:rsid w:val="003E6A04"/>
    <w:rsid w:val="003E6F01"/>
    <w:rsid w:val="003E76B3"/>
    <w:rsid w:val="003E7972"/>
    <w:rsid w:val="003E7C25"/>
    <w:rsid w:val="003F0C00"/>
    <w:rsid w:val="003F0CF0"/>
    <w:rsid w:val="003F0F8E"/>
    <w:rsid w:val="003F1849"/>
    <w:rsid w:val="003F19E7"/>
    <w:rsid w:val="003F1B3C"/>
    <w:rsid w:val="003F2497"/>
    <w:rsid w:val="003F2F8D"/>
    <w:rsid w:val="003F30D5"/>
    <w:rsid w:val="003F31B4"/>
    <w:rsid w:val="003F358B"/>
    <w:rsid w:val="003F3719"/>
    <w:rsid w:val="003F4071"/>
    <w:rsid w:val="003F466A"/>
    <w:rsid w:val="003F4B07"/>
    <w:rsid w:val="003F4FA8"/>
    <w:rsid w:val="003F5711"/>
    <w:rsid w:val="003F59CD"/>
    <w:rsid w:val="003F5A02"/>
    <w:rsid w:val="003F5BD1"/>
    <w:rsid w:val="003F5EA7"/>
    <w:rsid w:val="003F62A4"/>
    <w:rsid w:val="003F7892"/>
    <w:rsid w:val="003F7912"/>
    <w:rsid w:val="003F7DD5"/>
    <w:rsid w:val="003F7F2C"/>
    <w:rsid w:val="003F7FCE"/>
    <w:rsid w:val="00400065"/>
    <w:rsid w:val="004008FB"/>
    <w:rsid w:val="00400AC4"/>
    <w:rsid w:val="00401BA4"/>
    <w:rsid w:val="00401E66"/>
    <w:rsid w:val="00401F6E"/>
    <w:rsid w:val="0040246E"/>
    <w:rsid w:val="004033AB"/>
    <w:rsid w:val="00404038"/>
    <w:rsid w:val="004044B0"/>
    <w:rsid w:val="00404D16"/>
    <w:rsid w:val="0040525A"/>
    <w:rsid w:val="00405981"/>
    <w:rsid w:val="0040672A"/>
    <w:rsid w:val="004067BA"/>
    <w:rsid w:val="004071E4"/>
    <w:rsid w:val="00407A39"/>
    <w:rsid w:val="00407EA0"/>
    <w:rsid w:val="00407FD6"/>
    <w:rsid w:val="0041001C"/>
    <w:rsid w:val="004100E5"/>
    <w:rsid w:val="00410523"/>
    <w:rsid w:val="00410DA7"/>
    <w:rsid w:val="004119AA"/>
    <w:rsid w:val="004125CC"/>
    <w:rsid w:val="0041282A"/>
    <w:rsid w:val="00412A08"/>
    <w:rsid w:val="00412EDB"/>
    <w:rsid w:val="00413517"/>
    <w:rsid w:val="00413579"/>
    <w:rsid w:val="0041465E"/>
    <w:rsid w:val="00414800"/>
    <w:rsid w:val="0041495C"/>
    <w:rsid w:val="004149F8"/>
    <w:rsid w:val="004158EE"/>
    <w:rsid w:val="0041593F"/>
    <w:rsid w:val="00415E18"/>
    <w:rsid w:val="00416558"/>
    <w:rsid w:val="004172C4"/>
    <w:rsid w:val="00420034"/>
    <w:rsid w:val="00420B19"/>
    <w:rsid w:val="00421657"/>
    <w:rsid w:val="004216E2"/>
    <w:rsid w:val="00421A7F"/>
    <w:rsid w:val="004226CD"/>
    <w:rsid w:val="0042304F"/>
    <w:rsid w:val="00423427"/>
    <w:rsid w:val="00423510"/>
    <w:rsid w:val="00423CCA"/>
    <w:rsid w:val="00423E81"/>
    <w:rsid w:val="00424200"/>
    <w:rsid w:val="00424810"/>
    <w:rsid w:val="00424BDA"/>
    <w:rsid w:val="00424E59"/>
    <w:rsid w:val="00425132"/>
    <w:rsid w:val="00425503"/>
    <w:rsid w:val="00425EAD"/>
    <w:rsid w:val="00426D63"/>
    <w:rsid w:val="00426FDB"/>
    <w:rsid w:val="0042736A"/>
    <w:rsid w:val="004274D9"/>
    <w:rsid w:val="00427559"/>
    <w:rsid w:val="00427D13"/>
    <w:rsid w:val="00427D34"/>
    <w:rsid w:val="0043027C"/>
    <w:rsid w:val="00430463"/>
    <w:rsid w:val="004305C4"/>
    <w:rsid w:val="004308AA"/>
    <w:rsid w:val="00430F25"/>
    <w:rsid w:val="00430F3C"/>
    <w:rsid w:val="00430F78"/>
    <w:rsid w:val="00431DEA"/>
    <w:rsid w:val="00431E1F"/>
    <w:rsid w:val="0043248D"/>
    <w:rsid w:val="0043270E"/>
    <w:rsid w:val="00432AC5"/>
    <w:rsid w:val="00432DA1"/>
    <w:rsid w:val="00432FFB"/>
    <w:rsid w:val="00433280"/>
    <w:rsid w:val="0043341C"/>
    <w:rsid w:val="00433EA2"/>
    <w:rsid w:val="004341B7"/>
    <w:rsid w:val="004347BB"/>
    <w:rsid w:val="00435774"/>
    <w:rsid w:val="00435870"/>
    <w:rsid w:val="0043589C"/>
    <w:rsid w:val="00435975"/>
    <w:rsid w:val="00435B93"/>
    <w:rsid w:val="00435C51"/>
    <w:rsid w:val="00435D59"/>
    <w:rsid w:val="00435FCC"/>
    <w:rsid w:val="0043668A"/>
    <w:rsid w:val="004370EF"/>
    <w:rsid w:val="004371BA"/>
    <w:rsid w:val="00437398"/>
    <w:rsid w:val="0043746C"/>
    <w:rsid w:val="00437540"/>
    <w:rsid w:val="00437F5C"/>
    <w:rsid w:val="0044062A"/>
    <w:rsid w:val="00441479"/>
    <w:rsid w:val="004415EC"/>
    <w:rsid w:val="004431C3"/>
    <w:rsid w:val="00443279"/>
    <w:rsid w:val="00443D6A"/>
    <w:rsid w:val="00443F2A"/>
    <w:rsid w:val="00444525"/>
    <w:rsid w:val="00444877"/>
    <w:rsid w:val="004449C0"/>
    <w:rsid w:val="00444F42"/>
    <w:rsid w:val="00445207"/>
    <w:rsid w:val="0044603E"/>
    <w:rsid w:val="004460CD"/>
    <w:rsid w:val="00446443"/>
    <w:rsid w:val="004467B4"/>
    <w:rsid w:val="0044709C"/>
    <w:rsid w:val="00447271"/>
    <w:rsid w:val="0044759C"/>
    <w:rsid w:val="004479E3"/>
    <w:rsid w:val="00447D76"/>
    <w:rsid w:val="00447F67"/>
    <w:rsid w:val="00450606"/>
    <w:rsid w:val="00450822"/>
    <w:rsid w:val="0045082F"/>
    <w:rsid w:val="004509D1"/>
    <w:rsid w:val="0045124A"/>
    <w:rsid w:val="0045155F"/>
    <w:rsid w:val="00452020"/>
    <w:rsid w:val="00452503"/>
    <w:rsid w:val="004526E5"/>
    <w:rsid w:val="00452962"/>
    <w:rsid w:val="00452D81"/>
    <w:rsid w:val="00452FE7"/>
    <w:rsid w:val="00453392"/>
    <w:rsid w:val="00454008"/>
    <w:rsid w:val="004548CB"/>
    <w:rsid w:val="00454994"/>
    <w:rsid w:val="00454C16"/>
    <w:rsid w:val="00455296"/>
    <w:rsid w:val="004555BC"/>
    <w:rsid w:val="004557FE"/>
    <w:rsid w:val="004559CB"/>
    <w:rsid w:val="00456714"/>
    <w:rsid w:val="00457584"/>
    <w:rsid w:val="004576E8"/>
    <w:rsid w:val="004578AA"/>
    <w:rsid w:val="00457B11"/>
    <w:rsid w:val="0046008D"/>
    <w:rsid w:val="00460E9F"/>
    <w:rsid w:val="0046103E"/>
    <w:rsid w:val="004611B1"/>
    <w:rsid w:val="00461332"/>
    <w:rsid w:val="004617CF"/>
    <w:rsid w:val="00461D01"/>
    <w:rsid w:val="004620DA"/>
    <w:rsid w:val="00462231"/>
    <w:rsid w:val="00462608"/>
    <w:rsid w:val="00462ED2"/>
    <w:rsid w:val="004633A5"/>
    <w:rsid w:val="004633CB"/>
    <w:rsid w:val="004635C4"/>
    <w:rsid w:val="004636D3"/>
    <w:rsid w:val="004637CF"/>
    <w:rsid w:val="00463DE3"/>
    <w:rsid w:val="00464058"/>
    <w:rsid w:val="0046475B"/>
    <w:rsid w:val="00464A76"/>
    <w:rsid w:val="00465DAF"/>
    <w:rsid w:val="00466290"/>
    <w:rsid w:val="004668D1"/>
    <w:rsid w:val="004668F7"/>
    <w:rsid w:val="00466BC5"/>
    <w:rsid w:val="00466D49"/>
    <w:rsid w:val="00466EA2"/>
    <w:rsid w:val="00466F77"/>
    <w:rsid w:val="004672FF"/>
    <w:rsid w:val="00467570"/>
    <w:rsid w:val="00470146"/>
    <w:rsid w:val="004705BA"/>
    <w:rsid w:val="004706AC"/>
    <w:rsid w:val="00471138"/>
    <w:rsid w:val="00471983"/>
    <w:rsid w:val="00472065"/>
    <w:rsid w:val="0047233D"/>
    <w:rsid w:val="004723F6"/>
    <w:rsid w:val="00472F2C"/>
    <w:rsid w:val="00472F58"/>
    <w:rsid w:val="00473679"/>
    <w:rsid w:val="00474280"/>
    <w:rsid w:val="00474E93"/>
    <w:rsid w:val="004755AE"/>
    <w:rsid w:val="00475610"/>
    <w:rsid w:val="004756C1"/>
    <w:rsid w:val="00475774"/>
    <w:rsid w:val="00476AD7"/>
    <w:rsid w:val="00477143"/>
    <w:rsid w:val="00477252"/>
    <w:rsid w:val="004774EA"/>
    <w:rsid w:val="004777B0"/>
    <w:rsid w:val="004778A3"/>
    <w:rsid w:val="00477D3B"/>
    <w:rsid w:val="004806BA"/>
    <w:rsid w:val="00480F0E"/>
    <w:rsid w:val="004811B1"/>
    <w:rsid w:val="004818C7"/>
    <w:rsid w:val="00481F94"/>
    <w:rsid w:val="00482086"/>
    <w:rsid w:val="0048301B"/>
    <w:rsid w:val="00483829"/>
    <w:rsid w:val="00483A8B"/>
    <w:rsid w:val="0048459F"/>
    <w:rsid w:val="00484BEC"/>
    <w:rsid w:val="00484F0C"/>
    <w:rsid w:val="00484F1E"/>
    <w:rsid w:val="00484F61"/>
    <w:rsid w:val="00484F7C"/>
    <w:rsid w:val="00485084"/>
    <w:rsid w:val="0048559B"/>
    <w:rsid w:val="0048597A"/>
    <w:rsid w:val="004860B0"/>
    <w:rsid w:val="00486414"/>
    <w:rsid w:val="004865B0"/>
    <w:rsid w:val="00486E94"/>
    <w:rsid w:val="004870F8"/>
    <w:rsid w:val="00487263"/>
    <w:rsid w:val="00487908"/>
    <w:rsid w:val="004901DA"/>
    <w:rsid w:val="00490201"/>
    <w:rsid w:val="00490D7A"/>
    <w:rsid w:val="00491219"/>
    <w:rsid w:val="004912B8"/>
    <w:rsid w:val="00491546"/>
    <w:rsid w:val="004915E7"/>
    <w:rsid w:val="00491D0C"/>
    <w:rsid w:val="00492293"/>
    <w:rsid w:val="0049249E"/>
    <w:rsid w:val="0049272D"/>
    <w:rsid w:val="0049297A"/>
    <w:rsid w:val="00492E60"/>
    <w:rsid w:val="00493095"/>
    <w:rsid w:val="004933AD"/>
    <w:rsid w:val="004938DD"/>
    <w:rsid w:val="00494118"/>
    <w:rsid w:val="00494493"/>
    <w:rsid w:val="00494F73"/>
    <w:rsid w:val="00495845"/>
    <w:rsid w:val="004958FA"/>
    <w:rsid w:val="00495961"/>
    <w:rsid w:val="004962A9"/>
    <w:rsid w:val="004968CA"/>
    <w:rsid w:val="00496B6B"/>
    <w:rsid w:val="00496E35"/>
    <w:rsid w:val="0049785C"/>
    <w:rsid w:val="00497A93"/>
    <w:rsid w:val="00497BB8"/>
    <w:rsid w:val="00497C36"/>
    <w:rsid w:val="004A094D"/>
    <w:rsid w:val="004A0EF8"/>
    <w:rsid w:val="004A1950"/>
    <w:rsid w:val="004A20E3"/>
    <w:rsid w:val="004A2BCC"/>
    <w:rsid w:val="004A44BE"/>
    <w:rsid w:val="004A4B06"/>
    <w:rsid w:val="004A4B8B"/>
    <w:rsid w:val="004A50AA"/>
    <w:rsid w:val="004A50E4"/>
    <w:rsid w:val="004A565D"/>
    <w:rsid w:val="004A5C78"/>
    <w:rsid w:val="004A5D11"/>
    <w:rsid w:val="004A7277"/>
    <w:rsid w:val="004A7810"/>
    <w:rsid w:val="004A7895"/>
    <w:rsid w:val="004A7CC0"/>
    <w:rsid w:val="004A7EF6"/>
    <w:rsid w:val="004A7F22"/>
    <w:rsid w:val="004B0409"/>
    <w:rsid w:val="004B058F"/>
    <w:rsid w:val="004B059B"/>
    <w:rsid w:val="004B0757"/>
    <w:rsid w:val="004B0BBC"/>
    <w:rsid w:val="004B0DC8"/>
    <w:rsid w:val="004B140A"/>
    <w:rsid w:val="004B2142"/>
    <w:rsid w:val="004B2814"/>
    <w:rsid w:val="004B2FF3"/>
    <w:rsid w:val="004B32BB"/>
    <w:rsid w:val="004B3BDC"/>
    <w:rsid w:val="004B3C62"/>
    <w:rsid w:val="004B3F47"/>
    <w:rsid w:val="004B419F"/>
    <w:rsid w:val="004B42CA"/>
    <w:rsid w:val="004B45C5"/>
    <w:rsid w:val="004B47FE"/>
    <w:rsid w:val="004B4831"/>
    <w:rsid w:val="004B4A91"/>
    <w:rsid w:val="004B5829"/>
    <w:rsid w:val="004B6038"/>
    <w:rsid w:val="004B6349"/>
    <w:rsid w:val="004B649A"/>
    <w:rsid w:val="004B754B"/>
    <w:rsid w:val="004B77D0"/>
    <w:rsid w:val="004B787A"/>
    <w:rsid w:val="004B7BAD"/>
    <w:rsid w:val="004C024E"/>
    <w:rsid w:val="004C0313"/>
    <w:rsid w:val="004C0B45"/>
    <w:rsid w:val="004C0C94"/>
    <w:rsid w:val="004C0DDE"/>
    <w:rsid w:val="004C12B1"/>
    <w:rsid w:val="004C195B"/>
    <w:rsid w:val="004C1BF8"/>
    <w:rsid w:val="004C1FEE"/>
    <w:rsid w:val="004C20F6"/>
    <w:rsid w:val="004C24FE"/>
    <w:rsid w:val="004C26E9"/>
    <w:rsid w:val="004C294A"/>
    <w:rsid w:val="004C2D89"/>
    <w:rsid w:val="004C38B7"/>
    <w:rsid w:val="004C3EA7"/>
    <w:rsid w:val="004C3F9B"/>
    <w:rsid w:val="004C454D"/>
    <w:rsid w:val="004C4A8B"/>
    <w:rsid w:val="004C530C"/>
    <w:rsid w:val="004C5B1E"/>
    <w:rsid w:val="004C6086"/>
    <w:rsid w:val="004C6362"/>
    <w:rsid w:val="004C7538"/>
    <w:rsid w:val="004C78A3"/>
    <w:rsid w:val="004C78DC"/>
    <w:rsid w:val="004C7B0B"/>
    <w:rsid w:val="004C7DB8"/>
    <w:rsid w:val="004D01B1"/>
    <w:rsid w:val="004D05F9"/>
    <w:rsid w:val="004D0927"/>
    <w:rsid w:val="004D0FE0"/>
    <w:rsid w:val="004D1457"/>
    <w:rsid w:val="004D22AF"/>
    <w:rsid w:val="004D2C39"/>
    <w:rsid w:val="004D3011"/>
    <w:rsid w:val="004D3863"/>
    <w:rsid w:val="004D3D59"/>
    <w:rsid w:val="004D3DCB"/>
    <w:rsid w:val="004D435D"/>
    <w:rsid w:val="004D57F2"/>
    <w:rsid w:val="004D5E3B"/>
    <w:rsid w:val="004D5ED7"/>
    <w:rsid w:val="004D6A98"/>
    <w:rsid w:val="004D6C29"/>
    <w:rsid w:val="004D7030"/>
    <w:rsid w:val="004D70FA"/>
    <w:rsid w:val="004D722F"/>
    <w:rsid w:val="004D725E"/>
    <w:rsid w:val="004E0537"/>
    <w:rsid w:val="004E05B3"/>
    <w:rsid w:val="004E05B9"/>
    <w:rsid w:val="004E0641"/>
    <w:rsid w:val="004E0686"/>
    <w:rsid w:val="004E0A55"/>
    <w:rsid w:val="004E0DF9"/>
    <w:rsid w:val="004E18E3"/>
    <w:rsid w:val="004E1DCD"/>
    <w:rsid w:val="004E1F85"/>
    <w:rsid w:val="004E2E7E"/>
    <w:rsid w:val="004E307C"/>
    <w:rsid w:val="004E31AA"/>
    <w:rsid w:val="004E3918"/>
    <w:rsid w:val="004E3F8C"/>
    <w:rsid w:val="004E43DB"/>
    <w:rsid w:val="004E4BDC"/>
    <w:rsid w:val="004E4C79"/>
    <w:rsid w:val="004E5077"/>
    <w:rsid w:val="004E510E"/>
    <w:rsid w:val="004E51EF"/>
    <w:rsid w:val="004E5AEC"/>
    <w:rsid w:val="004E7CE8"/>
    <w:rsid w:val="004F0EE2"/>
    <w:rsid w:val="004F1BA0"/>
    <w:rsid w:val="004F20D8"/>
    <w:rsid w:val="004F2760"/>
    <w:rsid w:val="004F2C11"/>
    <w:rsid w:val="004F3033"/>
    <w:rsid w:val="004F39C1"/>
    <w:rsid w:val="004F3CDA"/>
    <w:rsid w:val="004F3EBB"/>
    <w:rsid w:val="004F420F"/>
    <w:rsid w:val="004F4422"/>
    <w:rsid w:val="004F492B"/>
    <w:rsid w:val="004F5056"/>
    <w:rsid w:val="004F54D0"/>
    <w:rsid w:val="004F5BB3"/>
    <w:rsid w:val="004F5CDB"/>
    <w:rsid w:val="004F727C"/>
    <w:rsid w:val="004F75B5"/>
    <w:rsid w:val="004F75D8"/>
    <w:rsid w:val="004F7F4E"/>
    <w:rsid w:val="005000F5"/>
    <w:rsid w:val="005013CA"/>
    <w:rsid w:val="00501D3C"/>
    <w:rsid w:val="005022C0"/>
    <w:rsid w:val="00502F0F"/>
    <w:rsid w:val="0050348E"/>
    <w:rsid w:val="00503E39"/>
    <w:rsid w:val="00503F19"/>
    <w:rsid w:val="0050414F"/>
    <w:rsid w:val="0050495A"/>
    <w:rsid w:val="00504D2F"/>
    <w:rsid w:val="0050538B"/>
    <w:rsid w:val="005053A9"/>
    <w:rsid w:val="00505760"/>
    <w:rsid w:val="00505B2F"/>
    <w:rsid w:val="00505CE9"/>
    <w:rsid w:val="00505D98"/>
    <w:rsid w:val="00505EF9"/>
    <w:rsid w:val="00505FB9"/>
    <w:rsid w:val="00506410"/>
    <w:rsid w:val="0050684A"/>
    <w:rsid w:val="00506C6B"/>
    <w:rsid w:val="00506D88"/>
    <w:rsid w:val="00506F28"/>
    <w:rsid w:val="005109A5"/>
    <w:rsid w:val="00510F9C"/>
    <w:rsid w:val="00511374"/>
    <w:rsid w:val="00511550"/>
    <w:rsid w:val="005119E1"/>
    <w:rsid w:val="00511DDA"/>
    <w:rsid w:val="00512100"/>
    <w:rsid w:val="00512181"/>
    <w:rsid w:val="00512E25"/>
    <w:rsid w:val="00512E8D"/>
    <w:rsid w:val="005139D1"/>
    <w:rsid w:val="00514206"/>
    <w:rsid w:val="00514497"/>
    <w:rsid w:val="00514CAA"/>
    <w:rsid w:val="00514E4A"/>
    <w:rsid w:val="005151E7"/>
    <w:rsid w:val="00515357"/>
    <w:rsid w:val="005161B5"/>
    <w:rsid w:val="00516CA5"/>
    <w:rsid w:val="00516E60"/>
    <w:rsid w:val="00516E72"/>
    <w:rsid w:val="00517274"/>
    <w:rsid w:val="005172B3"/>
    <w:rsid w:val="005175A8"/>
    <w:rsid w:val="00517885"/>
    <w:rsid w:val="00517887"/>
    <w:rsid w:val="00517950"/>
    <w:rsid w:val="00520137"/>
    <w:rsid w:val="0052050C"/>
    <w:rsid w:val="0052068E"/>
    <w:rsid w:val="00520D19"/>
    <w:rsid w:val="00521777"/>
    <w:rsid w:val="00521911"/>
    <w:rsid w:val="00522009"/>
    <w:rsid w:val="005224C3"/>
    <w:rsid w:val="005224F3"/>
    <w:rsid w:val="00522AF3"/>
    <w:rsid w:val="00522C76"/>
    <w:rsid w:val="00522E1F"/>
    <w:rsid w:val="00522FC5"/>
    <w:rsid w:val="00523C0E"/>
    <w:rsid w:val="00524846"/>
    <w:rsid w:val="005248D0"/>
    <w:rsid w:val="005249CF"/>
    <w:rsid w:val="00524B4D"/>
    <w:rsid w:val="00524DC1"/>
    <w:rsid w:val="00525385"/>
    <w:rsid w:val="00525B05"/>
    <w:rsid w:val="00526526"/>
    <w:rsid w:val="00526C3E"/>
    <w:rsid w:val="005300B9"/>
    <w:rsid w:val="005305A0"/>
    <w:rsid w:val="00530942"/>
    <w:rsid w:val="0053108F"/>
    <w:rsid w:val="00531542"/>
    <w:rsid w:val="00532048"/>
    <w:rsid w:val="00532812"/>
    <w:rsid w:val="00533BCF"/>
    <w:rsid w:val="005340B0"/>
    <w:rsid w:val="00534253"/>
    <w:rsid w:val="00534AA3"/>
    <w:rsid w:val="00535811"/>
    <w:rsid w:val="00536863"/>
    <w:rsid w:val="00536972"/>
    <w:rsid w:val="00536FDF"/>
    <w:rsid w:val="00537387"/>
    <w:rsid w:val="00540305"/>
    <w:rsid w:val="0054088A"/>
    <w:rsid w:val="00541380"/>
    <w:rsid w:val="00541522"/>
    <w:rsid w:val="00541F51"/>
    <w:rsid w:val="005422DB"/>
    <w:rsid w:val="00542AD0"/>
    <w:rsid w:val="0054369C"/>
    <w:rsid w:val="0054377A"/>
    <w:rsid w:val="00543800"/>
    <w:rsid w:val="00544123"/>
    <w:rsid w:val="00545459"/>
    <w:rsid w:val="00545848"/>
    <w:rsid w:val="0054645F"/>
    <w:rsid w:val="005472E2"/>
    <w:rsid w:val="005501AF"/>
    <w:rsid w:val="00550E78"/>
    <w:rsid w:val="0055182B"/>
    <w:rsid w:val="005532B4"/>
    <w:rsid w:val="00553D08"/>
    <w:rsid w:val="005544A0"/>
    <w:rsid w:val="0055465F"/>
    <w:rsid w:val="00554B45"/>
    <w:rsid w:val="00555A4C"/>
    <w:rsid w:val="00555DA6"/>
    <w:rsid w:val="0055622A"/>
    <w:rsid w:val="005568DE"/>
    <w:rsid w:val="005573DD"/>
    <w:rsid w:val="00557511"/>
    <w:rsid w:val="005576D2"/>
    <w:rsid w:val="005602CA"/>
    <w:rsid w:val="005603BC"/>
    <w:rsid w:val="00560733"/>
    <w:rsid w:val="00560CA8"/>
    <w:rsid w:val="0056166F"/>
    <w:rsid w:val="0056171F"/>
    <w:rsid w:val="00561AE0"/>
    <w:rsid w:val="00562CB1"/>
    <w:rsid w:val="00562DD6"/>
    <w:rsid w:val="00563522"/>
    <w:rsid w:val="00563735"/>
    <w:rsid w:val="00563C22"/>
    <w:rsid w:val="0056403F"/>
    <w:rsid w:val="005648B6"/>
    <w:rsid w:val="005653DA"/>
    <w:rsid w:val="00565C54"/>
    <w:rsid w:val="0056641D"/>
    <w:rsid w:val="00566798"/>
    <w:rsid w:val="005675CC"/>
    <w:rsid w:val="005676FB"/>
    <w:rsid w:val="005701D0"/>
    <w:rsid w:val="005702E5"/>
    <w:rsid w:val="005707FA"/>
    <w:rsid w:val="0057114A"/>
    <w:rsid w:val="00571554"/>
    <w:rsid w:val="005716C4"/>
    <w:rsid w:val="00571787"/>
    <w:rsid w:val="00571A69"/>
    <w:rsid w:val="005723D2"/>
    <w:rsid w:val="00572417"/>
    <w:rsid w:val="005729A8"/>
    <w:rsid w:val="005729E6"/>
    <w:rsid w:val="00574391"/>
    <w:rsid w:val="005750F1"/>
    <w:rsid w:val="00575249"/>
    <w:rsid w:val="00575586"/>
    <w:rsid w:val="00576097"/>
    <w:rsid w:val="00576167"/>
    <w:rsid w:val="00577285"/>
    <w:rsid w:val="0057752F"/>
    <w:rsid w:val="00577A78"/>
    <w:rsid w:val="00580445"/>
    <w:rsid w:val="005806A4"/>
    <w:rsid w:val="005808DD"/>
    <w:rsid w:val="00581211"/>
    <w:rsid w:val="005814BE"/>
    <w:rsid w:val="00581B36"/>
    <w:rsid w:val="00582075"/>
    <w:rsid w:val="00582797"/>
    <w:rsid w:val="00582AD0"/>
    <w:rsid w:val="00582B29"/>
    <w:rsid w:val="00583276"/>
    <w:rsid w:val="005845F0"/>
    <w:rsid w:val="0058478A"/>
    <w:rsid w:val="0058497A"/>
    <w:rsid w:val="00584BAE"/>
    <w:rsid w:val="0058530D"/>
    <w:rsid w:val="00585505"/>
    <w:rsid w:val="005857C1"/>
    <w:rsid w:val="005859EC"/>
    <w:rsid w:val="00585B28"/>
    <w:rsid w:val="00585DCE"/>
    <w:rsid w:val="0058657C"/>
    <w:rsid w:val="00586648"/>
    <w:rsid w:val="0058669C"/>
    <w:rsid w:val="00586881"/>
    <w:rsid w:val="00586911"/>
    <w:rsid w:val="00586BBA"/>
    <w:rsid w:val="00586D42"/>
    <w:rsid w:val="00586E88"/>
    <w:rsid w:val="00586F47"/>
    <w:rsid w:val="00587A9B"/>
    <w:rsid w:val="00587EF3"/>
    <w:rsid w:val="0059011A"/>
    <w:rsid w:val="00590BA5"/>
    <w:rsid w:val="00590F11"/>
    <w:rsid w:val="00591334"/>
    <w:rsid w:val="00591354"/>
    <w:rsid w:val="00591575"/>
    <w:rsid w:val="00591E75"/>
    <w:rsid w:val="0059246F"/>
    <w:rsid w:val="00592B58"/>
    <w:rsid w:val="00593402"/>
    <w:rsid w:val="005934B8"/>
    <w:rsid w:val="005937C1"/>
    <w:rsid w:val="005939F3"/>
    <w:rsid w:val="00593B41"/>
    <w:rsid w:val="00593B6E"/>
    <w:rsid w:val="005947D8"/>
    <w:rsid w:val="00595292"/>
    <w:rsid w:val="00595427"/>
    <w:rsid w:val="005960AB"/>
    <w:rsid w:val="00596482"/>
    <w:rsid w:val="005967CF"/>
    <w:rsid w:val="00596B76"/>
    <w:rsid w:val="00597409"/>
    <w:rsid w:val="0059764B"/>
    <w:rsid w:val="005A00F8"/>
    <w:rsid w:val="005A0CFB"/>
    <w:rsid w:val="005A0DBE"/>
    <w:rsid w:val="005A171B"/>
    <w:rsid w:val="005A1975"/>
    <w:rsid w:val="005A1AB8"/>
    <w:rsid w:val="005A1CFD"/>
    <w:rsid w:val="005A1EFC"/>
    <w:rsid w:val="005A1F2A"/>
    <w:rsid w:val="005A27BC"/>
    <w:rsid w:val="005A2B43"/>
    <w:rsid w:val="005A2E28"/>
    <w:rsid w:val="005A327E"/>
    <w:rsid w:val="005A32E0"/>
    <w:rsid w:val="005A36E1"/>
    <w:rsid w:val="005A3854"/>
    <w:rsid w:val="005A38CF"/>
    <w:rsid w:val="005A39CA"/>
    <w:rsid w:val="005A3D84"/>
    <w:rsid w:val="005A4096"/>
    <w:rsid w:val="005A4257"/>
    <w:rsid w:val="005A4A01"/>
    <w:rsid w:val="005A5029"/>
    <w:rsid w:val="005A526F"/>
    <w:rsid w:val="005A52DB"/>
    <w:rsid w:val="005A5471"/>
    <w:rsid w:val="005A5543"/>
    <w:rsid w:val="005A55F4"/>
    <w:rsid w:val="005A5705"/>
    <w:rsid w:val="005A5730"/>
    <w:rsid w:val="005A59A0"/>
    <w:rsid w:val="005A6036"/>
    <w:rsid w:val="005A63ED"/>
    <w:rsid w:val="005A6804"/>
    <w:rsid w:val="005A6995"/>
    <w:rsid w:val="005A780B"/>
    <w:rsid w:val="005A7F50"/>
    <w:rsid w:val="005A7FD5"/>
    <w:rsid w:val="005B033D"/>
    <w:rsid w:val="005B03FC"/>
    <w:rsid w:val="005B133C"/>
    <w:rsid w:val="005B1681"/>
    <w:rsid w:val="005B18C4"/>
    <w:rsid w:val="005B1B29"/>
    <w:rsid w:val="005B22C8"/>
    <w:rsid w:val="005B2970"/>
    <w:rsid w:val="005B3831"/>
    <w:rsid w:val="005B3A40"/>
    <w:rsid w:val="005B3F76"/>
    <w:rsid w:val="005B4792"/>
    <w:rsid w:val="005B4796"/>
    <w:rsid w:val="005B47D5"/>
    <w:rsid w:val="005B4E1C"/>
    <w:rsid w:val="005B5743"/>
    <w:rsid w:val="005B6092"/>
    <w:rsid w:val="005B7B01"/>
    <w:rsid w:val="005C0F1D"/>
    <w:rsid w:val="005C133B"/>
    <w:rsid w:val="005C1AE7"/>
    <w:rsid w:val="005C2453"/>
    <w:rsid w:val="005C2ECB"/>
    <w:rsid w:val="005C3095"/>
    <w:rsid w:val="005C346E"/>
    <w:rsid w:val="005C378D"/>
    <w:rsid w:val="005C4402"/>
    <w:rsid w:val="005C4B56"/>
    <w:rsid w:val="005C5148"/>
    <w:rsid w:val="005C542F"/>
    <w:rsid w:val="005C58C6"/>
    <w:rsid w:val="005C5A2D"/>
    <w:rsid w:val="005C5D40"/>
    <w:rsid w:val="005C60E7"/>
    <w:rsid w:val="005C6527"/>
    <w:rsid w:val="005C69FC"/>
    <w:rsid w:val="005C6F52"/>
    <w:rsid w:val="005C7784"/>
    <w:rsid w:val="005D01D5"/>
    <w:rsid w:val="005D036E"/>
    <w:rsid w:val="005D0673"/>
    <w:rsid w:val="005D0E36"/>
    <w:rsid w:val="005D1446"/>
    <w:rsid w:val="005D15E5"/>
    <w:rsid w:val="005D16DD"/>
    <w:rsid w:val="005D1826"/>
    <w:rsid w:val="005D1A19"/>
    <w:rsid w:val="005D1CD6"/>
    <w:rsid w:val="005D20E7"/>
    <w:rsid w:val="005D29E9"/>
    <w:rsid w:val="005D2E3D"/>
    <w:rsid w:val="005D3995"/>
    <w:rsid w:val="005D3D31"/>
    <w:rsid w:val="005D44B5"/>
    <w:rsid w:val="005D44E1"/>
    <w:rsid w:val="005D4654"/>
    <w:rsid w:val="005D4B54"/>
    <w:rsid w:val="005D4CA6"/>
    <w:rsid w:val="005D4EAD"/>
    <w:rsid w:val="005D5639"/>
    <w:rsid w:val="005D597B"/>
    <w:rsid w:val="005D6240"/>
    <w:rsid w:val="005D6517"/>
    <w:rsid w:val="005D66C1"/>
    <w:rsid w:val="005D6FCB"/>
    <w:rsid w:val="005D7149"/>
    <w:rsid w:val="005D79CF"/>
    <w:rsid w:val="005D7F1B"/>
    <w:rsid w:val="005E0036"/>
    <w:rsid w:val="005E0CF5"/>
    <w:rsid w:val="005E0DF4"/>
    <w:rsid w:val="005E145F"/>
    <w:rsid w:val="005E1751"/>
    <w:rsid w:val="005E1866"/>
    <w:rsid w:val="005E230C"/>
    <w:rsid w:val="005E250B"/>
    <w:rsid w:val="005E2EE2"/>
    <w:rsid w:val="005E31DA"/>
    <w:rsid w:val="005E3FB9"/>
    <w:rsid w:val="005E43EC"/>
    <w:rsid w:val="005E498B"/>
    <w:rsid w:val="005E51E9"/>
    <w:rsid w:val="005E5AAE"/>
    <w:rsid w:val="005E5B19"/>
    <w:rsid w:val="005E5CBE"/>
    <w:rsid w:val="005E5ECD"/>
    <w:rsid w:val="005E6CA6"/>
    <w:rsid w:val="005E6EF6"/>
    <w:rsid w:val="005E70DE"/>
    <w:rsid w:val="005E79A1"/>
    <w:rsid w:val="005F046A"/>
    <w:rsid w:val="005F073C"/>
    <w:rsid w:val="005F0928"/>
    <w:rsid w:val="005F1EAA"/>
    <w:rsid w:val="005F1FE9"/>
    <w:rsid w:val="005F27A1"/>
    <w:rsid w:val="005F3B74"/>
    <w:rsid w:val="005F4C4D"/>
    <w:rsid w:val="005F51B7"/>
    <w:rsid w:val="005F5ACB"/>
    <w:rsid w:val="005F602F"/>
    <w:rsid w:val="005F6220"/>
    <w:rsid w:val="005F633A"/>
    <w:rsid w:val="005F6DCE"/>
    <w:rsid w:val="005F6E78"/>
    <w:rsid w:val="005F6EE1"/>
    <w:rsid w:val="005F7721"/>
    <w:rsid w:val="005F7C5B"/>
    <w:rsid w:val="0060002F"/>
    <w:rsid w:val="0060094F"/>
    <w:rsid w:val="0060098D"/>
    <w:rsid w:val="0060126B"/>
    <w:rsid w:val="00601301"/>
    <w:rsid w:val="00603302"/>
    <w:rsid w:val="00603312"/>
    <w:rsid w:val="00603FEF"/>
    <w:rsid w:val="00604046"/>
    <w:rsid w:val="006042C4"/>
    <w:rsid w:val="006045FF"/>
    <w:rsid w:val="00604617"/>
    <w:rsid w:val="00604AF7"/>
    <w:rsid w:val="00605339"/>
    <w:rsid w:val="0060541D"/>
    <w:rsid w:val="0060544A"/>
    <w:rsid w:val="006054C4"/>
    <w:rsid w:val="006055FD"/>
    <w:rsid w:val="00605A6E"/>
    <w:rsid w:val="00606204"/>
    <w:rsid w:val="00606C2C"/>
    <w:rsid w:val="00606C86"/>
    <w:rsid w:val="00606CE8"/>
    <w:rsid w:val="00606DB1"/>
    <w:rsid w:val="00607863"/>
    <w:rsid w:val="00610232"/>
    <w:rsid w:val="00610E0B"/>
    <w:rsid w:val="0061119E"/>
    <w:rsid w:val="00611225"/>
    <w:rsid w:val="0061129C"/>
    <w:rsid w:val="00611A8C"/>
    <w:rsid w:val="00611D3E"/>
    <w:rsid w:val="00611EFC"/>
    <w:rsid w:val="00612356"/>
    <w:rsid w:val="00614F48"/>
    <w:rsid w:val="0061570B"/>
    <w:rsid w:val="00615E1D"/>
    <w:rsid w:val="006165CA"/>
    <w:rsid w:val="00616611"/>
    <w:rsid w:val="00616711"/>
    <w:rsid w:val="0061682C"/>
    <w:rsid w:val="00616AF7"/>
    <w:rsid w:val="00616B11"/>
    <w:rsid w:val="00616E9B"/>
    <w:rsid w:val="00617328"/>
    <w:rsid w:val="00617398"/>
    <w:rsid w:val="0061756A"/>
    <w:rsid w:val="00617620"/>
    <w:rsid w:val="0061776D"/>
    <w:rsid w:val="00617842"/>
    <w:rsid w:val="00620C09"/>
    <w:rsid w:val="00620C4B"/>
    <w:rsid w:val="006213CD"/>
    <w:rsid w:val="00622045"/>
    <w:rsid w:val="00622528"/>
    <w:rsid w:val="006226EF"/>
    <w:rsid w:val="00623649"/>
    <w:rsid w:val="0062380B"/>
    <w:rsid w:val="0062390F"/>
    <w:rsid w:val="00623D31"/>
    <w:rsid w:val="00623D67"/>
    <w:rsid w:val="00623E2F"/>
    <w:rsid w:val="00624674"/>
    <w:rsid w:val="00625111"/>
    <w:rsid w:val="00625F36"/>
    <w:rsid w:val="00626060"/>
    <w:rsid w:val="00626282"/>
    <w:rsid w:val="006265C4"/>
    <w:rsid w:val="00626960"/>
    <w:rsid w:val="00626CB0"/>
    <w:rsid w:val="00626E4A"/>
    <w:rsid w:val="006271F7"/>
    <w:rsid w:val="00627B8C"/>
    <w:rsid w:val="00627CF6"/>
    <w:rsid w:val="0063066B"/>
    <w:rsid w:val="0063198B"/>
    <w:rsid w:val="00631B75"/>
    <w:rsid w:val="00632422"/>
    <w:rsid w:val="00632C2B"/>
    <w:rsid w:val="00632C96"/>
    <w:rsid w:val="00632DAF"/>
    <w:rsid w:val="00632F10"/>
    <w:rsid w:val="0063300B"/>
    <w:rsid w:val="006337AC"/>
    <w:rsid w:val="0063385B"/>
    <w:rsid w:val="00634308"/>
    <w:rsid w:val="00634641"/>
    <w:rsid w:val="00634745"/>
    <w:rsid w:val="00634F7A"/>
    <w:rsid w:val="0063541D"/>
    <w:rsid w:val="006362FF"/>
    <w:rsid w:val="006368BC"/>
    <w:rsid w:val="006368F4"/>
    <w:rsid w:val="00636B57"/>
    <w:rsid w:val="00637302"/>
    <w:rsid w:val="00637370"/>
    <w:rsid w:val="00637CF2"/>
    <w:rsid w:val="00637E82"/>
    <w:rsid w:val="00640003"/>
    <w:rsid w:val="00640546"/>
    <w:rsid w:val="006416FD"/>
    <w:rsid w:val="00641943"/>
    <w:rsid w:val="00642BFC"/>
    <w:rsid w:val="00642F99"/>
    <w:rsid w:val="0064361F"/>
    <w:rsid w:val="00643687"/>
    <w:rsid w:val="00643951"/>
    <w:rsid w:val="00643E1F"/>
    <w:rsid w:val="00643E99"/>
    <w:rsid w:val="006441D0"/>
    <w:rsid w:val="0064438D"/>
    <w:rsid w:val="00644A9D"/>
    <w:rsid w:val="00644CA5"/>
    <w:rsid w:val="0064504C"/>
    <w:rsid w:val="00645493"/>
    <w:rsid w:val="00645627"/>
    <w:rsid w:val="00645958"/>
    <w:rsid w:val="006463FC"/>
    <w:rsid w:val="006466D0"/>
    <w:rsid w:val="00646A67"/>
    <w:rsid w:val="00646CBC"/>
    <w:rsid w:val="00647B82"/>
    <w:rsid w:val="00647F50"/>
    <w:rsid w:val="006501C8"/>
    <w:rsid w:val="006508A9"/>
    <w:rsid w:val="00651628"/>
    <w:rsid w:val="00651C8D"/>
    <w:rsid w:val="00651FFF"/>
    <w:rsid w:val="006528D8"/>
    <w:rsid w:val="00652FB8"/>
    <w:rsid w:val="0065306A"/>
    <w:rsid w:val="006531F2"/>
    <w:rsid w:val="00653C98"/>
    <w:rsid w:val="0065519F"/>
    <w:rsid w:val="00655214"/>
    <w:rsid w:val="0065558F"/>
    <w:rsid w:val="006557F3"/>
    <w:rsid w:val="00655B37"/>
    <w:rsid w:val="00656210"/>
    <w:rsid w:val="00656CCE"/>
    <w:rsid w:val="006574DF"/>
    <w:rsid w:val="006576C7"/>
    <w:rsid w:val="006602D9"/>
    <w:rsid w:val="00660BAD"/>
    <w:rsid w:val="00660BF0"/>
    <w:rsid w:val="00660EBF"/>
    <w:rsid w:val="00661D1C"/>
    <w:rsid w:val="006640EC"/>
    <w:rsid w:val="00665123"/>
    <w:rsid w:val="006663E9"/>
    <w:rsid w:val="00666A59"/>
    <w:rsid w:val="00667812"/>
    <w:rsid w:val="00667ADF"/>
    <w:rsid w:val="00667B5F"/>
    <w:rsid w:val="006704C8"/>
    <w:rsid w:val="00670C0D"/>
    <w:rsid w:val="00670D47"/>
    <w:rsid w:val="00671920"/>
    <w:rsid w:val="00671F94"/>
    <w:rsid w:val="00672A2D"/>
    <w:rsid w:val="00672C41"/>
    <w:rsid w:val="00672C4D"/>
    <w:rsid w:val="0067357C"/>
    <w:rsid w:val="00673DC2"/>
    <w:rsid w:val="00673EC6"/>
    <w:rsid w:val="0067418B"/>
    <w:rsid w:val="0067456B"/>
    <w:rsid w:val="006745F3"/>
    <w:rsid w:val="006747C6"/>
    <w:rsid w:val="00674974"/>
    <w:rsid w:val="00674AB1"/>
    <w:rsid w:val="00674CDF"/>
    <w:rsid w:val="00675075"/>
    <w:rsid w:val="0067560E"/>
    <w:rsid w:val="0067577F"/>
    <w:rsid w:val="00675DA9"/>
    <w:rsid w:val="006762BE"/>
    <w:rsid w:val="00676C52"/>
    <w:rsid w:val="00676ED0"/>
    <w:rsid w:val="0067730F"/>
    <w:rsid w:val="00680376"/>
    <w:rsid w:val="0068158D"/>
    <w:rsid w:val="00681637"/>
    <w:rsid w:val="00681800"/>
    <w:rsid w:val="00681D2B"/>
    <w:rsid w:val="0068287A"/>
    <w:rsid w:val="0068296F"/>
    <w:rsid w:val="0068318D"/>
    <w:rsid w:val="00683FA6"/>
    <w:rsid w:val="00683FF5"/>
    <w:rsid w:val="006845E3"/>
    <w:rsid w:val="00684A59"/>
    <w:rsid w:val="00684B71"/>
    <w:rsid w:val="00684BC9"/>
    <w:rsid w:val="006851E6"/>
    <w:rsid w:val="006854EA"/>
    <w:rsid w:val="00685B18"/>
    <w:rsid w:val="00686393"/>
    <w:rsid w:val="006878B7"/>
    <w:rsid w:val="00687B45"/>
    <w:rsid w:val="006901E5"/>
    <w:rsid w:val="00690BC2"/>
    <w:rsid w:val="00690CBB"/>
    <w:rsid w:val="006915BC"/>
    <w:rsid w:val="00691605"/>
    <w:rsid w:val="00691638"/>
    <w:rsid w:val="006916C0"/>
    <w:rsid w:val="00691912"/>
    <w:rsid w:val="00691F02"/>
    <w:rsid w:val="00692155"/>
    <w:rsid w:val="00692277"/>
    <w:rsid w:val="0069257C"/>
    <w:rsid w:val="00692788"/>
    <w:rsid w:val="00694902"/>
    <w:rsid w:val="00695478"/>
    <w:rsid w:val="0069569D"/>
    <w:rsid w:val="006959AD"/>
    <w:rsid w:val="00695F53"/>
    <w:rsid w:val="006960B5"/>
    <w:rsid w:val="006961EE"/>
    <w:rsid w:val="0069638F"/>
    <w:rsid w:val="00696408"/>
    <w:rsid w:val="006967FC"/>
    <w:rsid w:val="00696EC5"/>
    <w:rsid w:val="006974E1"/>
    <w:rsid w:val="006979C3"/>
    <w:rsid w:val="006A0A9E"/>
    <w:rsid w:val="006A0C51"/>
    <w:rsid w:val="006A0D1D"/>
    <w:rsid w:val="006A114F"/>
    <w:rsid w:val="006A13FE"/>
    <w:rsid w:val="006A2DCB"/>
    <w:rsid w:val="006A2EFA"/>
    <w:rsid w:val="006A31B4"/>
    <w:rsid w:val="006A38E5"/>
    <w:rsid w:val="006A4909"/>
    <w:rsid w:val="006A4C85"/>
    <w:rsid w:val="006A4CC3"/>
    <w:rsid w:val="006A56B1"/>
    <w:rsid w:val="006A5E90"/>
    <w:rsid w:val="006A5F01"/>
    <w:rsid w:val="006A6845"/>
    <w:rsid w:val="006A6A27"/>
    <w:rsid w:val="006A6A2F"/>
    <w:rsid w:val="006A6B6F"/>
    <w:rsid w:val="006A6C7C"/>
    <w:rsid w:val="006A7272"/>
    <w:rsid w:val="006A74A5"/>
    <w:rsid w:val="006A7E8A"/>
    <w:rsid w:val="006A7F3F"/>
    <w:rsid w:val="006B00FB"/>
    <w:rsid w:val="006B0145"/>
    <w:rsid w:val="006B0226"/>
    <w:rsid w:val="006B130B"/>
    <w:rsid w:val="006B185F"/>
    <w:rsid w:val="006B195B"/>
    <w:rsid w:val="006B1AAF"/>
    <w:rsid w:val="006B21F4"/>
    <w:rsid w:val="006B2331"/>
    <w:rsid w:val="006B28DB"/>
    <w:rsid w:val="006B2CD8"/>
    <w:rsid w:val="006B2EAB"/>
    <w:rsid w:val="006B4662"/>
    <w:rsid w:val="006B5104"/>
    <w:rsid w:val="006B5E67"/>
    <w:rsid w:val="006B60C5"/>
    <w:rsid w:val="006B6872"/>
    <w:rsid w:val="006B6912"/>
    <w:rsid w:val="006B6E7F"/>
    <w:rsid w:val="006B74A6"/>
    <w:rsid w:val="006B77E6"/>
    <w:rsid w:val="006B7979"/>
    <w:rsid w:val="006B7F91"/>
    <w:rsid w:val="006C0258"/>
    <w:rsid w:val="006C056F"/>
    <w:rsid w:val="006C09FF"/>
    <w:rsid w:val="006C0DBD"/>
    <w:rsid w:val="006C1256"/>
    <w:rsid w:val="006C27D1"/>
    <w:rsid w:val="006C2DDA"/>
    <w:rsid w:val="006C2EEE"/>
    <w:rsid w:val="006C31E3"/>
    <w:rsid w:val="006C3E53"/>
    <w:rsid w:val="006C4765"/>
    <w:rsid w:val="006C4ABB"/>
    <w:rsid w:val="006C4F07"/>
    <w:rsid w:val="006C51E5"/>
    <w:rsid w:val="006C529B"/>
    <w:rsid w:val="006C62A7"/>
    <w:rsid w:val="006C6A34"/>
    <w:rsid w:val="006C7861"/>
    <w:rsid w:val="006D0AEA"/>
    <w:rsid w:val="006D0BE3"/>
    <w:rsid w:val="006D107D"/>
    <w:rsid w:val="006D15C7"/>
    <w:rsid w:val="006D1677"/>
    <w:rsid w:val="006D22DC"/>
    <w:rsid w:val="006D22DE"/>
    <w:rsid w:val="006D2333"/>
    <w:rsid w:val="006D292F"/>
    <w:rsid w:val="006D2B16"/>
    <w:rsid w:val="006D2D0C"/>
    <w:rsid w:val="006D2E49"/>
    <w:rsid w:val="006D2E7E"/>
    <w:rsid w:val="006D322C"/>
    <w:rsid w:val="006D3467"/>
    <w:rsid w:val="006D3706"/>
    <w:rsid w:val="006D377C"/>
    <w:rsid w:val="006D389B"/>
    <w:rsid w:val="006D3B5B"/>
    <w:rsid w:val="006D3BBD"/>
    <w:rsid w:val="006D44DB"/>
    <w:rsid w:val="006D4D53"/>
    <w:rsid w:val="006D505A"/>
    <w:rsid w:val="006D5091"/>
    <w:rsid w:val="006D537D"/>
    <w:rsid w:val="006D5666"/>
    <w:rsid w:val="006D59B9"/>
    <w:rsid w:val="006D5BD0"/>
    <w:rsid w:val="006D5CEA"/>
    <w:rsid w:val="006D5EA1"/>
    <w:rsid w:val="006D68BB"/>
    <w:rsid w:val="006D7003"/>
    <w:rsid w:val="006D7540"/>
    <w:rsid w:val="006D7803"/>
    <w:rsid w:val="006E09FF"/>
    <w:rsid w:val="006E0A26"/>
    <w:rsid w:val="006E0FAC"/>
    <w:rsid w:val="006E1348"/>
    <w:rsid w:val="006E2546"/>
    <w:rsid w:val="006E2A04"/>
    <w:rsid w:val="006E2B7C"/>
    <w:rsid w:val="006E2C51"/>
    <w:rsid w:val="006E2E95"/>
    <w:rsid w:val="006E3409"/>
    <w:rsid w:val="006E3459"/>
    <w:rsid w:val="006E4BAD"/>
    <w:rsid w:val="006E4D4A"/>
    <w:rsid w:val="006E6D28"/>
    <w:rsid w:val="006E6F1A"/>
    <w:rsid w:val="006E781F"/>
    <w:rsid w:val="006E7884"/>
    <w:rsid w:val="006F1A45"/>
    <w:rsid w:val="006F1DA3"/>
    <w:rsid w:val="006F208A"/>
    <w:rsid w:val="006F25FF"/>
    <w:rsid w:val="006F2836"/>
    <w:rsid w:val="006F2CCA"/>
    <w:rsid w:val="006F2E0C"/>
    <w:rsid w:val="006F2F18"/>
    <w:rsid w:val="006F3866"/>
    <w:rsid w:val="006F3C8B"/>
    <w:rsid w:val="006F42D0"/>
    <w:rsid w:val="006F4A90"/>
    <w:rsid w:val="006F4DD2"/>
    <w:rsid w:val="006F4F3C"/>
    <w:rsid w:val="006F6B67"/>
    <w:rsid w:val="006F6BE4"/>
    <w:rsid w:val="006F75AD"/>
    <w:rsid w:val="006F76F4"/>
    <w:rsid w:val="006F7BD1"/>
    <w:rsid w:val="00700029"/>
    <w:rsid w:val="00700224"/>
    <w:rsid w:val="00701046"/>
    <w:rsid w:val="0070159A"/>
    <w:rsid w:val="00701BCC"/>
    <w:rsid w:val="0070246F"/>
    <w:rsid w:val="007028CB"/>
    <w:rsid w:val="007039DC"/>
    <w:rsid w:val="00704665"/>
    <w:rsid w:val="00704F85"/>
    <w:rsid w:val="007057EA"/>
    <w:rsid w:val="00706624"/>
    <w:rsid w:val="00706B19"/>
    <w:rsid w:val="007072D4"/>
    <w:rsid w:val="0070788F"/>
    <w:rsid w:val="00707BB3"/>
    <w:rsid w:val="00707C21"/>
    <w:rsid w:val="00707FF3"/>
    <w:rsid w:val="007106A8"/>
    <w:rsid w:val="007117A7"/>
    <w:rsid w:val="007118C8"/>
    <w:rsid w:val="00711F69"/>
    <w:rsid w:val="00711FE9"/>
    <w:rsid w:val="00713176"/>
    <w:rsid w:val="00713509"/>
    <w:rsid w:val="00713714"/>
    <w:rsid w:val="007138EB"/>
    <w:rsid w:val="00713D64"/>
    <w:rsid w:val="00714081"/>
    <w:rsid w:val="007142A5"/>
    <w:rsid w:val="00714ED7"/>
    <w:rsid w:val="0071540C"/>
    <w:rsid w:val="00715534"/>
    <w:rsid w:val="00715985"/>
    <w:rsid w:val="00715B55"/>
    <w:rsid w:val="00715BA3"/>
    <w:rsid w:val="00715CDD"/>
    <w:rsid w:val="0071605C"/>
    <w:rsid w:val="007163D3"/>
    <w:rsid w:val="00716670"/>
    <w:rsid w:val="00716A27"/>
    <w:rsid w:val="00717490"/>
    <w:rsid w:val="007178C6"/>
    <w:rsid w:val="007179D1"/>
    <w:rsid w:val="00717E75"/>
    <w:rsid w:val="00721BD0"/>
    <w:rsid w:val="00721C52"/>
    <w:rsid w:val="00721E6A"/>
    <w:rsid w:val="0072254E"/>
    <w:rsid w:val="00722767"/>
    <w:rsid w:val="0072332B"/>
    <w:rsid w:val="007239F0"/>
    <w:rsid w:val="00724CD8"/>
    <w:rsid w:val="007250E4"/>
    <w:rsid w:val="007251A3"/>
    <w:rsid w:val="0072525F"/>
    <w:rsid w:val="00725AA2"/>
    <w:rsid w:val="00725DF0"/>
    <w:rsid w:val="00725F7C"/>
    <w:rsid w:val="007264AA"/>
    <w:rsid w:val="007274E8"/>
    <w:rsid w:val="00727AA7"/>
    <w:rsid w:val="007303B7"/>
    <w:rsid w:val="0073109E"/>
    <w:rsid w:val="00731F06"/>
    <w:rsid w:val="007322FC"/>
    <w:rsid w:val="00732782"/>
    <w:rsid w:val="007327DB"/>
    <w:rsid w:val="0073329F"/>
    <w:rsid w:val="00733C34"/>
    <w:rsid w:val="007340F9"/>
    <w:rsid w:val="00734B59"/>
    <w:rsid w:val="00735C6A"/>
    <w:rsid w:val="00736FA3"/>
    <w:rsid w:val="00736FF0"/>
    <w:rsid w:val="007373BC"/>
    <w:rsid w:val="00737926"/>
    <w:rsid w:val="00737CF8"/>
    <w:rsid w:val="00740577"/>
    <w:rsid w:val="007406F3"/>
    <w:rsid w:val="00740DB9"/>
    <w:rsid w:val="007420D8"/>
    <w:rsid w:val="007426AC"/>
    <w:rsid w:val="00742BBA"/>
    <w:rsid w:val="00742E1E"/>
    <w:rsid w:val="00742EAA"/>
    <w:rsid w:val="00743954"/>
    <w:rsid w:val="00743CA1"/>
    <w:rsid w:val="00743FC5"/>
    <w:rsid w:val="007451C8"/>
    <w:rsid w:val="00745A5C"/>
    <w:rsid w:val="00745DCE"/>
    <w:rsid w:val="00745F65"/>
    <w:rsid w:val="00746071"/>
    <w:rsid w:val="00746422"/>
    <w:rsid w:val="007464EA"/>
    <w:rsid w:val="00747615"/>
    <w:rsid w:val="0074768E"/>
    <w:rsid w:val="00750400"/>
    <w:rsid w:val="00750D8F"/>
    <w:rsid w:val="00751638"/>
    <w:rsid w:val="00752400"/>
    <w:rsid w:val="00752A11"/>
    <w:rsid w:val="00753405"/>
    <w:rsid w:val="007534D1"/>
    <w:rsid w:val="00753EA6"/>
    <w:rsid w:val="007549EF"/>
    <w:rsid w:val="00754D92"/>
    <w:rsid w:val="007554B4"/>
    <w:rsid w:val="0075587E"/>
    <w:rsid w:val="007559C3"/>
    <w:rsid w:val="00755FAC"/>
    <w:rsid w:val="00756172"/>
    <w:rsid w:val="00756D4B"/>
    <w:rsid w:val="007605E3"/>
    <w:rsid w:val="00760753"/>
    <w:rsid w:val="00760846"/>
    <w:rsid w:val="007609B9"/>
    <w:rsid w:val="00760BBE"/>
    <w:rsid w:val="0076116E"/>
    <w:rsid w:val="0076134B"/>
    <w:rsid w:val="00761759"/>
    <w:rsid w:val="00761C2E"/>
    <w:rsid w:val="0076290C"/>
    <w:rsid w:val="00762C6F"/>
    <w:rsid w:val="00762E7E"/>
    <w:rsid w:val="0076353B"/>
    <w:rsid w:val="0076361F"/>
    <w:rsid w:val="0076365F"/>
    <w:rsid w:val="0076382A"/>
    <w:rsid w:val="00763D9C"/>
    <w:rsid w:val="00764CB5"/>
    <w:rsid w:val="0076513B"/>
    <w:rsid w:val="00765405"/>
    <w:rsid w:val="0076589A"/>
    <w:rsid w:val="00765ADF"/>
    <w:rsid w:val="00765D48"/>
    <w:rsid w:val="00765D71"/>
    <w:rsid w:val="007660F6"/>
    <w:rsid w:val="00766296"/>
    <w:rsid w:val="007667D2"/>
    <w:rsid w:val="00766A0C"/>
    <w:rsid w:val="00766C66"/>
    <w:rsid w:val="00766F4A"/>
    <w:rsid w:val="0076734D"/>
    <w:rsid w:val="00767D32"/>
    <w:rsid w:val="00770BDC"/>
    <w:rsid w:val="00770EFB"/>
    <w:rsid w:val="00771027"/>
    <w:rsid w:val="007712A8"/>
    <w:rsid w:val="00771418"/>
    <w:rsid w:val="007714D0"/>
    <w:rsid w:val="007715A3"/>
    <w:rsid w:val="007717ED"/>
    <w:rsid w:val="0077212D"/>
    <w:rsid w:val="00772708"/>
    <w:rsid w:val="0077298D"/>
    <w:rsid w:val="00773903"/>
    <w:rsid w:val="00774314"/>
    <w:rsid w:val="00774776"/>
    <w:rsid w:val="00774FED"/>
    <w:rsid w:val="00776504"/>
    <w:rsid w:val="00776EA6"/>
    <w:rsid w:val="00777DA5"/>
    <w:rsid w:val="0078015F"/>
    <w:rsid w:val="00780B58"/>
    <w:rsid w:val="00780E28"/>
    <w:rsid w:val="00780E3A"/>
    <w:rsid w:val="007819B0"/>
    <w:rsid w:val="00781DF0"/>
    <w:rsid w:val="0078261C"/>
    <w:rsid w:val="007827CB"/>
    <w:rsid w:val="007833F5"/>
    <w:rsid w:val="00783D2A"/>
    <w:rsid w:val="007844C9"/>
    <w:rsid w:val="00784536"/>
    <w:rsid w:val="00784A87"/>
    <w:rsid w:val="00784AF0"/>
    <w:rsid w:val="00784B24"/>
    <w:rsid w:val="00784CE3"/>
    <w:rsid w:val="00785397"/>
    <w:rsid w:val="00786070"/>
    <w:rsid w:val="00786CAB"/>
    <w:rsid w:val="007902CC"/>
    <w:rsid w:val="007902DC"/>
    <w:rsid w:val="00790428"/>
    <w:rsid w:val="007907AC"/>
    <w:rsid w:val="00790C28"/>
    <w:rsid w:val="00790F1E"/>
    <w:rsid w:val="00791EE0"/>
    <w:rsid w:val="00793BF8"/>
    <w:rsid w:val="00793CA7"/>
    <w:rsid w:val="00793D8E"/>
    <w:rsid w:val="00794C4A"/>
    <w:rsid w:val="00795676"/>
    <w:rsid w:val="007956A4"/>
    <w:rsid w:val="00795C2A"/>
    <w:rsid w:val="00795F31"/>
    <w:rsid w:val="00795FE9"/>
    <w:rsid w:val="00796C86"/>
    <w:rsid w:val="00796D99"/>
    <w:rsid w:val="00797FF0"/>
    <w:rsid w:val="007A10D5"/>
    <w:rsid w:val="007A1321"/>
    <w:rsid w:val="007A140E"/>
    <w:rsid w:val="007A232C"/>
    <w:rsid w:val="007A2559"/>
    <w:rsid w:val="007A29CB"/>
    <w:rsid w:val="007A29FD"/>
    <w:rsid w:val="007A304D"/>
    <w:rsid w:val="007A32E7"/>
    <w:rsid w:val="007A34AE"/>
    <w:rsid w:val="007A3AA3"/>
    <w:rsid w:val="007A40EE"/>
    <w:rsid w:val="007A4272"/>
    <w:rsid w:val="007A4B03"/>
    <w:rsid w:val="007A4B5F"/>
    <w:rsid w:val="007A4D97"/>
    <w:rsid w:val="007A5294"/>
    <w:rsid w:val="007A52A5"/>
    <w:rsid w:val="007A6735"/>
    <w:rsid w:val="007A6DD4"/>
    <w:rsid w:val="007A73D4"/>
    <w:rsid w:val="007A7B2F"/>
    <w:rsid w:val="007A7B4B"/>
    <w:rsid w:val="007A7C41"/>
    <w:rsid w:val="007A7E3E"/>
    <w:rsid w:val="007B01BA"/>
    <w:rsid w:val="007B05F4"/>
    <w:rsid w:val="007B0FF1"/>
    <w:rsid w:val="007B138C"/>
    <w:rsid w:val="007B1AC6"/>
    <w:rsid w:val="007B2696"/>
    <w:rsid w:val="007B2F11"/>
    <w:rsid w:val="007B31DC"/>
    <w:rsid w:val="007B35CD"/>
    <w:rsid w:val="007B3850"/>
    <w:rsid w:val="007B3D2E"/>
    <w:rsid w:val="007B424E"/>
    <w:rsid w:val="007B4551"/>
    <w:rsid w:val="007B47A7"/>
    <w:rsid w:val="007B4F68"/>
    <w:rsid w:val="007B4F8D"/>
    <w:rsid w:val="007B577E"/>
    <w:rsid w:val="007B5CA6"/>
    <w:rsid w:val="007B5F84"/>
    <w:rsid w:val="007B61C9"/>
    <w:rsid w:val="007B61CF"/>
    <w:rsid w:val="007B7B07"/>
    <w:rsid w:val="007C00C7"/>
    <w:rsid w:val="007C074A"/>
    <w:rsid w:val="007C09A0"/>
    <w:rsid w:val="007C0A9A"/>
    <w:rsid w:val="007C162A"/>
    <w:rsid w:val="007C1985"/>
    <w:rsid w:val="007C2518"/>
    <w:rsid w:val="007C2732"/>
    <w:rsid w:val="007C2FC0"/>
    <w:rsid w:val="007C3A33"/>
    <w:rsid w:val="007C40B6"/>
    <w:rsid w:val="007C43DD"/>
    <w:rsid w:val="007C4A5E"/>
    <w:rsid w:val="007C55D2"/>
    <w:rsid w:val="007C5A62"/>
    <w:rsid w:val="007C606F"/>
    <w:rsid w:val="007C6450"/>
    <w:rsid w:val="007C650A"/>
    <w:rsid w:val="007C66E6"/>
    <w:rsid w:val="007C674D"/>
    <w:rsid w:val="007C6E24"/>
    <w:rsid w:val="007C797C"/>
    <w:rsid w:val="007C7BBC"/>
    <w:rsid w:val="007C7BC9"/>
    <w:rsid w:val="007C7E5B"/>
    <w:rsid w:val="007D0054"/>
    <w:rsid w:val="007D02B8"/>
    <w:rsid w:val="007D0927"/>
    <w:rsid w:val="007D097D"/>
    <w:rsid w:val="007D0993"/>
    <w:rsid w:val="007D22E9"/>
    <w:rsid w:val="007D26E1"/>
    <w:rsid w:val="007D2839"/>
    <w:rsid w:val="007D2A41"/>
    <w:rsid w:val="007D2DBE"/>
    <w:rsid w:val="007D33E9"/>
    <w:rsid w:val="007D3624"/>
    <w:rsid w:val="007D3D91"/>
    <w:rsid w:val="007D412F"/>
    <w:rsid w:val="007D4235"/>
    <w:rsid w:val="007D45A0"/>
    <w:rsid w:val="007D5158"/>
    <w:rsid w:val="007D53B2"/>
    <w:rsid w:val="007D6343"/>
    <w:rsid w:val="007D636F"/>
    <w:rsid w:val="007D68B1"/>
    <w:rsid w:val="007D6A84"/>
    <w:rsid w:val="007D7A80"/>
    <w:rsid w:val="007E11D3"/>
    <w:rsid w:val="007E18E7"/>
    <w:rsid w:val="007E1C89"/>
    <w:rsid w:val="007E20C7"/>
    <w:rsid w:val="007E2685"/>
    <w:rsid w:val="007E2E06"/>
    <w:rsid w:val="007E37E5"/>
    <w:rsid w:val="007E3BB3"/>
    <w:rsid w:val="007E3ECB"/>
    <w:rsid w:val="007E3F35"/>
    <w:rsid w:val="007E481D"/>
    <w:rsid w:val="007E491B"/>
    <w:rsid w:val="007E6297"/>
    <w:rsid w:val="007E6837"/>
    <w:rsid w:val="007E6A0D"/>
    <w:rsid w:val="007E6F67"/>
    <w:rsid w:val="007E7FE3"/>
    <w:rsid w:val="007F0E82"/>
    <w:rsid w:val="007F0F49"/>
    <w:rsid w:val="007F15A7"/>
    <w:rsid w:val="007F171F"/>
    <w:rsid w:val="007F1B11"/>
    <w:rsid w:val="007F1C9D"/>
    <w:rsid w:val="007F20E2"/>
    <w:rsid w:val="007F2294"/>
    <w:rsid w:val="007F2789"/>
    <w:rsid w:val="007F2B92"/>
    <w:rsid w:val="007F3309"/>
    <w:rsid w:val="007F35B0"/>
    <w:rsid w:val="007F36E5"/>
    <w:rsid w:val="007F3D73"/>
    <w:rsid w:val="007F4061"/>
    <w:rsid w:val="007F406E"/>
    <w:rsid w:val="007F45C8"/>
    <w:rsid w:val="007F4A20"/>
    <w:rsid w:val="007F58DB"/>
    <w:rsid w:val="007F5963"/>
    <w:rsid w:val="007F5F0A"/>
    <w:rsid w:val="007F6CA0"/>
    <w:rsid w:val="007F6CEA"/>
    <w:rsid w:val="00800440"/>
    <w:rsid w:val="008013A5"/>
    <w:rsid w:val="0080190E"/>
    <w:rsid w:val="00801930"/>
    <w:rsid w:val="00801C0D"/>
    <w:rsid w:val="00802B61"/>
    <w:rsid w:val="0080307D"/>
    <w:rsid w:val="00803489"/>
    <w:rsid w:val="00803877"/>
    <w:rsid w:val="00803FFC"/>
    <w:rsid w:val="00804093"/>
    <w:rsid w:val="00804AE2"/>
    <w:rsid w:val="00804E25"/>
    <w:rsid w:val="008051CC"/>
    <w:rsid w:val="00805287"/>
    <w:rsid w:val="0080537E"/>
    <w:rsid w:val="0080604A"/>
    <w:rsid w:val="008061EE"/>
    <w:rsid w:val="0080633D"/>
    <w:rsid w:val="00806399"/>
    <w:rsid w:val="008069D8"/>
    <w:rsid w:val="00806B61"/>
    <w:rsid w:val="0080707A"/>
    <w:rsid w:val="0080722E"/>
    <w:rsid w:val="00807438"/>
    <w:rsid w:val="00807908"/>
    <w:rsid w:val="0081028B"/>
    <w:rsid w:val="0081048C"/>
    <w:rsid w:val="008104B8"/>
    <w:rsid w:val="00810A3C"/>
    <w:rsid w:val="00810A91"/>
    <w:rsid w:val="00810C18"/>
    <w:rsid w:val="0081199E"/>
    <w:rsid w:val="00811D44"/>
    <w:rsid w:val="00812973"/>
    <w:rsid w:val="00813DF1"/>
    <w:rsid w:val="008143CE"/>
    <w:rsid w:val="00814877"/>
    <w:rsid w:val="00814A2A"/>
    <w:rsid w:val="00814EB1"/>
    <w:rsid w:val="00815079"/>
    <w:rsid w:val="0081536C"/>
    <w:rsid w:val="00815632"/>
    <w:rsid w:val="00815DE6"/>
    <w:rsid w:val="00815EED"/>
    <w:rsid w:val="0081648D"/>
    <w:rsid w:val="008168A0"/>
    <w:rsid w:val="00817060"/>
    <w:rsid w:val="00817374"/>
    <w:rsid w:val="008176B0"/>
    <w:rsid w:val="00817CC3"/>
    <w:rsid w:val="00817D66"/>
    <w:rsid w:val="00820486"/>
    <w:rsid w:val="008204AE"/>
    <w:rsid w:val="008207BB"/>
    <w:rsid w:val="008217A9"/>
    <w:rsid w:val="008224DC"/>
    <w:rsid w:val="00822AA5"/>
    <w:rsid w:val="00822AEF"/>
    <w:rsid w:val="008230F6"/>
    <w:rsid w:val="00823162"/>
    <w:rsid w:val="00823583"/>
    <w:rsid w:val="008236FB"/>
    <w:rsid w:val="00823F9D"/>
    <w:rsid w:val="008244B9"/>
    <w:rsid w:val="00824D43"/>
    <w:rsid w:val="00824E7B"/>
    <w:rsid w:val="0082579D"/>
    <w:rsid w:val="0082629A"/>
    <w:rsid w:val="00826436"/>
    <w:rsid w:val="0082683E"/>
    <w:rsid w:val="00826D4C"/>
    <w:rsid w:val="00826E19"/>
    <w:rsid w:val="00826E44"/>
    <w:rsid w:val="008273F3"/>
    <w:rsid w:val="008278AA"/>
    <w:rsid w:val="00827F6E"/>
    <w:rsid w:val="008300CC"/>
    <w:rsid w:val="008306EF"/>
    <w:rsid w:val="0083070F"/>
    <w:rsid w:val="0083096A"/>
    <w:rsid w:val="00831782"/>
    <w:rsid w:val="00831DE9"/>
    <w:rsid w:val="0083211C"/>
    <w:rsid w:val="0083231A"/>
    <w:rsid w:val="0083237F"/>
    <w:rsid w:val="008326DB"/>
    <w:rsid w:val="00832972"/>
    <w:rsid w:val="00832C04"/>
    <w:rsid w:val="00832D58"/>
    <w:rsid w:val="00832DE2"/>
    <w:rsid w:val="00832E95"/>
    <w:rsid w:val="0083338F"/>
    <w:rsid w:val="0083451C"/>
    <w:rsid w:val="00834A85"/>
    <w:rsid w:val="008351DF"/>
    <w:rsid w:val="008361EA"/>
    <w:rsid w:val="0083640D"/>
    <w:rsid w:val="00836F47"/>
    <w:rsid w:val="00836FA2"/>
    <w:rsid w:val="0084003A"/>
    <w:rsid w:val="0084074B"/>
    <w:rsid w:val="00840AD7"/>
    <w:rsid w:val="008414B8"/>
    <w:rsid w:val="008414E3"/>
    <w:rsid w:val="00841878"/>
    <w:rsid w:val="00841D0F"/>
    <w:rsid w:val="00841F26"/>
    <w:rsid w:val="00841FBA"/>
    <w:rsid w:val="00841FEB"/>
    <w:rsid w:val="0084205B"/>
    <w:rsid w:val="00842129"/>
    <w:rsid w:val="00842168"/>
    <w:rsid w:val="008427F6"/>
    <w:rsid w:val="00842818"/>
    <w:rsid w:val="008431DD"/>
    <w:rsid w:val="0084395E"/>
    <w:rsid w:val="00843A88"/>
    <w:rsid w:val="00843F9A"/>
    <w:rsid w:val="008440DA"/>
    <w:rsid w:val="00844285"/>
    <w:rsid w:val="0084489E"/>
    <w:rsid w:val="008458F3"/>
    <w:rsid w:val="00845BDB"/>
    <w:rsid w:val="00845D84"/>
    <w:rsid w:val="008468F1"/>
    <w:rsid w:val="008469F6"/>
    <w:rsid w:val="00846E78"/>
    <w:rsid w:val="008470CF"/>
    <w:rsid w:val="00847900"/>
    <w:rsid w:val="00847BC5"/>
    <w:rsid w:val="0085019E"/>
    <w:rsid w:val="00850BC9"/>
    <w:rsid w:val="008510B7"/>
    <w:rsid w:val="008511C3"/>
    <w:rsid w:val="008514BD"/>
    <w:rsid w:val="00852528"/>
    <w:rsid w:val="00852B42"/>
    <w:rsid w:val="008543FD"/>
    <w:rsid w:val="00854652"/>
    <w:rsid w:val="008549C9"/>
    <w:rsid w:val="00854CE7"/>
    <w:rsid w:val="008551EB"/>
    <w:rsid w:val="00855AED"/>
    <w:rsid w:val="00855B3B"/>
    <w:rsid w:val="00855F33"/>
    <w:rsid w:val="00856888"/>
    <w:rsid w:val="008568E7"/>
    <w:rsid w:val="00856994"/>
    <w:rsid w:val="00856EE9"/>
    <w:rsid w:val="00857078"/>
    <w:rsid w:val="00857375"/>
    <w:rsid w:val="00857A75"/>
    <w:rsid w:val="00860B30"/>
    <w:rsid w:val="00860D83"/>
    <w:rsid w:val="00861085"/>
    <w:rsid w:val="00861707"/>
    <w:rsid w:val="008617DF"/>
    <w:rsid w:val="00861CB6"/>
    <w:rsid w:val="00861DAA"/>
    <w:rsid w:val="00862171"/>
    <w:rsid w:val="00863AAB"/>
    <w:rsid w:val="00863ACA"/>
    <w:rsid w:val="00864842"/>
    <w:rsid w:val="00864BEF"/>
    <w:rsid w:val="0086578B"/>
    <w:rsid w:val="008662BF"/>
    <w:rsid w:val="0086653F"/>
    <w:rsid w:val="008665B7"/>
    <w:rsid w:val="00866750"/>
    <w:rsid w:val="0086686F"/>
    <w:rsid w:val="00867670"/>
    <w:rsid w:val="0086795E"/>
    <w:rsid w:val="00867EAD"/>
    <w:rsid w:val="00867F60"/>
    <w:rsid w:val="00867F93"/>
    <w:rsid w:val="008701C0"/>
    <w:rsid w:val="008702DB"/>
    <w:rsid w:val="00871546"/>
    <w:rsid w:val="008717D9"/>
    <w:rsid w:val="00871C4A"/>
    <w:rsid w:val="00871EF2"/>
    <w:rsid w:val="0087265E"/>
    <w:rsid w:val="00872CA1"/>
    <w:rsid w:val="00873AD0"/>
    <w:rsid w:val="0087452F"/>
    <w:rsid w:val="008746A4"/>
    <w:rsid w:val="008748CA"/>
    <w:rsid w:val="00874B9B"/>
    <w:rsid w:val="00875039"/>
    <w:rsid w:val="008751E8"/>
    <w:rsid w:val="008754C8"/>
    <w:rsid w:val="00875502"/>
    <w:rsid w:val="008766BC"/>
    <w:rsid w:val="00876D8A"/>
    <w:rsid w:val="00877388"/>
    <w:rsid w:val="00877F29"/>
    <w:rsid w:val="008801EC"/>
    <w:rsid w:val="00880520"/>
    <w:rsid w:val="00880567"/>
    <w:rsid w:val="008806EA"/>
    <w:rsid w:val="008809F0"/>
    <w:rsid w:val="00880DC6"/>
    <w:rsid w:val="00880F89"/>
    <w:rsid w:val="0088186C"/>
    <w:rsid w:val="00881CCC"/>
    <w:rsid w:val="00882017"/>
    <w:rsid w:val="00882E6E"/>
    <w:rsid w:val="008838B5"/>
    <w:rsid w:val="00883F22"/>
    <w:rsid w:val="008842FB"/>
    <w:rsid w:val="00884329"/>
    <w:rsid w:val="00884457"/>
    <w:rsid w:val="00884B79"/>
    <w:rsid w:val="0088514E"/>
    <w:rsid w:val="00885193"/>
    <w:rsid w:val="008851D9"/>
    <w:rsid w:val="00885530"/>
    <w:rsid w:val="00885781"/>
    <w:rsid w:val="008860AE"/>
    <w:rsid w:val="00886324"/>
    <w:rsid w:val="008868DB"/>
    <w:rsid w:val="00887181"/>
    <w:rsid w:val="00887278"/>
    <w:rsid w:val="00887582"/>
    <w:rsid w:val="00887D80"/>
    <w:rsid w:val="0089101D"/>
    <w:rsid w:val="00891F97"/>
    <w:rsid w:val="00892209"/>
    <w:rsid w:val="00892724"/>
    <w:rsid w:val="00892B4E"/>
    <w:rsid w:val="00892FA4"/>
    <w:rsid w:val="008935E3"/>
    <w:rsid w:val="00893BEF"/>
    <w:rsid w:val="00893C80"/>
    <w:rsid w:val="00894980"/>
    <w:rsid w:val="00894C3C"/>
    <w:rsid w:val="00894DD8"/>
    <w:rsid w:val="00895190"/>
    <w:rsid w:val="008954EC"/>
    <w:rsid w:val="00895B5B"/>
    <w:rsid w:val="00895B94"/>
    <w:rsid w:val="00896716"/>
    <w:rsid w:val="00896778"/>
    <w:rsid w:val="00896B32"/>
    <w:rsid w:val="00896E2F"/>
    <w:rsid w:val="008971D3"/>
    <w:rsid w:val="00897273"/>
    <w:rsid w:val="00897964"/>
    <w:rsid w:val="008A005F"/>
    <w:rsid w:val="008A01DA"/>
    <w:rsid w:val="008A03A8"/>
    <w:rsid w:val="008A04DD"/>
    <w:rsid w:val="008A1433"/>
    <w:rsid w:val="008A19B3"/>
    <w:rsid w:val="008A1A2C"/>
    <w:rsid w:val="008A1B24"/>
    <w:rsid w:val="008A1C45"/>
    <w:rsid w:val="008A1CA5"/>
    <w:rsid w:val="008A1DEF"/>
    <w:rsid w:val="008A247B"/>
    <w:rsid w:val="008A27CB"/>
    <w:rsid w:val="008A27FC"/>
    <w:rsid w:val="008A2A63"/>
    <w:rsid w:val="008A3B0B"/>
    <w:rsid w:val="008A3DC5"/>
    <w:rsid w:val="008A473F"/>
    <w:rsid w:val="008A493D"/>
    <w:rsid w:val="008A56A0"/>
    <w:rsid w:val="008A5850"/>
    <w:rsid w:val="008A5881"/>
    <w:rsid w:val="008A5B63"/>
    <w:rsid w:val="008A6A90"/>
    <w:rsid w:val="008A6F52"/>
    <w:rsid w:val="008A71AD"/>
    <w:rsid w:val="008A71B2"/>
    <w:rsid w:val="008A720C"/>
    <w:rsid w:val="008A7878"/>
    <w:rsid w:val="008A7D10"/>
    <w:rsid w:val="008A7F0B"/>
    <w:rsid w:val="008B11A3"/>
    <w:rsid w:val="008B1F8A"/>
    <w:rsid w:val="008B239F"/>
    <w:rsid w:val="008B2504"/>
    <w:rsid w:val="008B3054"/>
    <w:rsid w:val="008B3BFE"/>
    <w:rsid w:val="008B3FED"/>
    <w:rsid w:val="008B41A1"/>
    <w:rsid w:val="008B4EFA"/>
    <w:rsid w:val="008B4F52"/>
    <w:rsid w:val="008B62EE"/>
    <w:rsid w:val="008B66BC"/>
    <w:rsid w:val="008B69C3"/>
    <w:rsid w:val="008B6D7D"/>
    <w:rsid w:val="008B72C1"/>
    <w:rsid w:val="008B787C"/>
    <w:rsid w:val="008B7DBF"/>
    <w:rsid w:val="008C0214"/>
    <w:rsid w:val="008C04AA"/>
    <w:rsid w:val="008C0627"/>
    <w:rsid w:val="008C08F4"/>
    <w:rsid w:val="008C0E54"/>
    <w:rsid w:val="008C181F"/>
    <w:rsid w:val="008C1C9A"/>
    <w:rsid w:val="008C20A6"/>
    <w:rsid w:val="008C23E8"/>
    <w:rsid w:val="008C264F"/>
    <w:rsid w:val="008C27AB"/>
    <w:rsid w:val="008C2882"/>
    <w:rsid w:val="008C2AC9"/>
    <w:rsid w:val="008C2F58"/>
    <w:rsid w:val="008C3112"/>
    <w:rsid w:val="008C343A"/>
    <w:rsid w:val="008C35AE"/>
    <w:rsid w:val="008C37A3"/>
    <w:rsid w:val="008C3A70"/>
    <w:rsid w:val="008C3F8D"/>
    <w:rsid w:val="008C45FD"/>
    <w:rsid w:val="008C4A70"/>
    <w:rsid w:val="008C4A7A"/>
    <w:rsid w:val="008C4CDA"/>
    <w:rsid w:val="008C6196"/>
    <w:rsid w:val="008C6F39"/>
    <w:rsid w:val="008C731F"/>
    <w:rsid w:val="008C750F"/>
    <w:rsid w:val="008C7892"/>
    <w:rsid w:val="008C79D1"/>
    <w:rsid w:val="008C7A0B"/>
    <w:rsid w:val="008C7D92"/>
    <w:rsid w:val="008C7E0A"/>
    <w:rsid w:val="008C7FDD"/>
    <w:rsid w:val="008D098B"/>
    <w:rsid w:val="008D0E98"/>
    <w:rsid w:val="008D0F5A"/>
    <w:rsid w:val="008D2079"/>
    <w:rsid w:val="008D2269"/>
    <w:rsid w:val="008D25CB"/>
    <w:rsid w:val="008D2AAF"/>
    <w:rsid w:val="008D321E"/>
    <w:rsid w:val="008D32BC"/>
    <w:rsid w:val="008D35AE"/>
    <w:rsid w:val="008D41D1"/>
    <w:rsid w:val="008D450D"/>
    <w:rsid w:val="008D4884"/>
    <w:rsid w:val="008D5273"/>
    <w:rsid w:val="008D55A6"/>
    <w:rsid w:val="008D6157"/>
    <w:rsid w:val="008D6E88"/>
    <w:rsid w:val="008E02A0"/>
    <w:rsid w:val="008E0B52"/>
    <w:rsid w:val="008E1A49"/>
    <w:rsid w:val="008E1D84"/>
    <w:rsid w:val="008E207D"/>
    <w:rsid w:val="008E212B"/>
    <w:rsid w:val="008E2215"/>
    <w:rsid w:val="008E2EE1"/>
    <w:rsid w:val="008E30D5"/>
    <w:rsid w:val="008E318B"/>
    <w:rsid w:val="008E32ED"/>
    <w:rsid w:val="008E352F"/>
    <w:rsid w:val="008E3584"/>
    <w:rsid w:val="008E3C76"/>
    <w:rsid w:val="008E4087"/>
    <w:rsid w:val="008E45DE"/>
    <w:rsid w:val="008E50A3"/>
    <w:rsid w:val="008E564B"/>
    <w:rsid w:val="008E572A"/>
    <w:rsid w:val="008E5A38"/>
    <w:rsid w:val="008E60D5"/>
    <w:rsid w:val="008E66D7"/>
    <w:rsid w:val="008E68C1"/>
    <w:rsid w:val="008E6939"/>
    <w:rsid w:val="008E697B"/>
    <w:rsid w:val="008E6B83"/>
    <w:rsid w:val="008E720C"/>
    <w:rsid w:val="008E7797"/>
    <w:rsid w:val="008E7F98"/>
    <w:rsid w:val="008F0722"/>
    <w:rsid w:val="008F0966"/>
    <w:rsid w:val="008F0A92"/>
    <w:rsid w:val="008F1972"/>
    <w:rsid w:val="008F2742"/>
    <w:rsid w:val="008F2896"/>
    <w:rsid w:val="008F292D"/>
    <w:rsid w:val="008F2DA9"/>
    <w:rsid w:val="008F3657"/>
    <w:rsid w:val="008F36C4"/>
    <w:rsid w:val="008F3B34"/>
    <w:rsid w:val="008F3B90"/>
    <w:rsid w:val="008F3C45"/>
    <w:rsid w:val="008F437B"/>
    <w:rsid w:val="008F453B"/>
    <w:rsid w:val="008F49A1"/>
    <w:rsid w:val="008F4C36"/>
    <w:rsid w:val="008F5181"/>
    <w:rsid w:val="008F53FC"/>
    <w:rsid w:val="008F5BA0"/>
    <w:rsid w:val="008F5D8B"/>
    <w:rsid w:val="008F5E1B"/>
    <w:rsid w:val="008F642C"/>
    <w:rsid w:val="008F6724"/>
    <w:rsid w:val="008F672D"/>
    <w:rsid w:val="008F6D65"/>
    <w:rsid w:val="008F7D2C"/>
    <w:rsid w:val="00900189"/>
    <w:rsid w:val="00900356"/>
    <w:rsid w:val="00900481"/>
    <w:rsid w:val="00900C74"/>
    <w:rsid w:val="00901403"/>
    <w:rsid w:val="00901872"/>
    <w:rsid w:val="009025CC"/>
    <w:rsid w:val="009030E5"/>
    <w:rsid w:val="0090350D"/>
    <w:rsid w:val="0090351F"/>
    <w:rsid w:val="00903A49"/>
    <w:rsid w:val="00903B97"/>
    <w:rsid w:val="00904401"/>
    <w:rsid w:val="00904778"/>
    <w:rsid w:val="00904D65"/>
    <w:rsid w:val="00904F47"/>
    <w:rsid w:val="00904F59"/>
    <w:rsid w:val="009050C3"/>
    <w:rsid w:val="009059D2"/>
    <w:rsid w:val="009060B1"/>
    <w:rsid w:val="009065C9"/>
    <w:rsid w:val="00906659"/>
    <w:rsid w:val="00906F8E"/>
    <w:rsid w:val="009071D3"/>
    <w:rsid w:val="009077AD"/>
    <w:rsid w:val="009079E4"/>
    <w:rsid w:val="00907B17"/>
    <w:rsid w:val="00910110"/>
    <w:rsid w:val="009103FA"/>
    <w:rsid w:val="0091070B"/>
    <w:rsid w:val="0091114E"/>
    <w:rsid w:val="00911BD7"/>
    <w:rsid w:val="00911F51"/>
    <w:rsid w:val="00911F9A"/>
    <w:rsid w:val="00912A34"/>
    <w:rsid w:val="009134A1"/>
    <w:rsid w:val="0091357A"/>
    <w:rsid w:val="0091360A"/>
    <w:rsid w:val="00913870"/>
    <w:rsid w:val="00913AE7"/>
    <w:rsid w:val="009147E3"/>
    <w:rsid w:val="009147EE"/>
    <w:rsid w:val="00914C0F"/>
    <w:rsid w:val="00914EA4"/>
    <w:rsid w:val="009163C6"/>
    <w:rsid w:val="0091647D"/>
    <w:rsid w:val="0091664C"/>
    <w:rsid w:val="0091751F"/>
    <w:rsid w:val="00917B7D"/>
    <w:rsid w:val="009216EA"/>
    <w:rsid w:val="00921B01"/>
    <w:rsid w:val="00922103"/>
    <w:rsid w:val="0092217A"/>
    <w:rsid w:val="00922D19"/>
    <w:rsid w:val="00922D6B"/>
    <w:rsid w:val="00922F4D"/>
    <w:rsid w:val="00923535"/>
    <w:rsid w:val="009246F6"/>
    <w:rsid w:val="009249C0"/>
    <w:rsid w:val="00926456"/>
    <w:rsid w:val="009266AF"/>
    <w:rsid w:val="009276C2"/>
    <w:rsid w:val="0092799D"/>
    <w:rsid w:val="009301E5"/>
    <w:rsid w:val="00930377"/>
    <w:rsid w:val="009309C4"/>
    <w:rsid w:val="00931C10"/>
    <w:rsid w:val="009337B4"/>
    <w:rsid w:val="009337F1"/>
    <w:rsid w:val="00933FF7"/>
    <w:rsid w:val="009349F5"/>
    <w:rsid w:val="00934BE6"/>
    <w:rsid w:val="00935ABB"/>
    <w:rsid w:val="00935DB1"/>
    <w:rsid w:val="00936236"/>
    <w:rsid w:val="00936CC9"/>
    <w:rsid w:val="00937636"/>
    <w:rsid w:val="009379F1"/>
    <w:rsid w:val="0094007A"/>
    <w:rsid w:val="009401E0"/>
    <w:rsid w:val="00940289"/>
    <w:rsid w:val="00940D0C"/>
    <w:rsid w:val="00941086"/>
    <w:rsid w:val="00941A6F"/>
    <w:rsid w:val="00941B34"/>
    <w:rsid w:val="00941FCE"/>
    <w:rsid w:val="00942D1F"/>
    <w:rsid w:val="00942EA1"/>
    <w:rsid w:val="009432BB"/>
    <w:rsid w:val="00943628"/>
    <w:rsid w:val="0094390C"/>
    <w:rsid w:val="0094427D"/>
    <w:rsid w:val="00944323"/>
    <w:rsid w:val="0094432A"/>
    <w:rsid w:val="00944791"/>
    <w:rsid w:val="00945A95"/>
    <w:rsid w:val="00945CDA"/>
    <w:rsid w:val="00945F15"/>
    <w:rsid w:val="0094693A"/>
    <w:rsid w:val="00946AFE"/>
    <w:rsid w:val="00946FFA"/>
    <w:rsid w:val="00947094"/>
    <w:rsid w:val="00947979"/>
    <w:rsid w:val="00950007"/>
    <w:rsid w:val="00950336"/>
    <w:rsid w:val="00950860"/>
    <w:rsid w:val="0095107B"/>
    <w:rsid w:val="0095137F"/>
    <w:rsid w:val="00951556"/>
    <w:rsid w:val="009516E8"/>
    <w:rsid w:val="00951F8C"/>
    <w:rsid w:val="00952A22"/>
    <w:rsid w:val="00952B28"/>
    <w:rsid w:val="009538B6"/>
    <w:rsid w:val="00953EDB"/>
    <w:rsid w:val="0095441A"/>
    <w:rsid w:val="0095477D"/>
    <w:rsid w:val="00954B55"/>
    <w:rsid w:val="00954E4C"/>
    <w:rsid w:val="009551F6"/>
    <w:rsid w:val="00955BA3"/>
    <w:rsid w:val="00956760"/>
    <w:rsid w:val="0095676A"/>
    <w:rsid w:val="00956908"/>
    <w:rsid w:val="00956C05"/>
    <w:rsid w:val="00956E08"/>
    <w:rsid w:val="00956EB2"/>
    <w:rsid w:val="00956F49"/>
    <w:rsid w:val="009575C8"/>
    <w:rsid w:val="00957A37"/>
    <w:rsid w:val="00960B08"/>
    <w:rsid w:val="00960BA0"/>
    <w:rsid w:val="00961644"/>
    <w:rsid w:val="009616F8"/>
    <w:rsid w:val="00961B4B"/>
    <w:rsid w:val="0096204F"/>
    <w:rsid w:val="00962314"/>
    <w:rsid w:val="00962407"/>
    <w:rsid w:val="00962713"/>
    <w:rsid w:val="00962797"/>
    <w:rsid w:val="00962F64"/>
    <w:rsid w:val="009637C1"/>
    <w:rsid w:val="00963A4E"/>
    <w:rsid w:val="0096488C"/>
    <w:rsid w:val="00964B79"/>
    <w:rsid w:val="009650C7"/>
    <w:rsid w:val="009651AD"/>
    <w:rsid w:val="00965610"/>
    <w:rsid w:val="00965678"/>
    <w:rsid w:val="00965EC2"/>
    <w:rsid w:val="00966225"/>
    <w:rsid w:val="00966821"/>
    <w:rsid w:val="00966BAA"/>
    <w:rsid w:val="00966EB6"/>
    <w:rsid w:val="009675D8"/>
    <w:rsid w:val="00967671"/>
    <w:rsid w:val="00967757"/>
    <w:rsid w:val="00967A5E"/>
    <w:rsid w:val="009705DD"/>
    <w:rsid w:val="00970997"/>
    <w:rsid w:val="00970AD0"/>
    <w:rsid w:val="00970BD6"/>
    <w:rsid w:val="00970D91"/>
    <w:rsid w:val="0097191F"/>
    <w:rsid w:val="00971A8A"/>
    <w:rsid w:val="00971B8D"/>
    <w:rsid w:val="00971BB4"/>
    <w:rsid w:val="00971BE8"/>
    <w:rsid w:val="00971F7F"/>
    <w:rsid w:val="0097236E"/>
    <w:rsid w:val="0097251E"/>
    <w:rsid w:val="0097252B"/>
    <w:rsid w:val="0097294E"/>
    <w:rsid w:val="00972EA3"/>
    <w:rsid w:val="00972FDB"/>
    <w:rsid w:val="009730F4"/>
    <w:rsid w:val="0097362F"/>
    <w:rsid w:val="009736DE"/>
    <w:rsid w:val="00973BC1"/>
    <w:rsid w:val="009746B2"/>
    <w:rsid w:val="0097473C"/>
    <w:rsid w:val="00974D09"/>
    <w:rsid w:val="00975181"/>
    <w:rsid w:val="0097589A"/>
    <w:rsid w:val="00975A25"/>
    <w:rsid w:val="00976595"/>
    <w:rsid w:val="00976979"/>
    <w:rsid w:val="00976ED8"/>
    <w:rsid w:val="009773AF"/>
    <w:rsid w:val="00977F1A"/>
    <w:rsid w:val="009803A7"/>
    <w:rsid w:val="009803D1"/>
    <w:rsid w:val="009806C6"/>
    <w:rsid w:val="00980931"/>
    <w:rsid w:val="00980980"/>
    <w:rsid w:val="0098135C"/>
    <w:rsid w:val="009814E4"/>
    <w:rsid w:val="00981D9C"/>
    <w:rsid w:val="00982C1B"/>
    <w:rsid w:val="0098300C"/>
    <w:rsid w:val="0098322D"/>
    <w:rsid w:val="00983365"/>
    <w:rsid w:val="00983416"/>
    <w:rsid w:val="00983563"/>
    <w:rsid w:val="0098429A"/>
    <w:rsid w:val="00984334"/>
    <w:rsid w:val="00984998"/>
    <w:rsid w:val="00984A6E"/>
    <w:rsid w:val="0098529E"/>
    <w:rsid w:val="0098586B"/>
    <w:rsid w:val="00985B34"/>
    <w:rsid w:val="00985D46"/>
    <w:rsid w:val="0098687B"/>
    <w:rsid w:val="00986AE7"/>
    <w:rsid w:val="00987AE0"/>
    <w:rsid w:val="00987B03"/>
    <w:rsid w:val="00990E22"/>
    <w:rsid w:val="00990E41"/>
    <w:rsid w:val="00992F7C"/>
    <w:rsid w:val="009938C8"/>
    <w:rsid w:val="00993B28"/>
    <w:rsid w:val="00994722"/>
    <w:rsid w:val="0099481E"/>
    <w:rsid w:val="00994A69"/>
    <w:rsid w:val="00994D41"/>
    <w:rsid w:val="00994F3A"/>
    <w:rsid w:val="00995017"/>
    <w:rsid w:val="00995295"/>
    <w:rsid w:val="00995DCC"/>
    <w:rsid w:val="009968DD"/>
    <w:rsid w:val="00996B43"/>
    <w:rsid w:val="00997569"/>
    <w:rsid w:val="00997646"/>
    <w:rsid w:val="00997BB5"/>
    <w:rsid w:val="00997EAD"/>
    <w:rsid w:val="00997F6D"/>
    <w:rsid w:val="00997FCF"/>
    <w:rsid w:val="009A0066"/>
    <w:rsid w:val="009A0433"/>
    <w:rsid w:val="009A08BC"/>
    <w:rsid w:val="009A0A62"/>
    <w:rsid w:val="009A0C3B"/>
    <w:rsid w:val="009A14F1"/>
    <w:rsid w:val="009A159C"/>
    <w:rsid w:val="009A1825"/>
    <w:rsid w:val="009A23F5"/>
    <w:rsid w:val="009A2569"/>
    <w:rsid w:val="009A2C9C"/>
    <w:rsid w:val="009A2E64"/>
    <w:rsid w:val="009A2E6E"/>
    <w:rsid w:val="009A2FFB"/>
    <w:rsid w:val="009A3190"/>
    <w:rsid w:val="009A31E0"/>
    <w:rsid w:val="009A32E0"/>
    <w:rsid w:val="009A341F"/>
    <w:rsid w:val="009A345F"/>
    <w:rsid w:val="009A3559"/>
    <w:rsid w:val="009A369A"/>
    <w:rsid w:val="009A3FAF"/>
    <w:rsid w:val="009A42AD"/>
    <w:rsid w:val="009A4769"/>
    <w:rsid w:val="009A49BA"/>
    <w:rsid w:val="009A4C49"/>
    <w:rsid w:val="009A5186"/>
    <w:rsid w:val="009A59F4"/>
    <w:rsid w:val="009A612E"/>
    <w:rsid w:val="009A62CE"/>
    <w:rsid w:val="009A62D5"/>
    <w:rsid w:val="009A6917"/>
    <w:rsid w:val="009A6C6B"/>
    <w:rsid w:val="009A6D26"/>
    <w:rsid w:val="009A6D62"/>
    <w:rsid w:val="009A74E5"/>
    <w:rsid w:val="009A7D56"/>
    <w:rsid w:val="009A7DA2"/>
    <w:rsid w:val="009A7EFB"/>
    <w:rsid w:val="009B1430"/>
    <w:rsid w:val="009B1900"/>
    <w:rsid w:val="009B1930"/>
    <w:rsid w:val="009B346E"/>
    <w:rsid w:val="009B456A"/>
    <w:rsid w:val="009B4AEF"/>
    <w:rsid w:val="009B4C7B"/>
    <w:rsid w:val="009B4C8E"/>
    <w:rsid w:val="009B4E2F"/>
    <w:rsid w:val="009B63E0"/>
    <w:rsid w:val="009B6A06"/>
    <w:rsid w:val="009B6C12"/>
    <w:rsid w:val="009B7FA5"/>
    <w:rsid w:val="009C0107"/>
    <w:rsid w:val="009C014C"/>
    <w:rsid w:val="009C0834"/>
    <w:rsid w:val="009C09A0"/>
    <w:rsid w:val="009C0B02"/>
    <w:rsid w:val="009C1096"/>
    <w:rsid w:val="009C1BE0"/>
    <w:rsid w:val="009C2992"/>
    <w:rsid w:val="009C35B3"/>
    <w:rsid w:val="009C36E7"/>
    <w:rsid w:val="009C3DB6"/>
    <w:rsid w:val="009C4056"/>
    <w:rsid w:val="009C4215"/>
    <w:rsid w:val="009C4234"/>
    <w:rsid w:val="009C42F8"/>
    <w:rsid w:val="009C44CD"/>
    <w:rsid w:val="009C57E4"/>
    <w:rsid w:val="009C5F1B"/>
    <w:rsid w:val="009C624C"/>
    <w:rsid w:val="009C6308"/>
    <w:rsid w:val="009C6780"/>
    <w:rsid w:val="009C6F84"/>
    <w:rsid w:val="009C6FFF"/>
    <w:rsid w:val="009C700B"/>
    <w:rsid w:val="009C76C1"/>
    <w:rsid w:val="009C7CB9"/>
    <w:rsid w:val="009D0057"/>
    <w:rsid w:val="009D00CA"/>
    <w:rsid w:val="009D00DE"/>
    <w:rsid w:val="009D01C6"/>
    <w:rsid w:val="009D02C1"/>
    <w:rsid w:val="009D0A1E"/>
    <w:rsid w:val="009D0D15"/>
    <w:rsid w:val="009D191A"/>
    <w:rsid w:val="009D1960"/>
    <w:rsid w:val="009D2798"/>
    <w:rsid w:val="009D2CE8"/>
    <w:rsid w:val="009D2E5D"/>
    <w:rsid w:val="009D30EB"/>
    <w:rsid w:val="009D315D"/>
    <w:rsid w:val="009D3BA0"/>
    <w:rsid w:val="009D4161"/>
    <w:rsid w:val="009D4656"/>
    <w:rsid w:val="009D4C5C"/>
    <w:rsid w:val="009D54D5"/>
    <w:rsid w:val="009D590B"/>
    <w:rsid w:val="009D677D"/>
    <w:rsid w:val="009D686B"/>
    <w:rsid w:val="009D6B5E"/>
    <w:rsid w:val="009D7D02"/>
    <w:rsid w:val="009D7E10"/>
    <w:rsid w:val="009E0240"/>
    <w:rsid w:val="009E0314"/>
    <w:rsid w:val="009E0B00"/>
    <w:rsid w:val="009E150A"/>
    <w:rsid w:val="009E272B"/>
    <w:rsid w:val="009E2F80"/>
    <w:rsid w:val="009E30FB"/>
    <w:rsid w:val="009E3FA7"/>
    <w:rsid w:val="009E4102"/>
    <w:rsid w:val="009E4130"/>
    <w:rsid w:val="009E47D1"/>
    <w:rsid w:val="009E564E"/>
    <w:rsid w:val="009E568C"/>
    <w:rsid w:val="009E57D2"/>
    <w:rsid w:val="009E5BFD"/>
    <w:rsid w:val="009E5CBE"/>
    <w:rsid w:val="009E5FEB"/>
    <w:rsid w:val="009E602E"/>
    <w:rsid w:val="009E6246"/>
    <w:rsid w:val="009E7C53"/>
    <w:rsid w:val="009F0405"/>
    <w:rsid w:val="009F1B89"/>
    <w:rsid w:val="009F2D6A"/>
    <w:rsid w:val="009F3017"/>
    <w:rsid w:val="009F3F51"/>
    <w:rsid w:val="009F416B"/>
    <w:rsid w:val="009F4446"/>
    <w:rsid w:val="009F4974"/>
    <w:rsid w:val="009F4A4A"/>
    <w:rsid w:val="009F4C23"/>
    <w:rsid w:val="009F51F4"/>
    <w:rsid w:val="009F62CF"/>
    <w:rsid w:val="009F637C"/>
    <w:rsid w:val="009F6765"/>
    <w:rsid w:val="009F693D"/>
    <w:rsid w:val="009F7070"/>
    <w:rsid w:val="009F7ACF"/>
    <w:rsid w:val="00A001F9"/>
    <w:rsid w:val="00A00723"/>
    <w:rsid w:val="00A01062"/>
    <w:rsid w:val="00A011FA"/>
    <w:rsid w:val="00A014FE"/>
    <w:rsid w:val="00A01AAE"/>
    <w:rsid w:val="00A02983"/>
    <w:rsid w:val="00A02B4D"/>
    <w:rsid w:val="00A02D3D"/>
    <w:rsid w:val="00A0367F"/>
    <w:rsid w:val="00A03E4B"/>
    <w:rsid w:val="00A0522C"/>
    <w:rsid w:val="00A05453"/>
    <w:rsid w:val="00A056A2"/>
    <w:rsid w:val="00A05A40"/>
    <w:rsid w:val="00A06550"/>
    <w:rsid w:val="00A0658D"/>
    <w:rsid w:val="00A06948"/>
    <w:rsid w:val="00A06CA6"/>
    <w:rsid w:val="00A06CB0"/>
    <w:rsid w:val="00A073BF"/>
    <w:rsid w:val="00A07626"/>
    <w:rsid w:val="00A10278"/>
    <w:rsid w:val="00A10D5C"/>
    <w:rsid w:val="00A113B6"/>
    <w:rsid w:val="00A11A73"/>
    <w:rsid w:val="00A11DBE"/>
    <w:rsid w:val="00A11FFC"/>
    <w:rsid w:val="00A1227B"/>
    <w:rsid w:val="00A122B3"/>
    <w:rsid w:val="00A12B2C"/>
    <w:rsid w:val="00A1308D"/>
    <w:rsid w:val="00A131F3"/>
    <w:rsid w:val="00A13955"/>
    <w:rsid w:val="00A1419B"/>
    <w:rsid w:val="00A146FD"/>
    <w:rsid w:val="00A14A3A"/>
    <w:rsid w:val="00A14AB7"/>
    <w:rsid w:val="00A14C79"/>
    <w:rsid w:val="00A14E77"/>
    <w:rsid w:val="00A15255"/>
    <w:rsid w:val="00A15377"/>
    <w:rsid w:val="00A15660"/>
    <w:rsid w:val="00A15A32"/>
    <w:rsid w:val="00A15B15"/>
    <w:rsid w:val="00A15BE5"/>
    <w:rsid w:val="00A164EA"/>
    <w:rsid w:val="00A164FC"/>
    <w:rsid w:val="00A16D99"/>
    <w:rsid w:val="00A17116"/>
    <w:rsid w:val="00A20368"/>
    <w:rsid w:val="00A20810"/>
    <w:rsid w:val="00A21AA8"/>
    <w:rsid w:val="00A21C03"/>
    <w:rsid w:val="00A222F5"/>
    <w:rsid w:val="00A22891"/>
    <w:rsid w:val="00A229EC"/>
    <w:rsid w:val="00A22A91"/>
    <w:rsid w:val="00A22B0C"/>
    <w:rsid w:val="00A22CF3"/>
    <w:rsid w:val="00A231E2"/>
    <w:rsid w:val="00A234BE"/>
    <w:rsid w:val="00A23E16"/>
    <w:rsid w:val="00A250DC"/>
    <w:rsid w:val="00A256BB"/>
    <w:rsid w:val="00A260F2"/>
    <w:rsid w:val="00A27087"/>
    <w:rsid w:val="00A272B0"/>
    <w:rsid w:val="00A27C42"/>
    <w:rsid w:val="00A30517"/>
    <w:rsid w:val="00A30E63"/>
    <w:rsid w:val="00A3136E"/>
    <w:rsid w:val="00A32246"/>
    <w:rsid w:val="00A32448"/>
    <w:rsid w:val="00A3273B"/>
    <w:rsid w:val="00A327D8"/>
    <w:rsid w:val="00A33027"/>
    <w:rsid w:val="00A331C7"/>
    <w:rsid w:val="00A33276"/>
    <w:rsid w:val="00A333EF"/>
    <w:rsid w:val="00A33466"/>
    <w:rsid w:val="00A33500"/>
    <w:rsid w:val="00A33607"/>
    <w:rsid w:val="00A340C0"/>
    <w:rsid w:val="00A34DCE"/>
    <w:rsid w:val="00A3540F"/>
    <w:rsid w:val="00A356CE"/>
    <w:rsid w:val="00A358D1"/>
    <w:rsid w:val="00A36132"/>
    <w:rsid w:val="00A362C5"/>
    <w:rsid w:val="00A37314"/>
    <w:rsid w:val="00A37BE2"/>
    <w:rsid w:val="00A4018B"/>
    <w:rsid w:val="00A408EA"/>
    <w:rsid w:val="00A40CDD"/>
    <w:rsid w:val="00A41042"/>
    <w:rsid w:val="00A41420"/>
    <w:rsid w:val="00A41ACC"/>
    <w:rsid w:val="00A41C47"/>
    <w:rsid w:val="00A42389"/>
    <w:rsid w:val="00A42426"/>
    <w:rsid w:val="00A42440"/>
    <w:rsid w:val="00A42A8C"/>
    <w:rsid w:val="00A42F19"/>
    <w:rsid w:val="00A42F97"/>
    <w:rsid w:val="00A4400E"/>
    <w:rsid w:val="00A44786"/>
    <w:rsid w:val="00A44B75"/>
    <w:rsid w:val="00A454BF"/>
    <w:rsid w:val="00A45E11"/>
    <w:rsid w:val="00A464B5"/>
    <w:rsid w:val="00A46733"/>
    <w:rsid w:val="00A4732C"/>
    <w:rsid w:val="00A474AB"/>
    <w:rsid w:val="00A47567"/>
    <w:rsid w:val="00A4780C"/>
    <w:rsid w:val="00A47AFE"/>
    <w:rsid w:val="00A505E3"/>
    <w:rsid w:val="00A507B6"/>
    <w:rsid w:val="00A509A2"/>
    <w:rsid w:val="00A50CCC"/>
    <w:rsid w:val="00A519BD"/>
    <w:rsid w:val="00A51BFF"/>
    <w:rsid w:val="00A5250D"/>
    <w:rsid w:val="00A5296E"/>
    <w:rsid w:val="00A52E5D"/>
    <w:rsid w:val="00A52E92"/>
    <w:rsid w:val="00A53156"/>
    <w:rsid w:val="00A5318C"/>
    <w:rsid w:val="00A5324C"/>
    <w:rsid w:val="00A535ED"/>
    <w:rsid w:val="00A53824"/>
    <w:rsid w:val="00A53D5A"/>
    <w:rsid w:val="00A53F1A"/>
    <w:rsid w:val="00A54691"/>
    <w:rsid w:val="00A5499A"/>
    <w:rsid w:val="00A550EF"/>
    <w:rsid w:val="00A558C8"/>
    <w:rsid w:val="00A55B5C"/>
    <w:rsid w:val="00A55F35"/>
    <w:rsid w:val="00A56FCE"/>
    <w:rsid w:val="00A57055"/>
    <w:rsid w:val="00A571E8"/>
    <w:rsid w:val="00A572E7"/>
    <w:rsid w:val="00A57CBF"/>
    <w:rsid w:val="00A603F4"/>
    <w:rsid w:val="00A60B45"/>
    <w:rsid w:val="00A61C8B"/>
    <w:rsid w:val="00A62020"/>
    <w:rsid w:val="00A626D3"/>
    <w:rsid w:val="00A62ECD"/>
    <w:rsid w:val="00A631E5"/>
    <w:rsid w:val="00A63CB1"/>
    <w:rsid w:val="00A640FF"/>
    <w:rsid w:val="00A658AA"/>
    <w:rsid w:val="00A6604B"/>
    <w:rsid w:val="00A66554"/>
    <w:rsid w:val="00A667F5"/>
    <w:rsid w:val="00A66813"/>
    <w:rsid w:val="00A67D3F"/>
    <w:rsid w:val="00A705F9"/>
    <w:rsid w:val="00A70CD6"/>
    <w:rsid w:val="00A70D8C"/>
    <w:rsid w:val="00A70F70"/>
    <w:rsid w:val="00A7128D"/>
    <w:rsid w:val="00A71BD5"/>
    <w:rsid w:val="00A71E4B"/>
    <w:rsid w:val="00A7218A"/>
    <w:rsid w:val="00A7239D"/>
    <w:rsid w:val="00A7272D"/>
    <w:rsid w:val="00A72933"/>
    <w:rsid w:val="00A7295E"/>
    <w:rsid w:val="00A729D8"/>
    <w:rsid w:val="00A72DE0"/>
    <w:rsid w:val="00A7300A"/>
    <w:rsid w:val="00A73A3A"/>
    <w:rsid w:val="00A73D61"/>
    <w:rsid w:val="00A73FC3"/>
    <w:rsid w:val="00A74561"/>
    <w:rsid w:val="00A74906"/>
    <w:rsid w:val="00A74A1C"/>
    <w:rsid w:val="00A74E5B"/>
    <w:rsid w:val="00A74ED2"/>
    <w:rsid w:val="00A74FA9"/>
    <w:rsid w:val="00A7520A"/>
    <w:rsid w:val="00A77DB1"/>
    <w:rsid w:val="00A801C1"/>
    <w:rsid w:val="00A8033E"/>
    <w:rsid w:val="00A8179D"/>
    <w:rsid w:val="00A81BCF"/>
    <w:rsid w:val="00A82A78"/>
    <w:rsid w:val="00A82B75"/>
    <w:rsid w:val="00A83719"/>
    <w:rsid w:val="00A83C09"/>
    <w:rsid w:val="00A84285"/>
    <w:rsid w:val="00A84622"/>
    <w:rsid w:val="00A84A05"/>
    <w:rsid w:val="00A85193"/>
    <w:rsid w:val="00A85AA0"/>
    <w:rsid w:val="00A86933"/>
    <w:rsid w:val="00A86AB9"/>
    <w:rsid w:val="00A86B26"/>
    <w:rsid w:val="00A876C8"/>
    <w:rsid w:val="00A87CBC"/>
    <w:rsid w:val="00A87CEF"/>
    <w:rsid w:val="00A901BD"/>
    <w:rsid w:val="00A90E13"/>
    <w:rsid w:val="00A91768"/>
    <w:rsid w:val="00A91836"/>
    <w:rsid w:val="00A91D3E"/>
    <w:rsid w:val="00A92067"/>
    <w:rsid w:val="00A92365"/>
    <w:rsid w:val="00A926C3"/>
    <w:rsid w:val="00A92B32"/>
    <w:rsid w:val="00A930B6"/>
    <w:rsid w:val="00A9375E"/>
    <w:rsid w:val="00A93890"/>
    <w:rsid w:val="00A938E3"/>
    <w:rsid w:val="00A94D6C"/>
    <w:rsid w:val="00A9537E"/>
    <w:rsid w:val="00A954F8"/>
    <w:rsid w:val="00A95C64"/>
    <w:rsid w:val="00A96121"/>
    <w:rsid w:val="00A9647D"/>
    <w:rsid w:val="00A96D92"/>
    <w:rsid w:val="00A96F3E"/>
    <w:rsid w:val="00A971C6"/>
    <w:rsid w:val="00A9750C"/>
    <w:rsid w:val="00A97C29"/>
    <w:rsid w:val="00A97EAB"/>
    <w:rsid w:val="00A97F6F"/>
    <w:rsid w:val="00A97FD8"/>
    <w:rsid w:val="00AA068C"/>
    <w:rsid w:val="00AA0EAB"/>
    <w:rsid w:val="00AA136D"/>
    <w:rsid w:val="00AA1DE7"/>
    <w:rsid w:val="00AA210F"/>
    <w:rsid w:val="00AA28C6"/>
    <w:rsid w:val="00AA2D1F"/>
    <w:rsid w:val="00AA337D"/>
    <w:rsid w:val="00AA3863"/>
    <w:rsid w:val="00AA3BE2"/>
    <w:rsid w:val="00AA5719"/>
    <w:rsid w:val="00AA5A70"/>
    <w:rsid w:val="00AA5CD4"/>
    <w:rsid w:val="00AA5F05"/>
    <w:rsid w:val="00AA65AA"/>
    <w:rsid w:val="00AA683A"/>
    <w:rsid w:val="00AA6AD0"/>
    <w:rsid w:val="00AA6F8E"/>
    <w:rsid w:val="00AA7708"/>
    <w:rsid w:val="00AB04DD"/>
    <w:rsid w:val="00AB0653"/>
    <w:rsid w:val="00AB099B"/>
    <w:rsid w:val="00AB1092"/>
    <w:rsid w:val="00AB1095"/>
    <w:rsid w:val="00AB11DB"/>
    <w:rsid w:val="00AB1410"/>
    <w:rsid w:val="00AB2076"/>
    <w:rsid w:val="00AB20CC"/>
    <w:rsid w:val="00AB3401"/>
    <w:rsid w:val="00AB4109"/>
    <w:rsid w:val="00AB4274"/>
    <w:rsid w:val="00AB4564"/>
    <w:rsid w:val="00AB4C49"/>
    <w:rsid w:val="00AB4DD8"/>
    <w:rsid w:val="00AB50E5"/>
    <w:rsid w:val="00AB59DA"/>
    <w:rsid w:val="00AB60C2"/>
    <w:rsid w:val="00AB622A"/>
    <w:rsid w:val="00AB74B0"/>
    <w:rsid w:val="00AB7507"/>
    <w:rsid w:val="00AB756E"/>
    <w:rsid w:val="00AB7983"/>
    <w:rsid w:val="00AC01B3"/>
    <w:rsid w:val="00AC10FF"/>
    <w:rsid w:val="00AC24B4"/>
    <w:rsid w:val="00AC2803"/>
    <w:rsid w:val="00AC2A5E"/>
    <w:rsid w:val="00AC2C51"/>
    <w:rsid w:val="00AC2E81"/>
    <w:rsid w:val="00AC37C3"/>
    <w:rsid w:val="00AC3ECD"/>
    <w:rsid w:val="00AC44CA"/>
    <w:rsid w:val="00AC58CB"/>
    <w:rsid w:val="00AC5AC1"/>
    <w:rsid w:val="00AC5FCC"/>
    <w:rsid w:val="00AC6140"/>
    <w:rsid w:val="00AC6386"/>
    <w:rsid w:val="00AC64AD"/>
    <w:rsid w:val="00AC6B39"/>
    <w:rsid w:val="00AC7369"/>
    <w:rsid w:val="00AC7E5C"/>
    <w:rsid w:val="00AD036A"/>
    <w:rsid w:val="00AD0701"/>
    <w:rsid w:val="00AD0B82"/>
    <w:rsid w:val="00AD0BA7"/>
    <w:rsid w:val="00AD1738"/>
    <w:rsid w:val="00AD20B6"/>
    <w:rsid w:val="00AD2ACD"/>
    <w:rsid w:val="00AD2B97"/>
    <w:rsid w:val="00AD324B"/>
    <w:rsid w:val="00AD338D"/>
    <w:rsid w:val="00AD33EB"/>
    <w:rsid w:val="00AD3F12"/>
    <w:rsid w:val="00AD4230"/>
    <w:rsid w:val="00AD4425"/>
    <w:rsid w:val="00AD4831"/>
    <w:rsid w:val="00AD4904"/>
    <w:rsid w:val="00AD5097"/>
    <w:rsid w:val="00AD56CC"/>
    <w:rsid w:val="00AD5D11"/>
    <w:rsid w:val="00AD5F98"/>
    <w:rsid w:val="00AD62D3"/>
    <w:rsid w:val="00AD6348"/>
    <w:rsid w:val="00AD7A18"/>
    <w:rsid w:val="00AE0886"/>
    <w:rsid w:val="00AE0A74"/>
    <w:rsid w:val="00AE0D57"/>
    <w:rsid w:val="00AE0D58"/>
    <w:rsid w:val="00AE1931"/>
    <w:rsid w:val="00AE20D9"/>
    <w:rsid w:val="00AE337C"/>
    <w:rsid w:val="00AE3B60"/>
    <w:rsid w:val="00AE3B84"/>
    <w:rsid w:val="00AE4996"/>
    <w:rsid w:val="00AE531E"/>
    <w:rsid w:val="00AE56A0"/>
    <w:rsid w:val="00AE59F5"/>
    <w:rsid w:val="00AE5D7C"/>
    <w:rsid w:val="00AE5E28"/>
    <w:rsid w:val="00AE5F57"/>
    <w:rsid w:val="00AE6769"/>
    <w:rsid w:val="00AE6885"/>
    <w:rsid w:val="00AE7B6D"/>
    <w:rsid w:val="00AF0565"/>
    <w:rsid w:val="00AF0AC2"/>
    <w:rsid w:val="00AF0BE5"/>
    <w:rsid w:val="00AF12BF"/>
    <w:rsid w:val="00AF130F"/>
    <w:rsid w:val="00AF1819"/>
    <w:rsid w:val="00AF1B9A"/>
    <w:rsid w:val="00AF24B1"/>
    <w:rsid w:val="00AF2B2C"/>
    <w:rsid w:val="00AF2CD1"/>
    <w:rsid w:val="00AF38BA"/>
    <w:rsid w:val="00AF3AC5"/>
    <w:rsid w:val="00AF3CF3"/>
    <w:rsid w:val="00AF4FA8"/>
    <w:rsid w:val="00AF559F"/>
    <w:rsid w:val="00AF5604"/>
    <w:rsid w:val="00AF574C"/>
    <w:rsid w:val="00AF5EE3"/>
    <w:rsid w:val="00AF5F74"/>
    <w:rsid w:val="00AF6412"/>
    <w:rsid w:val="00AF6B36"/>
    <w:rsid w:val="00AF7873"/>
    <w:rsid w:val="00AF7FF8"/>
    <w:rsid w:val="00B00AD6"/>
    <w:rsid w:val="00B01276"/>
    <w:rsid w:val="00B0177C"/>
    <w:rsid w:val="00B01C38"/>
    <w:rsid w:val="00B01D9B"/>
    <w:rsid w:val="00B02123"/>
    <w:rsid w:val="00B021DE"/>
    <w:rsid w:val="00B02210"/>
    <w:rsid w:val="00B0277A"/>
    <w:rsid w:val="00B02A80"/>
    <w:rsid w:val="00B0351F"/>
    <w:rsid w:val="00B03777"/>
    <w:rsid w:val="00B037DF"/>
    <w:rsid w:val="00B03872"/>
    <w:rsid w:val="00B038DE"/>
    <w:rsid w:val="00B039E6"/>
    <w:rsid w:val="00B03E7E"/>
    <w:rsid w:val="00B052CB"/>
    <w:rsid w:val="00B059F4"/>
    <w:rsid w:val="00B05A3C"/>
    <w:rsid w:val="00B05C81"/>
    <w:rsid w:val="00B06F5B"/>
    <w:rsid w:val="00B07ADE"/>
    <w:rsid w:val="00B07F7A"/>
    <w:rsid w:val="00B107CA"/>
    <w:rsid w:val="00B10915"/>
    <w:rsid w:val="00B109FD"/>
    <w:rsid w:val="00B10D0C"/>
    <w:rsid w:val="00B10D31"/>
    <w:rsid w:val="00B10E3A"/>
    <w:rsid w:val="00B10F1E"/>
    <w:rsid w:val="00B10F55"/>
    <w:rsid w:val="00B110F5"/>
    <w:rsid w:val="00B1134F"/>
    <w:rsid w:val="00B113D8"/>
    <w:rsid w:val="00B11CB2"/>
    <w:rsid w:val="00B12423"/>
    <w:rsid w:val="00B1343F"/>
    <w:rsid w:val="00B134E4"/>
    <w:rsid w:val="00B14775"/>
    <w:rsid w:val="00B15362"/>
    <w:rsid w:val="00B1575C"/>
    <w:rsid w:val="00B1579C"/>
    <w:rsid w:val="00B15808"/>
    <w:rsid w:val="00B160E2"/>
    <w:rsid w:val="00B161CD"/>
    <w:rsid w:val="00B161F5"/>
    <w:rsid w:val="00B1689E"/>
    <w:rsid w:val="00B16B3E"/>
    <w:rsid w:val="00B16E5E"/>
    <w:rsid w:val="00B1749D"/>
    <w:rsid w:val="00B176F4"/>
    <w:rsid w:val="00B2053D"/>
    <w:rsid w:val="00B20D8C"/>
    <w:rsid w:val="00B21422"/>
    <w:rsid w:val="00B21F8F"/>
    <w:rsid w:val="00B22418"/>
    <w:rsid w:val="00B225AB"/>
    <w:rsid w:val="00B226BD"/>
    <w:rsid w:val="00B22ABD"/>
    <w:rsid w:val="00B22B16"/>
    <w:rsid w:val="00B23556"/>
    <w:rsid w:val="00B23B73"/>
    <w:rsid w:val="00B23F29"/>
    <w:rsid w:val="00B23F9A"/>
    <w:rsid w:val="00B2485E"/>
    <w:rsid w:val="00B24AA1"/>
    <w:rsid w:val="00B252F4"/>
    <w:rsid w:val="00B255DC"/>
    <w:rsid w:val="00B25875"/>
    <w:rsid w:val="00B25983"/>
    <w:rsid w:val="00B25C6D"/>
    <w:rsid w:val="00B25D0E"/>
    <w:rsid w:val="00B2632C"/>
    <w:rsid w:val="00B268D9"/>
    <w:rsid w:val="00B27B70"/>
    <w:rsid w:val="00B3005D"/>
    <w:rsid w:val="00B30947"/>
    <w:rsid w:val="00B31CA4"/>
    <w:rsid w:val="00B322BD"/>
    <w:rsid w:val="00B32938"/>
    <w:rsid w:val="00B329B4"/>
    <w:rsid w:val="00B3398C"/>
    <w:rsid w:val="00B34F71"/>
    <w:rsid w:val="00B362F6"/>
    <w:rsid w:val="00B367AB"/>
    <w:rsid w:val="00B376AF"/>
    <w:rsid w:val="00B3771C"/>
    <w:rsid w:val="00B37C2A"/>
    <w:rsid w:val="00B37DD9"/>
    <w:rsid w:val="00B37DE4"/>
    <w:rsid w:val="00B37E55"/>
    <w:rsid w:val="00B401BF"/>
    <w:rsid w:val="00B401F4"/>
    <w:rsid w:val="00B40F49"/>
    <w:rsid w:val="00B41304"/>
    <w:rsid w:val="00B4161D"/>
    <w:rsid w:val="00B4190A"/>
    <w:rsid w:val="00B4190E"/>
    <w:rsid w:val="00B4221D"/>
    <w:rsid w:val="00B43524"/>
    <w:rsid w:val="00B436FB"/>
    <w:rsid w:val="00B44979"/>
    <w:rsid w:val="00B44EF1"/>
    <w:rsid w:val="00B455EA"/>
    <w:rsid w:val="00B45B53"/>
    <w:rsid w:val="00B46521"/>
    <w:rsid w:val="00B467D5"/>
    <w:rsid w:val="00B4768C"/>
    <w:rsid w:val="00B47730"/>
    <w:rsid w:val="00B47CD8"/>
    <w:rsid w:val="00B47FFA"/>
    <w:rsid w:val="00B50755"/>
    <w:rsid w:val="00B50AFF"/>
    <w:rsid w:val="00B50C60"/>
    <w:rsid w:val="00B51386"/>
    <w:rsid w:val="00B5176F"/>
    <w:rsid w:val="00B521C1"/>
    <w:rsid w:val="00B52649"/>
    <w:rsid w:val="00B52784"/>
    <w:rsid w:val="00B52EAE"/>
    <w:rsid w:val="00B52EFB"/>
    <w:rsid w:val="00B52F43"/>
    <w:rsid w:val="00B53088"/>
    <w:rsid w:val="00B530FC"/>
    <w:rsid w:val="00B53162"/>
    <w:rsid w:val="00B5494C"/>
    <w:rsid w:val="00B54BB6"/>
    <w:rsid w:val="00B54CDB"/>
    <w:rsid w:val="00B54D6D"/>
    <w:rsid w:val="00B55593"/>
    <w:rsid w:val="00B55942"/>
    <w:rsid w:val="00B56957"/>
    <w:rsid w:val="00B56DE9"/>
    <w:rsid w:val="00B56F00"/>
    <w:rsid w:val="00B57410"/>
    <w:rsid w:val="00B57BAE"/>
    <w:rsid w:val="00B57E73"/>
    <w:rsid w:val="00B622A9"/>
    <w:rsid w:val="00B629D9"/>
    <w:rsid w:val="00B62A44"/>
    <w:rsid w:val="00B62BD2"/>
    <w:rsid w:val="00B630F0"/>
    <w:rsid w:val="00B633BE"/>
    <w:rsid w:val="00B63475"/>
    <w:rsid w:val="00B63B3C"/>
    <w:rsid w:val="00B6441C"/>
    <w:rsid w:val="00B6445B"/>
    <w:rsid w:val="00B644E9"/>
    <w:rsid w:val="00B64DC2"/>
    <w:rsid w:val="00B65394"/>
    <w:rsid w:val="00B65491"/>
    <w:rsid w:val="00B6553F"/>
    <w:rsid w:val="00B65B36"/>
    <w:rsid w:val="00B65B8E"/>
    <w:rsid w:val="00B65C35"/>
    <w:rsid w:val="00B66C40"/>
    <w:rsid w:val="00B6761E"/>
    <w:rsid w:val="00B701E7"/>
    <w:rsid w:val="00B705FA"/>
    <w:rsid w:val="00B713BA"/>
    <w:rsid w:val="00B7164E"/>
    <w:rsid w:val="00B71920"/>
    <w:rsid w:val="00B71B97"/>
    <w:rsid w:val="00B71EE8"/>
    <w:rsid w:val="00B71F53"/>
    <w:rsid w:val="00B72037"/>
    <w:rsid w:val="00B72428"/>
    <w:rsid w:val="00B724BE"/>
    <w:rsid w:val="00B7279C"/>
    <w:rsid w:val="00B72D62"/>
    <w:rsid w:val="00B72D63"/>
    <w:rsid w:val="00B74825"/>
    <w:rsid w:val="00B7502C"/>
    <w:rsid w:val="00B75066"/>
    <w:rsid w:val="00B7510B"/>
    <w:rsid w:val="00B7521C"/>
    <w:rsid w:val="00B7523D"/>
    <w:rsid w:val="00B7584E"/>
    <w:rsid w:val="00B75E08"/>
    <w:rsid w:val="00B766B9"/>
    <w:rsid w:val="00B76E9D"/>
    <w:rsid w:val="00B770CE"/>
    <w:rsid w:val="00B804C2"/>
    <w:rsid w:val="00B80759"/>
    <w:rsid w:val="00B80AEC"/>
    <w:rsid w:val="00B824BA"/>
    <w:rsid w:val="00B82C5B"/>
    <w:rsid w:val="00B830C2"/>
    <w:rsid w:val="00B841BE"/>
    <w:rsid w:val="00B84254"/>
    <w:rsid w:val="00B84346"/>
    <w:rsid w:val="00B84C49"/>
    <w:rsid w:val="00B85017"/>
    <w:rsid w:val="00B8526A"/>
    <w:rsid w:val="00B8557C"/>
    <w:rsid w:val="00B855A3"/>
    <w:rsid w:val="00B856EC"/>
    <w:rsid w:val="00B85ACE"/>
    <w:rsid w:val="00B85AF0"/>
    <w:rsid w:val="00B85BCD"/>
    <w:rsid w:val="00B86339"/>
    <w:rsid w:val="00B8693D"/>
    <w:rsid w:val="00B86EFE"/>
    <w:rsid w:val="00B8723E"/>
    <w:rsid w:val="00B876F9"/>
    <w:rsid w:val="00B8773C"/>
    <w:rsid w:val="00B9066E"/>
    <w:rsid w:val="00B90AB9"/>
    <w:rsid w:val="00B90B3E"/>
    <w:rsid w:val="00B910DE"/>
    <w:rsid w:val="00B91757"/>
    <w:rsid w:val="00B919EA"/>
    <w:rsid w:val="00B91B51"/>
    <w:rsid w:val="00B91C88"/>
    <w:rsid w:val="00B93A55"/>
    <w:rsid w:val="00B93B1B"/>
    <w:rsid w:val="00B94098"/>
    <w:rsid w:val="00B9487E"/>
    <w:rsid w:val="00B94EF5"/>
    <w:rsid w:val="00B9532B"/>
    <w:rsid w:val="00B955AB"/>
    <w:rsid w:val="00B956C1"/>
    <w:rsid w:val="00B95AA5"/>
    <w:rsid w:val="00B9605E"/>
    <w:rsid w:val="00B97E6D"/>
    <w:rsid w:val="00B97F7B"/>
    <w:rsid w:val="00B97FA9"/>
    <w:rsid w:val="00BA03D1"/>
    <w:rsid w:val="00BA089D"/>
    <w:rsid w:val="00BA1A3C"/>
    <w:rsid w:val="00BA1AB1"/>
    <w:rsid w:val="00BA1AE9"/>
    <w:rsid w:val="00BA2BCA"/>
    <w:rsid w:val="00BA2D29"/>
    <w:rsid w:val="00BA357E"/>
    <w:rsid w:val="00BA3EC8"/>
    <w:rsid w:val="00BA3FB4"/>
    <w:rsid w:val="00BA408A"/>
    <w:rsid w:val="00BA44EB"/>
    <w:rsid w:val="00BA49A6"/>
    <w:rsid w:val="00BA4ECE"/>
    <w:rsid w:val="00BA58ED"/>
    <w:rsid w:val="00BA59BC"/>
    <w:rsid w:val="00BA5A7B"/>
    <w:rsid w:val="00BA5F6A"/>
    <w:rsid w:val="00BA69C9"/>
    <w:rsid w:val="00BA69D3"/>
    <w:rsid w:val="00BA73C8"/>
    <w:rsid w:val="00BB052C"/>
    <w:rsid w:val="00BB0748"/>
    <w:rsid w:val="00BB0AA4"/>
    <w:rsid w:val="00BB1631"/>
    <w:rsid w:val="00BB1FC8"/>
    <w:rsid w:val="00BB229F"/>
    <w:rsid w:val="00BB2573"/>
    <w:rsid w:val="00BB262B"/>
    <w:rsid w:val="00BB2D82"/>
    <w:rsid w:val="00BB3032"/>
    <w:rsid w:val="00BB304C"/>
    <w:rsid w:val="00BB3552"/>
    <w:rsid w:val="00BB3C8C"/>
    <w:rsid w:val="00BB3DB0"/>
    <w:rsid w:val="00BB3ED0"/>
    <w:rsid w:val="00BB534D"/>
    <w:rsid w:val="00BB6129"/>
    <w:rsid w:val="00BB636E"/>
    <w:rsid w:val="00BB67FF"/>
    <w:rsid w:val="00BC02FA"/>
    <w:rsid w:val="00BC0B55"/>
    <w:rsid w:val="00BC1314"/>
    <w:rsid w:val="00BC1968"/>
    <w:rsid w:val="00BC1DE4"/>
    <w:rsid w:val="00BC2647"/>
    <w:rsid w:val="00BC278B"/>
    <w:rsid w:val="00BC2C2E"/>
    <w:rsid w:val="00BC2C3B"/>
    <w:rsid w:val="00BC2E42"/>
    <w:rsid w:val="00BC2E78"/>
    <w:rsid w:val="00BC3736"/>
    <w:rsid w:val="00BC37B9"/>
    <w:rsid w:val="00BC3AA5"/>
    <w:rsid w:val="00BC3E2F"/>
    <w:rsid w:val="00BC4486"/>
    <w:rsid w:val="00BC4641"/>
    <w:rsid w:val="00BC4B79"/>
    <w:rsid w:val="00BC526A"/>
    <w:rsid w:val="00BC5EAA"/>
    <w:rsid w:val="00BC6118"/>
    <w:rsid w:val="00BC61DD"/>
    <w:rsid w:val="00BC68EE"/>
    <w:rsid w:val="00BC6B85"/>
    <w:rsid w:val="00BC714E"/>
    <w:rsid w:val="00BC7DB0"/>
    <w:rsid w:val="00BD00B5"/>
    <w:rsid w:val="00BD01FB"/>
    <w:rsid w:val="00BD0241"/>
    <w:rsid w:val="00BD046A"/>
    <w:rsid w:val="00BD063B"/>
    <w:rsid w:val="00BD08A5"/>
    <w:rsid w:val="00BD0EED"/>
    <w:rsid w:val="00BD1048"/>
    <w:rsid w:val="00BD13FC"/>
    <w:rsid w:val="00BD1A92"/>
    <w:rsid w:val="00BD1B7C"/>
    <w:rsid w:val="00BD1B99"/>
    <w:rsid w:val="00BD2143"/>
    <w:rsid w:val="00BD2318"/>
    <w:rsid w:val="00BD27FA"/>
    <w:rsid w:val="00BD28C3"/>
    <w:rsid w:val="00BD30D8"/>
    <w:rsid w:val="00BD355A"/>
    <w:rsid w:val="00BD37B5"/>
    <w:rsid w:val="00BD44A7"/>
    <w:rsid w:val="00BD4F73"/>
    <w:rsid w:val="00BD5D35"/>
    <w:rsid w:val="00BD5F1E"/>
    <w:rsid w:val="00BD5FDC"/>
    <w:rsid w:val="00BD6B83"/>
    <w:rsid w:val="00BD7255"/>
    <w:rsid w:val="00BD7561"/>
    <w:rsid w:val="00BD7D80"/>
    <w:rsid w:val="00BE008E"/>
    <w:rsid w:val="00BE0A4F"/>
    <w:rsid w:val="00BE0C10"/>
    <w:rsid w:val="00BE14D4"/>
    <w:rsid w:val="00BE15B2"/>
    <w:rsid w:val="00BE176C"/>
    <w:rsid w:val="00BE1987"/>
    <w:rsid w:val="00BE1A5F"/>
    <w:rsid w:val="00BE207A"/>
    <w:rsid w:val="00BE20B7"/>
    <w:rsid w:val="00BE2B26"/>
    <w:rsid w:val="00BE2E47"/>
    <w:rsid w:val="00BE2E77"/>
    <w:rsid w:val="00BE34A2"/>
    <w:rsid w:val="00BE41BD"/>
    <w:rsid w:val="00BE44BA"/>
    <w:rsid w:val="00BE53B6"/>
    <w:rsid w:val="00BE54AE"/>
    <w:rsid w:val="00BE5831"/>
    <w:rsid w:val="00BE5F90"/>
    <w:rsid w:val="00BE6950"/>
    <w:rsid w:val="00BE70A0"/>
    <w:rsid w:val="00BE7303"/>
    <w:rsid w:val="00BE7E75"/>
    <w:rsid w:val="00BF0B83"/>
    <w:rsid w:val="00BF0F4B"/>
    <w:rsid w:val="00BF11C3"/>
    <w:rsid w:val="00BF13B3"/>
    <w:rsid w:val="00BF183C"/>
    <w:rsid w:val="00BF19BC"/>
    <w:rsid w:val="00BF1C87"/>
    <w:rsid w:val="00BF1F38"/>
    <w:rsid w:val="00BF287D"/>
    <w:rsid w:val="00BF3097"/>
    <w:rsid w:val="00BF38CD"/>
    <w:rsid w:val="00BF3B61"/>
    <w:rsid w:val="00BF470B"/>
    <w:rsid w:val="00BF49AD"/>
    <w:rsid w:val="00BF4CF3"/>
    <w:rsid w:val="00BF4E60"/>
    <w:rsid w:val="00BF5056"/>
    <w:rsid w:val="00BF5EA3"/>
    <w:rsid w:val="00BF60CD"/>
    <w:rsid w:val="00BF6750"/>
    <w:rsid w:val="00C00543"/>
    <w:rsid w:val="00C00903"/>
    <w:rsid w:val="00C00A15"/>
    <w:rsid w:val="00C00E97"/>
    <w:rsid w:val="00C011E9"/>
    <w:rsid w:val="00C01353"/>
    <w:rsid w:val="00C0271E"/>
    <w:rsid w:val="00C02B46"/>
    <w:rsid w:val="00C03376"/>
    <w:rsid w:val="00C03436"/>
    <w:rsid w:val="00C036D5"/>
    <w:rsid w:val="00C03FA8"/>
    <w:rsid w:val="00C0406D"/>
    <w:rsid w:val="00C04620"/>
    <w:rsid w:val="00C04B94"/>
    <w:rsid w:val="00C04CC7"/>
    <w:rsid w:val="00C04FFE"/>
    <w:rsid w:val="00C05061"/>
    <w:rsid w:val="00C05072"/>
    <w:rsid w:val="00C05608"/>
    <w:rsid w:val="00C05B08"/>
    <w:rsid w:val="00C070A2"/>
    <w:rsid w:val="00C07171"/>
    <w:rsid w:val="00C072C0"/>
    <w:rsid w:val="00C079D0"/>
    <w:rsid w:val="00C07E87"/>
    <w:rsid w:val="00C07ED5"/>
    <w:rsid w:val="00C10564"/>
    <w:rsid w:val="00C10763"/>
    <w:rsid w:val="00C10DD4"/>
    <w:rsid w:val="00C11966"/>
    <w:rsid w:val="00C11F94"/>
    <w:rsid w:val="00C12445"/>
    <w:rsid w:val="00C124FA"/>
    <w:rsid w:val="00C126B5"/>
    <w:rsid w:val="00C12851"/>
    <w:rsid w:val="00C12AF0"/>
    <w:rsid w:val="00C14AA7"/>
    <w:rsid w:val="00C14CFD"/>
    <w:rsid w:val="00C14F02"/>
    <w:rsid w:val="00C155A3"/>
    <w:rsid w:val="00C16AAB"/>
    <w:rsid w:val="00C16D8B"/>
    <w:rsid w:val="00C1765F"/>
    <w:rsid w:val="00C1776F"/>
    <w:rsid w:val="00C17AB5"/>
    <w:rsid w:val="00C17CDF"/>
    <w:rsid w:val="00C17DA7"/>
    <w:rsid w:val="00C212EE"/>
    <w:rsid w:val="00C2190C"/>
    <w:rsid w:val="00C21A8C"/>
    <w:rsid w:val="00C21E4A"/>
    <w:rsid w:val="00C21E58"/>
    <w:rsid w:val="00C22395"/>
    <w:rsid w:val="00C22398"/>
    <w:rsid w:val="00C226FA"/>
    <w:rsid w:val="00C22EC1"/>
    <w:rsid w:val="00C23C4B"/>
    <w:rsid w:val="00C23E70"/>
    <w:rsid w:val="00C24161"/>
    <w:rsid w:val="00C24CC8"/>
    <w:rsid w:val="00C26247"/>
    <w:rsid w:val="00C26320"/>
    <w:rsid w:val="00C2682F"/>
    <w:rsid w:val="00C269A3"/>
    <w:rsid w:val="00C26ACE"/>
    <w:rsid w:val="00C26B54"/>
    <w:rsid w:val="00C26F6C"/>
    <w:rsid w:val="00C27229"/>
    <w:rsid w:val="00C272CC"/>
    <w:rsid w:val="00C27EFF"/>
    <w:rsid w:val="00C3027E"/>
    <w:rsid w:val="00C30730"/>
    <w:rsid w:val="00C30EF2"/>
    <w:rsid w:val="00C31348"/>
    <w:rsid w:val="00C326C6"/>
    <w:rsid w:val="00C33998"/>
    <w:rsid w:val="00C33CEB"/>
    <w:rsid w:val="00C345F5"/>
    <w:rsid w:val="00C34BF9"/>
    <w:rsid w:val="00C350DD"/>
    <w:rsid w:val="00C35225"/>
    <w:rsid w:val="00C35E55"/>
    <w:rsid w:val="00C360AF"/>
    <w:rsid w:val="00C360B6"/>
    <w:rsid w:val="00C36289"/>
    <w:rsid w:val="00C369FE"/>
    <w:rsid w:val="00C36AAC"/>
    <w:rsid w:val="00C36AED"/>
    <w:rsid w:val="00C372F2"/>
    <w:rsid w:val="00C37874"/>
    <w:rsid w:val="00C40A76"/>
    <w:rsid w:val="00C4140F"/>
    <w:rsid w:val="00C4148F"/>
    <w:rsid w:val="00C41735"/>
    <w:rsid w:val="00C4246B"/>
    <w:rsid w:val="00C43BAB"/>
    <w:rsid w:val="00C43E1E"/>
    <w:rsid w:val="00C43E2B"/>
    <w:rsid w:val="00C43E7E"/>
    <w:rsid w:val="00C44F66"/>
    <w:rsid w:val="00C45055"/>
    <w:rsid w:val="00C45403"/>
    <w:rsid w:val="00C46127"/>
    <w:rsid w:val="00C46C49"/>
    <w:rsid w:val="00C46DD1"/>
    <w:rsid w:val="00C47211"/>
    <w:rsid w:val="00C4779C"/>
    <w:rsid w:val="00C47975"/>
    <w:rsid w:val="00C47D8C"/>
    <w:rsid w:val="00C50A8F"/>
    <w:rsid w:val="00C510E0"/>
    <w:rsid w:val="00C51BDA"/>
    <w:rsid w:val="00C52A44"/>
    <w:rsid w:val="00C53BC6"/>
    <w:rsid w:val="00C53E8D"/>
    <w:rsid w:val="00C54C35"/>
    <w:rsid w:val="00C551B5"/>
    <w:rsid w:val="00C570D3"/>
    <w:rsid w:val="00C571A7"/>
    <w:rsid w:val="00C57383"/>
    <w:rsid w:val="00C579A0"/>
    <w:rsid w:val="00C57F53"/>
    <w:rsid w:val="00C60347"/>
    <w:rsid w:val="00C60C8B"/>
    <w:rsid w:val="00C61256"/>
    <w:rsid w:val="00C61961"/>
    <w:rsid w:val="00C61C7E"/>
    <w:rsid w:val="00C61FB8"/>
    <w:rsid w:val="00C62385"/>
    <w:rsid w:val="00C62537"/>
    <w:rsid w:val="00C626DC"/>
    <w:rsid w:val="00C62A9D"/>
    <w:rsid w:val="00C62B4F"/>
    <w:rsid w:val="00C643F0"/>
    <w:rsid w:val="00C6469D"/>
    <w:rsid w:val="00C65105"/>
    <w:rsid w:val="00C65B0F"/>
    <w:rsid w:val="00C65BFF"/>
    <w:rsid w:val="00C664D6"/>
    <w:rsid w:val="00C66CAD"/>
    <w:rsid w:val="00C66D33"/>
    <w:rsid w:val="00C67877"/>
    <w:rsid w:val="00C678F6"/>
    <w:rsid w:val="00C67952"/>
    <w:rsid w:val="00C67E80"/>
    <w:rsid w:val="00C70948"/>
    <w:rsid w:val="00C71742"/>
    <w:rsid w:val="00C7204A"/>
    <w:rsid w:val="00C72378"/>
    <w:rsid w:val="00C727A7"/>
    <w:rsid w:val="00C727F7"/>
    <w:rsid w:val="00C72E86"/>
    <w:rsid w:val="00C73257"/>
    <w:rsid w:val="00C7358F"/>
    <w:rsid w:val="00C74234"/>
    <w:rsid w:val="00C74CD4"/>
    <w:rsid w:val="00C75051"/>
    <w:rsid w:val="00C7557D"/>
    <w:rsid w:val="00C75729"/>
    <w:rsid w:val="00C75B99"/>
    <w:rsid w:val="00C75E50"/>
    <w:rsid w:val="00C76C49"/>
    <w:rsid w:val="00C76D42"/>
    <w:rsid w:val="00C76FD8"/>
    <w:rsid w:val="00C77718"/>
    <w:rsid w:val="00C77836"/>
    <w:rsid w:val="00C77CC6"/>
    <w:rsid w:val="00C77EEC"/>
    <w:rsid w:val="00C77F2C"/>
    <w:rsid w:val="00C77F98"/>
    <w:rsid w:val="00C8054C"/>
    <w:rsid w:val="00C806C2"/>
    <w:rsid w:val="00C806C9"/>
    <w:rsid w:val="00C813CA"/>
    <w:rsid w:val="00C816F2"/>
    <w:rsid w:val="00C81FCD"/>
    <w:rsid w:val="00C82119"/>
    <w:rsid w:val="00C823D8"/>
    <w:rsid w:val="00C82442"/>
    <w:rsid w:val="00C827E2"/>
    <w:rsid w:val="00C82A84"/>
    <w:rsid w:val="00C82B28"/>
    <w:rsid w:val="00C82B9A"/>
    <w:rsid w:val="00C82E3E"/>
    <w:rsid w:val="00C83FB2"/>
    <w:rsid w:val="00C846DA"/>
    <w:rsid w:val="00C847B7"/>
    <w:rsid w:val="00C84F76"/>
    <w:rsid w:val="00C8534A"/>
    <w:rsid w:val="00C85505"/>
    <w:rsid w:val="00C85800"/>
    <w:rsid w:val="00C861A8"/>
    <w:rsid w:val="00C86495"/>
    <w:rsid w:val="00C866C8"/>
    <w:rsid w:val="00C907E5"/>
    <w:rsid w:val="00C9088A"/>
    <w:rsid w:val="00C90AEB"/>
    <w:rsid w:val="00C90C43"/>
    <w:rsid w:val="00C918FA"/>
    <w:rsid w:val="00C91BF8"/>
    <w:rsid w:val="00C92903"/>
    <w:rsid w:val="00C92D2E"/>
    <w:rsid w:val="00C93AA2"/>
    <w:rsid w:val="00C93B8E"/>
    <w:rsid w:val="00C93CE8"/>
    <w:rsid w:val="00C93DC8"/>
    <w:rsid w:val="00C940B0"/>
    <w:rsid w:val="00C944E9"/>
    <w:rsid w:val="00C94EE9"/>
    <w:rsid w:val="00C95176"/>
    <w:rsid w:val="00C952A4"/>
    <w:rsid w:val="00C953AD"/>
    <w:rsid w:val="00C953C2"/>
    <w:rsid w:val="00C95509"/>
    <w:rsid w:val="00C957E0"/>
    <w:rsid w:val="00C966D0"/>
    <w:rsid w:val="00C969AE"/>
    <w:rsid w:val="00C970B7"/>
    <w:rsid w:val="00C97464"/>
    <w:rsid w:val="00C97A76"/>
    <w:rsid w:val="00CA0E28"/>
    <w:rsid w:val="00CA0E51"/>
    <w:rsid w:val="00CA10BD"/>
    <w:rsid w:val="00CA112F"/>
    <w:rsid w:val="00CA18BA"/>
    <w:rsid w:val="00CA1D7B"/>
    <w:rsid w:val="00CA2081"/>
    <w:rsid w:val="00CA20FD"/>
    <w:rsid w:val="00CA210C"/>
    <w:rsid w:val="00CA290F"/>
    <w:rsid w:val="00CA2DE0"/>
    <w:rsid w:val="00CA2F89"/>
    <w:rsid w:val="00CA333E"/>
    <w:rsid w:val="00CA34EA"/>
    <w:rsid w:val="00CA37AB"/>
    <w:rsid w:val="00CA37B4"/>
    <w:rsid w:val="00CA3AE4"/>
    <w:rsid w:val="00CA4023"/>
    <w:rsid w:val="00CA46CD"/>
    <w:rsid w:val="00CA519E"/>
    <w:rsid w:val="00CA51BC"/>
    <w:rsid w:val="00CA566D"/>
    <w:rsid w:val="00CA594F"/>
    <w:rsid w:val="00CA5CD2"/>
    <w:rsid w:val="00CA61F0"/>
    <w:rsid w:val="00CA62C0"/>
    <w:rsid w:val="00CA6661"/>
    <w:rsid w:val="00CA6716"/>
    <w:rsid w:val="00CA67B8"/>
    <w:rsid w:val="00CA6E3E"/>
    <w:rsid w:val="00CB0699"/>
    <w:rsid w:val="00CB1044"/>
    <w:rsid w:val="00CB11AE"/>
    <w:rsid w:val="00CB16EF"/>
    <w:rsid w:val="00CB1778"/>
    <w:rsid w:val="00CB1AFE"/>
    <w:rsid w:val="00CB1DDC"/>
    <w:rsid w:val="00CB1F2F"/>
    <w:rsid w:val="00CB21C7"/>
    <w:rsid w:val="00CB21D8"/>
    <w:rsid w:val="00CB2218"/>
    <w:rsid w:val="00CB24CD"/>
    <w:rsid w:val="00CB2A4A"/>
    <w:rsid w:val="00CB2C0D"/>
    <w:rsid w:val="00CB2F7C"/>
    <w:rsid w:val="00CB2F8E"/>
    <w:rsid w:val="00CB3802"/>
    <w:rsid w:val="00CB41A3"/>
    <w:rsid w:val="00CB508F"/>
    <w:rsid w:val="00CB5650"/>
    <w:rsid w:val="00CB5964"/>
    <w:rsid w:val="00CB5FA6"/>
    <w:rsid w:val="00CB627C"/>
    <w:rsid w:val="00CB6FBA"/>
    <w:rsid w:val="00CB7D72"/>
    <w:rsid w:val="00CC0053"/>
    <w:rsid w:val="00CC04E4"/>
    <w:rsid w:val="00CC0C6C"/>
    <w:rsid w:val="00CC0F8B"/>
    <w:rsid w:val="00CC1264"/>
    <w:rsid w:val="00CC1518"/>
    <w:rsid w:val="00CC15C2"/>
    <w:rsid w:val="00CC16EE"/>
    <w:rsid w:val="00CC1921"/>
    <w:rsid w:val="00CC1C88"/>
    <w:rsid w:val="00CC1EC5"/>
    <w:rsid w:val="00CC2043"/>
    <w:rsid w:val="00CC2357"/>
    <w:rsid w:val="00CC257D"/>
    <w:rsid w:val="00CC3233"/>
    <w:rsid w:val="00CC3299"/>
    <w:rsid w:val="00CC3363"/>
    <w:rsid w:val="00CC3556"/>
    <w:rsid w:val="00CC3CDC"/>
    <w:rsid w:val="00CC4A7D"/>
    <w:rsid w:val="00CC51C7"/>
    <w:rsid w:val="00CC530F"/>
    <w:rsid w:val="00CC5489"/>
    <w:rsid w:val="00CC5999"/>
    <w:rsid w:val="00CC5B85"/>
    <w:rsid w:val="00CC5D71"/>
    <w:rsid w:val="00CC5E34"/>
    <w:rsid w:val="00CC6132"/>
    <w:rsid w:val="00CC65AD"/>
    <w:rsid w:val="00CC66BA"/>
    <w:rsid w:val="00CC6B6E"/>
    <w:rsid w:val="00CD002A"/>
    <w:rsid w:val="00CD006C"/>
    <w:rsid w:val="00CD0A75"/>
    <w:rsid w:val="00CD0D16"/>
    <w:rsid w:val="00CD11D4"/>
    <w:rsid w:val="00CD191D"/>
    <w:rsid w:val="00CD1E54"/>
    <w:rsid w:val="00CD28B9"/>
    <w:rsid w:val="00CD2B19"/>
    <w:rsid w:val="00CD385B"/>
    <w:rsid w:val="00CD3C21"/>
    <w:rsid w:val="00CD4FB2"/>
    <w:rsid w:val="00CD5294"/>
    <w:rsid w:val="00CD53DF"/>
    <w:rsid w:val="00CD5D7F"/>
    <w:rsid w:val="00CD5F86"/>
    <w:rsid w:val="00CD6588"/>
    <w:rsid w:val="00CD7247"/>
    <w:rsid w:val="00CD786F"/>
    <w:rsid w:val="00CD78CD"/>
    <w:rsid w:val="00CD7A74"/>
    <w:rsid w:val="00CD7E5D"/>
    <w:rsid w:val="00CE033A"/>
    <w:rsid w:val="00CE058A"/>
    <w:rsid w:val="00CE0593"/>
    <w:rsid w:val="00CE059E"/>
    <w:rsid w:val="00CE0941"/>
    <w:rsid w:val="00CE10C2"/>
    <w:rsid w:val="00CE12B5"/>
    <w:rsid w:val="00CE12EC"/>
    <w:rsid w:val="00CE1471"/>
    <w:rsid w:val="00CE15BE"/>
    <w:rsid w:val="00CE174E"/>
    <w:rsid w:val="00CE24B0"/>
    <w:rsid w:val="00CE263E"/>
    <w:rsid w:val="00CE286F"/>
    <w:rsid w:val="00CE2C1A"/>
    <w:rsid w:val="00CE486F"/>
    <w:rsid w:val="00CE4F69"/>
    <w:rsid w:val="00CE5080"/>
    <w:rsid w:val="00CE50FE"/>
    <w:rsid w:val="00CE5268"/>
    <w:rsid w:val="00CE60A5"/>
    <w:rsid w:val="00CE73CE"/>
    <w:rsid w:val="00CE76A9"/>
    <w:rsid w:val="00CE7E18"/>
    <w:rsid w:val="00CE7E49"/>
    <w:rsid w:val="00CF0CB8"/>
    <w:rsid w:val="00CF115B"/>
    <w:rsid w:val="00CF1243"/>
    <w:rsid w:val="00CF1894"/>
    <w:rsid w:val="00CF18E1"/>
    <w:rsid w:val="00CF209D"/>
    <w:rsid w:val="00CF22D7"/>
    <w:rsid w:val="00CF300E"/>
    <w:rsid w:val="00CF30AA"/>
    <w:rsid w:val="00CF356B"/>
    <w:rsid w:val="00CF3794"/>
    <w:rsid w:val="00CF3E47"/>
    <w:rsid w:val="00CF4307"/>
    <w:rsid w:val="00CF45AA"/>
    <w:rsid w:val="00CF49E6"/>
    <w:rsid w:val="00CF5CB1"/>
    <w:rsid w:val="00CF6195"/>
    <w:rsid w:val="00CF6607"/>
    <w:rsid w:val="00CF6760"/>
    <w:rsid w:val="00CF679B"/>
    <w:rsid w:val="00CF68E7"/>
    <w:rsid w:val="00CF7CF6"/>
    <w:rsid w:val="00D000AE"/>
    <w:rsid w:val="00D0044F"/>
    <w:rsid w:val="00D0058B"/>
    <w:rsid w:val="00D00E53"/>
    <w:rsid w:val="00D011DB"/>
    <w:rsid w:val="00D018F9"/>
    <w:rsid w:val="00D01B82"/>
    <w:rsid w:val="00D0276C"/>
    <w:rsid w:val="00D02E8A"/>
    <w:rsid w:val="00D03689"/>
    <w:rsid w:val="00D03A47"/>
    <w:rsid w:val="00D03BFA"/>
    <w:rsid w:val="00D04AF8"/>
    <w:rsid w:val="00D05094"/>
    <w:rsid w:val="00D050EE"/>
    <w:rsid w:val="00D05604"/>
    <w:rsid w:val="00D0586B"/>
    <w:rsid w:val="00D05A77"/>
    <w:rsid w:val="00D05C34"/>
    <w:rsid w:val="00D06028"/>
    <w:rsid w:val="00D064E2"/>
    <w:rsid w:val="00D067D3"/>
    <w:rsid w:val="00D06854"/>
    <w:rsid w:val="00D070D2"/>
    <w:rsid w:val="00D07632"/>
    <w:rsid w:val="00D078D9"/>
    <w:rsid w:val="00D07C66"/>
    <w:rsid w:val="00D10EA8"/>
    <w:rsid w:val="00D112AA"/>
    <w:rsid w:val="00D11B29"/>
    <w:rsid w:val="00D11CA0"/>
    <w:rsid w:val="00D11FDD"/>
    <w:rsid w:val="00D12175"/>
    <w:rsid w:val="00D12957"/>
    <w:rsid w:val="00D12961"/>
    <w:rsid w:val="00D129C3"/>
    <w:rsid w:val="00D12E38"/>
    <w:rsid w:val="00D12F2A"/>
    <w:rsid w:val="00D141C4"/>
    <w:rsid w:val="00D14204"/>
    <w:rsid w:val="00D1425F"/>
    <w:rsid w:val="00D14D53"/>
    <w:rsid w:val="00D14E40"/>
    <w:rsid w:val="00D150A4"/>
    <w:rsid w:val="00D153D9"/>
    <w:rsid w:val="00D15409"/>
    <w:rsid w:val="00D15946"/>
    <w:rsid w:val="00D15CEA"/>
    <w:rsid w:val="00D16452"/>
    <w:rsid w:val="00D1672C"/>
    <w:rsid w:val="00D16C49"/>
    <w:rsid w:val="00D16EDA"/>
    <w:rsid w:val="00D177FE"/>
    <w:rsid w:val="00D17A39"/>
    <w:rsid w:val="00D208B5"/>
    <w:rsid w:val="00D21328"/>
    <w:rsid w:val="00D21433"/>
    <w:rsid w:val="00D2151F"/>
    <w:rsid w:val="00D2158A"/>
    <w:rsid w:val="00D21802"/>
    <w:rsid w:val="00D21F5D"/>
    <w:rsid w:val="00D21FDF"/>
    <w:rsid w:val="00D22168"/>
    <w:rsid w:val="00D22FA8"/>
    <w:rsid w:val="00D23A5D"/>
    <w:rsid w:val="00D244ED"/>
    <w:rsid w:val="00D2484B"/>
    <w:rsid w:val="00D249D1"/>
    <w:rsid w:val="00D2552C"/>
    <w:rsid w:val="00D25667"/>
    <w:rsid w:val="00D26138"/>
    <w:rsid w:val="00D26386"/>
    <w:rsid w:val="00D26575"/>
    <w:rsid w:val="00D2689A"/>
    <w:rsid w:val="00D26BA7"/>
    <w:rsid w:val="00D27248"/>
    <w:rsid w:val="00D272C9"/>
    <w:rsid w:val="00D2742C"/>
    <w:rsid w:val="00D2759A"/>
    <w:rsid w:val="00D27DCE"/>
    <w:rsid w:val="00D301D7"/>
    <w:rsid w:val="00D303CA"/>
    <w:rsid w:val="00D3064C"/>
    <w:rsid w:val="00D30C38"/>
    <w:rsid w:val="00D3145A"/>
    <w:rsid w:val="00D3168E"/>
    <w:rsid w:val="00D317DA"/>
    <w:rsid w:val="00D3185F"/>
    <w:rsid w:val="00D31902"/>
    <w:rsid w:val="00D31D95"/>
    <w:rsid w:val="00D32113"/>
    <w:rsid w:val="00D32350"/>
    <w:rsid w:val="00D3296A"/>
    <w:rsid w:val="00D32D21"/>
    <w:rsid w:val="00D33051"/>
    <w:rsid w:val="00D337BC"/>
    <w:rsid w:val="00D33921"/>
    <w:rsid w:val="00D34548"/>
    <w:rsid w:val="00D34BAD"/>
    <w:rsid w:val="00D3524E"/>
    <w:rsid w:val="00D3571D"/>
    <w:rsid w:val="00D35837"/>
    <w:rsid w:val="00D36236"/>
    <w:rsid w:val="00D36605"/>
    <w:rsid w:val="00D366B7"/>
    <w:rsid w:val="00D368FE"/>
    <w:rsid w:val="00D36B4E"/>
    <w:rsid w:val="00D36DB3"/>
    <w:rsid w:val="00D36FCB"/>
    <w:rsid w:val="00D372E5"/>
    <w:rsid w:val="00D4069B"/>
    <w:rsid w:val="00D40946"/>
    <w:rsid w:val="00D40B14"/>
    <w:rsid w:val="00D41420"/>
    <w:rsid w:val="00D41EC2"/>
    <w:rsid w:val="00D421A4"/>
    <w:rsid w:val="00D431C6"/>
    <w:rsid w:val="00D44099"/>
    <w:rsid w:val="00D44612"/>
    <w:rsid w:val="00D448CD"/>
    <w:rsid w:val="00D44E0A"/>
    <w:rsid w:val="00D45572"/>
    <w:rsid w:val="00D45B53"/>
    <w:rsid w:val="00D462BD"/>
    <w:rsid w:val="00D46373"/>
    <w:rsid w:val="00D46708"/>
    <w:rsid w:val="00D46762"/>
    <w:rsid w:val="00D46A90"/>
    <w:rsid w:val="00D47A66"/>
    <w:rsid w:val="00D47FF2"/>
    <w:rsid w:val="00D50930"/>
    <w:rsid w:val="00D50A96"/>
    <w:rsid w:val="00D50EA5"/>
    <w:rsid w:val="00D51847"/>
    <w:rsid w:val="00D52169"/>
    <w:rsid w:val="00D523C4"/>
    <w:rsid w:val="00D5254A"/>
    <w:rsid w:val="00D53CC5"/>
    <w:rsid w:val="00D54798"/>
    <w:rsid w:val="00D5490E"/>
    <w:rsid w:val="00D54DBD"/>
    <w:rsid w:val="00D54DF1"/>
    <w:rsid w:val="00D5505F"/>
    <w:rsid w:val="00D5526C"/>
    <w:rsid w:val="00D555D7"/>
    <w:rsid w:val="00D55731"/>
    <w:rsid w:val="00D5582B"/>
    <w:rsid w:val="00D558BE"/>
    <w:rsid w:val="00D55E02"/>
    <w:rsid w:val="00D55FE5"/>
    <w:rsid w:val="00D56077"/>
    <w:rsid w:val="00D566AC"/>
    <w:rsid w:val="00D56E9A"/>
    <w:rsid w:val="00D56F7D"/>
    <w:rsid w:val="00D57113"/>
    <w:rsid w:val="00D571F1"/>
    <w:rsid w:val="00D6026E"/>
    <w:rsid w:val="00D603EF"/>
    <w:rsid w:val="00D60573"/>
    <w:rsid w:val="00D6099D"/>
    <w:rsid w:val="00D60C7C"/>
    <w:rsid w:val="00D616EC"/>
    <w:rsid w:val="00D61705"/>
    <w:rsid w:val="00D61B8D"/>
    <w:rsid w:val="00D622B6"/>
    <w:rsid w:val="00D62895"/>
    <w:rsid w:val="00D62BB3"/>
    <w:rsid w:val="00D63783"/>
    <w:rsid w:val="00D63786"/>
    <w:rsid w:val="00D6449D"/>
    <w:rsid w:val="00D64890"/>
    <w:rsid w:val="00D6496E"/>
    <w:rsid w:val="00D64B46"/>
    <w:rsid w:val="00D650AA"/>
    <w:rsid w:val="00D6559B"/>
    <w:rsid w:val="00D65FD5"/>
    <w:rsid w:val="00D66058"/>
    <w:rsid w:val="00D663B2"/>
    <w:rsid w:val="00D6674F"/>
    <w:rsid w:val="00D668CB"/>
    <w:rsid w:val="00D66C47"/>
    <w:rsid w:val="00D671EE"/>
    <w:rsid w:val="00D71A70"/>
    <w:rsid w:val="00D71F89"/>
    <w:rsid w:val="00D7213F"/>
    <w:rsid w:val="00D721A5"/>
    <w:rsid w:val="00D722C5"/>
    <w:rsid w:val="00D73265"/>
    <w:rsid w:val="00D73328"/>
    <w:rsid w:val="00D7382F"/>
    <w:rsid w:val="00D740B4"/>
    <w:rsid w:val="00D740C0"/>
    <w:rsid w:val="00D741AC"/>
    <w:rsid w:val="00D7427F"/>
    <w:rsid w:val="00D755B9"/>
    <w:rsid w:val="00D75682"/>
    <w:rsid w:val="00D759FF"/>
    <w:rsid w:val="00D7643B"/>
    <w:rsid w:val="00D767C3"/>
    <w:rsid w:val="00D768A7"/>
    <w:rsid w:val="00D769CE"/>
    <w:rsid w:val="00D778DA"/>
    <w:rsid w:val="00D77A4B"/>
    <w:rsid w:val="00D77ED0"/>
    <w:rsid w:val="00D8046D"/>
    <w:rsid w:val="00D80BCC"/>
    <w:rsid w:val="00D80C79"/>
    <w:rsid w:val="00D80F8E"/>
    <w:rsid w:val="00D81474"/>
    <w:rsid w:val="00D814A8"/>
    <w:rsid w:val="00D814E1"/>
    <w:rsid w:val="00D815E8"/>
    <w:rsid w:val="00D816DD"/>
    <w:rsid w:val="00D8193F"/>
    <w:rsid w:val="00D81DB4"/>
    <w:rsid w:val="00D824B5"/>
    <w:rsid w:val="00D82721"/>
    <w:rsid w:val="00D843E7"/>
    <w:rsid w:val="00D84A55"/>
    <w:rsid w:val="00D853A7"/>
    <w:rsid w:val="00D85B80"/>
    <w:rsid w:val="00D860B6"/>
    <w:rsid w:val="00D860C4"/>
    <w:rsid w:val="00D8715E"/>
    <w:rsid w:val="00D871BC"/>
    <w:rsid w:val="00D871F3"/>
    <w:rsid w:val="00D87364"/>
    <w:rsid w:val="00D87441"/>
    <w:rsid w:val="00D87BB9"/>
    <w:rsid w:val="00D90CDE"/>
    <w:rsid w:val="00D9195D"/>
    <w:rsid w:val="00D9216D"/>
    <w:rsid w:val="00D927B5"/>
    <w:rsid w:val="00D92BD9"/>
    <w:rsid w:val="00D92D68"/>
    <w:rsid w:val="00D92DBC"/>
    <w:rsid w:val="00D93811"/>
    <w:rsid w:val="00D93FCB"/>
    <w:rsid w:val="00D94BB6"/>
    <w:rsid w:val="00D94BB8"/>
    <w:rsid w:val="00D94CEE"/>
    <w:rsid w:val="00D9519B"/>
    <w:rsid w:val="00D956AC"/>
    <w:rsid w:val="00D957BB"/>
    <w:rsid w:val="00D95992"/>
    <w:rsid w:val="00D95B6B"/>
    <w:rsid w:val="00D95F7D"/>
    <w:rsid w:val="00D9689D"/>
    <w:rsid w:val="00D97078"/>
    <w:rsid w:val="00D97D66"/>
    <w:rsid w:val="00D97DD5"/>
    <w:rsid w:val="00DA005F"/>
    <w:rsid w:val="00DA0637"/>
    <w:rsid w:val="00DA0D65"/>
    <w:rsid w:val="00DA0E8F"/>
    <w:rsid w:val="00DA16EA"/>
    <w:rsid w:val="00DA19C9"/>
    <w:rsid w:val="00DA209F"/>
    <w:rsid w:val="00DA27AB"/>
    <w:rsid w:val="00DA27ED"/>
    <w:rsid w:val="00DA2D55"/>
    <w:rsid w:val="00DA3427"/>
    <w:rsid w:val="00DA36D3"/>
    <w:rsid w:val="00DA3B28"/>
    <w:rsid w:val="00DA3BB1"/>
    <w:rsid w:val="00DA3DC5"/>
    <w:rsid w:val="00DA4211"/>
    <w:rsid w:val="00DA458E"/>
    <w:rsid w:val="00DA4C80"/>
    <w:rsid w:val="00DA4E84"/>
    <w:rsid w:val="00DA5C2B"/>
    <w:rsid w:val="00DA6EA2"/>
    <w:rsid w:val="00DA6FD3"/>
    <w:rsid w:val="00DA7590"/>
    <w:rsid w:val="00DA76DD"/>
    <w:rsid w:val="00DA77E5"/>
    <w:rsid w:val="00DA7823"/>
    <w:rsid w:val="00DB0482"/>
    <w:rsid w:val="00DB0656"/>
    <w:rsid w:val="00DB066D"/>
    <w:rsid w:val="00DB0734"/>
    <w:rsid w:val="00DB0934"/>
    <w:rsid w:val="00DB103F"/>
    <w:rsid w:val="00DB130A"/>
    <w:rsid w:val="00DB13C8"/>
    <w:rsid w:val="00DB2452"/>
    <w:rsid w:val="00DB2EE4"/>
    <w:rsid w:val="00DB3480"/>
    <w:rsid w:val="00DB39C5"/>
    <w:rsid w:val="00DB3C7D"/>
    <w:rsid w:val="00DB4586"/>
    <w:rsid w:val="00DB46C9"/>
    <w:rsid w:val="00DB46D1"/>
    <w:rsid w:val="00DB48E7"/>
    <w:rsid w:val="00DB51F9"/>
    <w:rsid w:val="00DB58A9"/>
    <w:rsid w:val="00DB5A72"/>
    <w:rsid w:val="00DB5BA5"/>
    <w:rsid w:val="00DB5E54"/>
    <w:rsid w:val="00DB66D3"/>
    <w:rsid w:val="00DB66F7"/>
    <w:rsid w:val="00DB6C18"/>
    <w:rsid w:val="00DB72FE"/>
    <w:rsid w:val="00DB784C"/>
    <w:rsid w:val="00DB786B"/>
    <w:rsid w:val="00DB79DB"/>
    <w:rsid w:val="00DC0127"/>
    <w:rsid w:val="00DC028B"/>
    <w:rsid w:val="00DC0772"/>
    <w:rsid w:val="00DC0B00"/>
    <w:rsid w:val="00DC0B83"/>
    <w:rsid w:val="00DC130C"/>
    <w:rsid w:val="00DC15DD"/>
    <w:rsid w:val="00DC192B"/>
    <w:rsid w:val="00DC1FF4"/>
    <w:rsid w:val="00DC2D01"/>
    <w:rsid w:val="00DC3316"/>
    <w:rsid w:val="00DC3E45"/>
    <w:rsid w:val="00DC43FB"/>
    <w:rsid w:val="00DC5182"/>
    <w:rsid w:val="00DC5632"/>
    <w:rsid w:val="00DC57F2"/>
    <w:rsid w:val="00DC581F"/>
    <w:rsid w:val="00DC58A4"/>
    <w:rsid w:val="00DC5F0E"/>
    <w:rsid w:val="00DC61A7"/>
    <w:rsid w:val="00DC63AD"/>
    <w:rsid w:val="00DC6724"/>
    <w:rsid w:val="00DC6B03"/>
    <w:rsid w:val="00DC6EF1"/>
    <w:rsid w:val="00DC6F6A"/>
    <w:rsid w:val="00DC6FE7"/>
    <w:rsid w:val="00DC713E"/>
    <w:rsid w:val="00DC752F"/>
    <w:rsid w:val="00DC7C52"/>
    <w:rsid w:val="00DD0332"/>
    <w:rsid w:val="00DD0835"/>
    <w:rsid w:val="00DD0D4D"/>
    <w:rsid w:val="00DD1617"/>
    <w:rsid w:val="00DD16E6"/>
    <w:rsid w:val="00DD24AC"/>
    <w:rsid w:val="00DD2603"/>
    <w:rsid w:val="00DD2771"/>
    <w:rsid w:val="00DD32B3"/>
    <w:rsid w:val="00DD349E"/>
    <w:rsid w:val="00DD3544"/>
    <w:rsid w:val="00DD3613"/>
    <w:rsid w:val="00DD3A3E"/>
    <w:rsid w:val="00DD3E33"/>
    <w:rsid w:val="00DD431B"/>
    <w:rsid w:val="00DD45F5"/>
    <w:rsid w:val="00DD47A2"/>
    <w:rsid w:val="00DD4986"/>
    <w:rsid w:val="00DD4FBE"/>
    <w:rsid w:val="00DD55C5"/>
    <w:rsid w:val="00DD5975"/>
    <w:rsid w:val="00DD59BB"/>
    <w:rsid w:val="00DD5DA1"/>
    <w:rsid w:val="00DD607A"/>
    <w:rsid w:val="00DD61C8"/>
    <w:rsid w:val="00DD68B8"/>
    <w:rsid w:val="00DD760F"/>
    <w:rsid w:val="00DD7779"/>
    <w:rsid w:val="00DD79C5"/>
    <w:rsid w:val="00DD7DFD"/>
    <w:rsid w:val="00DE0142"/>
    <w:rsid w:val="00DE08EB"/>
    <w:rsid w:val="00DE130E"/>
    <w:rsid w:val="00DE1F91"/>
    <w:rsid w:val="00DE2215"/>
    <w:rsid w:val="00DE28C5"/>
    <w:rsid w:val="00DE305D"/>
    <w:rsid w:val="00DE3AE0"/>
    <w:rsid w:val="00DE3C61"/>
    <w:rsid w:val="00DE4099"/>
    <w:rsid w:val="00DE40ED"/>
    <w:rsid w:val="00DE4CC0"/>
    <w:rsid w:val="00DE5280"/>
    <w:rsid w:val="00DE5FDC"/>
    <w:rsid w:val="00DE6030"/>
    <w:rsid w:val="00DE68BB"/>
    <w:rsid w:val="00DE68EB"/>
    <w:rsid w:val="00DE6B4C"/>
    <w:rsid w:val="00DE6C08"/>
    <w:rsid w:val="00DF049C"/>
    <w:rsid w:val="00DF0ADD"/>
    <w:rsid w:val="00DF0AFE"/>
    <w:rsid w:val="00DF0B89"/>
    <w:rsid w:val="00DF188C"/>
    <w:rsid w:val="00DF1BEF"/>
    <w:rsid w:val="00DF2CC2"/>
    <w:rsid w:val="00DF2E8C"/>
    <w:rsid w:val="00DF3029"/>
    <w:rsid w:val="00DF31BC"/>
    <w:rsid w:val="00DF3329"/>
    <w:rsid w:val="00DF4021"/>
    <w:rsid w:val="00DF4203"/>
    <w:rsid w:val="00DF4689"/>
    <w:rsid w:val="00DF52F4"/>
    <w:rsid w:val="00DF540E"/>
    <w:rsid w:val="00DF577E"/>
    <w:rsid w:val="00DF5798"/>
    <w:rsid w:val="00DF63D6"/>
    <w:rsid w:val="00DF68B8"/>
    <w:rsid w:val="00DF68DA"/>
    <w:rsid w:val="00DF6F50"/>
    <w:rsid w:val="00DF75AA"/>
    <w:rsid w:val="00DF76D9"/>
    <w:rsid w:val="00DF7892"/>
    <w:rsid w:val="00DF7996"/>
    <w:rsid w:val="00DF7B7F"/>
    <w:rsid w:val="00E0026A"/>
    <w:rsid w:val="00E008D6"/>
    <w:rsid w:val="00E00E57"/>
    <w:rsid w:val="00E010FA"/>
    <w:rsid w:val="00E013E9"/>
    <w:rsid w:val="00E01651"/>
    <w:rsid w:val="00E01D98"/>
    <w:rsid w:val="00E01EA9"/>
    <w:rsid w:val="00E01F24"/>
    <w:rsid w:val="00E0233A"/>
    <w:rsid w:val="00E02962"/>
    <w:rsid w:val="00E0358A"/>
    <w:rsid w:val="00E03B80"/>
    <w:rsid w:val="00E03C71"/>
    <w:rsid w:val="00E0407F"/>
    <w:rsid w:val="00E0497D"/>
    <w:rsid w:val="00E04B98"/>
    <w:rsid w:val="00E0516B"/>
    <w:rsid w:val="00E051C2"/>
    <w:rsid w:val="00E05930"/>
    <w:rsid w:val="00E05AE6"/>
    <w:rsid w:val="00E064E3"/>
    <w:rsid w:val="00E07C01"/>
    <w:rsid w:val="00E07F16"/>
    <w:rsid w:val="00E106D3"/>
    <w:rsid w:val="00E111A3"/>
    <w:rsid w:val="00E112D4"/>
    <w:rsid w:val="00E1131C"/>
    <w:rsid w:val="00E1144D"/>
    <w:rsid w:val="00E1218A"/>
    <w:rsid w:val="00E13315"/>
    <w:rsid w:val="00E138B0"/>
    <w:rsid w:val="00E1390E"/>
    <w:rsid w:val="00E139D6"/>
    <w:rsid w:val="00E13F2A"/>
    <w:rsid w:val="00E15AA6"/>
    <w:rsid w:val="00E163B1"/>
    <w:rsid w:val="00E163D2"/>
    <w:rsid w:val="00E16825"/>
    <w:rsid w:val="00E171BC"/>
    <w:rsid w:val="00E17282"/>
    <w:rsid w:val="00E17687"/>
    <w:rsid w:val="00E1788E"/>
    <w:rsid w:val="00E17EAC"/>
    <w:rsid w:val="00E2046C"/>
    <w:rsid w:val="00E20600"/>
    <w:rsid w:val="00E20658"/>
    <w:rsid w:val="00E20A53"/>
    <w:rsid w:val="00E21175"/>
    <w:rsid w:val="00E21DDD"/>
    <w:rsid w:val="00E2230B"/>
    <w:rsid w:val="00E22BDD"/>
    <w:rsid w:val="00E22D30"/>
    <w:rsid w:val="00E22D77"/>
    <w:rsid w:val="00E22FB1"/>
    <w:rsid w:val="00E23108"/>
    <w:rsid w:val="00E2310C"/>
    <w:rsid w:val="00E233E0"/>
    <w:rsid w:val="00E233EC"/>
    <w:rsid w:val="00E2377C"/>
    <w:rsid w:val="00E237BE"/>
    <w:rsid w:val="00E24CCD"/>
    <w:rsid w:val="00E25164"/>
    <w:rsid w:val="00E256E9"/>
    <w:rsid w:val="00E25F65"/>
    <w:rsid w:val="00E2660B"/>
    <w:rsid w:val="00E26697"/>
    <w:rsid w:val="00E26896"/>
    <w:rsid w:val="00E278AD"/>
    <w:rsid w:val="00E279A4"/>
    <w:rsid w:val="00E30645"/>
    <w:rsid w:val="00E308E0"/>
    <w:rsid w:val="00E309E9"/>
    <w:rsid w:val="00E30B51"/>
    <w:rsid w:val="00E30DCF"/>
    <w:rsid w:val="00E31E1C"/>
    <w:rsid w:val="00E31ED9"/>
    <w:rsid w:val="00E31F27"/>
    <w:rsid w:val="00E3270D"/>
    <w:rsid w:val="00E331F1"/>
    <w:rsid w:val="00E33233"/>
    <w:rsid w:val="00E33D85"/>
    <w:rsid w:val="00E34531"/>
    <w:rsid w:val="00E34AF3"/>
    <w:rsid w:val="00E34FF0"/>
    <w:rsid w:val="00E35092"/>
    <w:rsid w:val="00E353A1"/>
    <w:rsid w:val="00E3576A"/>
    <w:rsid w:val="00E358D4"/>
    <w:rsid w:val="00E35FF1"/>
    <w:rsid w:val="00E366A9"/>
    <w:rsid w:val="00E36700"/>
    <w:rsid w:val="00E36D0F"/>
    <w:rsid w:val="00E37ADD"/>
    <w:rsid w:val="00E37C7A"/>
    <w:rsid w:val="00E41032"/>
    <w:rsid w:val="00E41477"/>
    <w:rsid w:val="00E42289"/>
    <w:rsid w:val="00E4276C"/>
    <w:rsid w:val="00E429E8"/>
    <w:rsid w:val="00E42FF5"/>
    <w:rsid w:val="00E43033"/>
    <w:rsid w:val="00E43255"/>
    <w:rsid w:val="00E436B7"/>
    <w:rsid w:val="00E44204"/>
    <w:rsid w:val="00E445CC"/>
    <w:rsid w:val="00E44ABA"/>
    <w:rsid w:val="00E44B83"/>
    <w:rsid w:val="00E44C5E"/>
    <w:rsid w:val="00E4523D"/>
    <w:rsid w:val="00E45632"/>
    <w:rsid w:val="00E45DD3"/>
    <w:rsid w:val="00E46A88"/>
    <w:rsid w:val="00E46DFE"/>
    <w:rsid w:val="00E47DFA"/>
    <w:rsid w:val="00E501E0"/>
    <w:rsid w:val="00E5087F"/>
    <w:rsid w:val="00E51058"/>
    <w:rsid w:val="00E52025"/>
    <w:rsid w:val="00E52630"/>
    <w:rsid w:val="00E52DDE"/>
    <w:rsid w:val="00E52F65"/>
    <w:rsid w:val="00E5341D"/>
    <w:rsid w:val="00E54C16"/>
    <w:rsid w:val="00E56102"/>
    <w:rsid w:val="00E564C6"/>
    <w:rsid w:val="00E566FA"/>
    <w:rsid w:val="00E56E27"/>
    <w:rsid w:val="00E56FBA"/>
    <w:rsid w:val="00E57078"/>
    <w:rsid w:val="00E573C6"/>
    <w:rsid w:val="00E576B4"/>
    <w:rsid w:val="00E609E0"/>
    <w:rsid w:val="00E60C35"/>
    <w:rsid w:val="00E61723"/>
    <w:rsid w:val="00E61A73"/>
    <w:rsid w:val="00E61D91"/>
    <w:rsid w:val="00E61ECE"/>
    <w:rsid w:val="00E61FC2"/>
    <w:rsid w:val="00E61FED"/>
    <w:rsid w:val="00E637E4"/>
    <w:rsid w:val="00E63876"/>
    <w:rsid w:val="00E63950"/>
    <w:rsid w:val="00E6469A"/>
    <w:rsid w:val="00E648F5"/>
    <w:rsid w:val="00E64EA8"/>
    <w:rsid w:val="00E65025"/>
    <w:rsid w:val="00E652AC"/>
    <w:rsid w:val="00E663DA"/>
    <w:rsid w:val="00E66655"/>
    <w:rsid w:val="00E666F0"/>
    <w:rsid w:val="00E66FB0"/>
    <w:rsid w:val="00E6707C"/>
    <w:rsid w:val="00E67557"/>
    <w:rsid w:val="00E67561"/>
    <w:rsid w:val="00E67B58"/>
    <w:rsid w:val="00E67C75"/>
    <w:rsid w:val="00E70328"/>
    <w:rsid w:val="00E70DBE"/>
    <w:rsid w:val="00E70F46"/>
    <w:rsid w:val="00E712F0"/>
    <w:rsid w:val="00E71341"/>
    <w:rsid w:val="00E713A0"/>
    <w:rsid w:val="00E71B8F"/>
    <w:rsid w:val="00E71C82"/>
    <w:rsid w:val="00E72ACA"/>
    <w:rsid w:val="00E72CD9"/>
    <w:rsid w:val="00E737DA"/>
    <w:rsid w:val="00E73AF0"/>
    <w:rsid w:val="00E746DB"/>
    <w:rsid w:val="00E74B3D"/>
    <w:rsid w:val="00E75593"/>
    <w:rsid w:val="00E75D28"/>
    <w:rsid w:val="00E75FD7"/>
    <w:rsid w:val="00E7640C"/>
    <w:rsid w:val="00E76E4C"/>
    <w:rsid w:val="00E77004"/>
    <w:rsid w:val="00E77B06"/>
    <w:rsid w:val="00E77CC4"/>
    <w:rsid w:val="00E806C1"/>
    <w:rsid w:val="00E80749"/>
    <w:rsid w:val="00E807BD"/>
    <w:rsid w:val="00E81230"/>
    <w:rsid w:val="00E81F82"/>
    <w:rsid w:val="00E83F86"/>
    <w:rsid w:val="00E8442B"/>
    <w:rsid w:val="00E8522C"/>
    <w:rsid w:val="00E852F2"/>
    <w:rsid w:val="00E85CCE"/>
    <w:rsid w:val="00E85F21"/>
    <w:rsid w:val="00E86532"/>
    <w:rsid w:val="00E865A8"/>
    <w:rsid w:val="00E865C7"/>
    <w:rsid w:val="00E86626"/>
    <w:rsid w:val="00E8666C"/>
    <w:rsid w:val="00E86BBB"/>
    <w:rsid w:val="00E86C74"/>
    <w:rsid w:val="00E878C0"/>
    <w:rsid w:val="00E87FBF"/>
    <w:rsid w:val="00E901AB"/>
    <w:rsid w:val="00E909B6"/>
    <w:rsid w:val="00E90F77"/>
    <w:rsid w:val="00E9107C"/>
    <w:rsid w:val="00E91345"/>
    <w:rsid w:val="00E917C6"/>
    <w:rsid w:val="00E9181D"/>
    <w:rsid w:val="00E926D9"/>
    <w:rsid w:val="00E92E3B"/>
    <w:rsid w:val="00E931D2"/>
    <w:rsid w:val="00E93913"/>
    <w:rsid w:val="00E945D5"/>
    <w:rsid w:val="00E945E5"/>
    <w:rsid w:val="00E9561B"/>
    <w:rsid w:val="00E956EC"/>
    <w:rsid w:val="00E959BA"/>
    <w:rsid w:val="00E95B00"/>
    <w:rsid w:val="00E95D26"/>
    <w:rsid w:val="00E964E4"/>
    <w:rsid w:val="00E96A92"/>
    <w:rsid w:val="00E96D94"/>
    <w:rsid w:val="00E975F5"/>
    <w:rsid w:val="00E978DC"/>
    <w:rsid w:val="00EA09DD"/>
    <w:rsid w:val="00EA1626"/>
    <w:rsid w:val="00EA22F4"/>
    <w:rsid w:val="00EA25C6"/>
    <w:rsid w:val="00EA327E"/>
    <w:rsid w:val="00EA3489"/>
    <w:rsid w:val="00EA3BCA"/>
    <w:rsid w:val="00EA4268"/>
    <w:rsid w:val="00EA436B"/>
    <w:rsid w:val="00EA445B"/>
    <w:rsid w:val="00EA48C7"/>
    <w:rsid w:val="00EA4B8A"/>
    <w:rsid w:val="00EA50B0"/>
    <w:rsid w:val="00EA52F7"/>
    <w:rsid w:val="00EA5E20"/>
    <w:rsid w:val="00EA5E55"/>
    <w:rsid w:val="00EA5E93"/>
    <w:rsid w:val="00EA5F40"/>
    <w:rsid w:val="00EA633B"/>
    <w:rsid w:val="00EA6963"/>
    <w:rsid w:val="00EA6BC9"/>
    <w:rsid w:val="00EA763F"/>
    <w:rsid w:val="00EA7647"/>
    <w:rsid w:val="00EA78C6"/>
    <w:rsid w:val="00EA7CE1"/>
    <w:rsid w:val="00EA7DE4"/>
    <w:rsid w:val="00EA7E2F"/>
    <w:rsid w:val="00EA7EB8"/>
    <w:rsid w:val="00EB0201"/>
    <w:rsid w:val="00EB02C3"/>
    <w:rsid w:val="00EB0C63"/>
    <w:rsid w:val="00EB156F"/>
    <w:rsid w:val="00EB23C0"/>
    <w:rsid w:val="00EB2A72"/>
    <w:rsid w:val="00EB2AA1"/>
    <w:rsid w:val="00EB2B89"/>
    <w:rsid w:val="00EB2CD4"/>
    <w:rsid w:val="00EB2D78"/>
    <w:rsid w:val="00EB2E6E"/>
    <w:rsid w:val="00EB35F6"/>
    <w:rsid w:val="00EB3A90"/>
    <w:rsid w:val="00EB3BEE"/>
    <w:rsid w:val="00EB3DA6"/>
    <w:rsid w:val="00EB3ED0"/>
    <w:rsid w:val="00EB42D4"/>
    <w:rsid w:val="00EB4613"/>
    <w:rsid w:val="00EB4F11"/>
    <w:rsid w:val="00EB53C0"/>
    <w:rsid w:val="00EB59BC"/>
    <w:rsid w:val="00EB5AF9"/>
    <w:rsid w:val="00EB5F90"/>
    <w:rsid w:val="00EB64EE"/>
    <w:rsid w:val="00EB75FA"/>
    <w:rsid w:val="00EB7766"/>
    <w:rsid w:val="00EB77D5"/>
    <w:rsid w:val="00EB7EB0"/>
    <w:rsid w:val="00EC053B"/>
    <w:rsid w:val="00EC0B6F"/>
    <w:rsid w:val="00EC1498"/>
    <w:rsid w:val="00EC1562"/>
    <w:rsid w:val="00EC1871"/>
    <w:rsid w:val="00EC1FC0"/>
    <w:rsid w:val="00EC2033"/>
    <w:rsid w:val="00EC2775"/>
    <w:rsid w:val="00EC2D99"/>
    <w:rsid w:val="00EC31DF"/>
    <w:rsid w:val="00EC335F"/>
    <w:rsid w:val="00EC3424"/>
    <w:rsid w:val="00EC3837"/>
    <w:rsid w:val="00EC45F3"/>
    <w:rsid w:val="00EC4871"/>
    <w:rsid w:val="00EC49E2"/>
    <w:rsid w:val="00EC4D49"/>
    <w:rsid w:val="00EC4EC7"/>
    <w:rsid w:val="00EC55F7"/>
    <w:rsid w:val="00EC5CB4"/>
    <w:rsid w:val="00EC5CFB"/>
    <w:rsid w:val="00EC6E44"/>
    <w:rsid w:val="00EC7C55"/>
    <w:rsid w:val="00EC7EEB"/>
    <w:rsid w:val="00EC95B6"/>
    <w:rsid w:val="00ED00E8"/>
    <w:rsid w:val="00ED04D4"/>
    <w:rsid w:val="00ED07A0"/>
    <w:rsid w:val="00ED09E7"/>
    <w:rsid w:val="00ED0CFA"/>
    <w:rsid w:val="00ED12E6"/>
    <w:rsid w:val="00ED178B"/>
    <w:rsid w:val="00ED1D94"/>
    <w:rsid w:val="00ED228D"/>
    <w:rsid w:val="00ED22C7"/>
    <w:rsid w:val="00ED267D"/>
    <w:rsid w:val="00ED2828"/>
    <w:rsid w:val="00ED294B"/>
    <w:rsid w:val="00ED2DCE"/>
    <w:rsid w:val="00ED3419"/>
    <w:rsid w:val="00ED35A4"/>
    <w:rsid w:val="00ED3638"/>
    <w:rsid w:val="00ED387E"/>
    <w:rsid w:val="00ED3DB1"/>
    <w:rsid w:val="00ED3E37"/>
    <w:rsid w:val="00ED4035"/>
    <w:rsid w:val="00ED45A9"/>
    <w:rsid w:val="00ED466F"/>
    <w:rsid w:val="00ED47B6"/>
    <w:rsid w:val="00ED4C25"/>
    <w:rsid w:val="00ED4F43"/>
    <w:rsid w:val="00ED506B"/>
    <w:rsid w:val="00ED5335"/>
    <w:rsid w:val="00ED56C7"/>
    <w:rsid w:val="00ED5B18"/>
    <w:rsid w:val="00ED5CA1"/>
    <w:rsid w:val="00ED6020"/>
    <w:rsid w:val="00ED66B2"/>
    <w:rsid w:val="00ED711D"/>
    <w:rsid w:val="00ED787C"/>
    <w:rsid w:val="00ED7C36"/>
    <w:rsid w:val="00ED7E6B"/>
    <w:rsid w:val="00EE0102"/>
    <w:rsid w:val="00EE0A75"/>
    <w:rsid w:val="00EE0B85"/>
    <w:rsid w:val="00EE1258"/>
    <w:rsid w:val="00EE2192"/>
    <w:rsid w:val="00EE2867"/>
    <w:rsid w:val="00EE2976"/>
    <w:rsid w:val="00EE2E28"/>
    <w:rsid w:val="00EE36A0"/>
    <w:rsid w:val="00EE3857"/>
    <w:rsid w:val="00EE393F"/>
    <w:rsid w:val="00EE4135"/>
    <w:rsid w:val="00EE474B"/>
    <w:rsid w:val="00EE4F89"/>
    <w:rsid w:val="00EE52A0"/>
    <w:rsid w:val="00EE55C2"/>
    <w:rsid w:val="00EE5A59"/>
    <w:rsid w:val="00EE5AB3"/>
    <w:rsid w:val="00EE5BD3"/>
    <w:rsid w:val="00EE5D66"/>
    <w:rsid w:val="00EE6165"/>
    <w:rsid w:val="00EE63DD"/>
    <w:rsid w:val="00EE65AA"/>
    <w:rsid w:val="00EE663D"/>
    <w:rsid w:val="00EE6DEB"/>
    <w:rsid w:val="00EE79A9"/>
    <w:rsid w:val="00EE7B67"/>
    <w:rsid w:val="00EE7DF1"/>
    <w:rsid w:val="00EF05C2"/>
    <w:rsid w:val="00EF068E"/>
    <w:rsid w:val="00EF0AF4"/>
    <w:rsid w:val="00EF137A"/>
    <w:rsid w:val="00EF20CF"/>
    <w:rsid w:val="00EF2F67"/>
    <w:rsid w:val="00EF3842"/>
    <w:rsid w:val="00EF3C15"/>
    <w:rsid w:val="00EF3E52"/>
    <w:rsid w:val="00EF3E7E"/>
    <w:rsid w:val="00EF45B5"/>
    <w:rsid w:val="00EF52A3"/>
    <w:rsid w:val="00EF59EC"/>
    <w:rsid w:val="00EF5CAA"/>
    <w:rsid w:val="00EF612D"/>
    <w:rsid w:val="00EF6B3B"/>
    <w:rsid w:val="00EF70DB"/>
    <w:rsid w:val="00EF7173"/>
    <w:rsid w:val="00EF75F8"/>
    <w:rsid w:val="00EF79E6"/>
    <w:rsid w:val="00EF7E35"/>
    <w:rsid w:val="00EF7E3B"/>
    <w:rsid w:val="00F00445"/>
    <w:rsid w:val="00F0056F"/>
    <w:rsid w:val="00F00C1F"/>
    <w:rsid w:val="00F013AF"/>
    <w:rsid w:val="00F0141B"/>
    <w:rsid w:val="00F017DE"/>
    <w:rsid w:val="00F01BAF"/>
    <w:rsid w:val="00F01C0F"/>
    <w:rsid w:val="00F01C2D"/>
    <w:rsid w:val="00F022E5"/>
    <w:rsid w:val="00F02BC0"/>
    <w:rsid w:val="00F03754"/>
    <w:rsid w:val="00F038DA"/>
    <w:rsid w:val="00F03CE8"/>
    <w:rsid w:val="00F047E1"/>
    <w:rsid w:val="00F04C29"/>
    <w:rsid w:val="00F04E94"/>
    <w:rsid w:val="00F054AB"/>
    <w:rsid w:val="00F05881"/>
    <w:rsid w:val="00F05BB7"/>
    <w:rsid w:val="00F05D21"/>
    <w:rsid w:val="00F06421"/>
    <w:rsid w:val="00F066DE"/>
    <w:rsid w:val="00F06AB1"/>
    <w:rsid w:val="00F06CA7"/>
    <w:rsid w:val="00F07023"/>
    <w:rsid w:val="00F077B6"/>
    <w:rsid w:val="00F07E8F"/>
    <w:rsid w:val="00F10023"/>
    <w:rsid w:val="00F1020A"/>
    <w:rsid w:val="00F10D3D"/>
    <w:rsid w:val="00F11130"/>
    <w:rsid w:val="00F11367"/>
    <w:rsid w:val="00F11599"/>
    <w:rsid w:val="00F11994"/>
    <w:rsid w:val="00F1279B"/>
    <w:rsid w:val="00F128ED"/>
    <w:rsid w:val="00F1358E"/>
    <w:rsid w:val="00F13F4C"/>
    <w:rsid w:val="00F14284"/>
    <w:rsid w:val="00F14553"/>
    <w:rsid w:val="00F14C03"/>
    <w:rsid w:val="00F152AD"/>
    <w:rsid w:val="00F1541A"/>
    <w:rsid w:val="00F15BF1"/>
    <w:rsid w:val="00F1603C"/>
    <w:rsid w:val="00F166BD"/>
    <w:rsid w:val="00F16AD8"/>
    <w:rsid w:val="00F16F50"/>
    <w:rsid w:val="00F17206"/>
    <w:rsid w:val="00F17AD4"/>
    <w:rsid w:val="00F17BE6"/>
    <w:rsid w:val="00F20026"/>
    <w:rsid w:val="00F2019B"/>
    <w:rsid w:val="00F20F2F"/>
    <w:rsid w:val="00F21373"/>
    <w:rsid w:val="00F22261"/>
    <w:rsid w:val="00F22422"/>
    <w:rsid w:val="00F22BF7"/>
    <w:rsid w:val="00F2446E"/>
    <w:rsid w:val="00F24B2F"/>
    <w:rsid w:val="00F251DE"/>
    <w:rsid w:val="00F25BDA"/>
    <w:rsid w:val="00F25E0D"/>
    <w:rsid w:val="00F25EF7"/>
    <w:rsid w:val="00F260EC"/>
    <w:rsid w:val="00F26157"/>
    <w:rsid w:val="00F26839"/>
    <w:rsid w:val="00F26B0A"/>
    <w:rsid w:val="00F27099"/>
    <w:rsid w:val="00F271DB"/>
    <w:rsid w:val="00F277B0"/>
    <w:rsid w:val="00F2797C"/>
    <w:rsid w:val="00F301DB"/>
    <w:rsid w:val="00F30BB9"/>
    <w:rsid w:val="00F30FD9"/>
    <w:rsid w:val="00F31B6A"/>
    <w:rsid w:val="00F31EED"/>
    <w:rsid w:val="00F320A9"/>
    <w:rsid w:val="00F32568"/>
    <w:rsid w:val="00F32726"/>
    <w:rsid w:val="00F32936"/>
    <w:rsid w:val="00F32CB5"/>
    <w:rsid w:val="00F32DF6"/>
    <w:rsid w:val="00F32E8B"/>
    <w:rsid w:val="00F33352"/>
    <w:rsid w:val="00F3393A"/>
    <w:rsid w:val="00F33B96"/>
    <w:rsid w:val="00F33E57"/>
    <w:rsid w:val="00F34626"/>
    <w:rsid w:val="00F34D34"/>
    <w:rsid w:val="00F357D6"/>
    <w:rsid w:val="00F35C5B"/>
    <w:rsid w:val="00F3617A"/>
    <w:rsid w:val="00F36818"/>
    <w:rsid w:val="00F3691B"/>
    <w:rsid w:val="00F37058"/>
    <w:rsid w:val="00F40ABD"/>
    <w:rsid w:val="00F411A8"/>
    <w:rsid w:val="00F4127C"/>
    <w:rsid w:val="00F41548"/>
    <w:rsid w:val="00F415FE"/>
    <w:rsid w:val="00F420BF"/>
    <w:rsid w:val="00F422E3"/>
    <w:rsid w:val="00F4294C"/>
    <w:rsid w:val="00F4325F"/>
    <w:rsid w:val="00F433BE"/>
    <w:rsid w:val="00F4350A"/>
    <w:rsid w:val="00F44012"/>
    <w:rsid w:val="00F4416B"/>
    <w:rsid w:val="00F441BD"/>
    <w:rsid w:val="00F44DBB"/>
    <w:rsid w:val="00F457B9"/>
    <w:rsid w:val="00F4632B"/>
    <w:rsid w:val="00F465C0"/>
    <w:rsid w:val="00F4689D"/>
    <w:rsid w:val="00F46C19"/>
    <w:rsid w:val="00F47428"/>
    <w:rsid w:val="00F50276"/>
    <w:rsid w:val="00F50A8A"/>
    <w:rsid w:val="00F50CF2"/>
    <w:rsid w:val="00F50E29"/>
    <w:rsid w:val="00F51D51"/>
    <w:rsid w:val="00F52777"/>
    <w:rsid w:val="00F52966"/>
    <w:rsid w:val="00F52E40"/>
    <w:rsid w:val="00F52EFD"/>
    <w:rsid w:val="00F530D3"/>
    <w:rsid w:val="00F537F5"/>
    <w:rsid w:val="00F53EF4"/>
    <w:rsid w:val="00F540D3"/>
    <w:rsid w:val="00F54D1E"/>
    <w:rsid w:val="00F558CE"/>
    <w:rsid w:val="00F55A95"/>
    <w:rsid w:val="00F56298"/>
    <w:rsid w:val="00F56CBA"/>
    <w:rsid w:val="00F57A2F"/>
    <w:rsid w:val="00F60AA7"/>
    <w:rsid w:val="00F60BE1"/>
    <w:rsid w:val="00F61A10"/>
    <w:rsid w:val="00F62065"/>
    <w:rsid w:val="00F627A3"/>
    <w:rsid w:val="00F62862"/>
    <w:rsid w:val="00F63373"/>
    <w:rsid w:val="00F633F9"/>
    <w:rsid w:val="00F63686"/>
    <w:rsid w:val="00F63B0F"/>
    <w:rsid w:val="00F63E40"/>
    <w:rsid w:val="00F63F65"/>
    <w:rsid w:val="00F63FB3"/>
    <w:rsid w:val="00F64163"/>
    <w:rsid w:val="00F641EA"/>
    <w:rsid w:val="00F64375"/>
    <w:rsid w:val="00F644D9"/>
    <w:rsid w:val="00F6470F"/>
    <w:rsid w:val="00F6482B"/>
    <w:rsid w:val="00F648BC"/>
    <w:rsid w:val="00F65490"/>
    <w:rsid w:val="00F65BCD"/>
    <w:rsid w:val="00F66401"/>
    <w:rsid w:val="00F6647E"/>
    <w:rsid w:val="00F66637"/>
    <w:rsid w:val="00F669DB"/>
    <w:rsid w:val="00F66C23"/>
    <w:rsid w:val="00F66E6C"/>
    <w:rsid w:val="00F67B02"/>
    <w:rsid w:val="00F67F28"/>
    <w:rsid w:val="00F7003B"/>
    <w:rsid w:val="00F70381"/>
    <w:rsid w:val="00F7161B"/>
    <w:rsid w:val="00F718C2"/>
    <w:rsid w:val="00F71910"/>
    <w:rsid w:val="00F71BB8"/>
    <w:rsid w:val="00F72272"/>
    <w:rsid w:val="00F72348"/>
    <w:rsid w:val="00F726D6"/>
    <w:rsid w:val="00F72873"/>
    <w:rsid w:val="00F729D2"/>
    <w:rsid w:val="00F72F6F"/>
    <w:rsid w:val="00F733D2"/>
    <w:rsid w:val="00F734DD"/>
    <w:rsid w:val="00F73D40"/>
    <w:rsid w:val="00F73D44"/>
    <w:rsid w:val="00F73FC7"/>
    <w:rsid w:val="00F74002"/>
    <w:rsid w:val="00F74153"/>
    <w:rsid w:val="00F74329"/>
    <w:rsid w:val="00F75183"/>
    <w:rsid w:val="00F7555C"/>
    <w:rsid w:val="00F7596E"/>
    <w:rsid w:val="00F75D65"/>
    <w:rsid w:val="00F7623E"/>
    <w:rsid w:val="00F76738"/>
    <w:rsid w:val="00F76AE3"/>
    <w:rsid w:val="00F76B20"/>
    <w:rsid w:val="00F77752"/>
    <w:rsid w:val="00F777F2"/>
    <w:rsid w:val="00F8085C"/>
    <w:rsid w:val="00F81151"/>
    <w:rsid w:val="00F811D1"/>
    <w:rsid w:val="00F816DC"/>
    <w:rsid w:val="00F81B28"/>
    <w:rsid w:val="00F81F72"/>
    <w:rsid w:val="00F820AE"/>
    <w:rsid w:val="00F824FA"/>
    <w:rsid w:val="00F8296A"/>
    <w:rsid w:val="00F842B9"/>
    <w:rsid w:val="00F84369"/>
    <w:rsid w:val="00F847D2"/>
    <w:rsid w:val="00F84881"/>
    <w:rsid w:val="00F84A6D"/>
    <w:rsid w:val="00F8540D"/>
    <w:rsid w:val="00F85695"/>
    <w:rsid w:val="00F857B1"/>
    <w:rsid w:val="00F85A18"/>
    <w:rsid w:val="00F85A91"/>
    <w:rsid w:val="00F866B4"/>
    <w:rsid w:val="00F874B3"/>
    <w:rsid w:val="00F875C7"/>
    <w:rsid w:val="00F87EB2"/>
    <w:rsid w:val="00F90868"/>
    <w:rsid w:val="00F90971"/>
    <w:rsid w:val="00F90B7D"/>
    <w:rsid w:val="00F90E6E"/>
    <w:rsid w:val="00F910BC"/>
    <w:rsid w:val="00F91609"/>
    <w:rsid w:val="00F91FDD"/>
    <w:rsid w:val="00F92198"/>
    <w:rsid w:val="00F92378"/>
    <w:rsid w:val="00F92726"/>
    <w:rsid w:val="00F92965"/>
    <w:rsid w:val="00F92BF6"/>
    <w:rsid w:val="00F92FF5"/>
    <w:rsid w:val="00F936F9"/>
    <w:rsid w:val="00F93711"/>
    <w:rsid w:val="00F93A82"/>
    <w:rsid w:val="00F93FCA"/>
    <w:rsid w:val="00F940B2"/>
    <w:rsid w:val="00F9442D"/>
    <w:rsid w:val="00F94780"/>
    <w:rsid w:val="00F95BD6"/>
    <w:rsid w:val="00F963CD"/>
    <w:rsid w:val="00F96898"/>
    <w:rsid w:val="00F9731D"/>
    <w:rsid w:val="00F97720"/>
    <w:rsid w:val="00F97A34"/>
    <w:rsid w:val="00F97ACE"/>
    <w:rsid w:val="00F97FEF"/>
    <w:rsid w:val="00FA1794"/>
    <w:rsid w:val="00FA1A48"/>
    <w:rsid w:val="00FA20D8"/>
    <w:rsid w:val="00FA2216"/>
    <w:rsid w:val="00FA23C2"/>
    <w:rsid w:val="00FA2607"/>
    <w:rsid w:val="00FA324B"/>
    <w:rsid w:val="00FA3C7B"/>
    <w:rsid w:val="00FA4922"/>
    <w:rsid w:val="00FA4C0E"/>
    <w:rsid w:val="00FA4C9F"/>
    <w:rsid w:val="00FA4D38"/>
    <w:rsid w:val="00FA52D0"/>
    <w:rsid w:val="00FA55B4"/>
    <w:rsid w:val="00FA6551"/>
    <w:rsid w:val="00FA6713"/>
    <w:rsid w:val="00FA67F1"/>
    <w:rsid w:val="00FA68C9"/>
    <w:rsid w:val="00FA71A8"/>
    <w:rsid w:val="00FA7517"/>
    <w:rsid w:val="00FA7707"/>
    <w:rsid w:val="00FA77DD"/>
    <w:rsid w:val="00FA7E56"/>
    <w:rsid w:val="00FB00B6"/>
    <w:rsid w:val="00FB1042"/>
    <w:rsid w:val="00FB1509"/>
    <w:rsid w:val="00FB1C7C"/>
    <w:rsid w:val="00FB1DBA"/>
    <w:rsid w:val="00FB2378"/>
    <w:rsid w:val="00FB267D"/>
    <w:rsid w:val="00FB3436"/>
    <w:rsid w:val="00FB3850"/>
    <w:rsid w:val="00FB3C6B"/>
    <w:rsid w:val="00FB467B"/>
    <w:rsid w:val="00FB4C6D"/>
    <w:rsid w:val="00FB4D25"/>
    <w:rsid w:val="00FB4DEE"/>
    <w:rsid w:val="00FB52BF"/>
    <w:rsid w:val="00FB538F"/>
    <w:rsid w:val="00FB5A2F"/>
    <w:rsid w:val="00FB5E34"/>
    <w:rsid w:val="00FB6676"/>
    <w:rsid w:val="00FB6DDB"/>
    <w:rsid w:val="00FC01A6"/>
    <w:rsid w:val="00FC0439"/>
    <w:rsid w:val="00FC1437"/>
    <w:rsid w:val="00FC1A19"/>
    <w:rsid w:val="00FC2A62"/>
    <w:rsid w:val="00FC2AC1"/>
    <w:rsid w:val="00FC2B68"/>
    <w:rsid w:val="00FC395D"/>
    <w:rsid w:val="00FC397F"/>
    <w:rsid w:val="00FC4303"/>
    <w:rsid w:val="00FC48AB"/>
    <w:rsid w:val="00FC4B85"/>
    <w:rsid w:val="00FC4C2A"/>
    <w:rsid w:val="00FC4F5D"/>
    <w:rsid w:val="00FC5048"/>
    <w:rsid w:val="00FC516A"/>
    <w:rsid w:val="00FC5296"/>
    <w:rsid w:val="00FC52F4"/>
    <w:rsid w:val="00FC5A68"/>
    <w:rsid w:val="00FC6817"/>
    <w:rsid w:val="00FC6B05"/>
    <w:rsid w:val="00FC6BD7"/>
    <w:rsid w:val="00FC6E32"/>
    <w:rsid w:val="00FC6FCE"/>
    <w:rsid w:val="00FC77F6"/>
    <w:rsid w:val="00FD0AFB"/>
    <w:rsid w:val="00FD1E50"/>
    <w:rsid w:val="00FD1EA5"/>
    <w:rsid w:val="00FD1F54"/>
    <w:rsid w:val="00FD22D0"/>
    <w:rsid w:val="00FD2C2A"/>
    <w:rsid w:val="00FD3174"/>
    <w:rsid w:val="00FD3B3C"/>
    <w:rsid w:val="00FD3BD0"/>
    <w:rsid w:val="00FD5514"/>
    <w:rsid w:val="00FD56F0"/>
    <w:rsid w:val="00FD5A51"/>
    <w:rsid w:val="00FD5A8A"/>
    <w:rsid w:val="00FD5E2C"/>
    <w:rsid w:val="00FD605C"/>
    <w:rsid w:val="00FD6BC1"/>
    <w:rsid w:val="00FD7311"/>
    <w:rsid w:val="00FD7449"/>
    <w:rsid w:val="00FD7A86"/>
    <w:rsid w:val="00FD7B95"/>
    <w:rsid w:val="00FD7C3F"/>
    <w:rsid w:val="00FE08FD"/>
    <w:rsid w:val="00FE1166"/>
    <w:rsid w:val="00FE17EE"/>
    <w:rsid w:val="00FE2045"/>
    <w:rsid w:val="00FE27C9"/>
    <w:rsid w:val="00FE2852"/>
    <w:rsid w:val="00FE286A"/>
    <w:rsid w:val="00FE2F6C"/>
    <w:rsid w:val="00FE3037"/>
    <w:rsid w:val="00FE3AC8"/>
    <w:rsid w:val="00FE4101"/>
    <w:rsid w:val="00FE46EA"/>
    <w:rsid w:val="00FE4AC1"/>
    <w:rsid w:val="00FE5634"/>
    <w:rsid w:val="00FE5732"/>
    <w:rsid w:val="00FE5B9E"/>
    <w:rsid w:val="00FE5C0C"/>
    <w:rsid w:val="00FE5DBD"/>
    <w:rsid w:val="00FE6D04"/>
    <w:rsid w:val="00FE7C5A"/>
    <w:rsid w:val="00FF029D"/>
    <w:rsid w:val="00FF0A91"/>
    <w:rsid w:val="00FF0CF8"/>
    <w:rsid w:val="00FF1C74"/>
    <w:rsid w:val="00FF1F77"/>
    <w:rsid w:val="00FF27DD"/>
    <w:rsid w:val="00FF2A6E"/>
    <w:rsid w:val="00FF2FD0"/>
    <w:rsid w:val="00FF34F3"/>
    <w:rsid w:val="00FF37A8"/>
    <w:rsid w:val="00FF3C0F"/>
    <w:rsid w:val="00FF3D27"/>
    <w:rsid w:val="00FF4138"/>
    <w:rsid w:val="00FF497C"/>
    <w:rsid w:val="00FF4A83"/>
    <w:rsid w:val="00FF4D30"/>
    <w:rsid w:val="00FF4D9A"/>
    <w:rsid w:val="00FF5374"/>
    <w:rsid w:val="00FF569E"/>
    <w:rsid w:val="00FF570A"/>
    <w:rsid w:val="00FF591D"/>
    <w:rsid w:val="00FF5B2E"/>
    <w:rsid w:val="00FF684A"/>
    <w:rsid w:val="00FF6BA0"/>
    <w:rsid w:val="00FF6CE5"/>
    <w:rsid w:val="00FF775D"/>
    <w:rsid w:val="00FF78F9"/>
    <w:rsid w:val="01A05152"/>
    <w:rsid w:val="0270B54A"/>
    <w:rsid w:val="039E48C6"/>
    <w:rsid w:val="03E67276"/>
    <w:rsid w:val="0497E8BB"/>
    <w:rsid w:val="049F2760"/>
    <w:rsid w:val="04A6D77D"/>
    <w:rsid w:val="0513D106"/>
    <w:rsid w:val="08023983"/>
    <w:rsid w:val="0897BC67"/>
    <w:rsid w:val="08CD497F"/>
    <w:rsid w:val="0F08DC3A"/>
    <w:rsid w:val="0F5A7CDA"/>
    <w:rsid w:val="0F5D22BB"/>
    <w:rsid w:val="114B1A48"/>
    <w:rsid w:val="1292F8F8"/>
    <w:rsid w:val="1375BD82"/>
    <w:rsid w:val="14ED7A06"/>
    <w:rsid w:val="169EB99E"/>
    <w:rsid w:val="17B271DD"/>
    <w:rsid w:val="188B25A4"/>
    <w:rsid w:val="18CA5B17"/>
    <w:rsid w:val="18D83574"/>
    <w:rsid w:val="1B905F19"/>
    <w:rsid w:val="1C991671"/>
    <w:rsid w:val="1EFD3542"/>
    <w:rsid w:val="1FB69898"/>
    <w:rsid w:val="20B8F633"/>
    <w:rsid w:val="219032AD"/>
    <w:rsid w:val="224415E3"/>
    <w:rsid w:val="22E871FD"/>
    <w:rsid w:val="23A2D1A4"/>
    <w:rsid w:val="24329987"/>
    <w:rsid w:val="2673B0B2"/>
    <w:rsid w:val="271E7E8C"/>
    <w:rsid w:val="27B74B7C"/>
    <w:rsid w:val="27B866FB"/>
    <w:rsid w:val="27D28242"/>
    <w:rsid w:val="29E89846"/>
    <w:rsid w:val="29F5932A"/>
    <w:rsid w:val="2A705B15"/>
    <w:rsid w:val="2B090A3F"/>
    <w:rsid w:val="2BFB278D"/>
    <w:rsid w:val="2CCA3E73"/>
    <w:rsid w:val="2D1BEA04"/>
    <w:rsid w:val="2D9880ED"/>
    <w:rsid w:val="2EEE9016"/>
    <w:rsid w:val="2F3AF742"/>
    <w:rsid w:val="2F70F610"/>
    <w:rsid w:val="30C4FE46"/>
    <w:rsid w:val="327D5EBD"/>
    <w:rsid w:val="32BE9706"/>
    <w:rsid w:val="33259464"/>
    <w:rsid w:val="33ABCC75"/>
    <w:rsid w:val="39350242"/>
    <w:rsid w:val="397A3D15"/>
    <w:rsid w:val="3986D0F4"/>
    <w:rsid w:val="39AFD4C5"/>
    <w:rsid w:val="39F5B6C0"/>
    <w:rsid w:val="3B599D24"/>
    <w:rsid w:val="3DD35687"/>
    <w:rsid w:val="3DDA1778"/>
    <w:rsid w:val="3EA3E25C"/>
    <w:rsid w:val="4040B196"/>
    <w:rsid w:val="41524D7B"/>
    <w:rsid w:val="415BAB1B"/>
    <w:rsid w:val="4165ACE6"/>
    <w:rsid w:val="426F1D74"/>
    <w:rsid w:val="42BB4A72"/>
    <w:rsid w:val="431FD4C0"/>
    <w:rsid w:val="43395A91"/>
    <w:rsid w:val="452A968E"/>
    <w:rsid w:val="4718228A"/>
    <w:rsid w:val="4AB22F81"/>
    <w:rsid w:val="4B53EB66"/>
    <w:rsid w:val="4BFD3AA1"/>
    <w:rsid w:val="4CA02CC0"/>
    <w:rsid w:val="4D04EB42"/>
    <w:rsid w:val="4DD99FA6"/>
    <w:rsid w:val="4DFC085B"/>
    <w:rsid w:val="4F3921D1"/>
    <w:rsid w:val="5174E979"/>
    <w:rsid w:val="531D2821"/>
    <w:rsid w:val="539004B7"/>
    <w:rsid w:val="548BBB09"/>
    <w:rsid w:val="571E2EDA"/>
    <w:rsid w:val="57273FBD"/>
    <w:rsid w:val="5747DDF0"/>
    <w:rsid w:val="58E52E1B"/>
    <w:rsid w:val="590610D1"/>
    <w:rsid w:val="59B596CF"/>
    <w:rsid w:val="5AA1AC5F"/>
    <w:rsid w:val="5BB0F8F4"/>
    <w:rsid w:val="5DD4FE79"/>
    <w:rsid w:val="5F4F9A92"/>
    <w:rsid w:val="607B98B8"/>
    <w:rsid w:val="60DE492D"/>
    <w:rsid w:val="621216DC"/>
    <w:rsid w:val="6230D977"/>
    <w:rsid w:val="632BCC9D"/>
    <w:rsid w:val="639F6EED"/>
    <w:rsid w:val="63CA0F8A"/>
    <w:rsid w:val="64AC3204"/>
    <w:rsid w:val="66C88BCC"/>
    <w:rsid w:val="67B39C08"/>
    <w:rsid w:val="6A27EDFE"/>
    <w:rsid w:val="6A814265"/>
    <w:rsid w:val="6A9E6FBE"/>
    <w:rsid w:val="6AA4EB90"/>
    <w:rsid w:val="6AD26642"/>
    <w:rsid w:val="6B2F16D7"/>
    <w:rsid w:val="6C87BACE"/>
    <w:rsid w:val="6C8F492D"/>
    <w:rsid w:val="6EED2AB5"/>
    <w:rsid w:val="7042056E"/>
    <w:rsid w:val="70A9ECDD"/>
    <w:rsid w:val="70C6D126"/>
    <w:rsid w:val="7109CD76"/>
    <w:rsid w:val="7122CD9D"/>
    <w:rsid w:val="74284EB7"/>
    <w:rsid w:val="749305FF"/>
    <w:rsid w:val="7750AD7F"/>
    <w:rsid w:val="775BC1BE"/>
    <w:rsid w:val="77C2172B"/>
    <w:rsid w:val="78211A0D"/>
    <w:rsid w:val="78254A50"/>
    <w:rsid w:val="78B783E0"/>
    <w:rsid w:val="79C301DC"/>
    <w:rsid w:val="7A7E4DF2"/>
    <w:rsid w:val="7D65A4E4"/>
    <w:rsid w:val="7D9E6BFC"/>
    <w:rsid w:val="7DF881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DFE7FD"/>
  <w15:docId w15:val="{AECE3A64-E367-4333-9B92-7FFD38CCE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sz w:val="24"/>
        <w:szCs w:val="24"/>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1" w:qFormat="1"/>
    <w:lsdException w:name="heading 2" w:locked="1" w:uiPriority="1" w:qFormat="1"/>
    <w:lsdException w:name="heading 3" w:locked="1" w:uiPriority="1" w:qFormat="1"/>
    <w:lsdException w:name="heading 4" w:locked="1" w:qFormat="1"/>
    <w:lsdException w:name="heading 5" w:locked="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409"/>
    <w:pPr>
      <w:spacing w:before="120" w:after="120"/>
      <w:jc w:val="both"/>
    </w:pPr>
    <w:rPr>
      <w:sz w:val="22"/>
      <w:szCs w:val="22"/>
      <w:lang w:eastAsia="en-US"/>
    </w:rPr>
  </w:style>
  <w:style w:type="paragraph" w:styleId="Heading1">
    <w:name w:val="heading 1"/>
    <w:basedOn w:val="Normal"/>
    <w:next w:val="Normal"/>
    <w:link w:val="Heading1Char"/>
    <w:uiPriority w:val="1"/>
    <w:qFormat/>
    <w:rsid w:val="00003170"/>
    <w:pPr>
      <w:keepNext/>
      <w:keepLines/>
      <w:numPr>
        <w:numId w:val="1"/>
      </w:numPr>
      <w:spacing w:before="240" w:after="240"/>
      <w:jc w:val="left"/>
      <w:outlineLvl w:val="0"/>
    </w:pPr>
    <w:rPr>
      <w:rFonts w:ascii="Calibri" w:eastAsia="MS Gothic" w:hAnsi="Calibri"/>
      <w:b/>
      <w:bCs/>
      <w:color w:val="000000" w:themeColor="text1"/>
      <w:sz w:val="28"/>
      <w:szCs w:val="28"/>
    </w:rPr>
  </w:style>
  <w:style w:type="paragraph" w:styleId="Heading2">
    <w:name w:val="heading 2"/>
    <w:basedOn w:val="Normal"/>
    <w:next w:val="Normal"/>
    <w:link w:val="Heading2Char"/>
    <w:uiPriority w:val="1"/>
    <w:qFormat/>
    <w:rsid w:val="00003170"/>
    <w:pPr>
      <w:keepNext/>
      <w:keepLines/>
      <w:numPr>
        <w:ilvl w:val="1"/>
        <w:numId w:val="1"/>
      </w:numPr>
      <w:spacing w:before="240" w:after="240"/>
      <w:jc w:val="left"/>
      <w:outlineLvl w:val="1"/>
    </w:pPr>
    <w:rPr>
      <w:rFonts w:ascii="Calibri" w:eastAsia="MS Gothic" w:hAnsi="Calibri"/>
      <w:bCs/>
      <w:color w:val="000000" w:themeColor="text1"/>
      <w:sz w:val="26"/>
      <w:szCs w:val="26"/>
    </w:rPr>
  </w:style>
  <w:style w:type="paragraph" w:styleId="Heading3">
    <w:name w:val="heading 3"/>
    <w:basedOn w:val="Normal"/>
    <w:next w:val="Normal"/>
    <w:link w:val="Heading3Char"/>
    <w:uiPriority w:val="1"/>
    <w:qFormat/>
    <w:rsid w:val="002C4FED"/>
    <w:pPr>
      <w:spacing w:before="240"/>
      <w:jc w:val="left"/>
      <w:outlineLvl w:val="2"/>
    </w:pPr>
    <w:rPr>
      <w:b/>
      <w:bCs/>
      <w:i/>
      <w:color w:val="000000" w:themeColor="text1"/>
    </w:rPr>
  </w:style>
  <w:style w:type="paragraph" w:styleId="Heading4">
    <w:name w:val="heading 4"/>
    <w:basedOn w:val="Normal"/>
    <w:next w:val="Normal"/>
    <w:link w:val="Heading4Char"/>
    <w:uiPriority w:val="99"/>
    <w:qFormat/>
    <w:rsid w:val="00817D66"/>
    <w:pPr>
      <w:outlineLvl w:val="3"/>
    </w:pPr>
    <w:rPr>
      <w:rFonts w:ascii="Times New Roman" w:hAnsi="Times New Roman"/>
      <w:b/>
      <w:bCs/>
      <w:color w:val="000000" w:themeColor="text1"/>
      <w:sz w:val="32"/>
      <w:szCs w:val="32"/>
    </w:rPr>
  </w:style>
  <w:style w:type="paragraph" w:styleId="Heading5">
    <w:name w:val="heading 5"/>
    <w:basedOn w:val="Normal"/>
    <w:next w:val="Normal"/>
    <w:link w:val="Heading5Char"/>
    <w:uiPriority w:val="99"/>
    <w:rsid w:val="00400065"/>
    <w:pPr>
      <w:keepNext/>
      <w:keepLines/>
      <w:numPr>
        <w:ilvl w:val="4"/>
        <w:numId w:val="1"/>
      </w:numPr>
      <w:spacing w:before="200" w:after="0"/>
      <w:outlineLvl w:val="4"/>
    </w:pPr>
    <w:rPr>
      <w:rFonts w:ascii="Calibri" w:eastAsia="MS Gothic" w:hAnsi="Calibri"/>
      <w:color w:val="243F60"/>
    </w:rPr>
  </w:style>
  <w:style w:type="paragraph" w:styleId="Heading6">
    <w:name w:val="heading 6"/>
    <w:basedOn w:val="Normal"/>
    <w:next w:val="Normal"/>
    <w:link w:val="Heading6Char"/>
    <w:uiPriority w:val="99"/>
    <w:qFormat/>
    <w:rsid w:val="00817D66"/>
    <w:pPr>
      <w:outlineLvl w:val="5"/>
    </w:pPr>
    <w:rPr>
      <w:b/>
      <w:bCs/>
      <w:color w:val="000000" w:themeColor="text1"/>
      <w:sz w:val="24"/>
      <w:szCs w:val="24"/>
    </w:rPr>
  </w:style>
  <w:style w:type="paragraph" w:styleId="Heading7">
    <w:name w:val="heading 7"/>
    <w:basedOn w:val="Normal"/>
    <w:next w:val="Normal"/>
    <w:link w:val="Heading7Char"/>
    <w:uiPriority w:val="99"/>
    <w:qFormat/>
    <w:rsid w:val="00400065"/>
    <w:pPr>
      <w:keepNext/>
      <w:keepLines/>
      <w:numPr>
        <w:ilvl w:val="6"/>
        <w:numId w:val="1"/>
      </w:numPr>
      <w:spacing w:before="200" w:after="0"/>
      <w:outlineLvl w:val="6"/>
    </w:pPr>
    <w:rPr>
      <w:rFonts w:ascii="Calibri" w:eastAsia="MS Gothic" w:hAnsi="Calibri"/>
      <w:i/>
      <w:iCs/>
      <w:color w:val="404040"/>
    </w:rPr>
  </w:style>
  <w:style w:type="paragraph" w:styleId="Heading8">
    <w:name w:val="heading 8"/>
    <w:basedOn w:val="Normal"/>
    <w:next w:val="Normal"/>
    <w:link w:val="Heading8Char"/>
    <w:uiPriority w:val="99"/>
    <w:qFormat/>
    <w:rsid w:val="00400065"/>
    <w:pPr>
      <w:keepNext/>
      <w:keepLines/>
      <w:numPr>
        <w:ilvl w:val="7"/>
        <w:numId w:val="1"/>
      </w:numPr>
      <w:spacing w:before="200" w:after="0"/>
      <w:outlineLvl w:val="7"/>
    </w:pPr>
    <w:rPr>
      <w:rFonts w:ascii="Calibri" w:eastAsia="MS Gothic" w:hAnsi="Calibri"/>
      <w:color w:val="4F81BD"/>
      <w:sz w:val="20"/>
      <w:szCs w:val="20"/>
    </w:rPr>
  </w:style>
  <w:style w:type="paragraph" w:styleId="Heading9">
    <w:name w:val="heading 9"/>
    <w:basedOn w:val="Normal"/>
    <w:next w:val="Normal"/>
    <w:link w:val="Heading9Char"/>
    <w:uiPriority w:val="99"/>
    <w:qFormat/>
    <w:rsid w:val="00400065"/>
    <w:pPr>
      <w:keepNext/>
      <w:keepLines/>
      <w:numPr>
        <w:ilvl w:val="8"/>
        <w:numId w:val="1"/>
      </w:numPr>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003170"/>
    <w:rPr>
      <w:rFonts w:ascii="Calibri" w:eastAsia="MS Gothic" w:hAnsi="Calibri"/>
      <w:b/>
      <w:bCs/>
      <w:color w:val="000000" w:themeColor="text1"/>
      <w:sz w:val="28"/>
      <w:szCs w:val="28"/>
      <w:lang w:eastAsia="en-US"/>
    </w:rPr>
  </w:style>
  <w:style w:type="character" w:customStyle="1" w:styleId="Heading2Char">
    <w:name w:val="Heading 2 Char"/>
    <w:basedOn w:val="DefaultParagraphFont"/>
    <w:link w:val="Heading2"/>
    <w:uiPriority w:val="1"/>
    <w:locked/>
    <w:rsid w:val="00003170"/>
    <w:rPr>
      <w:rFonts w:ascii="Calibri" w:eastAsia="MS Gothic" w:hAnsi="Calibri"/>
      <w:bCs/>
      <w:color w:val="000000" w:themeColor="text1"/>
      <w:sz w:val="26"/>
      <w:szCs w:val="26"/>
      <w:lang w:eastAsia="en-US"/>
    </w:rPr>
  </w:style>
  <w:style w:type="character" w:customStyle="1" w:styleId="Heading3Char">
    <w:name w:val="Heading 3 Char"/>
    <w:basedOn w:val="DefaultParagraphFont"/>
    <w:link w:val="Heading3"/>
    <w:uiPriority w:val="1"/>
    <w:locked/>
    <w:rsid w:val="002C4FED"/>
    <w:rPr>
      <w:b/>
      <w:bCs/>
      <w:i/>
      <w:color w:val="000000" w:themeColor="text1"/>
      <w:sz w:val="22"/>
      <w:szCs w:val="22"/>
      <w:lang w:eastAsia="en-US"/>
    </w:rPr>
  </w:style>
  <w:style w:type="character" w:customStyle="1" w:styleId="Heading4Char">
    <w:name w:val="Heading 4 Char"/>
    <w:basedOn w:val="DefaultParagraphFont"/>
    <w:link w:val="Heading4"/>
    <w:uiPriority w:val="99"/>
    <w:locked/>
    <w:rsid w:val="00817D66"/>
    <w:rPr>
      <w:rFonts w:ascii="Times New Roman" w:hAnsi="Times New Roman"/>
      <w:b/>
      <w:bCs/>
      <w:color w:val="000000" w:themeColor="text1"/>
      <w:sz w:val="32"/>
      <w:szCs w:val="32"/>
      <w:lang w:eastAsia="en-US"/>
    </w:rPr>
  </w:style>
  <w:style w:type="character" w:customStyle="1" w:styleId="Heading5Char">
    <w:name w:val="Heading 5 Char"/>
    <w:basedOn w:val="DefaultParagraphFont"/>
    <w:link w:val="Heading5"/>
    <w:uiPriority w:val="99"/>
    <w:locked/>
    <w:rsid w:val="00400065"/>
    <w:rPr>
      <w:rFonts w:ascii="Calibri" w:eastAsia="MS Gothic" w:hAnsi="Calibri"/>
      <w:color w:val="243F60"/>
      <w:sz w:val="22"/>
      <w:szCs w:val="22"/>
      <w:lang w:eastAsia="en-US"/>
    </w:rPr>
  </w:style>
  <w:style w:type="character" w:customStyle="1" w:styleId="Heading6Char">
    <w:name w:val="Heading 6 Char"/>
    <w:basedOn w:val="DefaultParagraphFont"/>
    <w:link w:val="Heading6"/>
    <w:uiPriority w:val="99"/>
    <w:locked/>
    <w:rsid w:val="00817D66"/>
    <w:rPr>
      <w:b/>
      <w:bCs/>
      <w:color w:val="000000" w:themeColor="text1"/>
      <w:lang w:eastAsia="en-US"/>
    </w:rPr>
  </w:style>
  <w:style w:type="character" w:customStyle="1" w:styleId="Heading7Char">
    <w:name w:val="Heading 7 Char"/>
    <w:basedOn w:val="DefaultParagraphFont"/>
    <w:link w:val="Heading7"/>
    <w:uiPriority w:val="99"/>
    <w:locked/>
    <w:rsid w:val="00400065"/>
    <w:rPr>
      <w:rFonts w:ascii="Calibri" w:eastAsia="MS Gothic" w:hAnsi="Calibri"/>
      <w:i/>
      <w:iCs/>
      <w:color w:val="404040"/>
      <w:sz w:val="22"/>
      <w:szCs w:val="22"/>
      <w:lang w:eastAsia="en-US"/>
    </w:rPr>
  </w:style>
  <w:style w:type="character" w:customStyle="1" w:styleId="Heading8Char">
    <w:name w:val="Heading 8 Char"/>
    <w:basedOn w:val="DefaultParagraphFont"/>
    <w:link w:val="Heading8"/>
    <w:uiPriority w:val="99"/>
    <w:locked/>
    <w:rsid w:val="00400065"/>
    <w:rPr>
      <w:rFonts w:ascii="Calibri" w:eastAsia="MS Gothic" w:hAnsi="Calibri"/>
      <w:color w:val="4F81BD"/>
      <w:sz w:val="20"/>
      <w:szCs w:val="20"/>
      <w:lang w:eastAsia="en-US"/>
    </w:rPr>
  </w:style>
  <w:style w:type="character" w:customStyle="1" w:styleId="Heading9Char">
    <w:name w:val="Heading 9 Char"/>
    <w:basedOn w:val="DefaultParagraphFont"/>
    <w:link w:val="Heading9"/>
    <w:uiPriority w:val="99"/>
    <w:locked/>
    <w:rsid w:val="00400065"/>
    <w:rPr>
      <w:rFonts w:ascii="Calibri" w:eastAsia="MS Gothic" w:hAnsi="Calibri"/>
      <w:i/>
      <w:iCs/>
      <w:color w:val="404040"/>
      <w:sz w:val="20"/>
      <w:szCs w:val="20"/>
      <w:lang w:eastAsia="en-US"/>
    </w:rPr>
  </w:style>
  <w:style w:type="paragraph" w:styleId="BalloonText">
    <w:name w:val="Balloon Text"/>
    <w:basedOn w:val="Normal"/>
    <w:link w:val="BalloonTextChar"/>
    <w:uiPriority w:val="99"/>
    <w:semiHidden/>
    <w:rsid w:val="005845F0"/>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5845F0"/>
    <w:rPr>
      <w:rFonts w:ascii="Lucida Grande" w:hAnsi="Lucida Grande" w:cs="Times New Roman"/>
      <w:sz w:val="18"/>
      <w:szCs w:val="18"/>
    </w:rPr>
  </w:style>
  <w:style w:type="paragraph" w:customStyle="1" w:styleId="Tabletext">
    <w:name w:val="Table text"/>
    <w:uiPriority w:val="99"/>
    <w:rsid w:val="00FF1C74"/>
    <w:pPr>
      <w:widowControl w:val="0"/>
      <w:spacing w:before="20" w:after="20"/>
    </w:pPr>
    <w:rPr>
      <w:sz w:val="20"/>
      <w:szCs w:val="22"/>
      <w:lang w:eastAsia="en-US"/>
    </w:rPr>
  </w:style>
  <w:style w:type="paragraph" w:styleId="Title">
    <w:name w:val="Title"/>
    <w:basedOn w:val="Normal"/>
    <w:next w:val="Normal"/>
    <w:link w:val="TitleChar"/>
    <w:uiPriority w:val="99"/>
    <w:qFormat/>
    <w:rsid w:val="00400065"/>
    <w:pPr>
      <w:pBdr>
        <w:bottom w:val="single" w:sz="8" w:space="4" w:color="4F81BD"/>
      </w:pBdr>
      <w:spacing w:after="300"/>
      <w:contextualSpacing/>
    </w:pPr>
    <w:rPr>
      <w:rFonts w:ascii="Calibri" w:eastAsia="MS Gothic" w:hAnsi="Calibri"/>
      <w:color w:val="17365D"/>
      <w:spacing w:val="5"/>
      <w:kern w:val="28"/>
      <w:sz w:val="52"/>
      <w:szCs w:val="52"/>
    </w:rPr>
  </w:style>
  <w:style w:type="character" w:customStyle="1" w:styleId="TitleChar">
    <w:name w:val="Title Char"/>
    <w:basedOn w:val="DefaultParagraphFont"/>
    <w:link w:val="Title"/>
    <w:uiPriority w:val="99"/>
    <w:locked/>
    <w:rsid w:val="00400065"/>
    <w:rPr>
      <w:rFonts w:ascii="Calibri" w:eastAsia="MS Gothic" w:hAnsi="Calibri" w:cs="Times New Roman"/>
      <w:color w:val="17365D"/>
      <w:spacing w:val="5"/>
      <w:kern w:val="28"/>
      <w:sz w:val="52"/>
      <w:szCs w:val="52"/>
    </w:rPr>
  </w:style>
  <w:style w:type="paragraph" w:styleId="Subtitle">
    <w:name w:val="Subtitle"/>
    <w:basedOn w:val="Normal"/>
    <w:next w:val="Normal"/>
    <w:link w:val="SubtitleChar"/>
    <w:uiPriority w:val="99"/>
    <w:qFormat/>
    <w:rsid w:val="00400065"/>
    <w:pPr>
      <w:numPr>
        <w:ilvl w:val="1"/>
      </w:numPr>
    </w:pPr>
    <w:rPr>
      <w:rFonts w:ascii="Calibri" w:eastAsia="MS Gothic" w:hAnsi="Calibri"/>
      <w:i/>
      <w:iCs/>
      <w:color w:val="4F81BD"/>
      <w:spacing w:val="15"/>
      <w:sz w:val="24"/>
      <w:szCs w:val="24"/>
    </w:rPr>
  </w:style>
  <w:style w:type="character" w:customStyle="1" w:styleId="SubtitleChar">
    <w:name w:val="Subtitle Char"/>
    <w:basedOn w:val="DefaultParagraphFont"/>
    <w:link w:val="Subtitle"/>
    <w:uiPriority w:val="99"/>
    <w:locked/>
    <w:rsid w:val="00400065"/>
    <w:rPr>
      <w:rFonts w:ascii="Calibri" w:eastAsia="MS Gothic" w:hAnsi="Calibri" w:cs="Times New Roman"/>
      <w:i/>
      <w:iCs/>
      <w:color w:val="4F81BD"/>
      <w:spacing w:val="15"/>
      <w:sz w:val="24"/>
      <w:szCs w:val="24"/>
    </w:rPr>
  </w:style>
  <w:style w:type="table" w:customStyle="1" w:styleId="Style">
    <w:name w:val="Style"/>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25">
    <w:name w:val="Style25"/>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24">
    <w:name w:val="Style24"/>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23">
    <w:name w:val="Style23"/>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22">
    <w:name w:val="Style22"/>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21">
    <w:name w:val="Style21"/>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20">
    <w:name w:val="Style20"/>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9">
    <w:name w:val="Style19"/>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8">
    <w:name w:val="Style18"/>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7">
    <w:name w:val="Style17"/>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6">
    <w:name w:val="Style16"/>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5">
    <w:name w:val="Style15"/>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4">
    <w:name w:val="Style14"/>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3">
    <w:name w:val="Style13"/>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2">
    <w:name w:val="Style12"/>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1">
    <w:name w:val="Style11"/>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0">
    <w:name w:val="Style10"/>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9">
    <w:name w:val="Style9"/>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8">
    <w:name w:val="Style8"/>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7">
    <w:name w:val="Style7"/>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6">
    <w:name w:val="Style6"/>
    <w:uiPriority w:val="99"/>
    <w:rsid w:val="00D3145A"/>
    <w:rPr>
      <w:lang w:val="fr-FR" w:eastAsia="fr-FR"/>
    </w:rPr>
    <w:tblPr>
      <w:tblStyleRowBandSize w:val="1"/>
      <w:tblStyleColBandSize w:val="1"/>
      <w:tblInd w:w="0" w:type="dxa"/>
      <w:tblCellMar>
        <w:top w:w="0" w:type="dxa"/>
        <w:left w:w="108" w:type="dxa"/>
        <w:bottom w:w="0" w:type="dxa"/>
        <w:right w:w="108" w:type="dxa"/>
      </w:tblCellMar>
    </w:tblPr>
  </w:style>
  <w:style w:type="table" w:customStyle="1" w:styleId="Style5">
    <w:name w:val="Style5"/>
    <w:uiPriority w:val="99"/>
    <w:rsid w:val="00D3145A"/>
    <w:rPr>
      <w:lang w:val="fr-FR" w:eastAsia="fr-FR"/>
    </w:rPr>
    <w:tblPr>
      <w:tblStyleRowBandSize w:val="1"/>
      <w:tblStyleColBandSize w:val="1"/>
      <w:tblInd w:w="0" w:type="dxa"/>
      <w:tblCellMar>
        <w:top w:w="0" w:type="dxa"/>
        <w:left w:w="108" w:type="dxa"/>
        <w:bottom w:w="0" w:type="dxa"/>
        <w:right w:w="108" w:type="dxa"/>
      </w:tblCellMar>
    </w:tblPr>
  </w:style>
  <w:style w:type="table" w:customStyle="1" w:styleId="Style4">
    <w:name w:val="Style4"/>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3">
    <w:name w:val="Style3"/>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2">
    <w:name w:val="Style2"/>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table" w:customStyle="1" w:styleId="Style1">
    <w:name w:val="Style1"/>
    <w:uiPriority w:val="99"/>
    <w:rsid w:val="00D3145A"/>
    <w:rPr>
      <w:lang w:val="fr-FR" w:eastAsia="fr-FR"/>
    </w:r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qFormat/>
    <w:rsid w:val="00D3145A"/>
    <w:rPr>
      <w:sz w:val="24"/>
      <w:szCs w:val="24"/>
    </w:rPr>
  </w:style>
  <w:style w:type="character" w:customStyle="1" w:styleId="CommentTextChar">
    <w:name w:val="Comment Text Char"/>
    <w:basedOn w:val="DefaultParagraphFont"/>
    <w:link w:val="CommentText"/>
    <w:uiPriority w:val="99"/>
    <w:qFormat/>
    <w:locked/>
    <w:rsid w:val="00D3145A"/>
    <w:rPr>
      <w:rFonts w:cs="Times New Roman"/>
      <w:sz w:val="24"/>
      <w:szCs w:val="24"/>
    </w:rPr>
  </w:style>
  <w:style w:type="character" w:styleId="CommentReference">
    <w:name w:val="annotation reference"/>
    <w:basedOn w:val="DefaultParagraphFont"/>
    <w:uiPriority w:val="99"/>
    <w:semiHidden/>
    <w:qFormat/>
    <w:rsid w:val="00D3145A"/>
    <w:rPr>
      <w:rFonts w:cs="Times New Roman"/>
      <w:sz w:val="18"/>
      <w:szCs w:val="18"/>
    </w:rPr>
  </w:style>
  <w:style w:type="paragraph" w:styleId="Revision">
    <w:name w:val="Revision"/>
    <w:hidden/>
    <w:uiPriority w:val="99"/>
    <w:semiHidden/>
    <w:rsid w:val="001F4424"/>
    <w:pPr>
      <w:spacing w:after="200"/>
    </w:pPr>
    <w:rPr>
      <w:sz w:val="22"/>
      <w:szCs w:val="22"/>
      <w:lang w:eastAsia="en-US"/>
    </w:rPr>
  </w:style>
  <w:style w:type="paragraph" w:styleId="ListParagraph">
    <w:name w:val="List Paragraph"/>
    <w:basedOn w:val="Normal"/>
    <w:uiPriority w:val="1"/>
    <w:qFormat/>
    <w:rsid w:val="00400065"/>
    <w:pPr>
      <w:ind w:left="720"/>
      <w:contextualSpacing/>
    </w:pPr>
  </w:style>
  <w:style w:type="paragraph" w:styleId="Header">
    <w:name w:val="header"/>
    <w:basedOn w:val="Normal"/>
    <w:link w:val="HeaderChar"/>
    <w:uiPriority w:val="99"/>
    <w:rsid w:val="00426FDB"/>
    <w:pPr>
      <w:tabs>
        <w:tab w:val="center" w:pos="4320"/>
        <w:tab w:val="right" w:pos="8640"/>
      </w:tabs>
    </w:pPr>
  </w:style>
  <w:style w:type="character" w:customStyle="1" w:styleId="HeaderChar">
    <w:name w:val="Header Char"/>
    <w:basedOn w:val="DefaultParagraphFont"/>
    <w:link w:val="Header"/>
    <w:uiPriority w:val="99"/>
    <w:locked/>
    <w:rsid w:val="00426FDB"/>
    <w:rPr>
      <w:rFonts w:cs="Times New Roman"/>
    </w:rPr>
  </w:style>
  <w:style w:type="paragraph" w:styleId="Footer">
    <w:name w:val="footer"/>
    <w:basedOn w:val="Normal"/>
    <w:link w:val="FooterChar"/>
    <w:uiPriority w:val="99"/>
    <w:rsid w:val="00426FDB"/>
    <w:pPr>
      <w:tabs>
        <w:tab w:val="center" w:pos="4320"/>
        <w:tab w:val="right" w:pos="8640"/>
      </w:tabs>
    </w:pPr>
  </w:style>
  <w:style w:type="character" w:customStyle="1" w:styleId="FooterChar">
    <w:name w:val="Footer Char"/>
    <w:basedOn w:val="DefaultParagraphFont"/>
    <w:link w:val="Footer"/>
    <w:uiPriority w:val="99"/>
    <w:locked/>
    <w:rsid w:val="00426FDB"/>
    <w:rPr>
      <w:rFonts w:cs="Times New Roman"/>
    </w:rPr>
  </w:style>
  <w:style w:type="paragraph" w:styleId="TOC1">
    <w:name w:val="toc 1"/>
    <w:basedOn w:val="Normal"/>
    <w:next w:val="Normal"/>
    <w:autoRedefine/>
    <w:uiPriority w:val="39"/>
    <w:qFormat/>
    <w:rsid w:val="00753EA6"/>
    <w:pPr>
      <w:tabs>
        <w:tab w:val="right" w:leader="dot" w:pos="9017"/>
      </w:tabs>
    </w:pPr>
  </w:style>
  <w:style w:type="paragraph" w:styleId="TOC2">
    <w:name w:val="toc 2"/>
    <w:basedOn w:val="Normal"/>
    <w:next w:val="Normal"/>
    <w:autoRedefine/>
    <w:uiPriority w:val="39"/>
    <w:rsid w:val="00426FDB"/>
    <w:pPr>
      <w:ind w:left="220"/>
    </w:pPr>
  </w:style>
  <w:style w:type="paragraph" w:styleId="TOC3">
    <w:name w:val="toc 3"/>
    <w:basedOn w:val="Normal"/>
    <w:next w:val="Normal"/>
    <w:autoRedefine/>
    <w:uiPriority w:val="39"/>
    <w:rsid w:val="00736FF0"/>
    <w:pPr>
      <w:tabs>
        <w:tab w:val="left" w:pos="1320"/>
        <w:tab w:val="right" w:leader="dot" w:pos="9017"/>
      </w:tabs>
      <w:ind w:left="440"/>
    </w:pPr>
  </w:style>
  <w:style w:type="paragraph" w:styleId="TOC4">
    <w:name w:val="toc 4"/>
    <w:basedOn w:val="Normal"/>
    <w:next w:val="Normal"/>
    <w:autoRedefine/>
    <w:uiPriority w:val="99"/>
    <w:rsid w:val="00426FDB"/>
    <w:pPr>
      <w:ind w:left="660"/>
    </w:pPr>
  </w:style>
  <w:style w:type="paragraph" w:styleId="TOC5">
    <w:name w:val="toc 5"/>
    <w:basedOn w:val="Normal"/>
    <w:next w:val="Normal"/>
    <w:autoRedefine/>
    <w:uiPriority w:val="99"/>
    <w:rsid w:val="00426FDB"/>
    <w:pPr>
      <w:ind w:left="880"/>
    </w:pPr>
  </w:style>
  <w:style w:type="paragraph" w:styleId="TOC6">
    <w:name w:val="toc 6"/>
    <w:basedOn w:val="Normal"/>
    <w:next w:val="Normal"/>
    <w:autoRedefine/>
    <w:uiPriority w:val="99"/>
    <w:rsid w:val="00426FDB"/>
    <w:pPr>
      <w:ind w:left="1100"/>
    </w:pPr>
  </w:style>
  <w:style w:type="paragraph" w:styleId="TOC7">
    <w:name w:val="toc 7"/>
    <w:basedOn w:val="Normal"/>
    <w:next w:val="Normal"/>
    <w:autoRedefine/>
    <w:uiPriority w:val="99"/>
    <w:rsid w:val="00426FDB"/>
    <w:pPr>
      <w:ind w:left="1320"/>
    </w:pPr>
  </w:style>
  <w:style w:type="paragraph" w:styleId="TOC8">
    <w:name w:val="toc 8"/>
    <w:basedOn w:val="Normal"/>
    <w:next w:val="Normal"/>
    <w:autoRedefine/>
    <w:uiPriority w:val="99"/>
    <w:rsid w:val="00426FDB"/>
    <w:pPr>
      <w:ind w:left="1540"/>
    </w:pPr>
  </w:style>
  <w:style w:type="paragraph" w:styleId="TOC9">
    <w:name w:val="toc 9"/>
    <w:basedOn w:val="Normal"/>
    <w:next w:val="Normal"/>
    <w:autoRedefine/>
    <w:uiPriority w:val="99"/>
    <w:rsid w:val="00426FDB"/>
    <w:pPr>
      <w:ind w:left="1760"/>
    </w:pPr>
  </w:style>
  <w:style w:type="paragraph" w:styleId="NormalWeb">
    <w:name w:val="Normal (Web)"/>
    <w:basedOn w:val="Normal"/>
    <w:uiPriority w:val="99"/>
    <w:rsid w:val="00CB2F7C"/>
    <w:pPr>
      <w:spacing w:before="100" w:beforeAutospacing="1" w:after="100" w:afterAutospacing="1"/>
    </w:pPr>
    <w:rPr>
      <w:rFonts w:ascii="Times" w:hAnsi="Times"/>
      <w:sz w:val="20"/>
      <w:szCs w:val="20"/>
    </w:rPr>
  </w:style>
  <w:style w:type="character" w:styleId="PageNumber">
    <w:name w:val="page number"/>
    <w:basedOn w:val="DefaultParagraphFont"/>
    <w:uiPriority w:val="99"/>
    <w:semiHidden/>
    <w:rsid w:val="00F35C5B"/>
    <w:rPr>
      <w:rFonts w:cs="Times New Roman"/>
    </w:rPr>
  </w:style>
  <w:style w:type="paragraph" w:styleId="FootnoteText">
    <w:name w:val="footnote text"/>
    <w:basedOn w:val="Normal"/>
    <w:link w:val="FootnoteTextChar"/>
    <w:uiPriority w:val="99"/>
    <w:rsid w:val="002500A5"/>
    <w:pPr>
      <w:spacing w:before="40" w:after="40"/>
      <w:jc w:val="left"/>
    </w:pPr>
    <w:rPr>
      <w:sz w:val="20"/>
      <w:szCs w:val="20"/>
    </w:rPr>
  </w:style>
  <w:style w:type="character" w:customStyle="1" w:styleId="FootnoteTextChar">
    <w:name w:val="Footnote Text Char"/>
    <w:basedOn w:val="DefaultParagraphFont"/>
    <w:link w:val="FootnoteText"/>
    <w:uiPriority w:val="99"/>
    <w:locked/>
    <w:rsid w:val="002500A5"/>
    <w:rPr>
      <w:lang w:eastAsia="en-US"/>
    </w:rPr>
  </w:style>
  <w:style w:type="character" w:styleId="FootnoteReference">
    <w:name w:val="footnote reference"/>
    <w:basedOn w:val="DefaultParagraphFont"/>
    <w:uiPriority w:val="99"/>
    <w:rsid w:val="001C7E15"/>
    <w:rPr>
      <w:rFonts w:cs="Times New Roman"/>
      <w:sz w:val="20"/>
      <w:vertAlign w:val="superscript"/>
    </w:rPr>
  </w:style>
  <w:style w:type="paragraph" w:styleId="CommentSubject">
    <w:name w:val="annotation subject"/>
    <w:basedOn w:val="CommentText"/>
    <w:next w:val="CommentText"/>
    <w:link w:val="CommentSubjectChar"/>
    <w:uiPriority w:val="99"/>
    <w:semiHidden/>
    <w:rsid w:val="00400065"/>
    <w:rPr>
      <w:b/>
      <w:bCs/>
      <w:sz w:val="20"/>
      <w:szCs w:val="20"/>
    </w:rPr>
  </w:style>
  <w:style w:type="character" w:customStyle="1" w:styleId="CommentSubjectChar">
    <w:name w:val="Comment Subject Char"/>
    <w:basedOn w:val="CommentTextChar"/>
    <w:link w:val="CommentSubject"/>
    <w:uiPriority w:val="99"/>
    <w:semiHidden/>
    <w:locked/>
    <w:rsid w:val="00400065"/>
    <w:rPr>
      <w:rFonts w:cs="Times New Roman"/>
      <w:b/>
      <w:bCs/>
      <w:sz w:val="20"/>
      <w:szCs w:val="20"/>
    </w:rPr>
  </w:style>
  <w:style w:type="character" w:styleId="BookTitle">
    <w:name w:val="Book Title"/>
    <w:basedOn w:val="DefaultParagraphFont"/>
    <w:uiPriority w:val="99"/>
    <w:rsid w:val="00400065"/>
    <w:rPr>
      <w:rFonts w:cs="Times New Roman"/>
      <w:b/>
      <w:bCs/>
      <w:smallCaps/>
      <w:spacing w:val="5"/>
    </w:rPr>
  </w:style>
  <w:style w:type="paragraph" w:styleId="Caption">
    <w:name w:val="caption"/>
    <w:basedOn w:val="Normal"/>
    <w:next w:val="Normal"/>
    <w:uiPriority w:val="99"/>
    <w:qFormat/>
    <w:rsid w:val="003605B9"/>
    <w:pPr>
      <w:spacing w:before="240"/>
      <w:jc w:val="left"/>
    </w:pPr>
    <w:rPr>
      <w:b/>
      <w:bCs/>
      <w:i/>
    </w:rPr>
  </w:style>
  <w:style w:type="character" w:styleId="Strong">
    <w:name w:val="Strong"/>
    <w:basedOn w:val="DefaultParagraphFont"/>
    <w:uiPriority w:val="99"/>
    <w:qFormat/>
    <w:rsid w:val="00400065"/>
    <w:rPr>
      <w:rFonts w:cs="Times New Roman"/>
      <w:b/>
      <w:bCs/>
    </w:rPr>
  </w:style>
  <w:style w:type="character" w:styleId="Emphasis">
    <w:name w:val="Emphasis"/>
    <w:basedOn w:val="DefaultParagraphFont"/>
    <w:uiPriority w:val="20"/>
    <w:qFormat/>
    <w:rsid w:val="00400065"/>
    <w:rPr>
      <w:rFonts w:cs="Times New Roman"/>
      <w:i/>
      <w:iCs/>
    </w:rPr>
  </w:style>
  <w:style w:type="paragraph" w:styleId="NoSpacing">
    <w:name w:val="No Spacing"/>
    <w:uiPriority w:val="1"/>
    <w:qFormat/>
    <w:rsid w:val="00400065"/>
    <w:rPr>
      <w:sz w:val="22"/>
      <w:szCs w:val="22"/>
      <w:lang w:eastAsia="en-US"/>
    </w:rPr>
  </w:style>
  <w:style w:type="paragraph" w:styleId="Quote">
    <w:name w:val="Quote"/>
    <w:basedOn w:val="Normal"/>
    <w:next w:val="Normal"/>
    <w:link w:val="QuoteChar"/>
    <w:uiPriority w:val="99"/>
    <w:rsid w:val="00400065"/>
    <w:rPr>
      <w:i/>
      <w:iCs/>
      <w:color w:val="000000"/>
    </w:rPr>
  </w:style>
  <w:style w:type="character" w:customStyle="1" w:styleId="QuoteChar">
    <w:name w:val="Quote Char"/>
    <w:basedOn w:val="DefaultParagraphFont"/>
    <w:link w:val="Quote"/>
    <w:uiPriority w:val="99"/>
    <w:locked/>
    <w:rsid w:val="00400065"/>
    <w:rPr>
      <w:rFonts w:cs="Times New Roman"/>
      <w:i/>
      <w:iCs/>
      <w:color w:val="000000"/>
    </w:rPr>
  </w:style>
  <w:style w:type="paragraph" w:styleId="IntenseQuote">
    <w:name w:val="Intense Quote"/>
    <w:basedOn w:val="Normal"/>
    <w:next w:val="Normal"/>
    <w:link w:val="IntenseQuoteChar"/>
    <w:uiPriority w:val="99"/>
    <w:qFormat/>
    <w:rsid w:val="0040006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400065"/>
    <w:rPr>
      <w:rFonts w:cs="Times New Roman"/>
      <w:b/>
      <w:bCs/>
      <w:i/>
      <w:iCs/>
      <w:color w:val="4F81BD"/>
    </w:rPr>
  </w:style>
  <w:style w:type="character" w:styleId="SubtleEmphasis">
    <w:name w:val="Subtle Emphasis"/>
    <w:basedOn w:val="DefaultParagraphFont"/>
    <w:uiPriority w:val="99"/>
    <w:qFormat/>
    <w:rsid w:val="00400065"/>
    <w:rPr>
      <w:rFonts w:cs="Times New Roman"/>
      <w:i/>
      <w:iCs/>
      <w:color w:val="808080"/>
    </w:rPr>
  </w:style>
  <w:style w:type="character" w:styleId="IntenseEmphasis">
    <w:name w:val="Intense Emphasis"/>
    <w:basedOn w:val="DefaultParagraphFont"/>
    <w:uiPriority w:val="99"/>
    <w:qFormat/>
    <w:rsid w:val="005A4096"/>
    <w:rPr>
      <w:rFonts w:cs="Times New Roman"/>
      <w:b/>
      <w:bCs/>
      <w:i/>
      <w:iCs/>
      <w:color w:val="4F81BD"/>
    </w:rPr>
  </w:style>
  <w:style w:type="character" w:styleId="SubtleReference">
    <w:name w:val="Subtle Reference"/>
    <w:basedOn w:val="DefaultParagraphFont"/>
    <w:uiPriority w:val="99"/>
    <w:qFormat/>
    <w:rsid w:val="00400065"/>
    <w:rPr>
      <w:rFonts w:cs="Times New Roman"/>
      <w:smallCaps/>
      <w:color w:val="C0504D"/>
      <w:u w:val="single"/>
    </w:rPr>
  </w:style>
  <w:style w:type="character" w:styleId="IntenseReference">
    <w:name w:val="Intense Reference"/>
    <w:basedOn w:val="DefaultParagraphFont"/>
    <w:uiPriority w:val="99"/>
    <w:qFormat/>
    <w:rsid w:val="00400065"/>
    <w:rPr>
      <w:rFonts w:cs="Times New Roman"/>
      <w:b/>
      <w:bCs/>
      <w:smallCaps/>
      <w:color w:val="C0504D"/>
      <w:spacing w:val="5"/>
      <w:u w:val="single"/>
    </w:rPr>
  </w:style>
  <w:style w:type="paragraph" w:styleId="TOCHeading">
    <w:name w:val="TOC Heading"/>
    <w:basedOn w:val="Heading1"/>
    <w:next w:val="Normal"/>
    <w:uiPriority w:val="99"/>
    <w:qFormat/>
    <w:rsid w:val="00400065"/>
    <w:pPr>
      <w:outlineLvl w:val="9"/>
    </w:pPr>
  </w:style>
  <w:style w:type="character" w:styleId="Hyperlink">
    <w:name w:val="Hyperlink"/>
    <w:basedOn w:val="DefaultParagraphFont"/>
    <w:uiPriority w:val="99"/>
    <w:rsid w:val="00960BA0"/>
    <w:rPr>
      <w:rFonts w:cs="Times New Roman"/>
      <w:color w:val="0000FF"/>
      <w:u w:val="single"/>
    </w:rPr>
  </w:style>
  <w:style w:type="paragraph" w:styleId="TableofFigures">
    <w:name w:val="table of figures"/>
    <w:basedOn w:val="Normal"/>
    <w:next w:val="Normal"/>
    <w:uiPriority w:val="99"/>
    <w:rsid w:val="008D321E"/>
    <w:pPr>
      <w:spacing w:before="0" w:after="0"/>
      <w:jc w:val="left"/>
    </w:pPr>
    <w:rPr>
      <w:rFonts w:ascii="Times New Roman" w:hAnsi="Times New Roman"/>
      <w:color w:val="000000"/>
      <w:szCs w:val="20"/>
    </w:rPr>
  </w:style>
  <w:style w:type="character" w:styleId="FollowedHyperlink">
    <w:name w:val="FollowedHyperlink"/>
    <w:basedOn w:val="DefaultParagraphFont"/>
    <w:uiPriority w:val="99"/>
    <w:semiHidden/>
    <w:unhideWhenUsed/>
    <w:rsid w:val="000C3D5E"/>
    <w:rPr>
      <w:color w:val="800080"/>
      <w:u w:val="single"/>
    </w:rPr>
  </w:style>
  <w:style w:type="paragraph" w:styleId="ListBullet2">
    <w:name w:val="List Bullet 2"/>
    <w:basedOn w:val="Normal"/>
    <w:uiPriority w:val="99"/>
    <w:unhideWhenUsed/>
    <w:rsid w:val="0013574B"/>
    <w:pPr>
      <w:numPr>
        <w:numId w:val="4"/>
      </w:numPr>
    </w:pPr>
  </w:style>
  <w:style w:type="paragraph" w:styleId="ListNumber">
    <w:name w:val="List Number"/>
    <w:basedOn w:val="Normal"/>
    <w:uiPriority w:val="99"/>
    <w:unhideWhenUsed/>
    <w:rsid w:val="00EB4F11"/>
    <w:pPr>
      <w:numPr>
        <w:numId w:val="10"/>
      </w:numPr>
    </w:pPr>
  </w:style>
  <w:style w:type="paragraph" w:styleId="ListNumber2">
    <w:name w:val="List Number 2"/>
    <w:basedOn w:val="Normal"/>
    <w:uiPriority w:val="99"/>
    <w:unhideWhenUsed/>
    <w:rsid w:val="00CF5CB1"/>
    <w:pPr>
      <w:numPr>
        <w:numId w:val="17"/>
      </w:numPr>
    </w:pPr>
  </w:style>
  <w:style w:type="paragraph" w:styleId="List2">
    <w:name w:val="List 2"/>
    <w:basedOn w:val="Normal"/>
    <w:uiPriority w:val="99"/>
    <w:unhideWhenUsed/>
    <w:rsid w:val="00CF5CB1"/>
    <w:pPr>
      <w:ind w:left="720" w:hanging="360"/>
      <w:contextualSpacing/>
    </w:pPr>
  </w:style>
  <w:style w:type="paragraph" w:styleId="ListNumber3">
    <w:name w:val="List Number 3"/>
    <w:basedOn w:val="Normal"/>
    <w:uiPriority w:val="99"/>
    <w:unhideWhenUsed/>
    <w:rsid w:val="00A9537E"/>
    <w:pPr>
      <w:numPr>
        <w:numId w:val="6"/>
      </w:numPr>
      <w:contextualSpacing/>
    </w:pPr>
  </w:style>
  <w:style w:type="paragraph" w:styleId="ListBullet3">
    <w:name w:val="List Bullet 3"/>
    <w:basedOn w:val="Normal"/>
    <w:uiPriority w:val="99"/>
    <w:unhideWhenUsed/>
    <w:rsid w:val="0013574B"/>
    <w:pPr>
      <w:numPr>
        <w:numId w:val="5"/>
      </w:numPr>
    </w:pPr>
  </w:style>
  <w:style w:type="paragraph" w:styleId="ListBullet">
    <w:name w:val="List Bullet"/>
    <w:basedOn w:val="Normal"/>
    <w:uiPriority w:val="99"/>
    <w:unhideWhenUsed/>
    <w:qFormat/>
    <w:rsid w:val="00A9537E"/>
    <w:pPr>
      <w:numPr>
        <w:numId w:val="3"/>
      </w:numPr>
    </w:pPr>
  </w:style>
  <w:style w:type="paragraph" w:styleId="BodyText">
    <w:name w:val="Body Text"/>
    <w:basedOn w:val="Normal"/>
    <w:link w:val="BodyTextChar"/>
    <w:uiPriority w:val="1"/>
    <w:unhideWhenUsed/>
    <w:qFormat/>
    <w:rsid w:val="00124F8B"/>
  </w:style>
  <w:style w:type="character" w:customStyle="1" w:styleId="BodyTextChar">
    <w:name w:val="Body Text Char"/>
    <w:basedOn w:val="DefaultParagraphFont"/>
    <w:link w:val="BodyText"/>
    <w:uiPriority w:val="1"/>
    <w:rsid w:val="00124F8B"/>
    <w:rPr>
      <w:sz w:val="22"/>
      <w:szCs w:val="22"/>
      <w:lang w:eastAsia="en-US"/>
    </w:rPr>
  </w:style>
  <w:style w:type="paragraph" w:styleId="EndnoteText">
    <w:name w:val="endnote text"/>
    <w:basedOn w:val="Normal"/>
    <w:link w:val="EndnoteTextChar"/>
    <w:uiPriority w:val="99"/>
    <w:unhideWhenUsed/>
    <w:rsid w:val="00CD2B19"/>
    <w:pPr>
      <w:spacing w:before="0" w:after="0"/>
    </w:pPr>
    <w:rPr>
      <w:sz w:val="24"/>
      <w:szCs w:val="24"/>
    </w:rPr>
  </w:style>
  <w:style w:type="character" w:customStyle="1" w:styleId="EndnoteTextChar">
    <w:name w:val="Endnote Text Char"/>
    <w:basedOn w:val="DefaultParagraphFont"/>
    <w:link w:val="EndnoteText"/>
    <w:uiPriority w:val="99"/>
    <w:rsid w:val="00CD2B19"/>
    <w:rPr>
      <w:sz w:val="24"/>
      <w:szCs w:val="24"/>
      <w:lang w:eastAsia="en-US"/>
    </w:rPr>
  </w:style>
  <w:style w:type="character" w:styleId="EndnoteReference">
    <w:name w:val="endnote reference"/>
    <w:basedOn w:val="DefaultParagraphFont"/>
    <w:uiPriority w:val="99"/>
    <w:unhideWhenUsed/>
    <w:rsid w:val="00CD2B19"/>
    <w:rPr>
      <w:vertAlign w:val="superscript"/>
    </w:rPr>
  </w:style>
  <w:style w:type="table" w:styleId="TableGrid">
    <w:name w:val="Table Grid"/>
    <w:basedOn w:val="TableNormal"/>
    <w:uiPriority w:val="59"/>
    <w:locked/>
    <w:rsid w:val="006D3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1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sz w:val="20"/>
      <w:szCs w:val="20"/>
      <w:lang w:eastAsia="ko-KR"/>
    </w:rPr>
  </w:style>
  <w:style w:type="character" w:customStyle="1" w:styleId="HTMLPreformattedChar">
    <w:name w:val="HTML Preformatted Char"/>
    <w:basedOn w:val="DefaultParagraphFont"/>
    <w:link w:val="HTMLPreformatted"/>
    <w:uiPriority w:val="99"/>
    <w:rsid w:val="00A21C03"/>
    <w:rPr>
      <w:rFonts w:ascii="Courier New" w:hAnsi="Courier New" w:cs="Courier New"/>
    </w:rPr>
  </w:style>
  <w:style w:type="character" w:customStyle="1" w:styleId="UnresolvedMention1">
    <w:name w:val="Unresolved Mention1"/>
    <w:basedOn w:val="DefaultParagraphFont"/>
    <w:uiPriority w:val="99"/>
    <w:rsid w:val="00157CD3"/>
    <w:rPr>
      <w:color w:val="808080"/>
      <w:shd w:val="clear" w:color="auto" w:fill="E6E6E6"/>
    </w:rPr>
  </w:style>
  <w:style w:type="character" w:customStyle="1" w:styleId="UnresolvedMention2">
    <w:name w:val="Unresolved Mention2"/>
    <w:basedOn w:val="DefaultParagraphFont"/>
    <w:uiPriority w:val="99"/>
    <w:rsid w:val="00A86AB9"/>
    <w:rPr>
      <w:color w:val="808080"/>
      <w:shd w:val="clear" w:color="auto" w:fill="E6E6E6"/>
    </w:rPr>
  </w:style>
  <w:style w:type="paragraph" w:styleId="ListContinue">
    <w:name w:val="List Continue"/>
    <w:basedOn w:val="Normal"/>
    <w:uiPriority w:val="99"/>
    <w:unhideWhenUsed/>
    <w:rsid w:val="00E86BBB"/>
    <w:pPr>
      <w:ind w:left="360"/>
      <w:contextualSpacing/>
    </w:pPr>
  </w:style>
  <w:style w:type="table" w:customStyle="1" w:styleId="GridTable4-Accent11">
    <w:name w:val="Grid Table 4 - Accent 11"/>
    <w:basedOn w:val="TableNormal"/>
    <w:uiPriority w:val="49"/>
    <w:rsid w:val="00822AEF"/>
    <w:rPr>
      <w:rFonts w:asciiTheme="minorHAnsi" w:eastAsiaTheme="minorHAnsi" w:hAnsiTheme="minorHAnsi" w:cstheme="minorBidi"/>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UnresolvedMention3">
    <w:name w:val="Unresolved Mention3"/>
    <w:basedOn w:val="DefaultParagraphFont"/>
    <w:uiPriority w:val="99"/>
    <w:semiHidden/>
    <w:unhideWhenUsed/>
    <w:rsid w:val="0094432A"/>
    <w:rPr>
      <w:color w:val="808080"/>
      <w:shd w:val="clear" w:color="auto" w:fill="E6E6E6"/>
    </w:rPr>
  </w:style>
  <w:style w:type="character" w:customStyle="1" w:styleId="UnresolvedMention4">
    <w:name w:val="Unresolved Mention4"/>
    <w:basedOn w:val="DefaultParagraphFont"/>
    <w:uiPriority w:val="99"/>
    <w:semiHidden/>
    <w:unhideWhenUsed/>
    <w:rsid w:val="0003601C"/>
    <w:rPr>
      <w:color w:val="605E5C"/>
      <w:shd w:val="clear" w:color="auto" w:fill="E1DFDD"/>
    </w:rPr>
  </w:style>
  <w:style w:type="table" w:customStyle="1" w:styleId="TableGrid1">
    <w:name w:val="Table Grid1"/>
    <w:basedOn w:val="TableNormal"/>
    <w:next w:val="TableGrid"/>
    <w:locked/>
    <w:rsid w:val="000704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D1048"/>
    <w:rPr>
      <w:color w:val="605E5C"/>
      <w:shd w:val="clear" w:color="auto" w:fill="E1DFDD"/>
    </w:rPr>
  </w:style>
  <w:style w:type="paragraph" w:customStyle="1" w:styleId="TableParagraph">
    <w:name w:val="Table Paragraph"/>
    <w:basedOn w:val="Normal"/>
    <w:uiPriority w:val="1"/>
    <w:qFormat/>
    <w:rsid w:val="004305C4"/>
    <w:pPr>
      <w:widowControl w:val="0"/>
      <w:autoSpaceDE w:val="0"/>
      <w:autoSpaceDN w:val="0"/>
      <w:spacing w:before="29" w:after="0"/>
      <w:jc w:val="left"/>
    </w:pPr>
    <w:rPr>
      <w:rFonts w:ascii="Calibri" w:eastAsia="Calibri" w:hAnsi="Calibri" w:cs="Calibri"/>
      <w:lang w:bidi="en-US"/>
    </w:rPr>
  </w:style>
  <w:style w:type="table" w:customStyle="1" w:styleId="MediumGrid3-Accent12">
    <w:name w:val="Medium Grid 3 - Accent 12"/>
    <w:basedOn w:val="TableNormal"/>
    <w:next w:val="MediumGrid3-Accent1"/>
    <w:uiPriority w:val="69"/>
    <w:rsid w:val="004305C4"/>
    <w:rPr>
      <w:rFonts w:asciiTheme="minorHAnsi" w:eastAsia="Calibri" w:hAnsiTheme="minorHAnsi" w:cstheme="minorBidi"/>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MediumGrid3-Accent1">
    <w:name w:val="Medium Grid 3 Accent 1"/>
    <w:basedOn w:val="TableNormal"/>
    <w:uiPriority w:val="69"/>
    <w:rsid w:val="004305C4"/>
    <w:pPr>
      <w:widowControl w:val="0"/>
      <w:autoSpaceDE w:val="0"/>
      <w:autoSpaceDN w:val="0"/>
    </w:pPr>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extra-authors-text">
    <w:name w:val="extra-authors-text"/>
    <w:basedOn w:val="DefaultParagraphFont"/>
    <w:rsid w:val="004305C4"/>
  </w:style>
  <w:style w:type="paragraph" w:customStyle="1" w:styleId="Normal1">
    <w:name w:val="Normal1"/>
    <w:rsid w:val="00E66655"/>
    <w:pPr>
      <w:widowControl w:val="0"/>
      <w:spacing w:before="20" w:after="20"/>
    </w:pPr>
    <w:rPr>
      <w:sz w:val="20"/>
      <w:szCs w:val="22"/>
      <w:lang w:eastAsia="en-US"/>
    </w:rPr>
  </w:style>
  <w:style w:type="paragraph" w:styleId="Index1">
    <w:name w:val="index 1"/>
    <w:basedOn w:val="Normal"/>
    <w:next w:val="Normal"/>
    <w:autoRedefine/>
    <w:uiPriority w:val="99"/>
    <w:semiHidden/>
    <w:unhideWhenUsed/>
    <w:rsid w:val="008717D9"/>
    <w:pPr>
      <w:spacing w:before="0" w:after="0"/>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8309">
      <w:bodyDiv w:val="1"/>
      <w:marLeft w:val="0"/>
      <w:marRight w:val="0"/>
      <w:marTop w:val="0"/>
      <w:marBottom w:val="0"/>
      <w:divBdr>
        <w:top w:val="none" w:sz="0" w:space="0" w:color="auto"/>
        <w:left w:val="none" w:sz="0" w:space="0" w:color="auto"/>
        <w:bottom w:val="none" w:sz="0" w:space="0" w:color="auto"/>
        <w:right w:val="none" w:sz="0" w:space="0" w:color="auto"/>
      </w:divBdr>
      <w:divsChild>
        <w:div w:id="2135367962">
          <w:marLeft w:val="0"/>
          <w:marRight w:val="0"/>
          <w:marTop w:val="0"/>
          <w:marBottom w:val="0"/>
          <w:divBdr>
            <w:top w:val="none" w:sz="0" w:space="0" w:color="auto"/>
            <w:left w:val="none" w:sz="0" w:space="0" w:color="auto"/>
            <w:bottom w:val="none" w:sz="0" w:space="0" w:color="auto"/>
            <w:right w:val="none" w:sz="0" w:space="0" w:color="auto"/>
          </w:divBdr>
          <w:divsChild>
            <w:div w:id="520629424">
              <w:marLeft w:val="0"/>
              <w:marRight w:val="0"/>
              <w:marTop w:val="0"/>
              <w:marBottom w:val="0"/>
              <w:divBdr>
                <w:top w:val="none" w:sz="0" w:space="0" w:color="auto"/>
                <w:left w:val="none" w:sz="0" w:space="0" w:color="auto"/>
                <w:bottom w:val="none" w:sz="0" w:space="0" w:color="auto"/>
                <w:right w:val="none" w:sz="0" w:space="0" w:color="auto"/>
              </w:divBdr>
              <w:divsChild>
                <w:div w:id="143347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56140">
      <w:bodyDiv w:val="1"/>
      <w:marLeft w:val="0"/>
      <w:marRight w:val="0"/>
      <w:marTop w:val="0"/>
      <w:marBottom w:val="0"/>
      <w:divBdr>
        <w:top w:val="none" w:sz="0" w:space="0" w:color="auto"/>
        <w:left w:val="none" w:sz="0" w:space="0" w:color="auto"/>
        <w:bottom w:val="none" w:sz="0" w:space="0" w:color="auto"/>
        <w:right w:val="none" w:sz="0" w:space="0" w:color="auto"/>
      </w:divBdr>
    </w:div>
    <w:div w:id="52972528">
      <w:bodyDiv w:val="1"/>
      <w:marLeft w:val="0"/>
      <w:marRight w:val="0"/>
      <w:marTop w:val="0"/>
      <w:marBottom w:val="0"/>
      <w:divBdr>
        <w:top w:val="none" w:sz="0" w:space="0" w:color="auto"/>
        <w:left w:val="none" w:sz="0" w:space="0" w:color="auto"/>
        <w:bottom w:val="none" w:sz="0" w:space="0" w:color="auto"/>
        <w:right w:val="none" w:sz="0" w:space="0" w:color="auto"/>
      </w:divBdr>
    </w:div>
    <w:div w:id="77870665">
      <w:bodyDiv w:val="1"/>
      <w:marLeft w:val="0"/>
      <w:marRight w:val="0"/>
      <w:marTop w:val="0"/>
      <w:marBottom w:val="0"/>
      <w:divBdr>
        <w:top w:val="none" w:sz="0" w:space="0" w:color="auto"/>
        <w:left w:val="none" w:sz="0" w:space="0" w:color="auto"/>
        <w:bottom w:val="none" w:sz="0" w:space="0" w:color="auto"/>
        <w:right w:val="none" w:sz="0" w:space="0" w:color="auto"/>
      </w:divBdr>
    </w:div>
    <w:div w:id="99499548">
      <w:bodyDiv w:val="1"/>
      <w:marLeft w:val="0"/>
      <w:marRight w:val="0"/>
      <w:marTop w:val="0"/>
      <w:marBottom w:val="0"/>
      <w:divBdr>
        <w:top w:val="none" w:sz="0" w:space="0" w:color="auto"/>
        <w:left w:val="none" w:sz="0" w:space="0" w:color="auto"/>
        <w:bottom w:val="none" w:sz="0" w:space="0" w:color="auto"/>
        <w:right w:val="none" w:sz="0" w:space="0" w:color="auto"/>
      </w:divBdr>
    </w:div>
    <w:div w:id="102843466">
      <w:bodyDiv w:val="1"/>
      <w:marLeft w:val="0"/>
      <w:marRight w:val="0"/>
      <w:marTop w:val="0"/>
      <w:marBottom w:val="0"/>
      <w:divBdr>
        <w:top w:val="none" w:sz="0" w:space="0" w:color="auto"/>
        <w:left w:val="none" w:sz="0" w:space="0" w:color="auto"/>
        <w:bottom w:val="none" w:sz="0" w:space="0" w:color="auto"/>
        <w:right w:val="none" w:sz="0" w:space="0" w:color="auto"/>
      </w:divBdr>
    </w:div>
    <w:div w:id="110101760">
      <w:marLeft w:val="0"/>
      <w:marRight w:val="0"/>
      <w:marTop w:val="0"/>
      <w:marBottom w:val="0"/>
      <w:divBdr>
        <w:top w:val="none" w:sz="0" w:space="0" w:color="auto"/>
        <w:left w:val="none" w:sz="0" w:space="0" w:color="auto"/>
        <w:bottom w:val="none" w:sz="0" w:space="0" w:color="auto"/>
        <w:right w:val="none" w:sz="0" w:space="0" w:color="auto"/>
      </w:divBdr>
    </w:div>
    <w:div w:id="110101761">
      <w:marLeft w:val="0"/>
      <w:marRight w:val="0"/>
      <w:marTop w:val="0"/>
      <w:marBottom w:val="0"/>
      <w:divBdr>
        <w:top w:val="none" w:sz="0" w:space="0" w:color="auto"/>
        <w:left w:val="none" w:sz="0" w:space="0" w:color="auto"/>
        <w:bottom w:val="none" w:sz="0" w:space="0" w:color="auto"/>
        <w:right w:val="none" w:sz="0" w:space="0" w:color="auto"/>
      </w:divBdr>
    </w:div>
    <w:div w:id="110101762">
      <w:marLeft w:val="0"/>
      <w:marRight w:val="0"/>
      <w:marTop w:val="0"/>
      <w:marBottom w:val="0"/>
      <w:divBdr>
        <w:top w:val="none" w:sz="0" w:space="0" w:color="auto"/>
        <w:left w:val="none" w:sz="0" w:space="0" w:color="auto"/>
        <w:bottom w:val="none" w:sz="0" w:space="0" w:color="auto"/>
        <w:right w:val="none" w:sz="0" w:space="0" w:color="auto"/>
      </w:divBdr>
    </w:div>
    <w:div w:id="110101763">
      <w:marLeft w:val="0"/>
      <w:marRight w:val="0"/>
      <w:marTop w:val="0"/>
      <w:marBottom w:val="0"/>
      <w:divBdr>
        <w:top w:val="none" w:sz="0" w:space="0" w:color="auto"/>
        <w:left w:val="none" w:sz="0" w:space="0" w:color="auto"/>
        <w:bottom w:val="none" w:sz="0" w:space="0" w:color="auto"/>
        <w:right w:val="none" w:sz="0" w:space="0" w:color="auto"/>
      </w:divBdr>
    </w:div>
    <w:div w:id="110101764">
      <w:marLeft w:val="0"/>
      <w:marRight w:val="0"/>
      <w:marTop w:val="0"/>
      <w:marBottom w:val="0"/>
      <w:divBdr>
        <w:top w:val="none" w:sz="0" w:space="0" w:color="auto"/>
        <w:left w:val="none" w:sz="0" w:space="0" w:color="auto"/>
        <w:bottom w:val="none" w:sz="0" w:space="0" w:color="auto"/>
        <w:right w:val="none" w:sz="0" w:space="0" w:color="auto"/>
      </w:divBdr>
    </w:div>
    <w:div w:id="110101765">
      <w:marLeft w:val="0"/>
      <w:marRight w:val="0"/>
      <w:marTop w:val="0"/>
      <w:marBottom w:val="0"/>
      <w:divBdr>
        <w:top w:val="none" w:sz="0" w:space="0" w:color="auto"/>
        <w:left w:val="none" w:sz="0" w:space="0" w:color="auto"/>
        <w:bottom w:val="none" w:sz="0" w:space="0" w:color="auto"/>
        <w:right w:val="none" w:sz="0" w:space="0" w:color="auto"/>
      </w:divBdr>
    </w:div>
    <w:div w:id="110101766">
      <w:marLeft w:val="0"/>
      <w:marRight w:val="0"/>
      <w:marTop w:val="0"/>
      <w:marBottom w:val="0"/>
      <w:divBdr>
        <w:top w:val="none" w:sz="0" w:space="0" w:color="auto"/>
        <w:left w:val="none" w:sz="0" w:space="0" w:color="auto"/>
        <w:bottom w:val="none" w:sz="0" w:space="0" w:color="auto"/>
        <w:right w:val="none" w:sz="0" w:space="0" w:color="auto"/>
      </w:divBdr>
    </w:div>
    <w:div w:id="110101767">
      <w:marLeft w:val="0"/>
      <w:marRight w:val="0"/>
      <w:marTop w:val="0"/>
      <w:marBottom w:val="0"/>
      <w:divBdr>
        <w:top w:val="none" w:sz="0" w:space="0" w:color="auto"/>
        <w:left w:val="none" w:sz="0" w:space="0" w:color="auto"/>
        <w:bottom w:val="none" w:sz="0" w:space="0" w:color="auto"/>
        <w:right w:val="none" w:sz="0" w:space="0" w:color="auto"/>
      </w:divBdr>
    </w:div>
    <w:div w:id="110101768">
      <w:marLeft w:val="0"/>
      <w:marRight w:val="0"/>
      <w:marTop w:val="0"/>
      <w:marBottom w:val="0"/>
      <w:divBdr>
        <w:top w:val="none" w:sz="0" w:space="0" w:color="auto"/>
        <w:left w:val="none" w:sz="0" w:space="0" w:color="auto"/>
        <w:bottom w:val="none" w:sz="0" w:space="0" w:color="auto"/>
        <w:right w:val="none" w:sz="0" w:space="0" w:color="auto"/>
      </w:divBdr>
    </w:div>
    <w:div w:id="110101769">
      <w:marLeft w:val="0"/>
      <w:marRight w:val="0"/>
      <w:marTop w:val="0"/>
      <w:marBottom w:val="0"/>
      <w:divBdr>
        <w:top w:val="none" w:sz="0" w:space="0" w:color="auto"/>
        <w:left w:val="none" w:sz="0" w:space="0" w:color="auto"/>
        <w:bottom w:val="none" w:sz="0" w:space="0" w:color="auto"/>
        <w:right w:val="none" w:sz="0" w:space="0" w:color="auto"/>
      </w:divBdr>
    </w:div>
    <w:div w:id="110101770">
      <w:marLeft w:val="0"/>
      <w:marRight w:val="0"/>
      <w:marTop w:val="0"/>
      <w:marBottom w:val="0"/>
      <w:divBdr>
        <w:top w:val="none" w:sz="0" w:space="0" w:color="auto"/>
        <w:left w:val="none" w:sz="0" w:space="0" w:color="auto"/>
        <w:bottom w:val="none" w:sz="0" w:space="0" w:color="auto"/>
        <w:right w:val="none" w:sz="0" w:space="0" w:color="auto"/>
      </w:divBdr>
    </w:div>
    <w:div w:id="110101771">
      <w:marLeft w:val="0"/>
      <w:marRight w:val="0"/>
      <w:marTop w:val="0"/>
      <w:marBottom w:val="0"/>
      <w:divBdr>
        <w:top w:val="none" w:sz="0" w:space="0" w:color="auto"/>
        <w:left w:val="none" w:sz="0" w:space="0" w:color="auto"/>
        <w:bottom w:val="none" w:sz="0" w:space="0" w:color="auto"/>
        <w:right w:val="none" w:sz="0" w:space="0" w:color="auto"/>
      </w:divBdr>
    </w:div>
    <w:div w:id="112477729">
      <w:bodyDiv w:val="1"/>
      <w:marLeft w:val="0"/>
      <w:marRight w:val="0"/>
      <w:marTop w:val="0"/>
      <w:marBottom w:val="0"/>
      <w:divBdr>
        <w:top w:val="none" w:sz="0" w:space="0" w:color="auto"/>
        <w:left w:val="none" w:sz="0" w:space="0" w:color="auto"/>
        <w:bottom w:val="none" w:sz="0" w:space="0" w:color="auto"/>
        <w:right w:val="none" w:sz="0" w:space="0" w:color="auto"/>
      </w:divBdr>
    </w:div>
    <w:div w:id="175388661">
      <w:bodyDiv w:val="1"/>
      <w:marLeft w:val="0"/>
      <w:marRight w:val="0"/>
      <w:marTop w:val="0"/>
      <w:marBottom w:val="0"/>
      <w:divBdr>
        <w:top w:val="none" w:sz="0" w:space="0" w:color="auto"/>
        <w:left w:val="none" w:sz="0" w:space="0" w:color="auto"/>
        <w:bottom w:val="none" w:sz="0" w:space="0" w:color="auto"/>
        <w:right w:val="none" w:sz="0" w:space="0" w:color="auto"/>
      </w:divBdr>
    </w:div>
    <w:div w:id="181092669">
      <w:bodyDiv w:val="1"/>
      <w:marLeft w:val="0"/>
      <w:marRight w:val="0"/>
      <w:marTop w:val="0"/>
      <w:marBottom w:val="0"/>
      <w:divBdr>
        <w:top w:val="none" w:sz="0" w:space="0" w:color="auto"/>
        <w:left w:val="none" w:sz="0" w:space="0" w:color="auto"/>
        <w:bottom w:val="none" w:sz="0" w:space="0" w:color="auto"/>
        <w:right w:val="none" w:sz="0" w:space="0" w:color="auto"/>
      </w:divBdr>
    </w:div>
    <w:div w:id="204565486">
      <w:bodyDiv w:val="1"/>
      <w:marLeft w:val="0"/>
      <w:marRight w:val="0"/>
      <w:marTop w:val="0"/>
      <w:marBottom w:val="0"/>
      <w:divBdr>
        <w:top w:val="none" w:sz="0" w:space="0" w:color="auto"/>
        <w:left w:val="none" w:sz="0" w:space="0" w:color="auto"/>
        <w:bottom w:val="none" w:sz="0" w:space="0" w:color="auto"/>
        <w:right w:val="none" w:sz="0" w:space="0" w:color="auto"/>
      </w:divBdr>
      <w:divsChild>
        <w:div w:id="1980725734">
          <w:marLeft w:val="0"/>
          <w:marRight w:val="0"/>
          <w:marTop w:val="0"/>
          <w:marBottom w:val="0"/>
          <w:divBdr>
            <w:top w:val="none" w:sz="0" w:space="0" w:color="auto"/>
            <w:left w:val="none" w:sz="0" w:space="0" w:color="auto"/>
            <w:bottom w:val="none" w:sz="0" w:space="0" w:color="auto"/>
            <w:right w:val="none" w:sz="0" w:space="0" w:color="auto"/>
          </w:divBdr>
          <w:divsChild>
            <w:div w:id="1796211372">
              <w:marLeft w:val="0"/>
              <w:marRight w:val="0"/>
              <w:marTop w:val="0"/>
              <w:marBottom w:val="0"/>
              <w:divBdr>
                <w:top w:val="none" w:sz="0" w:space="0" w:color="auto"/>
                <w:left w:val="none" w:sz="0" w:space="0" w:color="auto"/>
                <w:bottom w:val="none" w:sz="0" w:space="0" w:color="auto"/>
                <w:right w:val="none" w:sz="0" w:space="0" w:color="auto"/>
              </w:divBdr>
              <w:divsChild>
                <w:div w:id="415707279">
                  <w:marLeft w:val="0"/>
                  <w:marRight w:val="0"/>
                  <w:marTop w:val="0"/>
                  <w:marBottom w:val="0"/>
                  <w:divBdr>
                    <w:top w:val="none" w:sz="0" w:space="0" w:color="auto"/>
                    <w:left w:val="none" w:sz="0" w:space="0" w:color="auto"/>
                    <w:bottom w:val="none" w:sz="0" w:space="0" w:color="auto"/>
                    <w:right w:val="none" w:sz="0" w:space="0" w:color="auto"/>
                  </w:divBdr>
                  <w:divsChild>
                    <w:div w:id="173561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254587">
      <w:bodyDiv w:val="1"/>
      <w:marLeft w:val="0"/>
      <w:marRight w:val="0"/>
      <w:marTop w:val="0"/>
      <w:marBottom w:val="0"/>
      <w:divBdr>
        <w:top w:val="none" w:sz="0" w:space="0" w:color="auto"/>
        <w:left w:val="none" w:sz="0" w:space="0" w:color="auto"/>
        <w:bottom w:val="none" w:sz="0" w:space="0" w:color="auto"/>
        <w:right w:val="none" w:sz="0" w:space="0" w:color="auto"/>
      </w:divBdr>
      <w:divsChild>
        <w:div w:id="1731490674">
          <w:marLeft w:val="0"/>
          <w:marRight w:val="0"/>
          <w:marTop w:val="0"/>
          <w:marBottom w:val="0"/>
          <w:divBdr>
            <w:top w:val="none" w:sz="0" w:space="0" w:color="auto"/>
            <w:left w:val="none" w:sz="0" w:space="0" w:color="auto"/>
            <w:bottom w:val="none" w:sz="0" w:space="0" w:color="auto"/>
            <w:right w:val="none" w:sz="0" w:space="0" w:color="auto"/>
          </w:divBdr>
          <w:divsChild>
            <w:div w:id="388529687">
              <w:marLeft w:val="0"/>
              <w:marRight w:val="0"/>
              <w:marTop w:val="0"/>
              <w:marBottom w:val="0"/>
              <w:divBdr>
                <w:top w:val="none" w:sz="0" w:space="0" w:color="auto"/>
                <w:left w:val="none" w:sz="0" w:space="0" w:color="auto"/>
                <w:bottom w:val="none" w:sz="0" w:space="0" w:color="auto"/>
                <w:right w:val="none" w:sz="0" w:space="0" w:color="auto"/>
              </w:divBdr>
              <w:divsChild>
                <w:div w:id="427428598">
                  <w:marLeft w:val="0"/>
                  <w:marRight w:val="0"/>
                  <w:marTop w:val="0"/>
                  <w:marBottom w:val="0"/>
                  <w:divBdr>
                    <w:top w:val="none" w:sz="0" w:space="0" w:color="auto"/>
                    <w:left w:val="none" w:sz="0" w:space="0" w:color="auto"/>
                    <w:bottom w:val="none" w:sz="0" w:space="0" w:color="auto"/>
                    <w:right w:val="none" w:sz="0" w:space="0" w:color="auto"/>
                  </w:divBdr>
                  <w:divsChild>
                    <w:div w:id="159635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018419">
      <w:bodyDiv w:val="1"/>
      <w:marLeft w:val="0"/>
      <w:marRight w:val="0"/>
      <w:marTop w:val="0"/>
      <w:marBottom w:val="0"/>
      <w:divBdr>
        <w:top w:val="none" w:sz="0" w:space="0" w:color="auto"/>
        <w:left w:val="none" w:sz="0" w:space="0" w:color="auto"/>
        <w:bottom w:val="none" w:sz="0" w:space="0" w:color="auto"/>
        <w:right w:val="none" w:sz="0" w:space="0" w:color="auto"/>
      </w:divBdr>
      <w:divsChild>
        <w:div w:id="776218667">
          <w:marLeft w:val="21"/>
          <w:marRight w:val="0"/>
          <w:marTop w:val="0"/>
          <w:marBottom w:val="0"/>
          <w:divBdr>
            <w:top w:val="none" w:sz="0" w:space="0" w:color="auto"/>
            <w:left w:val="none" w:sz="0" w:space="0" w:color="auto"/>
            <w:bottom w:val="none" w:sz="0" w:space="0" w:color="auto"/>
            <w:right w:val="none" w:sz="0" w:space="0" w:color="auto"/>
          </w:divBdr>
        </w:div>
      </w:divsChild>
    </w:div>
    <w:div w:id="288124449">
      <w:bodyDiv w:val="1"/>
      <w:marLeft w:val="0"/>
      <w:marRight w:val="0"/>
      <w:marTop w:val="0"/>
      <w:marBottom w:val="0"/>
      <w:divBdr>
        <w:top w:val="none" w:sz="0" w:space="0" w:color="auto"/>
        <w:left w:val="none" w:sz="0" w:space="0" w:color="auto"/>
        <w:bottom w:val="none" w:sz="0" w:space="0" w:color="auto"/>
        <w:right w:val="none" w:sz="0" w:space="0" w:color="auto"/>
      </w:divBdr>
    </w:div>
    <w:div w:id="298149178">
      <w:bodyDiv w:val="1"/>
      <w:marLeft w:val="0"/>
      <w:marRight w:val="0"/>
      <w:marTop w:val="0"/>
      <w:marBottom w:val="0"/>
      <w:divBdr>
        <w:top w:val="none" w:sz="0" w:space="0" w:color="auto"/>
        <w:left w:val="none" w:sz="0" w:space="0" w:color="auto"/>
        <w:bottom w:val="none" w:sz="0" w:space="0" w:color="auto"/>
        <w:right w:val="none" w:sz="0" w:space="0" w:color="auto"/>
      </w:divBdr>
      <w:divsChild>
        <w:div w:id="878587958">
          <w:marLeft w:val="21"/>
          <w:marRight w:val="0"/>
          <w:marTop w:val="0"/>
          <w:marBottom w:val="0"/>
          <w:divBdr>
            <w:top w:val="none" w:sz="0" w:space="0" w:color="auto"/>
            <w:left w:val="none" w:sz="0" w:space="0" w:color="auto"/>
            <w:bottom w:val="none" w:sz="0" w:space="0" w:color="auto"/>
            <w:right w:val="none" w:sz="0" w:space="0" w:color="auto"/>
          </w:divBdr>
        </w:div>
      </w:divsChild>
    </w:div>
    <w:div w:id="374157230">
      <w:bodyDiv w:val="1"/>
      <w:marLeft w:val="0"/>
      <w:marRight w:val="0"/>
      <w:marTop w:val="0"/>
      <w:marBottom w:val="0"/>
      <w:divBdr>
        <w:top w:val="none" w:sz="0" w:space="0" w:color="auto"/>
        <w:left w:val="none" w:sz="0" w:space="0" w:color="auto"/>
        <w:bottom w:val="none" w:sz="0" w:space="0" w:color="auto"/>
        <w:right w:val="none" w:sz="0" w:space="0" w:color="auto"/>
      </w:divBdr>
    </w:div>
    <w:div w:id="377507520">
      <w:bodyDiv w:val="1"/>
      <w:marLeft w:val="0"/>
      <w:marRight w:val="0"/>
      <w:marTop w:val="0"/>
      <w:marBottom w:val="0"/>
      <w:divBdr>
        <w:top w:val="none" w:sz="0" w:space="0" w:color="auto"/>
        <w:left w:val="none" w:sz="0" w:space="0" w:color="auto"/>
        <w:bottom w:val="none" w:sz="0" w:space="0" w:color="auto"/>
        <w:right w:val="none" w:sz="0" w:space="0" w:color="auto"/>
      </w:divBdr>
    </w:div>
    <w:div w:id="400179847">
      <w:bodyDiv w:val="1"/>
      <w:marLeft w:val="0"/>
      <w:marRight w:val="0"/>
      <w:marTop w:val="0"/>
      <w:marBottom w:val="0"/>
      <w:divBdr>
        <w:top w:val="none" w:sz="0" w:space="0" w:color="auto"/>
        <w:left w:val="none" w:sz="0" w:space="0" w:color="auto"/>
        <w:bottom w:val="none" w:sz="0" w:space="0" w:color="auto"/>
        <w:right w:val="none" w:sz="0" w:space="0" w:color="auto"/>
      </w:divBdr>
      <w:divsChild>
        <w:div w:id="2027319791">
          <w:marLeft w:val="0"/>
          <w:marRight w:val="0"/>
          <w:marTop w:val="0"/>
          <w:marBottom w:val="0"/>
          <w:divBdr>
            <w:top w:val="none" w:sz="0" w:space="0" w:color="auto"/>
            <w:left w:val="none" w:sz="0" w:space="0" w:color="auto"/>
            <w:bottom w:val="none" w:sz="0" w:space="0" w:color="auto"/>
            <w:right w:val="none" w:sz="0" w:space="0" w:color="auto"/>
          </w:divBdr>
          <w:divsChild>
            <w:div w:id="238633968">
              <w:marLeft w:val="0"/>
              <w:marRight w:val="0"/>
              <w:marTop w:val="0"/>
              <w:marBottom w:val="0"/>
              <w:divBdr>
                <w:top w:val="none" w:sz="0" w:space="0" w:color="auto"/>
                <w:left w:val="none" w:sz="0" w:space="0" w:color="auto"/>
                <w:bottom w:val="none" w:sz="0" w:space="0" w:color="auto"/>
                <w:right w:val="none" w:sz="0" w:space="0" w:color="auto"/>
              </w:divBdr>
              <w:divsChild>
                <w:div w:id="84058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565470">
      <w:bodyDiv w:val="1"/>
      <w:marLeft w:val="0"/>
      <w:marRight w:val="0"/>
      <w:marTop w:val="0"/>
      <w:marBottom w:val="0"/>
      <w:divBdr>
        <w:top w:val="none" w:sz="0" w:space="0" w:color="auto"/>
        <w:left w:val="none" w:sz="0" w:space="0" w:color="auto"/>
        <w:bottom w:val="none" w:sz="0" w:space="0" w:color="auto"/>
        <w:right w:val="none" w:sz="0" w:space="0" w:color="auto"/>
      </w:divBdr>
      <w:divsChild>
        <w:div w:id="1916821268">
          <w:marLeft w:val="0"/>
          <w:marRight w:val="0"/>
          <w:marTop w:val="0"/>
          <w:marBottom w:val="0"/>
          <w:divBdr>
            <w:top w:val="none" w:sz="0" w:space="0" w:color="auto"/>
            <w:left w:val="none" w:sz="0" w:space="0" w:color="auto"/>
            <w:bottom w:val="none" w:sz="0" w:space="0" w:color="auto"/>
            <w:right w:val="none" w:sz="0" w:space="0" w:color="auto"/>
          </w:divBdr>
          <w:divsChild>
            <w:div w:id="1038580721">
              <w:marLeft w:val="0"/>
              <w:marRight w:val="0"/>
              <w:marTop w:val="0"/>
              <w:marBottom w:val="0"/>
              <w:divBdr>
                <w:top w:val="none" w:sz="0" w:space="0" w:color="auto"/>
                <w:left w:val="none" w:sz="0" w:space="0" w:color="auto"/>
                <w:bottom w:val="none" w:sz="0" w:space="0" w:color="auto"/>
                <w:right w:val="none" w:sz="0" w:space="0" w:color="auto"/>
              </w:divBdr>
              <w:divsChild>
                <w:div w:id="861406670">
                  <w:marLeft w:val="0"/>
                  <w:marRight w:val="0"/>
                  <w:marTop w:val="0"/>
                  <w:marBottom w:val="0"/>
                  <w:divBdr>
                    <w:top w:val="none" w:sz="0" w:space="0" w:color="auto"/>
                    <w:left w:val="none" w:sz="0" w:space="0" w:color="auto"/>
                    <w:bottom w:val="none" w:sz="0" w:space="0" w:color="auto"/>
                    <w:right w:val="none" w:sz="0" w:space="0" w:color="auto"/>
                  </w:divBdr>
                  <w:divsChild>
                    <w:div w:id="95363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876255">
      <w:bodyDiv w:val="1"/>
      <w:marLeft w:val="0"/>
      <w:marRight w:val="0"/>
      <w:marTop w:val="0"/>
      <w:marBottom w:val="0"/>
      <w:divBdr>
        <w:top w:val="none" w:sz="0" w:space="0" w:color="auto"/>
        <w:left w:val="none" w:sz="0" w:space="0" w:color="auto"/>
        <w:bottom w:val="none" w:sz="0" w:space="0" w:color="auto"/>
        <w:right w:val="none" w:sz="0" w:space="0" w:color="auto"/>
      </w:divBdr>
    </w:div>
    <w:div w:id="475950399">
      <w:bodyDiv w:val="1"/>
      <w:marLeft w:val="0"/>
      <w:marRight w:val="0"/>
      <w:marTop w:val="0"/>
      <w:marBottom w:val="0"/>
      <w:divBdr>
        <w:top w:val="none" w:sz="0" w:space="0" w:color="auto"/>
        <w:left w:val="none" w:sz="0" w:space="0" w:color="auto"/>
        <w:bottom w:val="none" w:sz="0" w:space="0" w:color="auto"/>
        <w:right w:val="none" w:sz="0" w:space="0" w:color="auto"/>
      </w:divBdr>
    </w:div>
    <w:div w:id="512574124">
      <w:bodyDiv w:val="1"/>
      <w:marLeft w:val="0"/>
      <w:marRight w:val="0"/>
      <w:marTop w:val="0"/>
      <w:marBottom w:val="0"/>
      <w:divBdr>
        <w:top w:val="none" w:sz="0" w:space="0" w:color="auto"/>
        <w:left w:val="none" w:sz="0" w:space="0" w:color="auto"/>
        <w:bottom w:val="none" w:sz="0" w:space="0" w:color="auto"/>
        <w:right w:val="none" w:sz="0" w:space="0" w:color="auto"/>
      </w:divBdr>
    </w:div>
    <w:div w:id="513149258">
      <w:bodyDiv w:val="1"/>
      <w:marLeft w:val="0"/>
      <w:marRight w:val="0"/>
      <w:marTop w:val="0"/>
      <w:marBottom w:val="0"/>
      <w:divBdr>
        <w:top w:val="none" w:sz="0" w:space="0" w:color="auto"/>
        <w:left w:val="none" w:sz="0" w:space="0" w:color="auto"/>
        <w:bottom w:val="none" w:sz="0" w:space="0" w:color="auto"/>
        <w:right w:val="none" w:sz="0" w:space="0" w:color="auto"/>
      </w:divBdr>
    </w:div>
    <w:div w:id="542257874">
      <w:bodyDiv w:val="1"/>
      <w:marLeft w:val="0"/>
      <w:marRight w:val="0"/>
      <w:marTop w:val="0"/>
      <w:marBottom w:val="0"/>
      <w:divBdr>
        <w:top w:val="none" w:sz="0" w:space="0" w:color="auto"/>
        <w:left w:val="none" w:sz="0" w:space="0" w:color="auto"/>
        <w:bottom w:val="none" w:sz="0" w:space="0" w:color="auto"/>
        <w:right w:val="none" w:sz="0" w:space="0" w:color="auto"/>
      </w:divBdr>
    </w:div>
    <w:div w:id="578715290">
      <w:bodyDiv w:val="1"/>
      <w:marLeft w:val="0"/>
      <w:marRight w:val="0"/>
      <w:marTop w:val="0"/>
      <w:marBottom w:val="0"/>
      <w:divBdr>
        <w:top w:val="none" w:sz="0" w:space="0" w:color="auto"/>
        <w:left w:val="none" w:sz="0" w:space="0" w:color="auto"/>
        <w:bottom w:val="none" w:sz="0" w:space="0" w:color="auto"/>
        <w:right w:val="none" w:sz="0" w:space="0" w:color="auto"/>
      </w:divBdr>
    </w:div>
    <w:div w:id="627129857">
      <w:bodyDiv w:val="1"/>
      <w:marLeft w:val="0"/>
      <w:marRight w:val="0"/>
      <w:marTop w:val="0"/>
      <w:marBottom w:val="0"/>
      <w:divBdr>
        <w:top w:val="none" w:sz="0" w:space="0" w:color="auto"/>
        <w:left w:val="none" w:sz="0" w:space="0" w:color="auto"/>
        <w:bottom w:val="none" w:sz="0" w:space="0" w:color="auto"/>
        <w:right w:val="none" w:sz="0" w:space="0" w:color="auto"/>
      </w:divBdr>
      <w:divsChild>
        <w:div w:id="755591697">
          <w:marLeft w:val="0"/>
          <w:marRight w:val="0"/>
          <w:marTop w:val="0"/>
          <w:marBottom w:val="0"/>
          <w:divBdr>
            <w:top w:val="none" w:sz="0" w:space="0" w:color="auto"/>
            <w:left w:val="none" w:sz="0" w:space="0" w:color="auto"/>
            <w:bottom w:val="none" w:sz="0" w:space="0" w:color="auto"/>
            <w:right w:val="none" w:sz="0" w:space="0" w:color="auto"/>
          </w:divBdr>
          <w:divsChild>
            <w:div w:id="1769227180">
              <w:marLeft w:val="0"/>
              <w:marRight w:val="0"/>
              <w:marTop w:val="0"/>
              <w:marBottom w:val="0"/>
              <w:divBdr>
                <w:top w:val="none" w:sz="0" w:space="0" w:color="auto"/>
                <w:left w:val="none" w:sz="0" w:space="0" w:color="auto"/>
                <w:bottom w:val="none" w:sz="0" w:space="0" w:color="auto"/>
                <w:right w:val="none" w:sz="0" w:space="0" w:color="auto"/>
              </w:divBdr>
              <w:divsChild>
                <w:div w:id="68028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984939">
      <w:bodyDiv w:val="1"/>
      <w:marLeft w:val="0"/>
      <w:marRight w:val="0"/>
      <w:marTop w:val="0"/>
      <w:marBottom w:val="0"/>
      <w:divBdr>
        <w:top w:val="none" w:sz="0" w:space="0" w:color="auto"/>
        <w:left w:val="none" w:sz="0" w:space="0" w:color="auto"/>
        <w:bottom w:val="none" w:sz="0" w:space="0" w:color="auto"/>
        <w:right w:val="none" w:sz="0" w:space="0" w:color="auto"/>
      </w:divBdr>
    </w:div>
    <w:div w:id="681712742">
      <w:bodyDiv w:val="1"/>
      <w:marLeft w:val="0"/>
      <w:marRight w:val="0"/>
      <w:marTop w:val="0"/>
      <w:marBottom w:val="0"/>
      <w:divBdr>
        <w:top w:val="none" w:sz="0" w:space="0" w:color="auto"/>
        <w:left w:val="none" w:sz="0" w:space="0" w:color="auto"/>
        <w:bottom w:val="none" w:sz="0" w:space="0" w:color="auto"/>
        <w:right w:val="none" w:sz="0" w:space="0" w:color="auto"/>
      </w:divBdr>
    </w:div>
    <w:div w:id="690111122">
      <w:bodyDiv w:val="1"/>
      <w:marLeft w:val="0"/>
      <w:marRight w:val="0"/>
      <w:marTop w:val="0"/>
      <w:marBottom w:val="0"/>
      <w:divBdr>
        <w:top w:val="none" w:sz="0" w:space="0" w:color="auto"/>
        <w:left w:val="none" w:sz="0" w:space="0" w:color="auto"/>
        <w:bottom w:val="none" w:sz="0" w:space="0" w:color="auto"/>
        <w:right w:val="none" w:sz="0" w:space="0" w:color="auto"/>
      </w:divBdr>
    </w:div>
    <w:div w:id="693380338">
      <w:bodyDiv w:val="1"/>
      <w:marLeft w:val="0"/>
      <w:marRight w:val="0"/>
      <w:marTop w:val="0"/>
      <w:marBottom w:val="0"/>
      <w:divBdr>
        <w:top w:val="none" w:sz="0" w:space="0" w:color="auto"/>
        <w:left w:val="none" w:sz="0" w:space="0" w:color="auto"/>
        <w:bottom w:val="none" w:sz="0" w:space="0" w:color="auto"/>
        <w:right w:val="none" w:sz="0" w:space="0" w:color="auto"/>
      </w:divBdr>
      <w:divsChild>
        <w:div w:id="1543404157">
          <w:marLeft w:val="0"/>
          <w:marRight w:val="0"/>
          <w:marTop w:val="0"/>
          <w:marBottom w:val="0"/>
          <w:divBdr>
            <w:top w:val="none" w:sz="0" w:space="0" w:color="auto"/>
            <w:left w:val="none" w:sz="0" w:space="0" w:color="auto"/>
            <w:bottom w:val="none" w:sz="0" w:space="0" w:color="auto"/>
            <w:right w:val="none" w:sz="0" w:space="0" w:color="auto"/>
          </w:divBdr>
          <w:divsChild>
            <w:div w:id="1914469834">
              <w:marLeft w:val="0"/>
              <w:marRight w:val="0"/>
              <w:marTop w:val="0"/>
              <w:marBottom w:val="0"/>
              <w:divBdr>
                <w:top w:val="none" w:sz="0" w:space="0" w:color="auto"/>
                <w:left w:val="none" w:sz="0" w:space="0" w:color="auto"/>
                <w:bottom w:val="none" w:sz="0" w:space="0" w:color="auto"/>
                <w:right w:val="none" w:sz="0" w:space="0" w:color="auto"/>
              </w:divBdr>
              <w:divsChild>
                <w:div w:id="1423647486">
                  <w:marLeft w:val="0"/>
                  <w:marRight w:val="0"/>
                  <w:marTop w:val="0"/>
                  <w:marBottom w:val="0"/>
                  <w:divBdr>
                    <w:top w:val="none" w:sz="0" w:space="0" w:color="auto"/>
                    <w:left w:val="none" w:sz="0" w:space="0" w:color="auto"/>
                    <w:bottom w:val="none" w:sz="0" w:space="0" w:color="auto"/>
                    <w:right w:val="none" w:sz="0" w:space="0" w:color="auto"/>
                  </w:divBdr>
                  <w:divsChild>
                    <w:div w:id="105037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317897">
      <w:bodyDiv w:val="1"/>
      <w:marLeft w:val="0"/>
      <w:marRight w:val="0"/>
      <w:marTop w:val="0"/>
      <w:marBottom w:val="0"/>
      <w:divBdr>
        <w:top w:val="none" w:sz="0" w:space="0" w:color="auto"/>
        <w:left w:val="none" w:sz="0" w:space="0" w:color="auto"/>
        <w:bottom w:val="none" w:sz="0" w:space="0" w:color="auto"/>
        <w:right w:val="none" w:sz="0" w:space="0" w:color="auto"/>
      </w:divBdr>
    </w:div>
    <w:div w:id="719940074">
      <w:bodyDiv w:val="1"/>
      <w:marLeft w:val="0"/>
      <w:marRight w:val="0"/>
      <w:marTop w:val="0"/>
      <w:marBottom w:val="0"/>
      <w:divBdr>
        <w:top w:val="none" w:sz="0" w:space="0" w:color="auto"/>
        <w:left w:val="none" w:sz="0" w:space="0" w:color="auto"/>
        <w:bottom w:val="none" w:sz="0" w:space="0" w:color="auto"/>
        <w:right w:val="none" w:sz="0" w:space="0" w:color="auto"/>
      </w:divBdr>
    </w:div>
    <w:div w:id="827021676">
      <w:bodyDiv w:val="1"/>
      <w:marLeft w:val="0"/>
      <w:marRight w:val="0"/>
      <w:marTop w:val="0"/>
      <w:marBottom w:val="0"/>
      <w:divBdr>
        <w:top w:val="none" w:sz="0" w:space="0" w:color="auto"/>
        <w:left w:val="none" w:sz="0" w:space="0" w:color="auto"/>
        <w:bottom w:val="none" w:sz="0" w:space="0" w:color="auto"/>
        <w:right w:val="none" w:sz="0" w:space="0" w:color="auto"/>
      </w:divBdr>
    </w:div>
    <w:div w:id="849444836">
      <w:bodyDiv w:val="1"/>
      <w:marLeft w:val="0"/>
      <w:marRight w:val="0"/>
      <w:marTop w:val="0"/>
      <w:marBottom w:val="0"/>
      <w:divBdr>
        <w:top w:val="none" w:sz="0" w:space="0" w:color="auto"/>
        <w:left w:val="none" w:sz="0" w:space="0" w:color="auto"/>
        <w:bottom w:val="none" w:sz="0" w:space="0" w:color="auto"/>
        <w:right w:val="none" w:sz="0" w:space="0" w:color="auto"/>
      </w:divBdr>
    </w:div>
    <w:div w:id="880702710">
      <w:bodyDiv w:val="1"/>
      <w:marLeft w:val="0"/>
      <w:marRight w:val="0"/>
      <w:marTop w:val="0"/>
      <w:marBottom w:val="0"/>
      <w:divBdr>
        <w:top w:val="none" w:sz="0" w:space="0" w:color="auto"/>
        <w:left w:val="none" w:sz="0" w:space="0" w:color="auto"/>
        <w:bottom w:val="none" w:sz="0" w:space="0" w:color="auto"/>
        <w:right w:val="none" w:sz="0" w:space="0" w:color="auto"/>
      </w:divBdr>
      <w:divsChild>
        <w:div w:id="1804536334">
          <w:marLeft w:val="-653"/>
          <w:marRight w:val="0"/>
          <w:marTop w:val="0"/>
          <w:marBottom w:val="0"/>
          <w:divBdr>
            <w:top w:val="none" w:sz="0" w:space="0" w:color="auto"/>
            <w:left w:val="none" w:sz="0" w:space="0" w:color="auto"/>
            <w:bottom w:val="none" w:sz="0" w:space="0" w:color="auto"/>
            <w:right w:val="none" w:sz="0" w:space="0" w:color="auto"/>
          </w:divBdr>
        </w:div>
      </w:divsChild>
    </w:div>
    <w:div w:id="924531902">
      <w:bodyDiv w:val="1"/>
      <w:marLeft w:val="0"/>
      <w:marRight w:val="0"/>
      <w:marTop w:val="0"/>
      <w:marBottom w:val="0"/>
      <w:divBdr>
        <w:top w:val="none" w:sz="0" w:space="0" w:color="auto"/>
        <w:left w:val="none" w:sz="0" w:space="0" w:color="auto"/>
        <w:bottom w:val="none" w:sz="0" w:space="0" w:color="auto"/>
        <w:right w:val="none" w:sz="0" w:space="0" w:color="auto"/>
      </w:divBdr>
    </w:div>
    <w:div w:id="955017101">
      <w:bodyDiv w:val="1"/>
      <w:marLeft w:val="0"/>
      <w:marRight w:val="0"/>
      <w:marTop w:val="0"/>
      <w:marBottom w:val="0"/>
      <w:divBdr>
        <w:top w:val="none" w:sz="0" w:space="0" w:color="auto"/>
        <w:left w:val="none" w:sz="0" w:space="0" w:color="auto"/>
        <w:bottom w:val="none" w:sz="0" w:space="0" w:color="auto"/>
        <w:right w:val="none" w:sz="0" w:space="0" w:color="auto"/>
      </w:divBdr>
    </w:div>
    <w:div w:id="960304142">
      <w:bodyDiv w:val="1"/>
      <w:marLeft w:val="0"/>
      <w:marRight w:val="0"/>
      <w:marTop w:val="0"/>
      <w:marBottom w:val="0"/>
      <w:divBdr>
        <w:top w:val="none" w:sz="0" w:space="0" w:color="auto"/>
        <w:left w:val="none" w:sz="0" w:space="0" w:color="auto"/>
        <w:bottom w:val="none" w:sz="0" w:space="0" w:color="auto"/>
        <w:right w:val="none" w:sz="0" w:space="0" w:color="auto"/>
      </w:divBdr>
      <w:divsChild>
        <w:div w:id="956596004">
          <w:marLeft w:val="0"/>
          <w:marRight w:val="0"/>
          <w:marTop w:val="0"/>
          <w:marBottom w:val="0"/>
          <w:divBdr>
            <w:top w:val="none" w:sz="0" w:space="0" w:color="auto"/>
            <w:left w:val="none" w:sz="0" w:space="0" w:color="auto"/>
            <w:bottom w:val="none" w:sz="0" w:space="0" w:color="auto"/>
            <w:right w:val="none" w:sz="0" w:space="0" w:color="auto"/>
          </w:divBdr>
          <w:divsChild>
            <w:div w:id="1201237328">
              <w:marLeft w:val="0"/>
              <w:marRight w:val="0"/>
              <w:marTop w:val="0"/>
              <w:marBottom w:val="0"/>
              <w:divBdr>
                <w:top w:val="none" w:sz="0" w:space="0" w:color="auto"/>
                <w:left w:val="none" w:sz="0" w:space="0" w:color="auto"/>
                <w:bottom w:val="none" w:sz="0" w:space="0" w:color="auto"/>
                <w:right w:val="none" w:sz="0" w:space="0" w:color="auto"/>
              </w:divBdr>
              <w:divsChild>
                <w:div w:id="1364743099">
                  <w:marLeft w:val="0"/>
                  <w:marRight w:val="0"/>
                  <w:marTop w:val="0"/>
                  <w:marBottom w:val="0"/>
                  <w:divBdr>
                    <w:top w:val="none" w:sz="0" w:space="0" w:color="auto"/>
                    <w:left w:val="none" w:sz="0" w:space="0" w:color="auto"/>
                    <w:bottom w:val="none" w:sz="0" w:space="0" w:color="auto"/>
                    <w:right w:val="none" w:sz="0" w:space="0" w:color="auto"/>
                  </w:divBdr>
                  <w:divsChild>
                    <w:div w:id="62196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10318">
      <w:bodyDiv w:val="1"/>
      <w:marLeft w:val="0"/>
      <w:marRight w:val="0"/>
      <w:marTop w:val="0"/>
      <w:marBottom w:val="0"/>
      <w:divBdr>
        <w:top w:val="none" w:sz="0" w:space="0" w:color="auto"/>
        <w:left w:val="none" w:sz="0" w:space="0" w:color="auto"/>
        <w:bottom w:val="none" w:sz="0" w:space="0" w:color="auto"/>
        <w:right w:val="none" w:sz="0" w:space="0" w:color="auto"/>
      </w:divBdr>
    </w:div>
    <w:div w:id="1044259655">
      <w:bodyDiv w:val="1"/>
      <w:marLeft w:val="0"/>
      <w:marRight w:val="0"/>
      <w:marTop w:val="0"/>
      <w:marBottom w:val="0"/>
      <w:divBdr>
        <w:top w:val="none" w:sz="0" w:space="0" w:color="auto"/>
        <w:left w:val="none" w:sz="0" w:space="0" w:color="auto"/>
        <w:bottom w:val="none" w:sz="0" w:space="0" w:color="auto"/>
        <w:right w:val="none" w:sz="0" w:space="0" w:color="auto"/>
      </w:divBdr>
    </w:div>
    <w:div w:id="1111363388">
      <w:bodyDiv w:val="1"/>
      <w:marLeft w:val="0"/>
      <w:marRight w:val="0"/>
      <w:marTop w:val="0"/>
      <w:marBottom w:val="0"/>
      <w:divBdr>
        <w:top w:val="none" w:sz="0" w:space="0" w:color="auto"/>
        <w:left w:val="none" w:sz="0" w:space="0" w:color="auto"/>
        <w:bottom w:val="none" w:sz="0" w:space="0" w:color="auto"/>
        <w:right w:val="none" w:sz="0" w:space="0" w:color="auto"/>
      </w:divBdr>
    </w:div>
    <w:div w:id="1116556207">
      <w:bodyDiv w:val="1"/>
      <w:marLeft w:val="0"/>
      <w:marRight w:val="0"/>
      <w:marTop w:val="0"/>
      <w:marBottom w:val="0"/>
      <w:divBdr>
        <w:top w:val="none" w:sz="0" w:space="0" w:color="auto"/>
        <w:left w:val="none" w:sz="0" w:space="0" w:color="auto"/>
        <w:bottom w:val="none" w:sz="0" w:space="0" w:color="auto"/>
        <w:right w:val="none" w:sz="0" w:space="0" w:color="auto"/>
      </w:divBdr>
    </w:div>
    <w:div w:id="1129857109">
      <w:bodyDiv w:val="1"/>
      <w:marLeft w:val="0"/>
      <w:marRight w:val="0"/>
      <w:marTop w:val="0"/>
      <w:marBottom w:val="0"/>
      <w:divBdr>
        <w:top w:val="none" w:sz="0" w:space="0" w:color="auto"/>
        <w:left w:val="none" w:sz="0" w:space="0" w:color="auto"/>
        <w:bottom w:val="none" w:sz="0" w:space="0" w:color="auto"/>
        <w:right w:val="none" w:sz="0" w:space="0" w:color="auto"/>
      </w:divBdr>
      <w:divsChild>
        <w:div w:id="1789540374">
          <w:marLeft w:val="0"/>
          <w:marRight w:val="0"/>
          <w:marTop w:val="0"/>
          <w:marBottom w:val="0"/>
          <w:divBdr>
            <w:top w:val="none" w:sz="0" w:space="0" w:color="auto"/>
            <w:left w:val="none" w:sz="0" w:space="0" w:color="auto"/>
            <w:bottom w:val="none" w:sz="0" w:space="0" w:color="auto"/>
            <w:right w:val="none" w:sz="0" w:space="0" w:color="auto"/>
          </w:divBdr>
          <w:divsChild>
            <w:div w:id="1159543615">
              <w:marLeft w:val="0"/>
              <w:marRight w:val="0"/>
              <w:marTop w:val="0"/>
              <w:marBottom w:val="0"/>
              <w:divBdr>
                <w:top w:val="none" w:sz="0" w:space="0" w:color="auto"/>
                <w:left w:val="none" w:sz="0" w:space="0" w:color="auto"/>
                <w:bottom w:val="none" w:sz="0" w:space="0" w:color="auto"/>
                <w:right w:val="none" w:sz="0" w:space="0" w:color="auto"/>
              </w:divBdr>
              <w:divsChild>
                <w:div w:id="1940605572">
                  <w:marLeft w:val="0"/>
                  <w:marRight w:val="0"/>
                  <w:marTop w:val="0"/>
                  <w:marBottom w:val="0"/>
                  <w:divBdr>
                    <w:top w:val="none" w:sz="0" w:space="0" w:color="auto"/>
                    <w:left w:val="none" w:sz="0" w:space="0" w:color="auto"/>
                    <w:bottom w:val="none" w:sz="0" w:space="0" w:color="auto"/>
                    <w:right w:val="none" w:sz="0" w:space="0" w:color="auto"/>
                  </w:divBdr>
                  <w:divsChild>
                    <w:div w:id="6857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161429">
      <w:bodyDiv w:val="1"/>
      <w:marLeft w:val="0"/>
      <w:marRight w:val="0"/>
      <w:marTop w:val="0"/>
      <w:marBottom w:val="0"/>
      <w:divBdr>
        <w:top w:val="none" w:sz="0" w:space="0" w:color="auto"/>
        <w:left w:val="none" w:sz="0" w:space="0" w:color="auto"/>
        <w:bottom w:val="none" w:sz="0" w:space="0" w:color="auto"/>
        <w:right w:val="none" w:sz="0" w:space="0" w:color="auto"/>
      </w:divBdr>
    </w:div>
    <w:div w:id="1176112836">
      <w:bodyDiv w:val="1"/>
      <w:marLeft w:val="0"/>
      <w:marRight w:val="0"/>
      <w:marTop w:val="0"/>
      <w:marBottom w:val="0"/>
      <w:divBdr>
        <w:top w:val="none" w:sz="0" w:space="0" w:color="auto"/>
        <w:left w:val="none" w:sz="0" w:space="0" w:color="auto"/>
        <w:bottom w:val="none" w:sz="0" w:space="0" w:color="auto"/>
        <w:right w:val="none" w:sz="0" w:space="0" w:color="auto"/>
      </w:divBdr>
      <w:divsChild>
        <w:div w:id="325978416">
          <w:marLeft w:val="1526"/>
          <w:marRight w:val="0"/>
          <w:marTop w:val="96"/>
          <w:marBottom w:val="0"/>
          <w:divBdr>
            <w:top w:val="none" w:sz="0" w:space="0" w:color="auto"/>
            <w:left w:val="none" w:sz="0" w:space="0" w:color="auto"/>
            <w:bottom w:val="none" w:sz="0" w:space="0" w:color="auto"/>
            <w:right w:val="none" w:sz="0" w:space="0" w:color="auto"/>
          </w:divBdr>
        </w:div>
        <w:div w:id="554052673">
          <w:marLeft w:val="1526"/>
          <w:marRight w:val="0"/>
          <w:marTop w:val="96"/>
          <w:marBottom w:val="0"/>
          <w:divBdr>
            <w:top w:val="none" w:sz="0" w:space="0" w:color="auto"/>
            <w:left w:val="none" w:sz="0" w:space="0" w:color="auto"/>
            <w:bottom w:val="none" w:sz="0" w:space="0" w:color="auto"/>
            <w:right w:val="none" w:sz="0" w:space="0" w:color="auto"/>
          </w:divBdr>
        </w:div>
        <w:div w:id="711224061">
          <w:marLeft w:val="1526"/>
          <w:marRight w:val="0"/>
          <w:marTop w:val="96"/>
          <w:marBottom w:val="0"/>
          <w:divBdr>
            <w:top w:val="none" w:sz="0" w:space="0" w:color="auto"/>
            <w:left w:val="none" w:sz="0" w:space="0" w:color="auto"/>
            <w:bottom w:val="none" w:sz="0" w:space="0" w:color="auto"/>
            <w:right w:val="none" w:sz="0" w:space="0" w:color="auto"/>
          </w:divBdr>
        </w:div>
        <w:div w:id="1331525470">
          <w:marLeft w:val="1526"/>
          <w:marRight w:val="0"/>
          <w:marTop w:val="96"/>
          <w:marBottom w:val="0"/>
          <w:divBdr>
            <w:top w:val="none" w:sz="0" w:space="0" w:color="auto"/>
            <w:left w:val="none" w:sz="0" w:space="0" w:color="auto"/>
            <w:bottom w:val="none" w:sz="0" w:space="0" w:color="auto"/>
            <w:right w:val="none" w:sz="0" w:space="0" w:color="auto"/>
          </w:divBdr>
        </w:div>
        <w:div w:id="1709068519">
          <w:marLeft w:val="1526"/>
          <w:marRight w:val="0"/>
          <w:marTop w:val="96"/>
          <w:marBottom w:val="0"/>
          <w:divBdr>
            <w:top w:val="none" w:sz="0" w:space="0" w:color="auto"/>
            <w:left w:val="none" w:sz="0" w:space="0" w:color="auto"/>
            <w:bottom w:val="none" w:sz="0" w:space="0" w:color="auto"/>
            <w:right w:val="none" w:sz="0" w:space="0" w:color="auto"/>
          </w:divBdr>
        </w:div>
      </w:divsChild>
    </w:div>
    <w:div w:id="1176530587">
      <w:bodyDiv w:val="1"/>
      <w:marLeft w:val="0"/>
      <w:marRight w:val="0"/>
      <w:marTop w:val="0"/>
      <w:marBottom w:val="0"/>
      <w:divBdr>
        <w:top w:val="none" w:sz="0" w:space="0" w:color="auto"/>
        <w:left w:val="none" w:sz="0" w:space="0" w:color="auto"/>
        <w:bottom w:val="none" w:sz="0" w:space="0" w:color="auto"/>
        <w:right w:val="none" w:sz="0" w:space="0" w:color="auto"/>
      </w:divBdr>
      <w:divsChild>
        <w:div w:id="965819708">
          <w:marLeft w:val="0"/>
          <w:marRight w:val="0"/>
          <w:marTop w:val="0"/>
          <w:marBottom w:val="0"/>
          <w:divBdr>
            <w:top w:val="none" w:sz="0" w:space="0" w:color="auto"/>
            <w:left w:val="none" w:sz="0" w:space="0" w:color="auto"/>
            <w:bottom w:val="none" w:sz="0" w:space="0" w:color="auto"/>
            <w:right w:val="none" w:sz="0" w:space="0" w:color="auto"/>
          </w:divBdr>
          <w:divsChild>
            <w:div w:id="1659111056">
              <w:marLeft w:val="0"/>
              <w:marRight w:val="0"/>
              <w:marTop w:val="0"/>
              <w:marBottom w:val="0"/>
              <w:divBdr>
                <w:top w:val="none" w:sz="0" w:space="0" w:color="auto"/>
                <w:left w:val="none" w:sz="0" w:space="0" w:color="auto"/>
                <w:bottom w:val="none" w:sz="0" w:space="0" w:color="auto"/>
                <w:right w:val="none" w:sz="0" w:space="0" w:color="auto"/>
              </w:divBdr>
              <w:divsChild>
                <w:div w:id="1894735477">
                  <w:marLeft w:val="0"/>
                  <w:marRight w:val="0"/>
                  <w:marTop w:val="0"/>
                  <w:marBottom w:val="0"/>
                  <w:divBdr>
                    <w:top w:val="none" w:sz="0" w:space="0" w:color="auto"/>
                    <w:left w:val="none" w:sz="0" w:space="0" w:color="auto"/>
                    <w:bottom w:val="none" w:sz="0" w:space="0" w:color="auto"/>
                    <w:right w:val="none" w:sz="0" w:space="0" w:color="auto"/>
                  </w:divBdr>
                  <w:divsChild>
                    <w:div w:id="30501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92629">
      <w:bodyDiv w:val="1"/>
      <w:marLeft w:val="0"/>
      <w:marRight w:val="0"/>
      <w:marTop w:val="0"/>
      <w:marBottom w:val="0"/>
      <w:divBdr>
        <w:top w:val="none" w:sz="0" w:space="0" w:color="auto"/>
        <w:left w:val="none" w:sz="0" w:space="0" w:color="auto"/>
        <w:bottom w:val="none" w:sz="0" w:space="0" w:color="auto"/>
        <w:right w:val="none" w:sz="0" w:space="0" w:color="auto"/>
      </w:divBdr>
      <w:divsChild>
        <w:div w:id="291330880">
          <w:marLeft w:val="0"/>
          <w:marRight w:val="0"/>
          <w:marTop w:val="0"/>
          <w:marBottom w:val="0"/>
          <w:divBdr>
            <w:top w:val="none" w:sz="0" w:space="0" w:color="auto"/>
            <w:left w:val="none" w:sz="0" w:space="0" w:color="auto"/>
            <w:bottom w:val="none" w:sz="0" w:space="0" w:color="auto"/>
            <w:right w:val="none" w:sz="0" w:space="0" w:color="auto"/>
          </w:divBdr>
          <w:divsChild>
            <w:div w:id="1267270893">
              <w:marLeft w:val="0"/>
              <w:marRight w:val="0"/>
              <w:marTop w:val="0"/>
              <w:marBottom w:val="0"/>
              <w:divBdr>
                <w:top w:val="none" w:sz="0" w:space="0" w:color="auto"/>
                <w:left w:val="none" w:sz="0" w:space="0" w:color="auto"/>
                <w:bottom w:val="none" w:sz="0" w:space="0" w:color="auto"/>
                <w:right w:val="none" w:sz="0" w:space="0" w:color="auto"/>
              </w:divBdr>
              <w:divsChild>
                <w:div w:id="111524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913795">
      <w:bodyDiv w:val="1"/>
      <w:marLeft w:val="0"/>
      <w:marRight w:val="0"/>
      <w:marTop w:val="0"/>
      <w:marBottom w:val="0"/>
      <w:divBdr>
        <w:top w:val="none" w:sz="0" w:space="0" w:color="auto"/>
        <w:left w:val="none" w:sz="0" w:space="0" w:color="auto"/>
        <w:bottom w:val="none" w:sz="0" w:space="0" w:color="auto"/>
        <w:right w:val="none" w:sz="0" w:space="0" w:color="auto"/>
      </w:divBdr>
      <w:divsChild>
        <w:div w:id="1592273551">
          <w:marLeft w:val="0"/>
          <w:marRight w:val="0"/>
          <w:marTop w:val="0"/>
          <w:marBottom w:val="0"/>
          <w:divBdr>
            <w:top w:val="none" w:sz="0" w:space="0" w:color="auto"/>
            <w:left w:val="none" w:sz="0" w:space="0" w:color="auto"/>
            <w:bottom w:val="none" w:sz="0" w:space="0" w:color="auto"/>
            <w:right w:val="none" w:sz="0" w:space="0" w:color="auto"/>
          </w:divBdr>
          <w:divsChild>
            <w:div w:id="225839434">
              <w:marLeft w:val="0"/>
              <w:marRight w:val="0"/>
              <w:marTop w:val="0"/>
              <w:marBottom w:val="0"/>
              <w:divBdr>
                <w:top w:val="none" w:sz="0" w:space="0" w:color="auto"/>
                <w:left w:val="none" w:sz="0" w:space="0" w:color="auto"/>
                <w:bottom w:val="none" w:sz="0" w:space="0" w:color="auto"/>
                <w:right w:val="none" w:sz="0" w:space="0" w:color="auto"/>
              </w:divBdr>
              <w:divsChild>
                <w:div w:id="36996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996425">
      <w:bodyDiv w:val="1"/>
      <w:marLeft w:val="0"/>
      <w:marRight w:val="0"/>
      <w:marTop w:val="0"/>
      <w:marBottom w:val="0"/>
      <w:divBdr>
        <w:top w:val="none" w:sz="0" w:space="0" w:color="auto"/>
        <w:left w:val="none" w:sz="0" w:space="0" w:color="auto"/>
        <w:bottom w:val="none" w:sz="0" w:space="0" w:color="auto"/>
        <w:right w:val="none" w:sz="0" w:space="0" w:color="auto"/>
      </w:divBdr>
    </w:div>
    <w:div w:id="1355959532">
      <w:bodyDiv w:val="1"/>
      <w:marLeft w:val="0"/>
      <w:marRight w:val="0"/>
      <w:marTop w:val="0"/>
      <w:marBottom w:val="0"/>
      <w:divBdr>
        <w:top w:val="none" w:sz="0" w:space="0" w:color="auto"/>
        <w:left w:val="none" w:sz="0" w:space="0" w:color="auto"/>
        <w:bottom w:val="none" w:sz="0" w:space="0" w:color="auto"/>
        <w:right w:val="none" w:sz="0" w:space="0" w:color="auto"/>
      </w:divBdr>
      <w:divsChild>
        <w:div w:id="653874271">
          <w:marLeft w:val="0"/>
          <w:marRight w:val="0"/>
          <w:marTop w:val="0"/>
          <w:marBottom w:val="0"/>
          <w:divBdr>
            <w:top w:val="none" w:sz="0" w:space="0" w:color="auto"/>
            <w:left w:val="none" w:sz="0" w:space="0" w:color="auto"/>
            <w:bottom w:val="none" w:sz="0" w:space="0" w:color="auto"/>
            <w:right w:val="none" w:sz="0" w:space="0" w:color="auto"/>
          </w:divBdr>
          <w:divsChild>
            <w:div w:id="2038923120">
              <w:marLeft w:val="0"/>
              <w:marRight w:val="0"/>
              <w:marTop w:val="0"/>
              <w:marBottom w:val="0"/>
              <w:divBdr>
                <w:top w:val="none" w:sz="0" w:space="0" w:color="auto"/>
                <w:left w:val="none" w:sz="0" w:space="0" w:color="auto"/>
                <w:bottom w:val="none" w:sz="0" w:space="0" w:color="auto"/>
                <w:right w:val="none" w:sz="0" w:space="0" w:color="auto"/>
              </w:divBdr>
              <w:divsChild>
                <w:div w:id="151650551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57183853">
                      <w:marLeft w:val="0"/>
                      <w:marRight w:val="0"/>
                      <w:marTop w:val="0"/>
                      <w:marBottom w:val="0"/>
                      <w:divBdr>
                        <w:top w:val="none" w:sz="0" w:space="0" w:color="auto"/>
                        <w:left w:val="none" w:sz="0" w:space="0" w:color="auto"/>
                        <w:bottom w:val="none" w:sz="0" w:space="0" w:color="auto"/>
                        <w:right w:val="none" w:sz="0" w:space="0" w:color="auto"/>
                      </w:divBdr>
                      <w:divsChild>
                        <w:div w:id="111975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721058">
          <w:marLeft w:val="0"/>
          <w:marRight w:val="0"/>
          <w:marTop w:val="30"/>
          <w:marBottom w:val="0"/>
          <w:divBdr>
            <w:top w:val="none" w:sz="0" w:space="0" w:color="auto"/>
            <w:left w:val="none" w:sz="0" w:space="0" w:color="auto"/>
            <w:bottom w:val="none" w:sz="0" w:space="0" w:color="auto"/>
            <w:right w:val="none" w:sz="0" w:space="0" w:color="auto"/>
          </w:divBdr>
          <w:divsChild>
            <w:div w:id="185218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86003">
      <w:bodyDiv w:val="1"/>
      <w:marLeft w:val="0"/>
      <w:marRight w:val="0"/>
      <w:marTop w:val="0"/>
      <w:marBottom w:val="0"/>
      <w:divBdr>
        <w:top w:val="none" w:sz="0" w:space="0" w:color="auto"/>
        <w:left w:val="none" w:sz="0" w:space="0" w:color="auto"/>
        <w:bottom w:val="none" w:sz="0" w:space="0" w:color="auto"/>
        <w:right w:val="none" w:sz="0" w:space="0" w:color="auto"/>
      </w:divBdr>
    </w:div>
    <w:div w:id="1398363642">
      <w:bodyDiv w:val="1"/>
      <w:marLeft w:val="0"/>
      <w:marRight w:val="0"/>
      <w:marTop w:val="0"/>
      <w:marBottom w:val="0"/>
      <w:divBdr>
        <w:top w:val="none" w:sz="0" w:space="0" w:color="auto"/>
        <w:left w:val="none" w:sz="0" w:space="0" w:color="auto"/>
        <w:bottom w:val="none" w:sz="0" w:space="0" w:color="auto"/>
        <w:right w:val="none" w:sz="0" w:space="0" w:color="auto"/>
      </w:divBdr>
      <w:divsChild>
        <w:div w:id="364140209">
          <w:marLeft w:val="0"/>
          <w:marRight w:val="0"/>
          <w:marTop w:val="0"/>
          <w:marBottom w:val="0"/>
          <w:divBdr>
            <w:top w:val="none" w:sz="0" w:space="0" w:color="auto"/>
            <w:left w:val="none" w:sz="0" w:space="0" w:color="auto"/>
            <w:bottom w:val="none" w:sz="0" w:space="0" w:color="auto"/>
            <w:right w:val="none" w:sz="0" w:space="0" w:color="auto"/>
          </w:divBdr>
          <w:divsChild>
            <w:div w:id="198052278">
              <w:marLeft w:val="0"/>
              <w:marRight w:val="0"/>
              <w:marTop w:val="0"/>
              <w:marBottom w:val="0"/>
              <w:divBdr>
                <w:top w:val="none" w:sz="0" w:space="0" w:color="auto"/>
                <w:left w:val="none" w:sz="0" w:space="0" w:color="auto"/>
                <w:bottom w:val="none" w:sz="0" w:space="0" w:color="auto"/>
                <w:right w:val="none" w:sz="0" w:space="0" w:color="auto"/>
              </w:divBdr>
              <w:divsChild>
                <w:div w:id="52953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959531">
      <w:bodyDiv w:val="1"/>
      <w:marLeft w:val="0"/>
      <w:marRight w:val="0"/>
      <w:marTop w:val="0"/>
      <w:marBottom w:val="0"/>
      <w:divBdr>
        <w:top w:val="none" w:sz="0" w:space="0" w:color="auto"/>
        <w:left w:val="none" w:sz="0" w:space="0" w:color="auto"/>
        <w:bottom w:val="none" w:sz="0" w:space="0" w:color="auto"/>
        <w:right w:val="none" w:sz="0" w:space="0" w:color="auto"/>
      </w:divBdr>
    </w:div>
    <w:div w:id="1433087482">
      <w:bodyDiv w:val="1"/>
      <w:marLeft w:val="0"/>
      <w:marRight w:val="0"/>
      <w:marTop w:val="0"/>
      <w:marBottom w:val="0"/>
      <w:divBdr>
        <w:top w:val="none" w:sz="0" w:space="0" w:color="auto"/>
        <w:left w:val="none" w:sz="0" w:space="0" w:color="auto"/>
        <w:bottom w:val="none" w:sz="0" w:space="0" w:color="auto"/>
        <w:right w:val="none" w:sz="0" w:space="0" w:color="auto"/>
      </w:divBdr>
    </w:div>
    <w:div w:id="1439136051">
      <w:bodyDiv w:val="1"/>
      <w:marLeft w:val="0"/>
      <w:marRight w:val="0"/>
      <w:marTop w:val="0"/>
      <w:marBottom w:val="0"/>
      <w:divBdr>
        <w:top w:val="none" w:sz="0" w:space="0" w:color="auto"/>
        <w:left w:val="none" w:sz="0" w:space="0" w:color="auto"/>
        <w:bottom w:val="none" w:sz="0" w:space="0" w:color="auto"/>
        <w:right w:val="none" w:sz="0" w:space="0" w:color="auto"/>
      </w:divBdr>
      <w:divsChild>
        <w:div w:id="1019619947">
          <w:marLeft w:val="0"/>
          <w:marRight w:val="0"/>
          <w:marTop w:val="0"/>
          <w:marBottom w:val="0"/>
          <w:divBdr>
            <w:top w:val="none" w:sz="0" w:space="0" w:color="auto"/>
            <w:left w:val="none" w:sz="0" w:space="0" w:color="auto"/>
            <w:bottom w:val="none" w:sz="0" w:space="0" w:color="auto"/>
            <w:right w:val="none" w:sz="0" w:space="0" w:color="auto"/>
          </w:divBdr>
          <w:divsChild>
            <w:div w:id="941452287">
              <w:marLeft w:val="0"/>
              <w:marRight w:val="0"/>
              <w:marTop w:val="0"/>
              <w:marBottom w:val="0"/>
              <w:divBdr>
                <w:top w:val="none" w:sz="0" w:space="0" w:color="auto"/>
                <w:left w:val="none" w:sz="0" w:space="0" w:color="auto"/>
                <w:bottom w:val="none" w:sz="0" w:space="0" w:color="auto"/>
                <w:right w:val="none" w:sz="0" w:space="0" w:color="auto"/>
              </w:divBdr>
              <w:divsChild>
                <w:div w:id="4207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185518">
      <w:bodyDiv w:val="1"/>
      <w:marLeft w:val="0"/>
      <w:marRight w:val="0"/>
      <w:marTop w:val="0"/>
      <w:marBottom w:val="0"/>
      <w:divBdr>
        <w:top w:val="none" w:sz="0" w:space="0" w:color="auto"/>
        <w:left w:val="none" w:sz="0" w:space="0" w:color="auto"/>
        <w:bottom w:val="none" w:sz="0" w:space="0" w:color="auto"/>
        <w:right w:val="none" w:sz="0" w:space="0" w:color="auto"/>
      </w:divBdr>
    </w:div>
    <w:div w:id="1487668710">
      <w:bodyDiv w:val="1"/>
      <w:marLeft w:val="0"/>
      <w:marRight w:val="0"/>
      <w:marTop w:val="0"/>
      <w:marBottom w:val="0"/>
      <w:divBdr>
        <w:top w:val="none" w:sz="0" w:space="0" w:color="auto"/>
        <w:left w:val="none" w:sz="0" w:space="0" w:color="auto"/>
        <w:bottom w:val="none" w:sz="0" w:space="0" w:color="auto"/>
        <w:right w:val="none" w:sz="0" w:space="0" w:color="auto"/>
      </w:divBdr>
    </w:div>
    <w:div w:id="1506822117">
      <w:bodyDiv w:val="1"/>
      <w:marLeft w:val="0"/>
      <w:marRight w:val="0"/>
      <w:marTop w:val="0"/>
      <w:marBottom w:val="0"/>
      <w:divBdr>
        <w:top w:val="none" w:sz="0" w:space="0" w:color="auto"/>
        <w:left w:val="none" w:sz="0" w:space="0" w:color="auto"/>
        <w:bottom w:val="none" w:sz="0" w:space="0" w:color="auto"/>
        <w:right w:val="none" w:sz="0" w:space="0" w:color="auto"/>
      </w:divBdr>
    </w:div>
    <w:div w:id="1514803327">
      <w:bodyDiv w:val="1"/>
      <w:marLeft w:val="0"/>
      <w:marRight w:val="0"/>
      <w:marTop w:val="0"/>
      <w:marBottom w:val="0"/>
      <w:divBdr>
        <w:top w:val="none" w:sz="0" w:space="0" w:color="auto"/>
        <w:left w:val="none" w:sz="0" w:space="0" w:color="auto"/>
        <w:bottom w:val="none" w:sz="0" w:space="0" w:color="auto"/>
        <w:right w:val="none" w:sz="0" w:space="0" w:color="auto"/>
      </w:divBdr>
    </w:div>
    <w:div w:id="1516118407">
      <w:bodyDiv w:val="1"/>
      <w:marLeft w:val="0"/>
      <w:marRight w:val="0"/>
      <w:marTop w:val="0"/>
      <w:marBottom w:val="0"/>
      <w:divBdr>
        <w:top w:val="none" w:sz="0" w:space="0" w:color="auto"/>
        <w:left w:val="none" w:sz="0" w:space="0" w:color="auto"/>
        <w:bottom w:val="none" w:sz="0" w:space="0" w:color="auto"/>
        <w:right w:val="none" w:sz="0" w:space="0" w:color="auto"/>
      </w:divBdr>
    </w:div>
    <w:div w:id="1537540395">
      <w:bodyDiv w:val="1"/>
      <w:marLeft w:val="0"/>
      <w:marRight w:val="0"/>
      <w:marTop w:val="0"/>
      <w:marBottom w:val="0"/>
      <w:divBdr>
        <w:top w:val="none" w:sz="0" w:space="0" w:color="auto"/>
        <w:left w:val="none" w:sz="0" w:space="0" w:color="auto"/>
        <w:bottom w:val="none" w:sz="0" w:space="0" w:color="auto"/>
        <w:right w:val="none" w:sz="0" w:space="0" w:color="auto"/>
      </w:divBdr>
      <w:divsChild>
        <w:div w:id="2132623293">
          <w:marLeft w:val="0"/>
          <w:marRight w:val="0"/>
          <w:marTop w:val="0"/>
          <w:marBottom w:val="0"/>
          <w:divBdr>
            <w:top w:val="none" w:sz="0" w:space="0" w:color="auto"/>
            <w:left w:val="none" w:sz="0" w:space="0" w:color="auto"/>
            <w:bottom w:val="none" w:sz="0" w:space="0" w:color="auto"/>
            <w:right w:val="none" w:sz="0" w:space="0" w:color="auto"/>
          </w:divBdr>
          <w:divsChild>
            <w:div w:id="120156882">
              <w:marLeft w:val="0"/>
              <w:marRight w:val="0"/>
              <w:marTop w:val="0"/>
              <w:marBottom w:val="0"/>
              <w:divBdr>
                <w:top w:val="none" w:sz="0" w:space="0" w:color="auto"/>
                <w:left w:val="none" w:sz="0" w:space="0" w:color="auto"/>
                <w:bottom w:val="none" w:sz="0" w:space="0" w:color="auto"/>
                <w:right w:val="none" w:sz="0" w:space="0" w:color="auto"/>
              </w:divBdr>
              <w:divsChild>
                <w:div w:id="39755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129413">
      <w:bodyDiv w:val="1"/>
      <w:marLeft w:val="0"/>
      <w:marRight w:val="0"/>
      <w:marTop w:val="0"/>
      <w:marBottom w:val="0"/>
      <w:divBdr>
        <w:top w:val="none" w:sz="0" w:space="0" w:color="auto"/>
        <w:left w:val="none" w:sz="0" w:space="0" w:color="auto"/>
        <w:bottom w:val="none" w:sz="0" w:space="0" w:color="auto"/>
        <w:right w:val="none" w:sz="0" w:space="0" w:color="auto"/>
      </w:divBdr>
    </w:div>
    <w:div w:id="1616061015">
      <w:bodyDiv w:val="1"/>
      <w:marLeft w:val="0"/>
      <w:marRight w:val="0"/>
      <w:marTop w:val="0"/>
      <w:marBottom w:val="0"/>
      <w:divBdr>
        <w:top w:val="none" w:sz="0" w:space="0" w:color="auto"/>
        <w:left w:val="none" w:sz="0" w:space="0" w:color="auto"/>
        <w:bottom w:val="none" w:sz="0" w:space="0" w:color="auto"/>
        <w:right w:val="none" w:sz="0" w:space="0" w:color="auto"/>
      </w:divBdr>
    </w:div>
    <w:div w:id="1678650896">
      <w:bodyDiv w:val="1"/>
      <w:marLeft w:val="0"/>
      <w:marRight w:val="0"/>
      <w:marTop w:val="0"/>
      <w:marBottom w:val="0"/>
      <w:divBdr>
        <w:top w:val="none" w:sz="0" w:space="0" w:color="auto"/>
        <w:left w:val="none" w:sz="0" w:space="0" w:color="auto"/>
        <w:bottom w:val="none" w:sz="0" w:space="0" w:color="auto"/>
        <w:right w:val="none" w:sz="0" w:space="0" w:color="auto"/>
      </w:divBdr>
    </w:div>
    <w:div w:id="1688479807">
      <w:bodyDiv w:val="1"/>
      <w:marLeft w:val="0"/>
      <w:marRight w:val="0"/>
      <w:marTop w:val="0"/>
      <w:marBottom w:val="0"/>
      <w:divBdr>
        <w:top w:val="none" w:sz="0" w:space="0" w:color="auto"/>
        <w:left w:val="none" w:sz="0" w:space="0" w:color="auto"/>
        <w:bottom w:val="none" w:sz="0" w:space="0" w:color="auto"/>
        <w:right w:val="none" w:sz="0" w:space="0" w:color="auto"/>
      </w:divBdr>
    </w:div>
    <w:div w:id="1716150115">
      <w:bodyDiv w:val="1"/>
      <w:marLeft w:val="0"/>
      <w:marRight w:val="0"/>
      <w:marTop w:val="0"/>
      <w:marBottom w:val="0"/>
      <w:divBdr>
        <w:top w:val="none" w:sz="0" w:space="0" w:color="auto"/>
        <w:left w:val="none" w:sz="0" w:space="0" w:color="auto"/>
        <w:bottom w:val="none" w:sz="0" w:space="0" w:color="auto"/>
        <w:right w:val="none" w:sz="0" w:space="0" w:color="auto"/>
      </w:divBdr>
    </w:div>
    <w:div w:id="1720668149">
      <w:bodyDiv w:val="1"/>
      <w:marLeft w:val="0"/>
      <w:marRight w:val="0"/>
      <w:marTop w:val="0"/>
      <w:marBottom w:val="0"/>
      <w:divBdr>
        <w:top w:val="none" w:sz="0" w:space="0" w:color="auto"/>
        <w:left w:val="none" w:sz="0" w:space="0" w:color="auto"/>
        <w:bottom w:val="none" w:sz="0" w:space="0" w:color="auto"/>
        <w:right w:val="none" w:sz="0" w:space="0" w:color="auto"/>
      </w:divBdr>
    </w:div>
    <w:div w:id="1730379379">
      <w:bodyDiv w:val="1"/>
      <w:marLeft w:val="0"/>
      <w:marRight w:val="0"/>
      <w:marTop w:val="0"/>
      <w:marBottom w:val="0"/>
      <w:divBdr>
        <w:top w:val="none" w:sz="0" w:space="0" w:color="auto"/>
        <w:left w:val="none" w:sz="0" w:space="0" w:color="auto"/>
        <w:bottom w:val="none" w:sz="0" w:space="0" w:color="auto"/>
        <w:right w:val="none" w:sz="0" w:space="0" w:color="auto"/>
      </w:divBdr>
    </w:div>
    <w:div w:id="1808349799">
      <w:bodyDiv w:val="1"/>
      <w:marLeft w:val="0"/>
      <w:marRight w:val="0"/>
      <w:marTop w:val="0"/>
      <w:marBottom w:val="0"/>
      <w:divBdr>
        <w:top w:val="none" w:sz="0" w:space="0" w:color="auto"/>
        <w:left w:val="none" w:sz="0" w:space="0" w:color="auto"/>
        <w:bottom w:val="none" w:sz="0" w:space="0" w:color="auto"/>
        <w:right w:val="none" w:sz="0" w:space="0" w:color="auto"/>
      </w:divBdr>
    </w:div>
    <w:div w:id="1814911466">
      <w:bodyDiv w:val="1"/>
      <w:marLeft w:val="0"/>
      <w:marRight w:val="0"/>
      <w:marTop w:val="0"/>
      <w:marBottom w:val="0"/>
      <w:divBdr>
        <w:top w:val="none" w:sz="0" w:space="0" w:color="auto"/>
        <w:left w:val="none" w:sz="0" w:space="0" w:color="auto"/>
        <w:bottom w:val="none" w:sz="0" w:space="0" w:color="auto"/>
        <w:right w:val="none" w:sz="0" w:space="0" w:color="auto"/>
      </w:divBdr>
      <w:divsChild>
        <w:div w:id="1560702436">
          <w:marLeft w:val="547"/>
          <w:marRight w:val="0"/>
          <w:marTop w:val="130"/>
          <w:marBottom w:val="0"/>
          <w:divBdr>
            <w:top w:val="none" w:sz="0" w:space="0" w:color="auto"/>
            <w:left w:val="none" w:sz="0" w:space="0" w:color="auto"/>
            <w:bottom w:val="none" w:sz="0" w:space="0" w:color="auto"/>
            <w:right w:val="none" w:sz="0" w:space="0" w:color="auto"/>
          </w:divBdr>
        </w:div>
        <w:div w:id="1652522633">
          <w:marLeft w:val="547"/>
          <w:marRight w:val="0"/>
          <w:marTop w:val="130"/>
          <w:marBottom w:val="0"/>
          <w:divBdr>
            <w:top w:val="none" w:sz="0" w:space="0" w:color="auto"/>
            <w:left w:val="none" w:sz="0" w:space="0" w:color="auto"/>
            <w:bottom w:val="none" w:sz="0" w:space="0" w:color="auto"/>
            <w:right w:val="none" w:sz="0" w:space="0" w:color="auto"/>
          </w:divBdr>
        </w:div>
      </w:divsChild>
    </w:div>
    <w:div w:id="1848321754">
      <w:bodyDiv w:val="1"/>
      <w:marLeft w:val="0"/>
      <w:marRight w:val="0"/>
      <w:marTop w:val="0"/>
      <w:marBottom w:val="0"/>
      <w:divBdr>
        <w:top w:val="none" w:sz="0" w:space="0" w:color="auto"/>
        <w:left w:val="none" w:sz="0" w:space="0" w:color="auto"/>
        <w:bottom w:val="none" w:sz="0" w:space="0" w:color="auto"/>
        <w:right w:val="none" w:sz="0" w:space="0" w:color="auto"/>
      </w:divBdr>
    </w:div>
    <w:div w:id="1876844163">
      <w:bodyDiv w:val="1"/>
      <w:marLeft w:val="0"/>
      <w:marRight w:val="0"/>
      <w:marTop w:val="0"/>
      <w:marBottom w:val="0"/>
      <w:divBdr>
        <w:top w:val="none" w:sz="0" w:space="0" w:color="auto"/>
        <w:left w:val="none" w:sz="0" w:space="0" w:color="auto"/>
        <w:bottom w:val="none" w:sz="0" w:space="0" w:color="auto"/>
        <w:right w:val="none" w:sz="0" w:space="0" w:color="auto"/>
      </w:divBdr>
    </w:div>
    <w:div w:id="1887907221">
      <w:bodyDiv w:val="1"/>
      <w:marLeft w:val="0"/>
      <w:marRight w:val="0"/>
      <w:marTop w:val="0"/>
      <w:marBottom w:val="0"/>
      <w:divBdr>
        <w:top w:val="none" w:sz="0" w:space="0" w:color="auto"/>
        <w:left w:val="none" w:sz="0" w:space="0" w:color="auto"/>
        <w:bottom w:val="none" w:sz="0" w:space="0" w:color="auto"/>
        <w:right w:val="none" w:sz="0" w:space="0" w:color="auto"/>
      </w:divBdr>
    </w:div>
    <w:div w:id="1892307771">
      <w:bodyDiv w:val="1"/>
      <w:marLeft w:val="0"/>
      <w:marRight w:val="0"/>
      <w:marTop w:val="0"/>
      <w:marBottom w:val="0"/>
      <w:divBdr>
        <w:top w:val="none" w:sz="0" w:space="0" w:color="auto"/>
        <w:left w:val="none" w:sz="0" w:space="0" w:color="auto"/>
        <w:bottom w:val="none" w:sz="0" w:space="0" w:color="auto"/>
        <w:right w:val="none" w:sz="0" w:space="0" w:color="auto"/>
      </w:divBdr>
    </w:div>
    <w:div w:id="1899781450">
      <w:bodyDiv w:val="1"/>
      <w:marLeft w:val="0"/>
      <w:marRight w:val="0"/>
      <w:marTop w:val="0"/>
      <w:marBottom w:val="0"/>
      <w:divBdr>
        <w:top w:val="none" w:sz="0" w:space="0" w:color="auto"/>
        <w:left w:val="none" w:sz="0" w:space="0" w:color="auto"/>
        <w:bottom w:val="none" w:sz="0" w:space="0" w:color="auto"/>
        <w:right w:val="none" w:sz="0" w:space="0" w:color="auto"/>
      </w:divBdr>
    </w:div>
    <w:div w:id="1948124754">
      <w:bodyDiv w:val="1"/>
      <w:marLeft w:val="0"/>
      <w:marRight w:val="0"/>
      <w:marTop w:val="0"/>
      <w:marBottom w:val="0"/>
      <w:divBdr>
        <w:top w:val="none" w:sz="0" w:space="0" w:color="auto"/>
        <w:left w:val="none" w:sz="0" w:space="0" w:color="auto"/>
        <w:bottom w:val="none" w:sz="0" w:space="0" w:color="auto"/>
        <w:right w:val="none" w:sz="0" w:space="0" w:color="auto"/>
      </w:divBdr>
      <w:divsChild>
        <w:div w:id="621419461">
          <w:marLeft w:val="0"/>
          <w:marRight w:val="0"/>
          <w:marTop w:val="0"/>
          <w:marBottom w:val="0"/>
          <w:divBdr>
            <w:top w:val="none" w:sz="0" w:space="0" w:color="auto"/>
            <w:left w:val="none" w:sz="0" w:space="0" w:color="auto"/>
            <w:bottom w:val="none" w:sz="0" w:space="0" w:color="auto"/>
            <w:right w:val="none" w:sz="0" w:space="0" w:color="auto"/>
          </w:divBdr>
          <w:divsChild>
            <w:div w:id="2055228929">
              <w:marLeft w:val="0"/>
              <w:marRight w:val="0"/>
              <w:marTop w:val="0"/>
              <w:marBottom w:val="0"/>
              <w:divBdr>
                <w:top w:val="none" w:sz="0" w:space="0" w:color="auto"/>
                <w:left w:val="none" w:sz="0" w:space="0" w:color="auto"/>
                <w:bottom w:val="none" w:sz="0" w:space="0" w:color="auto"/>
                <w:right w:val="none" w:sz="0" w:space="0" w:color="auto"/>
              </w:divBdr>
              <w:divsChild>
                <w:div w:id="1117725224">
                  <w:marLeft w:val="0"/>
                  <w:marRight w:val="0"/>
                  <w:marTop w:val="0"/>
                  <w:marBottom w:val="0"/>
                  <w:divBdr>
                    <w:top w:val="none" w:sz="0" w:space="0" w:color="auto"/>
                    <w:left w:val="none" w:sz="0" w:space="0" w:color="auto"/>
                    <w:bottom w:val="none" w:sz="0" w:space="0" w:color="auto"/>
                    <w:right w:val="none" w:sz="0" w:space="0" w:color="auto"/>
                  </w:divBdr>
                  <w:divsChild>
                    <w:div w:id="206401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669401">
      <w:bodyDiv w:val="1"/>
      <w:marLeft w:val="0"/>
      <w:marRight w:val="0"/>
      <w:marTop w:val="0"/>
      <w:marBottom w:val="0"/>
      <w:divBdr>
        <w:top w:val="none" w:sz="0" w:space="0" w:color="auto"/>
        <w:left w:val="none" w:sz="0" w:space="0" w:color="auto"/>
        <w:bottom w:val="none" w:sz="0" w:space="0" w:color="auto"/>
        <w:right w:val="none" w:sz="0" w:space="0" w:color="auto"/>
      </w:divBdr>
    </w:div>
    <w:div w:id="1966500211">
      <w:bodyDiv w:val="1"/>
      <w:marLeft w:val="0"/>
      <w:marRight w:val="0"/>
      <w:marTop w:val="0"/>
      <w:marBottom w:val="0"/>
      <w:divBdr>
        <w:top w:val="none" w:sz="0" w:space="0" w:color="auto"/>
        <w:left w:val="none" w:sz="0" w:space="0" w:color="auto"/>
        <w:bottom w:val="none" w:sz="0" w:space="0" w:color="auto"/>
        <w:right w:val="none" w:sz="0" w:space="0" w:color="auto"/>
      </w:divBdr>
    </w:div>
    <w:div w:id="1970277058">
      <w:bodyDiv w:val="1"/>
      <w:marLeft w:val="0"/>
      <w:marRight w:val="0"/>
      <w:marTop w:val="0"/>
      <w:marBottom w:val="0"/>
      <w:divBdr>
        <w:top w:val="none" w:sz="0" w:space="0" w:color="auto"/>
        <w:left w:val="none" w:sz="0" w:space="0" w:color="auto"/>
        <w:bottom w:val="none" w:sz="0" w:space="0" w:color="auto"/>
        <w:right w:val="none" w:sz="0" w:space="0" w:color="auto"/>
      </w:divBdr>
    </w:div>
    <w:div w:id="1977635079">
      <w:bodyDiv w:val="1"/>
      <w:marLeft w:val="0"/>
      <w:marRight w:val="0"/>
      <w:marTop w:val="0"/>
      <w:marBottom w:val="0"/>
      <w:divBdr>
        <w:top w:val="none" w:sz="0" w:space="0" w:color="auto"/>
        <w:left w:val="none" w:sz="0" w:space="0" w:color="auto"/>
        <w:bottom w:val="none" w:sz="0" w:space="0" w:color="auto"/>
        <w:right w:val="none" w:sz="0" w:space="0" w:color="auto"/>
      </w:divBdr>
    </w:div>
    <w:div w:id="2014262137">
      <w:bodyDiv w:val="1"/>
      <w:marLeft w:val="0"/>
      <w:marRight w:val="0"/>
      <w:marTop w:val="0"/>
      <w:marBottom w:val="0"/>
      <w:divBdr>
        <w:top w:val="none" w:sz="0" w:space="0" w:color="auto"/>
        <w:left w:val="none" w:sz="0" w:space="0" w:color="auto"/>
        <w:bottom w:val="none" w:sz="0" w:space="0" w:color="auto"/>
        <w:right w:val="none" w:sz="0" w:space="0" w:color="auto"/>
      </w:divBdr>
    </w:div>
    <w:div w:id="2021468463">
      <w:bodyDiv w:val="1"/>
      <w:marLeft w:val="0"/>
      <w:marRight w:val="0"/>
      <w:marTop w:val="0"/>
      <w:marBottom w:val="0"/>
      <w:divBdr>
        <w:top w:val="none" w:sz="0" w:space="0" w:color="auto"/>
        <w:left w:val="none" w:sz="0" w:space="0" w:color="auto"/>
        <w:bottom w:val="none" w:sz="0" w:space="0" w:color="auto"/>
        <w:right w:val="none" w:sz="0" w:space="0" w:color="auto"/>
      </w:divBdr>
    </w:div>
    <w:div w:id="2029597594">
      <w:bodyDiv w:val="1"/>
      <w:marLeft w:val="0"/>
      <w:marRight w:val="0"/>
      <w:marTop w:val="0"/>
      <w:marBottom w:val="0"/>
      <w:divBdr>
        <w:top w:val="none" w:sz="0" w:space="0" w:color="auto"/>
        <w:left w:val="none" w:sz="0" w:space="0" w:color="auto"/>
        <w:bottom w:val="none" w:sz="0" w:space="0" w:color="auto"/>
        <w:right w:val="none" w:sz="0" w:space="0" w:color="auto"/>
      </w:divBdr>
    </w:div>
    <w:div w:id="2066679224">
      <w:bodyDiv w:val="1"/>
      <w:marLeft w:val="0"/>
      <w:marRight w:val="0"/>
      <w:marTop w:val="0"/>
      <w:marBottom w:val="0"/>
      <w:divBdr>
        <w:top w:val="none" w:sz="0" w:space="0" w:color="auto"/>
        <w:left w:val="none" w:sz="0" w:space="0" w:color="auto"/>
        <w:bottom w:val="none" w:sz="0" w:space="0" w:color="auto"/>
        <w:right w:val="none" w:sz="0" w:space="0" w:color="auto"/>
      </w:divBdr>
    </w:div>
    <w:div w:id="2072655918">
      <w:bodyDiv w:val="1"/>
      <w:marLeft w:val="0"/>
      <w:marRight w:val="0"/>
      <w:marTop w:val="0"/>
      <w:marBottom w:val="0"/>
      <w:divBdr>
        <w:top w:val="none" w:sz="0" w:space="0" w:color="auto"/>
        <w:left w:val="none" w:sz="0" w:space="0" w:color="auto"/>
        <w:bottom w:val="none" w:sz="0" w:space="0" w:color="auto"/>
        <w:right w:val="none" w:sz="0" w:space="0" w:color="auto"/>
      </w:divBdr>
    </w:div>
    <w:div w:id="2102753425">
      <w:bodyDiv w:val="1"/>
      <w:marLeft w:val="0"/>
      <w:marRight w:val="0"/>
      <w:marTop w:val="0"/>
      <w:marBottom w:val="0"/>
      <w:divBdr>
        <w:top w:val="none" w:sz="0" w:space="0" w:color="auto"/>
        <w:left w:val="none" w:sz="0" w:space="0" w:color="auto"/>
        <w:bottom w:val="none" w:sz="0" w:space="0" w:color="auto"/>
        <w:right w:val="none" w:sz="0" w:space="0" w:color="auto"/>
      </w:divBdr>
    </w:div>
    <w:div w:id="2132356992">
      <w:bodyDiv w:val="1"/>
      <w:marLeft w:val="0"/>
      <w:marRight w:val="0"/>
      <w:marTop w:val="0"/>
      <w:marBottom w:val="0"/>
      <w:divBdr>
        <w:top w:val="none" w:sz="0" w:space="0" w:color="auto"/>
        <w:left w:val="none" w:sz="0" w:space="0" w:color="auto"/>
        <w:bottom w:val="none" w:sz="0" w:space="0" w:color="auto"/>
        <w:right w:val="none" w:sz="0" w:space="0" w:color="auto"/>
      </w:divBdr>
    </w:div>
    <w:div w:id="213583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ndTB.org" TargetMode="External"/><Relationship Id="rId18" Type="http://schemas.openxmlformats.org/officeDocument/2006/relationships/footer" Target="footer2.xml"/><Relationship Id="rId26" Type="http://schemas.openxmlformats.org/officeDocument/2006/relationships/header" Target="header5.xml"/><Relationship Id="rId39" Type="http://schemas.openxmlformats.org/officeDocument/2006/relationships/hyperlink" Target="http://apps.who.int/iris/bitstream/10665/130918/1/9789241548809_eng.pdf" TargetMode="External"/><Relationship Id="rId21" Type="http://schemas.openxmlformats.org/officeDocument/2006/relationships/hyperlink" Target="http://medicine.iupui.edu/clinpharm/ddis/" TargetMode="External"/><Relationship Id="rId34" Type="http://schemas.openxmlformats.org/officeDocument/2006/relationships/image" Target="media/image3.png"/><Relationship Id="rId42" Type="http://schemas.openxmlformats.org/officeDocument/2006/relationships/hyperlink" Target="https://drtbnetwork.org/pih-guide-medical-management-multidrug-resistant-tuberculosis-eBook" TargetMode="External"/><Relationship Id="rId47" Type="http://schemas.openxmlformats.org/officeDocument/2006/relationships/header" Target="header8.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6.xml"/><Relationship Id="rId11" Type="http://schemas.openxmlformats.org/officeDocument/2006/relationships/hyperlink" Target="http://www.endTB.org" TargetMode="External"/><Relationship Id="rId24" Type="http://schemas.openxmlformats.org/officeDocument/2006/relationships/hyperlink" Target="mailto:tbsentinelproject@gmail.com" TargetMode="External"/><Relationship Id="rId32" Type="http://schemas.openxmlformats.org/officeDocument/2006/relationships/image" Target="media/image2.png"/><Relationship Id="rId37" Type="http://schemas.microsoft.com/office/2007/relationships/hdphoto" Target="media/hdphoto3.wdp"/><Relationship Id="rId40" Type="http://schemas.openxmlformats.org/officeDocument/2006/relationships/hyperlink" Target="https://drtbnetwork.org/pih-guide-medical-management-multidrug-resistant-tuberculosis-eBook" TargetMode="External"/><Relationship Id="rId45" Type="http://schemas.openxmlformats.org/officeDocument/2006/relationships/hyperlink" Target="http://apps.who.int/iris/bitstream/10665/137334/1/WHO_HTM_TB_2014.23_eng.pdf?ua=1&amp;ua=1"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entinel-project.org/wp-content/uploads/2019/02/Updated_DRTB-Field-Guide-2019-V3.pdf" TargetMode="External"/><Relationship Id="rId28" Type="http://schemas.openxmlformats.org/officeDocument/2006/relationships/footer" Target="footer5.xml"/><Relationship Id="rId36" Type="http://schemas.openxmlformats.org/officeDocument/2006/relationships/image" Target="media/image4.png"/><Relationship Id="rId49"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1.tiff"/><Relationship Id="rId44" Type="http://schemas.openxmlformats.org/officeDocument/2006/relationships/hyperlink" Target="http://apps.who.int/iris/bitstream/10665/84879/1/9789241505482_eng.pdf?ua=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itaid.eu" TargetMode="External"/><Relationship Id="rId22" Type="http://schemas.openxmlformats.org/officeDocument/2006/relationships/hyperlink" Target="mailto:tbsentinelproject@gmail.com" TargetMode="External"/><Relationship Id="rId27" Type="http://schemas.openxmlformats.org/officeDocument/2006/relationships/footer" Target="footer4.xml"/><Relationship Id="rId30" Type="http://schemas.openxmlformats.org/officeDocument/2006/relationships/footer" Target="footer6.xml"/><Relationship Id="rId35" Type="http://schemas.microsoft.com/office/2007/relationships/hdphoto" Target="media/hdphoto2.wdp"/><Relationship Id="rId43" Type="http://schemas.openxmlformats.org/officeDocument/2006/relationships/hyperlink" Target="http://refbooks.msf.org/msf_docs/en/tuberculosis/tuberculosis_en.pdf" TargetMode="External"/><Relationship Id="rId48" Type="http://schemas.openxmlformats.org/officeDocument/2006/relationships/footer" Target="footer7.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endTB.org" TargetMode="External"/><Relationship Id="rId17" Type="http://schemas.openxmlformats.org/officeDocument/2006/relationships/footer" Target="footer1.xml"/><Relationship Id="rId25" Type="http://schemas.openxmlformats.org/officeDocument/2006/relationships/header" Target="header4.xml"/><Relationship Id="rId33" Type="http://schemas.microsoft.com/office/2007/relationships/hdphoto" Target="media/hdphoto1.wdp"/><Relationship Id="rId38" Type="http://schemas.openxmlformats.org/officeDocument/2006/relationships/hyperlink" Target="http://endtb.org/resources/pharmacovigilance" TargetMode="External"/><Relationship Id="rId46" Type="http://schemas.openxmlformats.org/officeDocument/2006/relationships/header" Target="header7.xml"/><Relationship Id="rId20" Type="http://schemas.openxmlformats.org/officeDocument/2006/relationships/footer" Target="footer3.xml"/><Relationship Id="rId41" Type="http://schemas.openxmlformats.org/officeDocument/2006/relationships/hyperlink" Target="https://drtbnetwork.org/pih-guide-medical-management-multidrug-resistant-tuberculosis-eBook"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who.int/tdr/en/" TargetMode="External"/><Relationship Id="rId7" Type="http://schemas.openxmlformats.org/officeDocument/2006/relationships/hyperlink" Target="mailto:tbsentinelproject@gmail.com" TargetMode="External"/><Relationship Id="rId2" Type="http://schemas.openxmlformats.org/officeDocument/2006/relationships/hyperlink" Target="http://www.stoptb.org/wg/mdrtb/assets/documents/GDI%20OR%20generic%20protocol%20final.pdf" TargetMode="External"/><Relationship Id="rId1" Type="http://schemas.openxmlformats.org/officeDocument/2006/relationships/hyperlink" Target="http://www.endTB.org/toolkit" TargetMode="External"/><Relationship Id="rId6" Type="http://schemas.openxmlformats.org/officeDocument/2006/relationships/hyperlink" Target="mailto:tbsentinelproject@gmail.com" TargetMode="External"/><Relationship Id="rId5" Type="http://schemas.openxmlformats.org/officeDocument/2006/relationships/hyperlink" Target="https://www.who.int/tdr/research/tb_hiv/adsm/en/" TargetMode="External"/><Relationship Id="rId4" Type="http://schemas.openxmlformats.org/officeDocument/2006/relationships/hyperlink" Target="mailto:Cathy.Hewison@paris.ms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IH Document" ma:contentTypeID="0x0101004164610D74D38443AA6A18438C67FD3100439C0BD6B125B048B10E8B804C631F59" ma:contentTypeVersion="20" ma:contentTypeDescription="Create a new document." ma:contentTypeScope="" ma:versionID="4a2552c8913e7797f6516405fb52c4e7">
  <xsd:schema xmlns:xsd="http://www.w3.org/2001/XMLSchema" xmlns:xs="http://www.w3.org/2001/XMLSchema" xmlns:p="http://schemas.microsoft.com/office/2006/metadata/properties" xmlns:ns1="http://schemas.microsoft.com/sharepoint/v3" xmlns:ns3="9665f3a0-d658-4936-9d5c-936929859ef9" xmlns:ns4="e15236c9-6778-4926-86d9-e2bc8a828014" targetNamespace="http://schemas.microsoft.com/office/2006/metadata/properties" ma:root="true" ma:fieldsID="4b1e6906b2860881185b964f071c16b7" ns1:_="" ns3:_="" ns4:_="">
    <xsd:import namespace="http://schemas.microsoft.com/sharepoint/v3"/>
    <xsd:import namespace="9665f3a0-d658-4936-9d5c-936929859ef9"/>
    <xsd:import namespace="e15236c9-6778-4926-86d9-e2bc8a828014"/>
    <xsd:element name="properties">
      <xsd:complexType>
        <xsd:sequence>
          <xsd:element name="documentManagement">
            <xsd:complexType>
              <xsd:all>
                <xsd:element ref="ns3:i5300b88f473498fa99ab88e27074a0f" minOccurs="0"/>
                <xsd:element ref="ns3:TaxCatchAll" minOccurs="0"/>
                <xsd:element ref="ns3:TaxCatchAllLabel" minOccurs="0"/>
                <xsd:element ref="ns3:p576eb55ea5e4f0fb6cd4304fb789f31" minOccurs="0"/>
                <xsd:element ref="ns3:ka4e5091bc044acda1822636ada58920" minOccurs="0"/>
                <xsd:element ref="ns4:MediaServiceMetadata" minOccurs="0"/>
                <xsd:element ref="ns4:MediaServiceFastMetadata" minOccurs="0"/>
                <xsd:element ref="ns3:SharedWithUsers" minOccurs="0"/>
                <xsd:element ref="ns3:SharedWithDetails"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65f3a0-d658-4936-9d5c-936929859ef9" elementFormDefault="qualified">
    <xsd:import namespace="http://schemas.microsoft.com/office/2006/documentManagement/types"/>
    <xsd:import namespace="http://schemas.microsoft.com/office/infopath/2007/PartnerControls"/>
    <xsd:element name="i5300b88f473498fa99ab88e27074a0f" ma:index="7" nillable="true" ma:taxonomy="true" ma:internalName="i5300b88f473498fa99ab88e27074a0f" ma:taxonomyFieldName="PIH_x0020_Department" ma:displayName="PIH Department" ma:readOnly="false" ma:default="" ma:fieldId="{25300b88-f473-498f-a99a-b88e27074a0f}" ma:taxonomyMulti="true" ma:sspId="bbd3c62f-433e-4d1b-92df-86d079e0da94" ma:termSetId="98d40340-ac16-4249-b749-18315593134a" ma:anchorId="00000000-0000-0000-0000-000000000000" ma:open="false" ma:isKeyword="false">
      <xsd:complexType>
        <xsd:sequence>
          <xsd:element ref="pc:Terms" minOccurs="0" maxOccurs="1"/>
        </xsd:sequence>
      </xsd:complexType>
    </xsd:element>
    <xsd:element name="TaxCatchAll" ma:index="8" nillable="true" ma:displayName="Taxonomy Catch All Column" ma:description="" ma:hidden="true" ma:list="{257a541d-6e70-4a95-9b33-fc8c1463f4ca}" ma:internalName="TaxCatchAll" ma:showField="CatchAllData" ma:web="9665f3a0-d658-4936-9d5c-936929859ef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57a541d-6e70-4a95-9b33-fc8c1463f4ca}" ma:internalName="TaxCatchAllLabel" ma:readOnly="true" ma:showField="CatchAllDataLabel" ma:web="9665f3a0-d658-4936-9d5c-936929859ef9">
      <xsd:complexType>
        <xsd:complexContent>
          <xsd:extension base="dms:MultiChoiceLookup">
            <xsd:sequence>
              <xsd:element name="Value" type="dms:Lookup" maxOccurs="unbounded" minOccurs="0" nillable="true"/>
            </xsd:sequence>
          </xsd:extension>
        </xsd:complexContent>
      </xsd:complexType>
    </xsd:element>
    <xsd:element name="p576eb55ea5e4f0fb6cd4304fb789f31" ma:index="12" nillable="true" ma:taxonomy="true" ma:internalName="p576eb55ea5e4f0fb6cd4304fb789f31" ma:taxonomyFieldName="Country" ma:displayName="Country" ma:readOnly="false" ma:default="" ma:fieldId="{9576eb55-ea5e-4f0f-b6cd-4304fb789f31}" ma:taxonomyMulti="true" ma:sspId="bbd3c62f-433e-4d1b-92df-86d079e0da94" ma:termSetId="25acdb49-e71a-4175-a80e-3ac0e2a0612d" ma:anchorId="00000000-0000-0000-0000-000000000000" ma:open="false" ma:isKeyword="false">
      <xsd:complexType>
        <xsd:sequence>
          <xsd:element ref="pc:Terms" minOccurs="0" maxOccurs="1"/>
        </xsd:sequence>
      </xsd:complexType>
    </xsd:element>
    <xsd:element name="ka4e5091bc044acda1822636ada58920" ma:index="14" nillable="true" ma:taxonomy="true" ma:internalName="ka4e5091bc044acda1822636ada58920" ma:taxonomyFieldName="Content_x0020_Language" ma:displayName="Content Language" ma:readOnly="false" ma:default="" ma:fieldId="{4a4e5091-bc04-4acd-a182-2636ada58920}" ma:taxonomyMulti="true" ma:sspId="bbd3c62f-433e-4d1b-92df-86d079e0da94" ma:termSetId="04d11948-005d-4f4a-812f-d6ec85afe8db" ma:anchorId="00000000-0000-0000-0000-000000000000" ma:open="false" ma:isKeyword="false">
      <xsd:complexType>
        <xsd:sequence>
          <xsd:element ref="pc:Terms" minOccurs="0" maxOccurs="1"/>
        </xsd:sequence>
      </xsd:complexType>
    </xsd:element>
    <xsd:element name="SharedWithUsers" ma:index="1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5236c9-6778-4926-86d9-e2bc8a828014"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ServiceAutoTags" ma:index="21" nillable="true" ma:displayName="MediaServiceAutoTags" ma:description="" ma:internalName="MediaServiceAutoTags"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Location" ma:index="23" nillable="true" ma:displayName="MediaServiceLocation" ma:internalName="MediaServiceLocation"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665f3a0-d658-4936-9d5c-936929859ef9">
      <UserInfo>
        <DisplayName>Lorenzo Guglielmetti</DisplayName>
        <AccountId>24</AccountId>
        <AccountType/>
      </UserInfo>
      <UserInfo>
        <DisplayName>Francis Varaine</DisplayName>
        <AccountId>42</AccountId>
        <AccountType/>
      </UserInfo>
      <UserInfo>
        <DisplayName>Michael Rich</DisplayName>
        <AccountId>13</AccountId>
        <AccountType/>
      </UserInfo>
      <UserInfo>
        <DisplayName>uzma.khan@irdresearch.org</DisplayName>
        <AccountId>17</AccountId>
        <AccountType/>
      </UserInfo>
      <UserInfo>
        <DisplayName>Cathy Hewison</DisplayName>
        <AccountId>26</AccountId>
        <AccountType/>
      </UserInfo>
      <UserInfo>
        <DisplayName>Elliott Fox</DisplayName>
        <AccountId>280</AccountId>
        <AccountType/>
      </UserInfo>
    </SharedWithUsers>
    <p576eb55ea5e4f0fb6cd4304fb789f31 xmlns="9665f3a0-d658-4936-9d5c-936929859ef9">
      <Terms xmlns="http://schemas.microsoft.com/office/infopath/2007/PartnerControls">
        <TermInfo xmlns="http://schemas.microsoft.com/office/infopath/2007/PartnerControls">
          <TermName xmlns="http://schemas.microsoft.com/office/infopath/2007/PartnerControls">USA</TermName>
          <TermId xmlns="http://schemas.microsoft.com/office/infopath/2007/PartnerControls">22222222-2222-2222-2222-222222222222</TermId>
        </TermInfo>
      </Terms>
    </p576eb55ea5e4f0fb6cd4304fb789f31>
    <_ip_UnifiedCompliancePolicyUIAction xmlns="http://schemas.microsoft.com/sharepoint/v3" xsi:nil="true"/>
    <TaxCatchAll xmlns="9665f3a0-d658-4936-9d5c-936929859ef9">
      <Value>3</Value>
      <Value>2</Value>
      <Value>1</Value>
    </TaxCatchAll>
    <i5300b88f473498fa99ab88e27074a0f xmlns="9665f3a0-d658-4936-9d5c-936929859ef9">
      <Terms xmlns="http://schemas.microsoft.com/office/infopath/2007/PartnerControls">
        <TermInfo xmlns="http://schemas.microsoft.com/office/infopath/2007/PartnerControls">
          <TermName xmlns="http://schemas.microsoft.com/office/infopath/2007/PartnerControls">End TB</TermName>
          <TermId xmlns="http://schemas.microsoft.com/office/infopath/2007/PartnerControls">85d93c2c-1555-4d95-9213-04eda9382a6f</TermId>
        </TermInfo>
      </Terms>
    </i5300b88f473498fa99ab88e27074a0f>
    <ka4e5091bc044acda1822636ada58920 xmlns="9665f3a0-d658-4936-9d5c-936929859ef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ac1d9d49-85e4-40fb-ad28-2bc8be528a5e</TermId>
        </TermInfo>
      </Terms>
    </ka4e5091bc044acda1822636ada58920>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CC111-2074-44C2-B88B-C0EC032A55D0}">
  <ds:schemaRefs>
    <ds:schemaRef ds:uri="http://schemas.microsoft.com/sharepoint/v3/contenttype/forms"/>
  </ds:schemaRefs>
</ds:datastoreItem>
</file>

<file path=customXml/itemProps2.xml><?xml version="1.0" encoding="utf-8"?>
<ds:datastoreItem xmlns:ds="http://schemas.openxmlformats.org/officeDocument/2006/customXml" ds:itemID="{CD47D8E0-2556-47EF-BE15-9D279E3C5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665f3a0-d658-4936-9d5c-936929859ef9"/>
    <ds:schemaRef ds:uri="e15236c9-6778-4926-86d9-e2bc8a8280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6E1D9F-7FCE-40AB-80C2-F3A4E1BF0358}">
  <ds:schemaRefs>
    <ds:schemaRef ds:uri="http://schemas.microsoft.com/office/2006/metadata/properties"/>
    <ds:schemaRef ds:uri="http://schemas.microsoft.com/office/infopath/2007/PartnerControls"/>
    <ds:schemaRef ds:uri="9665f3a0-d658-4936-9d5c-936929859ef9"/>
    <ds:schemaRef ds:uri="http://schemas.microsoft.com/sharepoint/v3"/>
  </ds:schemaRefs>
</ds:datastoreItem>
</file>

<file path=customXml/itemProps4.xml><?xml version="1.0" encoding="utf-8"?>
<ds:datastoreItem xmlns:ds="http://schemas.openxmlformats.org/officeDocument/2006/customXml" ds:itemID="{3B85BA38-3678-E748-A5B1-409034E78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90</Pages>
  <Words>25768</Words>
  <Characters>146884</Characters>
  <Application>Microsoft Office Word</Application>
  <DocSecurity>0</DocSecurity>
  <Lines>1224</Lines>
  <Paragraphs>344</Paragraphs>
  <ScaleCrop>false</ScaleCrop>
  <HeadingPairs>
    <vt:vector size="2" baseType="variant">
      <vt:variant>
        <vt:lpstr>Title</vt:lpstr>
      </vt:variant>
      <vt:variant>
        <vt:i4>1</vt:i4>
      </vt:variant>
    </vt:vector>
  </HeadingPairs>
  <TitlesOfParts>
    <vt:vector size="1" baseType="lpstr">
      <vt:lpstr>endTB</vt:lpstr>
    </vt:vector>
  </TitlesOfParts>
  <Company>Partners In Health</Company>
  <LinksUpToDate>false</LinksUpToDate>
  <CharactersWithSpaces>172308</CharactersWithSpaces>
  <SharedDoc>false</SharedDoc>
  <HLinks>
    <vt:vector size="606" baseType="variant">
      <vt:variant>
        <vt:i4>3473526</vt:i4>
      </vt:variant>
      <vt:variant>
        <vt:i4>696</vt:i4>
      </vt:variant>
      <vt:variant>
        <vt:i4>0</vt:i4>
      </vt:variant>
      <vt:variant>
        <vt:i4>5</vt:i4>
      </vt:variant>
      <vt:variant>
        <vt:lpwstr>http://apps.who.int/iris/bitstream/10665/137334/1/WHO_HTM_TB_2014.23_eng.pdf?ua=1&amp;ua=1</vt:lpwstr>
      </vt:variant>
      <vt:variant>
        <vt:lpwstr/>
      </vt:variant>
      <vt:variant>
        <vt:i4>2752523</vt:i4>
      </vt:variant>
      <vt:variant>
        <vt:i4>693</vt:i4>
      </vt:variant>
      <vt:variant>
        <vt:i4>0</vt:i4>
      </vt:variant>
      <vt:variant>
        <vt:i4>5</vt:i4>
      </vt:variant>
      <vt:variant>
        <vt:lpwstr>http://apps.who.int/iris/bitstream/10665/84879/1/9789241505482_eng.pdf?ua=1</vt:lpwstr>
      </vt:variant>
      <vt:variant>
        <vt:lpwstr/>
      </vt:variant>
      <vt:variant>
        <vt:i4>4194388</vt:i4>
      </vt:variant>
      <vt:variant>
        <vt:i4>690</vt:i4>
      </vt:variant>
      <vt:variant>
        <vt:i4>0</vt:i4>
      </vt:variant>
      <vt:variant>
        <vt:i4>5</vt:i4>
      </vt:variant>
      <vt:variant>
        <vt:lpwstr>http://refbooks.msf.org/msf_docs/en/tuberculosis/tuberculosis_en.pdf</vt:lpwstr>
      </vt:variant>
      <vt:variant>
        <vt:lpwstr/>
      </vt:variant>
      <vt:variant>
        <vt:i4>7536746</vt:i4>
      </vt:variant>
      <vt:variant>
        <vt:i4>687</vt:i4>
      </vt:variant>
      <vt:variant>
        <vt:i4>0</vt:i4>
      </vt:variant>
      <vt:variant>
        <vt:i4>5</vt:i4>
      </vt:variant>
      <vt:variant>
        <vt:lpwstr>https://drtbnetwork.org/pih-guide-medical-management-multidrug-resistant-tuberculosis-eBook</vt:lpwstr>
      </vt:variant>
      <vt:variant>
        <vt:lpwstr/>
      </vt:variant>
      <vt:variant>
        <vt:i4>7536746</vt:i4>
      </vt:variant>
      <vt:variant>
        <vt:i4>684</vt:i4>
      </vt:variant>
      <vt:variant>
        <vt:i4>0</vt:i4>
      </vt:variant>
      <vt:variant>
        <vt:i4>5</vt:i4>
      </vt:variant>
      <vt:variant>
        <vt:lpwstr>https://drtbnetwork.org/pih-guide-medical-management-multidrug-resistant-tuberculosis-eBook</vt:lpwstr>
      </vt:variant>
      <vt:variant>
        <vt:lpwstr/>
      </vt:variant>
      <vt:variant>
        <vt:i4>7536746</vt:i4>
      </vt:variant>
      <vt:variant>
        <vt:i4>681</vt:i4>
      </vt:variant>
      <vt:variant>
        <vt:i4>0</vt:i4>
      </vt:variant>
      <vt:variant>
        <vt:i4>5</vt:i4>
      </vt:variant>
      <vt:variant>
        <vt:lpwstr>https://drtbnetwork.org/pih-guide-medical-management-multidrug-resistant-tuberculosis-eBook</vt:lpwstr>
      </vt:variant>
      <vt:variant>
        <vt:lpwstr/>
      </vt:variant>
      <vt:variant>
        <vt:i4>393321</vt:i4>
      </vt:variant>
      <vt:variant>
        <vt:i4>678</vt:i4>
      </vt:variant>
      <vt:variant>
        <vt:i4>0</vt:i4>
      </vt:variant>
      <vt:variant>
        <vt:i4>5</vt:i4>
      </vt:variant>
      <vt:variant>
        <vt:lpwstr>http://apps.who.int/iris/bitstream/10665/130918/1/9789241548809_eng.pdf</vt:lpwstr>
      </vt:variant>
      <vt:variant>
        <vt:lpwstr/>
      </vt:variant>
      <vt:variant>
        <vt:i4>5046340</vt:i4>
      </vt:variant>
      <vt:variant>
        <vt:i4>675</vt:i4>
      </vt:variant>
      <vt:variant>
        <vt:i4>0</vt:i4>
      </vt:variant>
      <vt:variant>
        <vt:i4>5</vt:i4>
      </vt:variant>
      <vt:variant>
        <vt:lpwstr>http://endtb.org/resources/pharmacovigilance</vt:lpwstr>
      </vt:variant>
      <vt:variant>
        <vt:lpwstr/>
      </vt:variant>
      <vt:variant>
        <vt:i4>7143493</vt:i4>
      </vt:variant>
      <vt:variant>
        <vt:i4>636</vt:i4>
      </vt:variant>
      <vt:variant>
        <vt:i4>0</vt:i4>
      </vt:variant>
      <vt:variant>
        <vt:i4>5</vt:i4>
      </vt:variant>
      <vt:variant>
        <vt:lpwstr>mailto:tbsentinelproject@gmail.com</vt:lpwstr>
      </vt:variant>
      <vt:variant>
        <vt:lpwstr/>
      </vt:variant>
      <vt:variant>
        <vt:i4>8060932</vt:i4>
      </vt:variant>
      <vt:variant>
        <vt:i4>630</vt:i4>
      </vt:variant>
      <vt:variant>
        <vt:i4>0</vt:i4>
      </vt:variant>
      <vt:variant>
        <vt:i4>5</vt:i4>
      </vt:variant>
      <vt:variant>
        <vt:lpwstr>http://sentinel-project.org/wp-content/uploads/2019/02/Updated_DRTB-Field-Guide-2019-V3.pdf</vt:lpwstr>
      </vt:variant>
      <vt:variant>
        <vt:lpwstr/>
      </vt:variant>
      <vt:variant>
        <vt:i4>7143493</vt:i4>
      </vt:variant>
      <vt:variant>
        <vt:i4>627</vt:i4>
      </vt:variant>
      <vt:variant>
        <vt:i4>0</vt:i4>
      </vt:variant>
      <vt:variant>
        <vt:i4>5</vt:i4>
      </vt:variant>
      <vt:variant>
        <vt:lpwstr>mailto:tbsentinelproject@gmail.com</vt:lpwstr>
      </vt:variant>
      <vt:variant>
        <vt:lpwstr/>
      </vt:variant>
      <vt:variant>
        <vt:i4>4456466</vt:i4>
      </vt:variant>
      <vt:variant>
        <vt:i4>546</vt:i4>
      </vt:variant>
      <vt:variant>
        <vt:i4>0</vt:i4>
      </vt:variant>
      <vt:variant>
        <vt:i4>5</vt:i4>
      </vt:variant>
      <vt:variant>
        <vt:lpwstr>http://medicine.iupui.edu/clinpharm/ddis/</vt:lpwstr>
      </vt:variant>
      <vt:variant>
        <vt:lpwstr/>
      </vt:variant>
      <vt:variant>
        <vt:i4>7864440</vt:i4>
      </vt:variant>
      <vt:variant>
        <vt:i4>486</vt:i4>
      </vt:variant>
      <vt:variant>
        <vt:i4>0</vt:i4>
      </vt:variant>
      <vt:variant>
        <vt:i4>5</vt:i4>
      </vt:variant>
      <vt:variant>
        <vt:lpwstr>http://www.unitaid.eu/</vt:lpwstr>
      </vt:variant>
      <vt:variant>
        <vt:lpwstr/>
      </vt:variant>
      <vt:variant>
        <vt:i4>1835056</vt:i4>
      </vt:variant>
      <vt:variant>
        <vt:i4>479</vt:i4>
      </vt:variant>
      <vt:variant>
        <vt:i4>0</vt:i4>
      </vt:variant>
      <vt:variant>
        <vt:i4>5</vt:i4>
      </vt:variant>
      <vt:variant>
        <vt:lpwstr/>
      </vt:variant>
      <vt:variant>
        <vt:lpwstr>_Toc13076976</vt:lpwstr>
      </vt:variant>
      <vt:variant>
        <vt:i4>2031664</vt:i4>
      </vt:variant>
      <vt:variant>
        <vt:i4>473</vt:i4>
      </vt:variant>
      <vt:variant>
        <vt:i4>0</vt:i4>
      </vt:variant>
      <vt:variant>
        <vt:i4>5</vt:i4>
      </vt:variant>
      <vt:variant>
        <vt:lpwstr/>
      </vt:variant>
      <vt:variant>
        <vt:lpwstr>_Toc13076975</vt:lpwstr>
      </vt:variant>
      <vt:variant>
        <vt:i4>1966128</vt:i4>
      </vt:variant>
      <vt:variant>
        <vt:i4>467</vt:i4>
      </vt:variant>
      <vt:variant>
        <vt:i4>0</vt:i4>
      </vt:variant>
      <vt:variant>
        <vt:i4>5</vt:i4>
      </vt:variant>
      <vt:variant>
        <vt:lpwstr/>
      </vt:variant>
      <vt:variant>
        <vt:lpwstr>_Toc13076974</vt:lpwstr>
      </vt:variant>
      <vt:variant>
        <vt:i4>1638448</vt:i4>
      </vt:variant>
      <vt:variant>
        <vt:i4>461</vt:i4>
      </vt:variant>
      <vt:variant>
        <vt:i4>0</vt:i4>
      </vt:variant>
      <vt:variant>
        <vt:i4>5</vt:i4>
      </vt:variant>
      <vt:variant>
        <vt:lpwstr/>
      </vt:variant>
      <vt:variant>
        <vt:lpwstr>_Toc13076973</vt:lpwstr>
      </vt:variant>
      <vt:variant>
        <vt:i4>1572912</vt:i4>
      </vt:variant>
      <vt:variant>
        <vt:i4>455</vt:i4>
      </vt:variant>
      <vt:variant>
        <vt:i4>0</vt:i4>
      </vt:variant>
      <vt:variant>
        <vt:i4>5</vt:i4>
      </vt:variant>
      <vt:variant>
        <vt:lpwstr/>
      </vt:variant>
      <vt:variant>
        <vt:lpwstr>_Toc13076972</vt:lpwstr>
      </vt:variant>
      <vt:variant>
        <vt:i4>1769520</vt:i4>
      </vt:variant>
      <vt:variant>
        <vt:i4>449</vt:i4>
      </vt:variant>
      <vt:variant>
        <vt:i4>0</vt:i4>
      </vt:variant>
      <vt:variant>
        <vt:i4>5</vt:i4>
      </vt:variant>
      <vt:variant>
        <vt:lpwstr/>
      </vt:variant>
      <vt:variant>
        <vt:lpwstr>_Toc13076971</vt:lpwstr>
      </vt:variant>
      <vt:variant>
        <vt:i4>1703984</vt:i4>
      </vt:variant>
      <vt:variant>
        <vt:i4>443</vt:i4>
      </vt:variant>
      <vt:variant>
        <vt:i4>0</vt:i4>
      </vt:variant>
      <vt:variant>
        <vt:i4>5</vt:i4>
      </vt:variant>
      <vt:variant>
        <vt:lpwstr/>
      </vt:variant>
      <vt:variant>
        <vt:lpwstr>_Toc13076970</vt:lpwstr>
      </vt:variant>
      <vt:variant>
        <vt:i4>1245233</vt:i4>
      </vt:variant>
      <vt:variant>
        <vt:i4>437</vt:i4>
      </vt:variant>
      <vt:variant>
        <vt:i4>0</vt:i4>
      </vt:variant>
      <vt:variant>
        <vt:i4>5</vt:i4>
      </vt:variant>
      <vt:variant>
        <vt:lpwstr/>
      </vt:variant>
      <vt:variant>
        <vt:lpwstr>_Toc13076969</vt:lpwstr>
      </vt:variant>
      <vt:variant>
        <vt:i4>1179697</vt:i4>
      </vt:variant>
      <vt:variant>
        <vt:i4>431</vt:i4>
      </vt:variant>
      <vt:variant>
        <vt:i4>0</vt:i4>
      </vt:variant>
      <vt:variant>
        <vt:i4>5</vt:i4>
      </vt:variant>
      <vt:variant>
        <vt:lpwstr/>
      </vt:variant>
      <vt:variant>
        <vt:lpwstr>_Toc13076968</vt:lpwstr>
      </vt:variant>
      <vt:variant>
        <vt:i4>1900593</vt:i4>
      </vt:variant>
      <vt:variant>
        <vt:i4>425</vt:i4>
      </vt:variant>
      <vt:variant>
        <vt:i4>0</vt:i4>
      </vt:variant>
      <vt:variant>
        <vt:i4>5</vt:i4>
      </vt:variant>
      <vt:variant>
        <vt:lpwstr/>
      </vt:variant>
      <vt:variant>
        <vt:lpwstr>_Toc13076967</vt:lpwstr>
      </vt:variant>
      <vt:variant>
        <vt:i4>1835057</vt:i4>
      </vt:variant>
      <vt:variant>
        <vt:i4>419</vt:i4>
      </vt:variant>
      <vt:variant>
        <vt:i4>0</vt:i4>
      </vt:variant>
      <vt:variant>
        <vt:i4>5</vt:i4>
      </vt:variant>
      <vt:variant>
        <vt:lpwstr/>
      </vt:variant>
      <vt:variant>
        <vt:lpwstr>_Toc13076966</vt:lpwstr>
      </vt:variant>
      <vt:variant>
        <vt:i4>2031665</vt:i4>
      </vt:variant>
      <vt:variant>
        <vt:i4>413</vt:i4>
      </vt:variant>
      <vt:variant>
        <vt:i4>0</vt:i4>
      </vt:variant>
      <vt:variant>
        <vt:i4>5</vt:i4>
      </vt:variant>
      <vt:variant>
        <vt:lpwstr/>
      </vt:variant>
      <vt:variant>
        <vt:lpwstr>_Toc13076965</vt:lpwstr>
      </vt:variant>
      <vt:variant>
        <vt:i4>1966129</vt:i4>
      </vt:variant>
      <vt:variant>
        <vt:i4>407</vt:i4>
      </vt:variant>
      <vt:variant>
        <vt:i4>0</vt:i4>
      </vt:variant>
      <vt:variant>
        <vt:i4>5</vt:i4>
      </vt:variant>
      <vt:variant>
        <vt:lpwstr/>
      </vt:variant>
      <vt:variant>
        <vt:lpwstr>_Toc13076964</vt:lpwstr>
      </vt:variant>
      <vt:variant>
        <vt:i4>1638449</vt:i4>
      </vt:variant>
      <vt:variant>
        <vt:i4>401</vt:i4>
      </vt:variant>
      <vt:variant>
        <vt:i4>0</vt:i4>
      </vt:variant>
      <vt:variant>
        <vt:i4>5</vt:i4>
      </vt:variant>
      <vt:variant>
        <vt:lpwstr/>
      </vt:variant>
      <vt:variant>
        <vt:lpwstr>_Toc13076963</vt:lpwstr>
      </vt:variant>
      <vt:variant>
        <vt:i4>1572913</vt:i4>
      </vt:variant>
      <vt:variant>
        <vt:i4>395</vt:i4>
      </vt:variant>
      <vt:variant>
        <vt:i4>0</vt:i4>
      </vt:variant>
      <vt:variant>
        <vt:i4>5</vt:i4>
      </vt:variant>
      <vt:variant>
        <vt:lpwstr/>
      </vt:variant>
      <vt:variant>
        <vt:lpwstr>_Toc13076962</vt:lpwstr>
      </vt:variant>
      <vt:variant>
        <vt:i4>1769521</vt:i4>
      </vt:variant>
      <vt:variant>
        <vt:i4>389</vt:i4>
      </vt:variant>
      <vt:variant>
        <vt:i4>0</vt:i4>
      </vt:variant>
      <vt:variant>
        <vt:i4>5</vt:i4>
      </vt:variant>
      <vt:variant>
        <vt:lpwstr/>
      </vt:variant>
      <vt:variant>
        <vt:lpwstr>_Toc13076961</vt:lpwstr>
      </vt:variant>
      <vt:variant>
        <vt:i4>1703985</vt:i4>
      </vt:variant>
      <vt:variant>
        <vt:i4>383</vt:i4>
      </vt:variant>
      <vt:variant>
        <vt:i4>0</vt:i4>
      </vt:variant>
      <vt:variant>
        <vt:i4>5</vt:i4>
      </vt:variant>
      <vt:variant>
        <vt:lpwstr/>
      </vt:variant>
      <vt:variant>
        <vt:lpwstr>_Toc13076960</vt:lpwstr>
      </vt:variant>
      <vt:variant>
        <vt:i4>1245234</vt:i4>
      </vt:variant>
      <vt:variant>
        <vt:i4>377</vt:i4>
      </vt:variant>
      <vt:variant>
        <vt:i4>0</vt:i4>
      </vt:variant>
      <vt:variant>
        <vt:i4>5</vt:i4>
      </vt:variant>
      <vt:variant>
        <vt:lpwstr/>
      </vt:variant>
      <vt:variant>
        <vt:lpwstr>_Toc13076959</vt:lpwstr>
      </vt:variant>
      <vt:variant>
        <vt:i4>1179698</vt:i4>
      </vt:variant>
      <vt:variant>
        <vt:i4>371</vt:i4>
      </vt:variant>
      <vt:variant>
        <vt:i4>0</vt:i4>
      </vt:variant>
      <vt:variant>
        <vt:i4>5</vt:i4>
      </vt:variant>
      <vt:variant>
        <vt:lpwstr/>
      </vt:variant>
      <vt:variant>
        <vt:lpwstr>_Toc13076958</vt:lpwstr>
      </vt:variant>
      <vt:variant>
        <vt:i4>1638459</vt:i4>
      </vt:variant>
      <vt:variant>
        <vt:i4>362</vt:i4>
      </vt:variant>
      <vt:variant>
        <vt:i4>0</vt:i4>
      </vt:variant>
      <vt:variant>
        <vt:i4>5</vt:i4>
      </vt:variant>
      <vt:variant>
        <vt:lpwstr/>
      </vt:variant>
      <vt:variant>
        <vt:lpwstr>_Toc13486782</vt:lpwstr>
      </vt:variant>
      <vt:variant>
        <vt:i4>1703995</vt:i4>
      </vt:variant>
      <vt:variant>
        <vt:i4>356</vt:i4>
      </vt:variant>
      <vt:variant>
        <vt:i4>0</vt:i4>
      </vt:variant>
      <vt:variant>
        <vt:i4>5</vt:i4>
      </vt:variant>
      <vt:variant>
        <vt:lpwstr/>
      </vt:variant>
      <vt:variant>
        <vt:lpwstr>_Toc13486781</vt:lpwstr>
      </vt:variant>
      <vt:variant>
        <vt:i4>1769531</vt:i4>
      </vt:variant>
      <vt:variant>
        <vt:i4>350</vt:i4>
      </vt:variant>
      <vt:variant>
        <vt:i4>0</vt:i4>
      </vt:variant>
      <vt:variant>
        <vt:i4>5</vt:i4>
      </vt:variant>
      <vt:variant>
        <vt:lpwstr/>
      </vt:variant>
      <vt:variant>
        <vt:lpwstr>_Toc13486780</vt:lpwstr>
      </vt:variant>
      <vt:variant>
        <vt:i4>1179700</vt:i4>
      </vt:variant>
      <vt:variant>
        <vt:i4>344</vt:i4>
      </vt:variant>
      <vt:variant>
        <vt:i4>0</vt:i4>
      </vt:variant>
      <vt:variant>
        <vt:i4>5</vt:i4>
      </vt:variant>
      <vt:variant>
        <vt:lpwstr/>
      </vt:variant>
      <vt:variant>
        <vt:lpwstr>_Toc13486779</vt:lpwstr>
      </vt:variant>
      <vt:variant>
        <vt:i4>1245236</vt:i4>
      </vt:variant>
      <vt:variant>
        <vt:i4>338</vt:i4>
      </vt:variant>
      <vt:variant>
        <vt:i4>0</vt:i4>
      </vt:variant>
      <vt:variant>
        <vt:i4>5</vt:i4>
      </vt:variant>
      <vt:variant>
        <vt:lpwstr/>
      </vt:variant>
      <vt:variant>
        <vt:lpwstr>_Toc13486778</vt:lpwstr>
      </vt:variant>
      <vt:variant>
        <vt:i4>1835060</vt:i4>
      </vt:variant>
      <vt:variant>
        <vt:i4>332</vt:i4>
      </vt:variant>
      <vt:variant>
        <vt:i4>0</vt:i4>
      </vt:variant>
      <vt:variant>
        <vt:i4>5</vt:i4>
      </vt:variant>
      <vt:variant>
        <vt:lpwstr/>
      </vt:variant>
      <vt:variant>
        <vt:lpwstr>_Toc13486777</vt:lpwstr>
      </vt:variant>
      <vt:variant>
        <vt:i4>1900596</vt:i4>
      </vt:variant>
      <vt:variant>
        <vt:i4>326</vt:i4>
      </vt:variant>
      <vt:variant>
        <vt:i4>0</vt:i4>
      </vt:variant>
      <vt:variant>
        <vt:i4>5</vt:i4>
      </vt:variant>
      <vt:variant>
        <vt:lpwstr/>
      </vt:variant>
      <vt:variant>
        <vt:lpwstr>_Toc13486776</vt:lpwstr>
      </vt:variant>
      <vt:variant>
        <vt:i4>1966132</vt:i4>
      </vt:variant>
      <vt:variant>
        <vt:i4>320</vt:i4>
      </vt:variant>
      <vt:variant>
        <vt:i4>0</vt:i4>
      </vt:variant>
      <vt:variant>
        <vt:i4>5</vt:i4>
      </vt:variant>
      <vt:variant>
        <vt:lpwstr/>
      </vt:variant>
      <vt:variant>
        <vt:lpwstr>_Toc13486775</vt:lpwstr>
      </vt:variant>
      <vt:variant>
        <vt:i4>2031668</vt:i4>
      </vt:variant>
      <vt:variant>
        <vt:i4>314</vt:i4>
      </vt:variant>
      <vt:variant>
        <vt:i4>0</vt:i4>
      </vt:variant>
      <vt:variant>
        <vt:i4>5</vt:i4>
      </vt:variant>
      <vt:variant>
        <vt:lpwstr/>
      </vt:variant>
      <vt:variant>
        <vt:lpwstr>_Toc13486774</vt:lpwstr>
      </vt:variant>
      <vt:variant>
        <vt:i4>1572916</vt:i4>
      </vt:variant>
      <vt:variant>
        <vt:i4>308</vt:i4>
      </vt:variant>
      <vt:variant>
        <vt:i4>0</vt:i4>
      </vt:variant>
      <vt:variant>
        <vt:i4>5</vt:i4>
      </vt:variant>
      <vt:variant>
        <vt:lpwstr/>
      </vt:variant>
      <vt:variant>
        <vt:lpwstr>_Toc13486773</vt:lpwstr>
      </vt:variant>
      <vt:variant>
        <vt:i4>1638452</vt:i4>
      </vt:variant>
      <vt:variant>
        <vt:i4>302</vt:i4>
      </vt:variant>
      <vt:variant>
        <vt:i4>0</vt:i4>
      </vt:variant>
      <vt:variant>
        <vt:i4>5</vt:i4>
      </vt:variant>
      <vt:variant>
        <vt:lpwstr/>
      </vt:variant>
      <vt:variant>
        <vt:lpwstr>_Toc13486772</vt:lpwstr>
      </vt:variant>
      <vt:variant>
        <vt:i4>1703988</vt:i4>
      </vt:variant>
      <vt:variant>
        <vt:i4>296</vt:i4>
      </vt:variant>
      <vt:variant>
        <vt:i4>0</vt:i4>
      </vt:variant>
      <vt:variant>
        <vt:i4>5</vt:i4>
      </vt:variant>
      <vt:variant>
        <vt:lpwstr/>
      </vt:variant>
      <vt:variant>
        <vt:lpwstr>_Toc13486771</vt:lpwstr>
      </vt:variant>
      <vt:variant>
        <vt:i4>1769524</vt:i4>
      </vt:variant>
      <vt:variant>
        <vt:i4>290</vt:i4>
      </vt:variant>
      <vt:variant>
        <vt:i4>0</vt:i4>
      </vt:variant>
      <vt:variant>
        <vt:i4>5</vt:i4>
      </vt:variant>
      <vt:variant>
        <vt:lpwstr/>
      </vt:variant>
      <vt:variant>
        <vt:lpwstr>_Toc13486770</vt:lpwstr>
      </vt:variant>
      <vt:variant>
        <vt:i4>1179701</vt:i4>
      </vt:variant>
      <vt:variant>
        <vt:i4>284</vt:i4>
      </vt:variant>
      <vt:variant>
        <vt:i4>0</vt:i4>
      </vt:variant>
      <vt:variant>
        <vt:i4>5</vt:i4>
      </vt:variant>
      <vt:variant>
        <vt:lpwstr/>
      </vt:variant>
      <vt:variant>
        <vt:lpwstr>_Toc13486769</vt:lpwstr>
      </vt:variant>
      <vt:variant>
        <vt:i4>1245237</vt:i4>
      </vt:variant>
      <vt:variant>
        <vt:i4>278</vt:i4>
      </vt:variant>
      <vt:variant>
        <vt:i4>0</vt:i4>
      </vt:variant>
      <vt:variant>
        <vt:i4>5</vt:i4>
      </vt:variant>
      <vt:variant>
        <vt:lpwstr/>
      </vt:variant>
      <vt:variant>
        <vt:lpwstr>_Toc13486768</vt:lpwstr>
      </vt:variant>
      <vt:variant>
        <vt:i4>1835061</vt:i4>
      </vt:variant>
      <vt:variant>
        <vt:i4>272</vt:i4>
      </vt:variant>
      <vt:variant>
        <vt:i4>0</vt:i4>
      </vt:variant>
      <vt:variant>
        <vt:i4>5</vt:i4>
      </vt:variant>
      <vt:variant>
        <vt:lpwstr/>
      </vt:variant>
      <vt:variant>
        <vt:lpwstr>_Toc13486767</vt:lpwstr>
      </vt:variant>
      <vt:variant>
        <vt:i4>1900597</vt:i4>
      </vt:variant>
      <vt:variant>
        <vt:i4>266</vt:i4>
      </vt:variant>
      <vt:variant>
        <vt:i4>0</vt:i4>
      </vt:variant>
      <vt:variant>
        <vt:i4>5</vt:i4>
      </vt:variant>
      <vt:variant>
        <vt:lpwstr/>
      </vt:variant>
      <vt:variant>
        <vt:lpwstr>_Toc13486766</vt:lpwstr>
      </vt:variant>
      <vt:variant>
        <vt:i4>1966133</vt:i4>
      </vt:variant>
      <vt:variant>
        <vt:i4>260</vt:i4>
      </vt:variant>
      <vt:variant>
        <vt:i4>0</vt:i4>
      </vt:variant>
      <vt:variant>
        <vt:i4>5</vt:i4>
      </vt:variant>
      <vt:variant>
        <vt:lpwstr/>
      </vt:variant>
      <vt:variant>
        <vt:lpwstr>_Toc13486765</vt:lpwstr>
      </vt:variant>
      <vt:variant>
        <vt:i4>2031669</vt:i4>
      </vt:variant>
      <vt:variant>
        <vt:i4>254</vt:i4>
      </vt:variant>
      <vt:variant>
        <vt:i4>0</vt:i4>
      </vt:variant>
      <vt:variant>
        <vt:i4>5</vt:i4>
      </vt:variant>
      <vt:variant>
        <vt:lpwstr/>
      </vt:variant>
      <vt:variant>
        <vt:lpwstr>_Toc13486764</vt:lpwstr>
      </vt:variant>
      <vt:variant>
        <vt:i4>1572917</vt:i4>
      </vt:variant>
      <vt:variant>
        <vt:i4>248</vt:i4>
      </vt:variant>
      <vt:variant>
        <vt:i4>0</vt:i4>
      </vt:variant>
      <vt:variant>
        <vt:i4>5</vt:i4>
      </vt:variant>
      <vt:variant>
        <vt:lpwstr/>
      </vt:variant>
      <vt:variant>
        <vt:lpwstr>_Toc13486763</vt:lpwstr>
      </vt:variant>
      <vt:variant>
        <vt:i4>1638453</vt:i4>
      </vt:variant>
      <vt:variant>
        <vt:i4>242</vt:i4>
      </vt:variant>
      <vt:variant>
        <vt:i4>0</vt:i4>
      </vt:variant>
      <vt:variant>
        <vt:i4>5</vt:i4>
      </vt:variant>
      <vt:variant>
        <vt:lpwstr/>
      </vt:variant>
      <vt:variant>
        <vt:lpwstr>_Toc13486762</vt:lpwstr>
      </vt:variant>
      <vt:variant>
        <vt:i4>1703989</vt:i4>
      </vt:variant>
      <vt:variant>
        <vt:i4>236</vt:i4>
      </vt:variant>
      <vt:variant>
        <vt:i4>0</vt:i4>
      </vt:variant>
      <vt:variant>
        <vt:i4>5</vt:i4>
      </vt:variant>
      <vt:variant>
        <vt:lpwstr/>
      </vt:variant>
      <vt:variant>
        <vt:lpwstr>_Toc13486761</vt:lpwstr>
      </vt:variant>
      <vt:variant>
        <vt:i4>1769525</vt:i4>
      </vt:variant>
      <vt:variant>
        <vt:i4>230</vt:i4>
      </vt:variant>
      <vt:variant>
        <vt:i4>0</vt:i4>
      </vt:variant>
      <vt:variant>
        <vt:i4>5</vt:i4>
      </vt:variant>
      <vt:variant>
        <vt:lpwstr/>
      </vt:variant>
      <vt:variant>
        <vt:lpwstr>_Toc13486760</vt:lpwstr>
      </vt:variant>
      <vt:variant>
        <vt:i4>1179702</vt:i4>
      </vt:variant>
      <vt:variant>
        <vt:i4>224</vt:i4>
      </vt:variant>
      <vt:variant>
        <vt:i4>0</vt:i4>
      </vt:variant>
      <vt:variant>
        <vt:i4>5</vt:i4>
      </vt:variant>
      <vt:variant>
        <vt:lpwstr/>
      </vt:variant>
      <vt:variant>
        <vt:lpwstr>_Toc13486759</vt:lpwstr>
      </vt:variant>
      <vt:variant>
        <vt:i4>2031664</vt:i4>
      </vt:variant>
      <vt:variant>
        <vt:i4>215</vt:i4>
      </vt:variant>
      <vt:variant>
        <vt:i4>0</vt:i4>
      </vt:variant>
      <vt:variant>
        <vt:i4>5</vt:i4>
      </vt:variant>
      <vt:variant>
        <vt:lpwstr/>
      </vt:variant>
      <vt:variant>
        <vt:lpwstr>_Toc13486734</vt:lpwstr>
      </vt:variant>
      <vt:variant>
        <vt:i4>1572912</vt:i4>
      </vt:variant>
      <vt:variant>
        <vt:i4>209</vt:i4>
      </vt:variant>
      <vt:variant>
        <vt:i4>0</vt:i4>
      </vt:variant>
      <vt:variant>
        <vt:i4>5</vt:i4>
      </vt:variant>
      <vt:variant>
        <vt:lpwstr/>
      </vt:variant>
      <vt:variant>
        <vt:lpwstr>_Toc13486733</vt:lpwstr>
      </vt:variant>
      <vt:variant>
        <vt:i4>1638448</vt:i4>
      </vt:variant>
      <vt:variant>
        <vt:i4>203</vt:i4>
      </vt:variant>
      <vt:variant>
        <vt:i4>0</vt:i4>
      </vt:variant>
      <vt:variant>
        <vt:i4>5</vt:i4>
      </vt:variant>
      <vt:variant>
        <vt:lpwstr/>
      </vt:variant>
      <vt:variant>
        <vt:lpwstr>_Toc13486732</vt:lpwstr>
      </vt:variant>
      <vt:variant>
        <vt:i4>1703984</vt:i4>
      </vt:variant>
      <vt:variant>
        <vt:i4>197</vt:i4>
      </vt:variant>
      <vt:variant>
        <vt:i4>0</vt:i4>
      </vt:variant>
      <vt:variant>
        <vt:i4>5</vt:i4>
      </vt:variant>
      <vt:variant>
        <vt:lpwstr/>
      </vt:variant>
      <vt:variant>
        <vt:lpwstr>_Toc13486731</vt:lpwstr>
      </vt:variant>
      <vt:variant>
        <vt:i4>1769520</vt:i4>
      </vt:variant>
      <vt:variant>
        <vt:i4>191</vt:i4>
      </vt:variant>
      <vt:variant>
        <vt:i4>0</vt:i4>
      </vt:variant>
      <vt:variant>
        <vt:i4>5</vt:i4>
      </vt:variant>
      <vt:variant>
        <vt:lpwstr/>
      </vt:variant>
      <vt:variant>
        <vt:lpwstr>_Toc13486730</vt:lpwstr>
      </vt:variant>
      <vt:variant>
        <vt:i4>1179697</vt:i4>
      </vt:variant>
      <vt:variant>
        <vt:i4>185</vt:i4>
      </vt:variant>
      <vt:variant>
        <vt:i4>0</vt:i4>
      </vt:variant>
      <vt:variant>
        <vt:i4>5</vt:i4>
      </vt:variant>
      <vt:variant>
        <vt:lpwstr/>
      </vt:variant>
      <vt:variant>
        <vt:lpwstr>_Toc13486729</vt:lpwstr>
      </vt:variant>
      <vt:variant>
        <vt:i4>1245233</vt:i4>
      </vt:variant>
      <vt:variant>
        <vt:i4>179</vt:i4>
      </vt:variant>
      <vt:variant>
        <vt:i4>0</vt:i4>
      </vt:variant>
      <vt:variant>
        <vt:i4>5</vt:i4>
      </vt:variant>
      <vt:variant>
        <vt:lpwstr/>
      </vt:variant>
      <vt:variant>
        <vt:lpwstr>_Toc13486728</vt:lpwstr>
      </vt:variant>
      <vt:variant>
        <vt:i4>1835057</vt:i4>
      </vt:variant>
      <vt:variant>
        <vt:i4>173</vt:i4>
      </vt:variant>
      <vt:variant>
        <vt:i4>0</vt:i4>
      </vt:variant>
      <vt:variant>
        <vt:i4>5</vt:i4>
      </vt:variant>
      <vt:variant>
        <vt:lpwstr/>
      </vt:variant>
      <vt:variant>
        <vt:lpwstr>_Toc13486727</vt:lpwstr>
      </vt:variant>
      <vt:variant>
        <vt:i4>1900593</vt:i4>
      </vt:variant>
      <vt:variant>
        <vt:i4>167</vt:i4>
      </vt:variant>
      <vt:variant>
        <vt:i4>0</vt:i4>
      </vt:variant>
      <vt:variant>
        <vt:i4>5</vt:i4>
      </vt:variant>
      <vt:variant>
        <vt:lpwstr/>
      </vt:variant>
      <vt:variant>
        <vt:lpwstr>_Toc13486726</vt:lpwstr>
      </vt:variant>
      <vt:variant>
        <vt:i4>1966129</vt:i4>
      </vt:variant>
      <vt:variant>
        <vt:i4>161</vt:i4>
      </vt:variant>
      <vt:variant>
        <vt:i4>0</vt:i4>
      </vt:variant>
      <vt:variant>
        <vt:i4>5</vt:i4>
      </vt:variant>
      <vt:variant>
        <vt:lpwstr/>
      </vt:variant>
      <vt:variant>
        <vt:lpwstr>_Toc13486725</vt:lpwstr>
      </vt:variant>
      <vt:variant>
        <vt:i4>2031665</vt:i4>
      </vt:variant>
      <vt:variant>
        <vt:i4>155</vt:i4>
      </vt:variant>
      <vt:variant>
        <vt:i4>0</vt:i4>
      </vt:variant>
      <vt:variant>
        <vt:i4>5</vt:i4>
      </vt:variant>
      <vt:variant>
        <vt:lpwstr/>
      </vt:variant>
      <vt:variant>
        <vt:lpwstr>_Toc13486724</vt:lpwstr>
      </vt:variant>
      <vt:variant>
        <vt:i4>1572913</vt:i4>
      </vt:variant>
      <vt:variant>
        <vt:i4>149</vt:i4>
      </vt:variant>
      <vt:variant>
        <vt:i4>0</vt:i4>
      </vt:variant>
      <vt:variant>
        <vt:i4>5</vt:i4>
      </vt:variant>
      <vt:variant>
        <vt:lpwstr/>
      </vt:variant>
      <vt:variant>
        <vt:lpwstr>_Toc13486723</vt:lpwstr>
      </vt:variant>
      <vt:variant>
        <vt:i4>1638449</vt:i4>
      </vt:variant>
      <vt:variant>
        <vt:i4>143</vt:i4>
      </vt:variant>
      <vt:variant>
        <vt:i4>0</vt:i4>
      </vt:variant>
      <vt:variant>
        <vt:i4>5</vt:i4>
      </vt:variant>
      <vt:variant>
        <vt:lpwstr/>
      </vt:variant>
      <vt:variant>
        <vt:lpwstr>_Toc13486722</vt:lpwstr>
      </vt:variant>
      <vt:variant>
        <vt:i4>1703985</vt:i4>
      </vt:variant>
      <vt:variant>
        <vt:i4>137</vt:i4>
      </vt:variant>
      <vt:variant>
        <vt:i4>0</vt:i4>
      </vt:variant>
      <vt:variant>
        <vt:i4>5</vt:i4>
      </vt:variant>
      <vt:variant>
        <vt:lpwstr/>
      </vt:variant>
      <vt:variant>
        <vt:lpwstr>_Toc13486721</vt:lpwstr>
      </vt:variant>
      <vt:variant>
        <vt:i4>1769521</vt:i4>
      </vt:variant>
      <vt:variant>
        <vt:i4>131</vt:i4>
      </vt:variant>
      <vt:variant>
        <vt:i4>0</vt:i4>
      </vt:variant>
      <vt:variant>
        <vt:i4>5</vt:i4>
      </vt:variant>
      <vt:variant>
        <vt:lpwstr/>
      </vt:variant>
      <vt:variant>
        <vt:lpwstr>_Toc13486720</vt:lpwstr>
      </vt:variant>
      <vt:variant>
        <vt:i4>1179698</vt:i4>
      </vt:variant>
      <vt:variant>
        <vt:i4>125</vt:i4>
      </vt:variant>
      <vt:variant>
        <vt:i4>0</vt:i4>
      </vt:variant>
      <vt:variant>
        <vt:i4>5</vt:i4>
      </vt:variant>
      <vt:variant>
        <vt:lpwstr/>
      </vt:variant>
      <vt:variant>
        <vt:lpwstr>_Toc13486719</vt:lpwstr>
      </vt:variant>
      <vt:variant>
        <vt:i4>1245234</vt:i4>
      </vt:variant>
      <vt:variant>
        <vt:i4>119</vt:i4>
      </vt:variant>
      <vt:variant>
        <vt:i4>0</vt:i4>
      </vt:variant>
      <vt:variant>
        <vt:i4>5</vt:i4>
      </vt:variant>
      <vt:variant>
        <vt:lpwstr/>
      </vt:variant>
      <vt:variant>
        <vt:lpwstr>_Toc13486718</vt:lpwstr>
      </vt:variant>
      <vt:variant>
        <vt:i4>1835058</vt:i4>
      </vt:variant>
      <vt:variant>
        <vt:i4>113</vt:i4>
      </vt:variant>
      <vt:variant>
        <vt:i4>0</vt:i4>
      </vt:variant>
      <vt:variant>
        <vt:i4>5</vt:i4>
      </vt:variant>
      <vt:variant>
        <vt:lpwstr/>
      </vt:variant>
      <vt:variant>
        <vt:lpwstr>_Toc13486717</vt:lpwstr>
      </vt:variant>
      <vt:variant>
        <vt:i4>1900594</vt:i4>
      </vt:variant>
      <vt:variant>
        <vt:i4>107</vt:i4>
      </vt:variant>
      <vt:variant>
        <vt:i4>0</vt:i4>
      </vt:variant>
      <vt:variant>
        <vt:i4>5</vt:i4>
      </vt:variant>
      <vt:variant>
        <vt:lpwstr/>
      </vt:variant>
      <vt:variant>
        <vt:lpwstr>_Toc13486716</vt:lpwstr>
      </vt:variant>
      <vt:variant>
        <vt:i4>1966130</vt:i4>
      </vt:variant>
      <vt:variant>
        <vt:i4>101</vt:i4>
      </vt:variant>
      <vt:variant>
        <vt:i4>0</vt:i4>
      </vt:variant>
      <vt:variant>
        <vt:i4>5</vt:i4>
      </vt:variant>
      <vt:variant>
        <vt:lpwstr/>
      </vt:variant>
      <vt:variant>
        <vt:lpwstr>_Toc13486715</vt:lpwstr>
      </vt:variant>
      <vt:variant>
        <vt:i4>2031666</vt:i4>
      </vt:variant>
      <vt:variant>
        <vt:i4>95</vt:i4>
      </vt:variant>
      <vt:variant>
        <vt:i4>0</vt:i4>
      </vt:variant>
      <vt:variant>
        <vt:i4>5</vt:i4>
      </vt:variant>
      <vt:variant>
        <vt:lpwstr/>
      </vt:variant>
      <vt:variant>
        <vt:lpwstr>_Toc13486714</vt:lpwstr>
      </vt:variant>
      <vt:variant>
        <vt:i4>1572914</vt:i4>
      </vt:variant>
      <vt:variant>
        <vt:i4>89</vt:i4>
      </vt:variant>
      <vt:variant>
        <vt:i4>0</vt:i4>
      </vt:variant>
      <vt:variant>
        <vt:i4>5</vt:i4>
      </vt:variant>
      <vt:variant>
        <vt:lpwstr/>
      </vt:variant>
      <vt:variant>
        <vt:lpwstr>_Toc13486713</vt:lpwstr>
      </vt:variant>
      <vt:variant>
        <vt:i4>1638450</vt:i4>
      </vt:variant>
      <vt:variant>
        <vt:i4>83</vt:i4>
      </vt:variant>
      <vt:variant>
        <vt:i4>0</vt:i4>
      </vt:variant>
      <vt:variant>
        <vt:i4>5</vt:i4>
      </vt:variant>
      <vt:variant>
        <vt:lpwstr/>
      </vt:variant>
      <vt:variant>
        <vt:lpwstr>_Toc13486712</vt:lpwstr>
      </vt:variant>
      <vt:variant>
        <vt:i4>1703986</vt:i4>
      </vt:variant>
      <vt:variant>
        <vt:i4>77</vt:i4>
      </vt:variant>
      <vt:variant>
        <vt:i4>0</vt:i4>
      </vt:variant>
      <vt:variant>
        <vt:i4>5</vt:i4>
      </vt:variant>
      <vt:variant>
        <vt:lpwstr/>
      </vt:variant>
      <vt:variant>
        <vt:lpwstr>_Toc13486711</vt:lpwstr>
      </vt:variant>
      <vt:variant>
        <vt:i4>1769522</vt:i4>
      </vt:variant>
      <vt:variant>
        <vt:i4>71</vt:i4>
      </vt:variant>
      <vt:variant>
        <vt:i4>0</vt:i4>
      </vt:variant>
      <vt:variant>
        <vt:i4>5</vt:i4>
      </vt:variant>
      <vt:variant>
        <vt:lpwstr/>
      </vt:variant>
      <vt:variant>
        <vt:lpwstr>_Toc13486710</vt:lpwstr>
      </vt:variant>
      <vt:variant>
        <vt:i4>1179699</vt:i4>
      </vt:variant>
      <vt:variant>
        <vt:i4>65</vt:i4>
      </vt:variant>
      <vt:variant>
        <vt:i4>0</vt:i4>
      </vt:variant>
      <vt:variant>
        <vt:i4>5</vt:i4>
      </vt:variant>
      <vt:variant>
        <vt:lpwstr/>
      </vt:variant>
      <vt:variant>
        <vt:lpwstr>_Toc13486709</vt:lpwstr>
      </vt:variant>
      <vt:variant>
        <vt:i4>1245235</vt:i4>
      </vt:variant>
      <vt:variant>
        <vt:i4>59</vt:i4>
      </vt:variant>
      <vt:variant>
        <vt:i4>0</vt:i4>
      </vt:variant>
      <vt:variant>
        <vt:i4>5</vt:i4>
      </vt:variant>
      <vt:variant>
        <vt:lpwstr/>
      </vt:variant>
      <vt:variant>
        <vt:lpwstr>_Toc13486708</vt:lpwstr>
      </vt:variant>
      <vt:variant>
        <vt:i4>1835059</vt:i4>
      </vt:variant>
      <vt:variant>
        <vt:i4>53</vt:i4>
      </vt:variant>
      <vt:variant>
        <vt:i4>0</vt:i4>
      </vt:variant>
      <vt:variant>
        <vt:i4>5</vt:i4>
      </vt:variant>
      <vt:variant>
        <vt:lpwstr/>
      </vt:variant>
      <vt:variant>
        <vt:lpwstr>_Toc13486707</vt:lpwstr>
      </vt:variant>
      <vt:variant>
        <vt:i4>1900595</vt:i4>
      </vt:variant>
      <vt:variant>
        <vt:i4>47</vt:i4>
      </vt:variant>
      <vt:variant>
        <vt:i4>0</vt:i4>
      </vt:variant>
      <vt:variant>
        <vt:i4>5</vt:i4>
      </vt:variant>
      <vt:variant>
        <vt:lpwstr/>
      </vt:variant>
      <vt:variant>
        <vt:lpwstr>_Toc13486706</vt:lpwstr>
      </vt:variant>
      <vt:variant>
        <vt:i4>1966131</vt:i4>
      </vt:variant>
      <vt:variant>
        <vt:i4>41</vt:i4>
      </vt:variant>
      <vt:variant>
        <vt:i4>0</vt:i4>
      </vt:variant>
      <vt:variant>
        <vt:i4>5</vt:i4>
      </vt:variant>
      <vt:variant>
        <vt:lpwstr/>
      </vt:variant>
      <vt:variant>
        <vt:lpwstr>_Toc13486705</vt:lpwstr>
      </vt:variant>
      <vt:variant>
        <vt:i4>2031667</vt:i4>
      </vt:variant>
      <vt:variant>
        <vt:i4>35</vt:i4>
      </vt:variant>
      <vt:variant>
        <vt:i4>0</vt:i4>
      </vt:variant>
      <vt:variant>
        <vt:i4>5</vt:i4>
      </vt:variant>
      <vt:variant>
        <vt:lpwstr/>
      </vt:variant>
      <vt:variant>
        <vt:lpwstr>_Toc13486704</vt:lpwstr>
      </vt:variant>
      <vt:variant>
        <vt:i4>1572915</vt:i4>
      </vt:variant>
      <vt:variant>
        <vt:i4>29</vt:i4>
      </vt:variant>
      <vt:variant>
        <vt:i4>0</vt:i4>
      </vt:variant>
      <vt:variant>
        <vt:i4>5</vt:i4>
      </vt:variant>
      <vt:variant>
        <vt:lpwstr/>
      </vt:variant>
      <vt:variant>
        <vt:lpwstr>_Toc13486703</vt:lpwstr>
      </vt:variant>
      <vt:variant>
        <vt:i4>1638451</vt:i4>
      </vt:variant>
      <vt:variant>
        <vt:i4>23</vt:i4>
      </vt:variant>
      <vt:variant>
        <vt:i4>0</vt:i4>
      </vt:variant>
      <vt:variant>
        <vt:i4>5</vt:i4>
      </vt:variant>
      <vt:variant>
        <vt:lpwstr/>
      </vt:variant>
      <vt:variant>
        <vt:lpwstr>_Toc13486702</vt:lpwstr>
      </vt:variant>
      <vt:variant>
        <vt:i4>1703987</vt:i4>
      </vt:variant>
      <vt:variant>
        <vt:i4>17</vt:i4>
      </vt:variant>
      <vt:variant>
        <vt:i4>0</vt:i4>
      </vt:variant>
      <vt:variant>
        <vt:i4>5</vt:i4>
      </vt:variant>
      <vt:variant>
        <vt:lpwstr/>
      </vt:variant>
      <vt:variant>
        <vt:lpwstr>_Toc13486701</vt:lpwstr>
      </vt:variant>
      <vt:variant>
        <vt:i4>1769523</vt:i4>
      </vt:variant>
      <vt:variant>
        <vt:i4>11</vt:i4>
      </vt:variant>
      <vt:variant>
        <vt:i4>0</vt:i4>
      </vt:variant>
      <vt:variant>
        <vt:i4>5</vt:i4>
      </vt:variant>
      <vt:variant>
        <vt:lpwstr/>
      </vt:variant>
      <vt:variant>
        <vt:lpwstr>_Toc13486700</vt:lpwstr>
      </vt:variant>
      <vt:variant>
        <vt:i4>1245242</vt:i4>
      </vt:variant>
      <vt:variant>
        <vt:i4>5</vt:i4>
      </vt:variant>
      <vt:variant>
        <vt:i4>0</vt:i4>
      </vt:variant>
      <vt:variant>
        <vt:i4>5</vt:i4>
      </vt:variant>
      <vt:variant>
        <vt:lpwstr/>
      </vt:variant>
      <vt:variant>
        <vt:lpwstr>_Toc13486699</vt:lpwstr>
      </vt:variant>
      <vt:variant>
        <vt:i4>4194326</vt:i4>
      </vt:variant>
      <vt:variant>
        <vt:i4>0</vt:i4>
      </vt:variant>
      <vt:variant>
        <vt:i4>0</vt:i4>
      </vt:variant>
      <vt:variant>
        <vt:i4>5</vt:i4>
      </vt:variant>
      <vt:variant>
        <vt:lpwstr>http://www.endtb.org/</vt:lpwstr>
      </vt:variant>
      <vt:variant>
        <vt:lpwstr/>
      </vt:variant>
      <vt:variant>
        <vt:i4>7143493</vt:i4>
      </vt:variant>
      <vt:variant>
        <vt:i4>18</vt:i4>
      </vt:variant>
      <vt:variant>
        <vt:i4>0</vt:i4>
      </vt:variant>
      <vt:variant>
        <vt:i4>5</vt:i4>
      </vt:variant>
      <vt:variant>
        <vt:lpwstr>mailto:tbsentinelproject@gmail.com</vt:lpwstr>
      </vt:variant>
      <vt:variant>
        <vt:lpwstr/>
      </vt:variant>
      <vt:variant>
        <vt:i4>7143493</vt:i4>
      </vt:variant>
      <vt:variant>
        <vt:i4>15</vt:i4>
      </vt:variant>
      <vt:variant>
        <vt:i4>0</vt:i4>
      </vt:variant>
      <vt:variant>
        <vt:i4>5</vt:i4>
      </vt:variant>
      <vt:variant>
        <vt:lpwstr>mailto:tbsentinelproject@gmail.com</vt:lpwstr>
      </vt:variant>
      <vt:variant>
        <vt:lpwstr/>
      </vt:variant>
      <vt:variant>
        <vt:i4>3145792</vt:i4>
      </vt:variant>
      <vt:variant>
        <vt:i4>12</vt:i4>
      </vt:variant>
      <vt:variant>
        <vt:i4>0</vt:i4>
      </vt:variant>
      <vt:variant>
        <vt:i4>5</vt:i4>
      </vt:variant>
      <vt:variant>
        <vt:lpwstr>https://www.who.int/tdr/research/tb_hiv/adsm/en/</vt:lpwstr>
      </vt:variant>
      <vt:variant>
        <vt:lpwstr/>
      </vt:variant>
      <vt:variant>
        <vt:i4>8126535</vt:i4>
      </vt:variant>
      <vt:variant>
        <vt:i4>9</vt:i4>
      </vt:variant>
      <vt:variant>
        <vt:i4>0</vt:i4>
      </vt:variant>
      <vt:variant>
        <vt:i4>5</vt:i4>
      </vt:variant>
      <vt:variant>
        <vt:lpwstr>mailto:Cathy.Hewison@paris.msf.org</vt:lpwstr>
      </vt:variant>
      <vt:variant>
        <vt:lpwstr/>
      </vt:variant>
      <vt:variant>
        <vt:i4>6946854</vt:i4>
      </vt:variant>
      <vt:variant>
        <vt:i4>6</vt:i4>
      </vt:variant>
      <vt:variant>
        <vt:i4>0</vt:i4>
      </vt:variant>
      <vt:variant>
        <vt:i4>5</vt:i4>
      </vt:variant>
      <vt:variant>
        <vt:lpwstr>https://www.who.int/tdr/en/</vt:lpwstr>
      </vt:variant>
      <vt:variant>
        <vt:lpwstr/>
      </vt:variant>
      <vt:variant>
        <vt:i4>1310814</vt:i4>
      </vt:variant>
      <vt:variant>
        <vt:i4>3</vt:i4>
      </vt:variant>
      <vt:variant>
        <vt:i4>0</vt:i4>
      </vt:variant>
      <vt:variant>
        <vt:i4>5</vt:i4>
      </vt:variant>
      <vt:variant>
        <vt:lpwstr>http://www.stoptb.org/wg/mdrtb/assets/documents/GDI OR generic protocol final.pdf</vt:lpwstr>
      </vt:variant>
      <vt:variant>
        <vt:lpwstr/>
      </vt:variant>
      <vt:variant>
        <vt:i4>4456531</vt:i4>
      </vt:variant>
      <vt:variant>
        <vt:i4>0</vt:i4>
      </vt:variant>
      <vt:variant>
        <vt:i4>0</vt:i4>
      </vt:variant>
      <vt:variant>
        <vt:i4>5</vt:i4>
      </vt:variant>
      <vt:variant>
        <vt:lpwstr>http://www.endtb.org/toolkit</vt:lpwstr>
      </vt:variant>
      <vt:variant>
        <vt:lpwstr/>
      </vt:variant>
      <vt:variant>
        <vt:i4>4194326</vt:i4>
      </vt:variant>
      <vt:variant>
        <vt:i4>0</vt:i4>
      </vt:variant>
      <vt:variant>
        <vt:i4>0</vt:i4>
      </vt:variant>
      <vt:variant>
        <vt:i4>5</vt:i4>
      </vt:variant>
      <vt:variant>
        <vt:lpwstr>http://www.endtb.org/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endTB</dc:title>
  <dc:subject/>
  <dc:creator>kjseung@pih.org</dc:creator>
  <cp:keywords/>
  <dc:description/>
  <cp:lastModifiedBy>Megan Striplin</cp:lastModifiedBy>
  <cp:revision>4</cp:revision>
  <cp:lastPrinted>2019-07-02T05:33:00Z</cp:lastPrinted>
  <dcterms:created xsi:type="dcterms:W3CDTF">2019-07-09T04:31:00Z</dcterms:created>
  <dcterms:modified xsi:type="dcterms:W3CDTF">2019-07-09T06:34:00Z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0x0101004164610D74D38443AA6A18438C67FD3100439C0BD6B125B048B10E8B804C631F59</vt:lpwstr>
  </property>
  <property fmtid="{D5CDD505-2E9C-101B-9397-08002B2CF9AE}" pid="3" name="PIH Department">
    <vt:lpwstr>3;#End TB|85d93c2c-1555-4d95-9213-04eda9382a6f</vt:lpwstr>
  </property>
  <property fmtid="{D5CDD505-2E9C-101B-9397-08002B2CF9AE}" pid="4" name="Content Language">
    <vt:lpwstr>1;#English|ac1d9d49-85e4-40fb-ad28-2bc8be528a5e</vt:lpwstr>
  </property>
  <property fmtid="{D5CDD505-2E9C-101B-9397-08002B2CF9AE}" pid="5" name="Country">
    <vt:lpwstr>2;#USA|22222222-2222-2222-2222-222222222222</vt:lpwstr>
  </property>
  <property fmtid="{D5CDD505-2E9C-101B-9397-08002B2CF9AE}" pid="6" name="AuthorIds_UIVersion_512">
    <vt:lpwstr>12</vt:lpwstr>
  </property>
  <property fmtid="{D5CDD505-2E9C-101B-9397-08002B2CF9AE}" pid="7" name="AuthorIds_UIVersion_1024">
    <vt:lpwstr>12</vt:lpwstr>
  </property>
  <property fmtid="{D5CDD505-2E9C-101B-9397-08002B2CF9AE}" pid="8" name="AuthorIds_UIVersion_2560">
    <vt:lpwstr>12</vt:lpwstr>
  </property>
  <property fmtid="{D5CDD505-2E9C-101B-9397-08002B2CF9AE}" pid="9" name="AuthorIds_UIVersion_3584">
    <vt:lpwstr>13</vt:lpwstr>
  </property>
</Properties>
</file>