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BD98" w14:textId="720A75E1" w:rsidR="0099280F" w:rsidRPr="006D41BF" w:rsidRDefault="0099280F" w:rsidP="005749E2">
      <w:pPr>
        <w:pStyle w:val="Heading1"/>
        <w:spacing w:before="0" w:after="240"/>
        <w:rPr>
          <w:lang/>
        </w:rPr>
      </w:pPr>
      <w:r w:rsidRPr="006D41BF">
        <w:rPr>
          <w:i/>
          <w:noProof/>
          <w:lang w:eastAsia="fr-CH"/>
        </w:rPr>
        <w:drawing>
          <wp:inline distT="0" distB="0" distL="0" distR="0" wp14:anchorId="26B51C91" wp14:editId="0D159C67">
            <wp:extent cx="510363" cy="336855"/>
            <wp:effectExtent l="0" t="0" r="4445" b="635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91" cy="3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091" w:rsidRPr="006D41BF">
        <w:rPr>
          <w:i/>
          <w:lang/>
        </w:rPr>
        <w:t>clinical trial</w:t>
      </w:r>
      <w:r w:rsidR="00C24B45" w:rsidRPr="006D41BF">
        <w:rPr>
          <w:i/>
          <w:lang/>
        </w:rPr>
        <w:t>s</w:t>
      </w:r>
      <w:r w:rsidR="005749E2" w:rsidRPr="006D41BF">
        <w:rPr>
          <w:i/>
          <w:lang/>
        </w:rPr>
        <w:t xml:space="preserve"> - </w:t>
      </w:r>
      <w:r w:rsidRPr="006D41BF">
        <w:rPr>
          <w:lang/>
        </w:rPr>
        <w:t>How to identify easily AESI?</w:t>
      </w:r>
    </w:p>
    <w:p w14:paraId="2AFF48DC" w14:textId="77777777" w:rsidR="00F72091" w:rsidRPr="006D41BF" w:rsidRDefault="00F72091" w:rsidP="005749E2">
      <w:pPr>
        <w:pStyle w:val="Heading3"/>
        <w:rPr>
          <w:lang/>
        </w:rPr>
      </w:pPr>
      <w:r w:rsidRPr="006D41BF">
        <w:rPr>
          <w:lang/>
        </w:rPr>
        <w:t>Grade 3 or above “electrocardiogram QT corrected interval prolonged”</w:t>
      </w:r>
    </w:p>
    <w:p w14:paraId="1E9AF531" w14:textId="2A6B65E3" w:rsidR="005749E2" w:rsidRPr="006D41BF" w:rsidRDefault="00F72091" w:rsidP="005749E2">
      <w:pPr>
        <w:jc w:val="both"/>
        <w:rPr>
          <w:lang/>
        </w:rPr>
      </w:pPr>
      <w:r w:rsidRPr="006D41BF">
        <w:rPr>
          <w:lang/>
        </w:rPr>
        <w:t xml:space="preserve">The </w:t>
      </w:r>
      <w:r w:rsidR="0032143A" w:rsidRPr="006D41BF">
        <w:rPr>
          <w:lang/>
        </w:rPr>
        <w:t xml:space="preserve">average </w:t>
      </w:r>
      <w:r w:rsidRPr="006D41BF">
        <w:rPr>
          <w:lang/>
        </w:rPr>
        <w:t>QTcF value shou</w:t>
      </w:r>
      <w:r w:rsidR="005749E2" w:rsidRPr="006D41BF">
        <w:rPr>
          <w:lang/>
        </w:rPr>
        <w:t>ld be calculated after each ECG</w:t>
      </w:r>
      <w:r w:rsidRPr="006D41BF">
        <w:rPr>
          <w:lang/>
        </w:rPr>
        <w:t xml:space="preserve"> (scheduled or unscheduled). </w:t>
      </w:r>
      <w:r w:rsidR="00080B1D" w:rsidRPr="006D41BF">
        <w:rPr>
          <w:lang/>
        </w:rPr>
        <w:t>If more than 2 ECGs</w:t>
      </w:r>
      <w:r w:rsidR="0032143A" w:rsidRPr="006D41BF">
        <w:rPr>
          <w:lang/>
        </w:rPr>
        <w:t xml:space="preserve"> were performed</w:t>
      </w:r>
      <w:r w:rsidR="00080B1D" w:rsidRPr="006D41BF">
        <w:rPr>
          <w:lang/>
        </w:rPr>
        <w:t xml:space="preserve">, </w:t>
      </w:r>
      <w:r w:rsidR="0032143A" w:rsidRPr="006D41BF">
        <w:rPr>
          <w:lang/>
        </w:rPr>
        <w:t xml:space="preserve">the </w:t>
      </w:r>
      <w:r w:rsidR="00080B1D" w:rsidRPr="006D41BF">
        <w:rPr>
          <w:lang/>
        </w:rPr>
        <w:t>a</w:t>
      </w:r>
      <w:r w:rsidRPr="006D41BF">
        <w:rPr>
          <w:lang/>
        </w:rPr>
        <w:t>verage</w:t>
      </w:r>
      <w:r w:rsidR="00080B1D" w:rsidRPr="006D41BF">
        <w:rPr>
          <w:lang/>
        </w:rPr>
        <w:t xml:space="preserve"> QTcF </w:t>
      </w:r>
      <w:r w:rsidR="0032143A" w:rsidRPr="006D41BF">
        <w:rPr>
          <w:lang/>
        </w:rPr>
        <w:t>is</w:t>
      </w:r>
      <w:r w:rsidR="00080B1D" w:rsidRPr="006D41BF">
        <w:rPr>
          <w:lang/>
        </w:rPr>
        <w:t xml:space="preserve"> </w:t>
      </w:r>
      <w:r w:rsidRPr="006D41BF">
        <w:rPr>
          <w:lang/>
        </w:rPr>
        <w:t>the arithmetic mean of the 2 longer QTcF</w:t>
      </w:r>
      <w:r w:rsidR="005749E2" w:rsidRPr="006D41BF">
        <w:rPr>
          <w:lang/>
        </w:rPr>
        <w:t xml:space="preserve">. </w:t>
      </w:r>
      <w:r w:rsidR="00080B1D" w:rsidRPr="006D41BF">
        <w:rPr>
          <w:lang/>
        </w:rPr>
        <w:t xml:space="preserve"> </w:t>
      </w:r>
      <w:r w:rsidR="005749E2" w:rsidRPr="006D41BF">
        <w:rPr>
          <w:lang/>
        </w:rPr>
        <w:t xml:space="preserve">If the average QTcF </w:t>
      </w:r>
      <w:r w:rsidR="0032143A" w:rsidRPr="006D41BF">
        <w:rPr>
          <w:lang/>
        </w:rPr>
        <w:t>corresponds to</w:t>
      </w:r>
      <w:r w:rsidR="005749E2" w:rsidRPr="006D41BF">
        <w:rPr>
          <w:lang/>
        </w:rPr>
        <w:t xml:space="preserve"> grade 3 or 4 meaning </w:t>
      </w:r>
      <w:r w:rsidR="008A18A9" w:rsidRPr="006D41BF">
        <w:rPr>
          <w:rFonts w:ascii="Arial" w:hAnsi="Arial" w:cs="Arial"/>
          <w:lang/>
        </w:rPr>
        <w:t>≥</w:t>
      </w:r>
      <w:r w:rsidR="005749E2" w:rsidRPr="006D41BF">
        <w:rPr>
          <w:lang/>
        </w:rPr>
        <w:t xml:space="preserve">501 msec </w:t>
      </w:r>
      <w:r w:rsidR="002178A3" w:rsidRPr="006D41BF">
        <w:rPr>
          <w:lang/>
        </w:rPr>
        <w:t xml:space="preserve">(above or equal to 501) </w:t>
      </w:r>
      <w:r w:rsidR="005749E2" w:rsidRPr="006D41BF">
        <w:rPr>
          <w:lang/>
        </w:rPr>
        <w:t xml:space="preserve">with or without symptoms, then </w:t>
      </w:r>
      <w:r w:rsidR="005749E2" w:rsidRPr="006D41BF">
        <w:rPr>
          <w:b/>
          <w:lang/>
        </w:rPr>
        <w:t>please report as AESI</w:t>
      </w:r>
      <w:r w:rsidR="005749E2" w:rsidRPr="006D41BF">
        <w:rPr>
          <w:lang/>
        </w:rPr>
        <w:t>. If the expert review concludes that your QTcF calculation is incorrect, then we can change the AE status later.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8"/>
        <w:gridCol w:w="1780"/>
        <w:gridCol w:w="1780"/>
        <w:gridCol w:w="1827"/>
        <w:gridCol w:w="1827"/>
      </w:tblGrid>
      <w:tr w:rsidR="00CA1B48" w:rsidRPr="006D41BF" w14:paraId="44E45A63" w14:textId="77777777" w:rsidTr="00CA1B48">
        <w:trPr>
          <w:trHeight w:val="67"/>
        </w:trPr>
        <w:tc>
          <w:tcPr>
            <w:tcW w:w="1020" w:type="pct"/>
            <w:vMerge w:val="restart"/>
            <w:noWrap/>
          </w:tcPr>
          <w:p w14:paraId="39BD2767" w14:textId="52690030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Condition term</w:t>
            </w:r>
          </w:p>
        </w:tc>
        <w:tc>
          <w:tcPr>
            <w:tcW w:w="1964" w:type="pct"/>
            <w:gridSpan w:val="2"/>
          </w:tcPr>
          <w:p w14:paraId="289D62A7" w14:textId="77777777" w:rsidR="00CA1B48" w:rsidRPr="006D41BF" w:rsidRDefault="00CA1B48" w:rsidP="002178A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NOT AESI</w:t>
            </w:r>
          </w:p>
        </w:tc>
        <w:tc>
          <w:tcPr>
            <w:tcW w:w="2016" w:type="pct"/>
            <w:gridSpan w:val="2"/>
            <w:shd w:val="clear" w:color="auto" w:fill="FDE9D9" w:themeFill="accent6" w:themeFillTint="33"/>
          </w:tcPr>
          <w:p w14:paraId="38DE580A" w14:textId="77777777" w:rsidR="00CA1B48" w:rsidRPr="006D41BF" w:rsidRDefault="00CA1B48" w:rsidP="002178A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AESI</w:t>
            </w:r>
          </w:p>
        </w:tc>
      </w:tr>
      <w:tr w:rsidR="00CA1B48" w:rsidRPr="006D41BF" w14:paraId="5ED39F71" w14:textId="77777777" w:rsidTr="00CA1B48">
        <w:trPr>
          <w:trHeight w:val="67"/>
        </w:trPr>
        <w:tc>
          <w:tcPr>
            <w:tcW w:w="1020" w:type="pct"/>
            <w:vMerge/>
            <w:noWrap/>
            <w:hideMark/>
          </w:tcPr>
          <w:p w14:paraId="076C713E" w14:textId="2075D2CF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982" w:type="pct"/>
            <w:hideMark/>
          </w:tcPr>
          <w:p w14:paraId="664112DD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1</w:t>
            </w:r>
          </w:p>
        </w:tc>
        <w:tc>
          <w:tcPr>
            <w:tcW w:w="982" w:type="pct"/>
            <w:hideMark/>
          </w:tcPr>
          <w:p w14:paraId="697DA317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2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3E69E65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3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15757E5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4</w:t>
            </w:r>
          </w:p>
        </w:tc>
      </w:tr>
      <w:tr w:rsidR="005749E2" w:rsidRPr="006D41BF" w14:paraId="2D69EFF7" w14:textId="77777777" w:rsidTr="00CA1B48">
        <w:trPr>
          <w:trHeight w:val="1230"/>
        </w:trPr>
        <w:tc>
          <w:tcPr>
            <w:tcW w:w="1020" w:type="pct"/>
            <w:hideMark/>
          </w:tcPr>
          <w:p w14:paraId="7798952E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Electrocardiogram QT Corrected Interval Prolonged</w:t>
            </w:r>
          </w:p>
        </w:tc>
        <w:tc>
          <w:tcPr>
            <w:tcW w:w="982" w:type="pct"/>
            <w:hideMark/>
          </w:tcPr>
          <w:p w14:paraId="339FEB77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Average QTcF 450 - 480 ms</w:t>
            </w:r>
          </w:p>
        </w:tc>
        <w:tc>
          <w:tcPr>
            <w:tcW w:w="982" w:type="pct"/>
            <w:hideMark/>
          </w:tcPr>
          <w:p w14:paraId="1919017C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Average QTcF 481 - 500 ms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6F5AAFEF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Average QTcF &gt;= 501 ms without signs/symptoms of serious arrhythmia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51C6561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Average QTcF &gt;= 501 or &gt;60 ms change from baseline and one of the following: Torsade de pointes or polymorphic ventricular tachycardia or signs/symptoms of serious arrhythmia</w:t>
            </w:r>
          </w:p>
        </w:tc>
      </w:tr>
    </w:tbl>
    <w:p w14:paraId="54279346" w14:textId="3A167661" w:rsidR="00F72091" w:rsidRPr="006D41BF" w:rsidRDefault="00F72091" w:rsidP="005672DD">
      <w:pPr>
        <w:pStyle w:val="Heading3"/>
        <w:jc w:val="both"/>
        <w:rPr>
          <w:lang/>
        </w:rPr>
      </w:pPr>
      <w:r w:rsidRPr="006D41BF">
        <w:rPr>
          <w:lang/>
        </w:rPr>
        <w:t>Grade 3 or above leukope</w:t>
      </w:r>
      <w:r w:rsidR="005749E2" w:rsidRPr="006D41BF">
        <w:rPr>
          <w:lang/>
        </w:rPr>
        <w:t>nia</w:t>
      </w:r>
      <w:r w:rsidR="005672DD" w:rsidRPr="006D41BF">
        <w:rPr>
          <w:lang/>
        </w:rPr>
        <w:t xml:space="preserve"> (incl. neutropenia, lymphopenia, etc.)</w:t>
      </w:r>
      <w:r w:rsidR="005749E2" w:rsidRPr="006D41BF">
        <w:rPr>
          <w:lang/>
        </w:rPr>
        <w:t>, anemia or thrombocytopenia</w:t>
      </w:r>
    </w:p>
    <w:p w14:paraId="5FBC3E41" w14:textId="06E62150" w:rsidR="005749E2" w:rsidRPr="006D41BF" w:rsidRDefault="005749E2" w:rsidP="005749E2">
      <w:pPr>
        <w:jc w:val="both"/>
        <w:rPr>
          <w:lang/>
        </w:rPr>
      </w:pPr>
      <w:r w:rsidRPr="006D41BF">
        <w:rPr>
          <w:lang/>
        </w:rPr>
        <w:t xml:space="preserve">The grade should be checked for </w:t>
      </w:r>
      <w:r w:rsidR="000A29A4" w:rsidRPr="006D41BF">
        <w:rPr>
          <w:lang/>
        </w:rPr>
        <w:t>all</w:t>
      </w:r>
      <w:r w:rsidR="002178A3" w:rsidRPr="006D41BF">
        <w:rPr>
          <w:lang/>
        </w:rPr>
        <w:t xml:space="preserve"> </w:t>
      </w:r>
      <w:r w:rsidRPr="006D41BF">
        <w:rPr>
          <w:lang/>
        </w:rPr>
        <w:t xml:space="preserve">blood count abnormalities after each test (scheduled or unscheduled). If at any time, the WBC is less than 2 x10E9/L </w:t>
      </w:r>
      <w:r w:rsidRPr="006D41BF">
        <w:rPr>
          <w:b/>
          <w:lang/>
        </w:rPr>
        <w:t>and/or</w:t>
      </w:r>
      <w:r w:rsidRPr="006D41BF">
        <w:rPr>
          <w:lang/>
        </w:rPr>
        <w:t xml:space="preserve"> the hemoglobin is less</w:t>
      </w:r>
      <w:r w:rsidR="0052549F" w:rsidRPr="006D41BF">
        <w:rPr>
          <w:lang/>
        </w:rPr>
        <w:t xml:space="preserve"> than</w:t>
      </w:r>
      <w:r w:rsidRPr="006D41BF">
        <w:rPr>
          <w:lang/>
        </w:rPr>
        <w:t xml:space="preserve"> or equal to 7.9 g/dL </w:t>
      </w:r>
      <w:r w:rsidRPr="006D41BF">
        <w:rPr>
          <w:b/>
          <w:lang/>
        </w:rPr>
        <w:t>and/or</w:t>
      </w:r>
      <w:r w:rsidRPr="006D41BF">
        <w:rPr>
          <w:lang/>
        </w:rPr>
        <w:t xml:space="preserve"> the platelets are less</w:t>
      </w:r>
      <w:r w:rsidR="0052549F" w:rsidRPr="006D41BF">
        <w:rPr>
          <w:lang/>
        </w:rPr>
        <w:t xml:space="preserve"> than</w:t>
      </w:r>
      <w:r w:rsidRPr="006D41BF">
        <w:rPr>
          <w:lang/>
        </w:rPr>
        <w:t xml:space="preserve"> or equal to 49.9 x10E9/L., then </w:t>
      </w:r>
      <w:r w:rsidRPr="006D41BF">
        <w:rPr>
          <w:b/>
          <w:lang/>
        </w:rPr>
        <w:t>please report as AESI</w:t>
      </w:r>
      <w:r w:rsidRPr="006D41BF">
        <w:rPr>
          <w:lang/>
        </w:rPr>
        <w:t>.</w:t>
      </w:r>
      <w:r w:rsidR="00CA6E78" w:rsidRPr="006D41BF">
        <w:rPr>
          <w:lang/>
        </w:rPr>
        <w:t xml:space="preserve"> </w:t>
      </w:r>
      <w:r w:rsidRPr="006D41BF">
        <w:rPr>
          <w:lang/>
        </w:rPr>
        <w:t xml:space="preserve">If </w:t>
      </w:r>
      <w:r w:rsidRPr="006D41BF">
        <w:rPr>
          <w:b/>
          <w:u w:val="single"/>
          <w:lang/>
        </w:rPr>
        <w:t>only one</w:t>
      </w:r>
      <w:r w:rsidRPr="006D41BF">
        <w:rPr>
          <w:lang/>
        </w:rPr>
        <w:t xml:space="preserve"> of these is grade 3 </w:t>
      </w:r>
      <w:r w:rsidR="00080B1D" w:rsidRPr="006D41BF">
        <w:rPr>
          <w:lang/>
        </w:rPr>
        <w:t xml:space="preserve">or 4 </w:t>
      </w:r>
      <w:r w:rsidRPr="006D41BF">
        <w:rPr>
          <w:lang/>
        </w:rPr>
        <w:t>it is an AESI.</w:t>
      </w:r>
      <w:r w:rsidR="00CA6E78" w:rsidRPr="006D41BF">
        <w:rPr>
          <w:lang/>
        </w:rPr>
        <w:t xml:space="preserve"> If one white</w:t>
      </w:r>
      <w:r w:rsidR="00484175" w:rsidRPr="006D41BF">
        <w:rPr>
          <w:lang/>
        </w:rPr>
        <w:t xml:space="preserve"> blood</w:t>
      </w:r>
      <w:r w:rsidR="00CA6E78" w:rsidRPr="006D41BF">
        <w:rPr>
          <w:lang/>
        </w:rPr>
        <w:t xml:space="preserve"> cell line is </w:t>
      </w:r>
      <w:r w:rsidR="008021CA" w:rsidRPr="006D41BF">
        <w:rPr>
          <w:lang/>
        </w:rPr>
        <w:t>considered a</w:t>
      </w:r>
      <w:r w:rsidR="00CA6E78" w:rsidRPr="006D41BF">
        <w:rPr>
          <w:lang/>
        </w:rPr>
        <w:t xml:space="preserve"> grade 3 or 4 (e.g. neutropenia grade 4, </w:t>
      </w:r>
      <w:r w:rsidR="00E37DC4" w:rsidRPr="006D41BF">
        <w:rPr>
          <w:lang/>
        </w:rPr>
        <w:t xml:space="preserve">0.20 x10E9/L), </w:t>
      </w:r>
      <w:r w:rsidR="00E37DC4" w:rsidRPr="006D41BF">
        <w:rPr>
          <w:b/>
          <w:u w:val="single"/>
          <w:lang/>
        </w:rPr>
        <w:t>please also report as AESI</w:t>
      </w:r>
      <w:r w:rsidR="00E37DC4" w:rsidRPr="006D41BF">
        <w:rPr>
          <w:lang/>
        </w:rPr>
        <w:t>.</w:t>
      </w:r>
    </w:p>
    <w:p w14:paraId="53AD3F2B" w14:textId="77777777" w:rsidR="00A34FE0" w:rsidRPr="006D41BF" w:rsidRDefault="00A34FE0" w:rsidP="005749E2">
      <w:pPr>
        <w:jc w:val="both"/>
        <w:rPr>
          <w:lang/>
        </w:rPr>
      </w:pPr>
      <w:r w:rsidRPr="006D41BF">
        <w:rPr>
          <w:b/>
          <w:u w:val="single"/>
          <w:lang/>
        </w:rPr>
        <w:t>What if I think it is a lab error?</w:t>
      </w:r>
      <w:r w:rsidRPr="006D41BF">
        <w:rPr>
          <w:b/>
          <w:lang/>
        </w:rPr>
        <w:t xml:space="preserve"> </w:t>
      </w:r>
      <w:r w:rsidRPr="006D41BF">
        <w:rPr>
          <w:lang/>
        </w:rPr>
        <w:t xml:space="preserve"> If you have doubts about the lab results, please re-order a test as soon as possible to confirm the results and report if the abnormality is confirmed.</w:t>
      </w:r>
      <w:r w:rsidR="00D43A88" w:rsidRPr="006D41BF">
        <w:rPr>
          <w:lang/>
        </w:rPr>
        <w:t xml:space="preserve"> If the re-test cannot be done immediately, please report.</w:t>
      </w:r>
      <w:r w:rsidRPr="006D41BF">
        <w:rPr>
          <w:lang/>
        </w:rPr>
        <w:t xml:space="preserve"> If it was a lab error then the result is invalid, not r</w:t>
      </w:r>
      <w:r w:rsidR="00D43A88" w:rsidRPr="006D41BF">
        <w:rPr>
          <w:lang/>
        </w:rPr>
        <w:t xml:space="preserve">ecordable, </w:t>
      </w:r>
      <w:r w:rsidRPr="006D41BF">
        <w:rPr>
          <w:lang/>
        </w:rPr>
        <w:t>not reportable</w:t>
      </w:r>
      <w:r w:rsidR="00D43A88" w:rsidRPr="006D41BF">
        <w:rPr>
          <w:lang/>
        </w:rPr>
        <w:t xml:space="preserve"> and will be discarded as an AE/AESI</w:t>
      </w:r>
      <w:r w:rsidRPr="006D41BF">
        <w:rPr>
          <w:lang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80"/>
        <w:gridCol w:w="1780"/>
        <w:gridCol w:w="1827"/>
        <w:gridCol w:w="1827"/>
      </w:tblGrid>
      <w:tr w:rsidR="00CA1B48" w:rsidRPr="006D41BF" w14:paraId="06BD9A9A" w14:textId="77777777" w:rsidTr="00CA1B48">
        <w:trPr>
          <w:trHeight w:val="99"/>
          <w:tblHeader/>
        </w:trPr>
        <w:tc>
          <w:tcPr>
            <w:tcW w:w="1020" w:type="pct"/>
            <w:vMerge w:val="restart"/>
            <w:shd w:val="clear" w:color="auto" w:fill="auto"/>
            <w:noWrap/>
          </w:tcPr>
          <w:p w14:paraId="385D429E" w14:textId="5D8354F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Condition term</w:t>
            </w:r>
          </w:p>
        </w:tc>
        <w:tc>
          <w:tcPr>
            <w:tcW w:w="1964" w:type="pct"/>
            <w:gridSpan w:val="2"/>
            <w:shd w:val="clear" w:color="auto" w:fill="auto"/>
          </w:tcPr>
          <w:p w14:paraId="6CD173BF" w14:textId="77777777" w:rsidR="00CA1B48" w:rsidRPr="006D41BF" w:rsidRDefault="00CA1B48" w:rsidP="002178A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NOT AESI</w:t>
            </w:r>
          </w:p>
        </w:tc>
        <w:tc>
          <w:tcPr>
            <w:tcW w:w="2016" w:type="pct"/>
            <w:gridSpan w:val="2"/>
            <w:shd w:val="clear" w:color="auto" w:fill="FDE9D9" w:themeFill="accent6" w:themeFillTint="33"/>
          </w:tcPr>
          <w:p w14:paraId="3A526A1D" w14:textId="77777777" w:rsidR="00CA1B48" w:rsidRPr="006D41BF" w:rsidRDefault="00CA1B48" w:rsidP="002178A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AESI</w:t>
            </w:r>
          </w:p>
        </w:tc>
      </w:tr>
      <w:tr w:rsidR="00CA1B48" w:rsidRPr="006D41BF" w14:paraId="48E5707D" w14:textId="77777777" w:rsidTr="00CA1B48">
        <w:trPr>
          <w:trHeight w:val="99"/>
          <w:tblHeader/>
        </w:trPr>
        <w:tc>
          <w:tcPr>
            <w:tcW w:w="1020" w:type="pct"/>
            <w:vMerge/>
            <w:shd w:val="clear" w:color="auto" w:fill="auto"/>
            <w:noWrap/>
            <w:hideMark/>
          </w:tcPr>
          <w:p w14:paraId="32E0C509" w14:textId="7715332B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982" w:type="pct"/>
            <w:shd w:val="clear" w:color="auto" w:fill="auto"/>
            <w:hideMark/>
          </w:tcPr>
          <w:p w14:paraId="73F3C1DC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1</w:t>
            </w:r>
          </w:p>
        </w:tc>
        <w:tc>
          <w:tcPr>
            <w:tcW w:w="982" w:type="pct"/>
            <w:shd w:val="clear" w:color="auto" w:fill="auto"/>
            <w:hideMark/>
          </w:tcPr>
          <w:p w14:paraId="6960FBB9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2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8A5CA23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3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B488A11" w14:textId="77777777" w:rsidR="00CA1B48" w:rsidRPr="006D41BF" w:rsidRDefault="00CA1B48" w:rsidP="005749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4</w:t>
            </w:r>
          </w:p>
        </w:tc>
      </w:tr>
      <w:tr w:rsidR="005749E2" w:rsidRPr="006D41BF" w14:paraId="2B60E023" w14:textId="77777777" w:rsidTr="00CA1B48">
        <w:trPr>
          <w:trHeight w:val="580"/>
        </w:trPr>
        <w:tc>
          <w:tcPr>
            <w:tcW w:w="1020" w:type="pct"/>
            <w:shd w:val="clear" w:color="auto" w:fill="auto"/>
            <w:hideMark/>
          </w:tcPr>
          <w:p w14:paraId="25193BBC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Anaemia</w:t>
            </w:r>
          </w:p>
        </w:tc>
        <w:tc>
          <w:tcPr>
            <w:tcW w:w="982" w:type="pct"/>
            <w:shd w:val="clear" w:color="auto" w:fill="auto"/>
            <w:hideMark/>
          </w:tcPr>
          <w:p w14:paraId="54156A58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10.5 - 9.5 g/dL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[105 - 95 g/L]</w:t>
            </w:r>
          </w:p>
        </w:tc>
        <w:tc>
          <w:tcPr>
            <w:tcW w:w="982" w:type="pct"/>
            <w:shd w:val="clear" w:color="auto" w:fill="auto"/>
            <w:hideMark/>
          </w:tcPr>
          <w:p w14:paraId="549DA402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9.4 - 8.0 g/dL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[94 - 80 g/L]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3EA9CC19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7.9 - 6.5 g/dL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[79 - 65 g/L]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307C017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&lt; 6.5 g/dL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 65 g/L]</w:t>
            </w:r>
          </w:p>
        </w:tc>
      </w:tr>
      <w:tr w:rsidR="005749E2" w:rsidRPr="006D41BF" w14:paraId="3C867E4F" w14:textId="77777777" w:rsidTr="00CA1B48">
        <w:trPr>
          <w:trHeight w:val="930"/>
        </w:trPr>
        <w:tc>
          <w:tcPr>
            <w:tcW w:w="1020" w:type="pct"/>
            <w:shd w:val="clear" w:color="auto" w:fill="auto"/>
            <w:hideMark/>
          </w:tcPr>
          <w:p w14:paraId="3E8377E1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Platelets Decreased</w:t>
            </w:r>
          </w:p>
        </w:tc>
        <w:tc>
          <w:tcPr>
            <w:tcW w:w="982" w:type="pct"/>
            <w:shd w:val="clear" w:color="auto" w:fill="auto"/>
            <w:hideMark/>
          </w:tcPr>
          <w:p w14:paraId="549AD26C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99,999-75,000/mm3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[99.9-75.0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[99.9-75.0 x10^3/μL]</w:t>
            </w:r>
          </w:p>
        </w:tc>
        <w:tc>
          <w:tcPr>
            <w:tcW w:w="982" w:type="pct"/>
            <w:shd w:val="clear" w:color="auto" w:fill="auto"/>
            <w:hideMark/>
          </w:tcPr>
          <w:p w14:paraId="52875159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74,999-50,000/mm3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[74.9-50.0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[74.9-50.0 x10^3/μL]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2C48B48D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49,999-20,000/mm3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[49.9-20.0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[49.9-20.0 x10^3/μL]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7C434A4E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&lt;20,000/mm3 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[&lt;20.0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[&lt;20.0 x10^3/μL]</w:t>
            </w:r>
          </w:p>
        </w:tc>
      </w:tr>
      <w:tr w:rsidR="005749E2" w:rsidRPr="006D41BF" w14:paraId="6C837AD0" w14:textId="77777777" w:rsidTr="00CA1B48">
        <w:trPr>
          <w:trHeight w:val="900"/>
        </w:trPr>
        <w:tc>
          <w:tcPr>
            <w:tcW w:w="1020" w:type="pct"/>
            <w:shd w:val="clear" w:color="auto" w:fill="auto"/>
            <w:hideMark/>
          </w:tcPr>
          <w:p w14:paraId="0EA86CCD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White Blood Cell Decreased</w:t>
            </w:r>
          </w:p>
        </w:tc>
        <w:tc>
          <w:tcPr>
            <w:tcW w:w="982" w:type="pct"/>
            <w:shd w:val="clear" w:color="auto" w:fill="auto"/>
            <w:hideMark/>
          </w:tcPr>
          <w:p w14:paraId="6E62AE9D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&lt;LLN - 3000/mm3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[&lt;LLN - 3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[&lt;LLN - 3 x10^3/μL]</w:t>
            </w:r>
          </w:p>
        </w:tc>
        <w:tc>
          <w:tcPr>
            <w:tcW w:w="982" w:type="pct"/>
            <w:shd w:val="clear" w:color="auto" w:fill="auto"/>
            <w:hideMark/>
          </w:tcPr>
          <w:p w14:paraId="5AD1BB70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&lt;3000 - 2000/mm3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[3 - 2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[3 - 2 x10^3/μL]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3B10A203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&lt;2000 - 1000/mm3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[&lt;2 - 1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[&lt;2 - 1 x10^3/μL]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8241D44" w14:textId="77777777" w:rsidR="005749E2" w:rsidRPr="006D41BF" w:rsidRDefault="005749E2" w:rsidP="005749E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&lt;1000/mm3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[&lt;1 x10^9/L]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br/>
              <w:t>[&lt;1 x10^3/μL]</w:t>
            </w:r>
          </w:p>
        </w:tc>
      </w:tr>
      <w:tr w:rsidR="006543C4" w:rsidRPr="006D41BF" w14:paraId="4F0F9E31" w14:textId="77777777" w:rsidTr="00CA1B48">
        <w:trPr>
          <w:trHeight w:val="900"/>
        </w:trPr>
        <w:tc>
          <w:tcPr>
            <w:tcW w:w="1020" w:type="pct"/>
            <w:shd w:val="clear" w:color="auto" w:fill="auto"/>
          </w:tcPr>
          <w:p w14:paraId="4F316DA8" w14:textId="6062E1D7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lastRenderedPageBreak/>
              <w:t>Absolute Neutrophil Count Low</w:t>
            </w:r>
          </w:p>
        </w:tc>
        <w:tc>
          <w:tcPr>
            <w:tcW w:w="982" w:type="pct"/>
            <w:shd w:val="clear" w:color="auto" w:fill="auto"/>
          </w:tcPr>
          <w:p w14:paraId="3648B680" w14:textId="4C7EE80C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1500 - 1000/mm3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[1.5 - 1.0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[1.5 - 1.0 x10^3/μL]</w:t>
            </w:r>
          </w:p>
        </w:tc>
        <w:tc>
          <w:tcPr>
            <w:tcW w:w="982" w:type="pct"/>
            <w:shd w:val="clear" w:color="auto" w:fill="auto"/>
          </w:tcPr>
          <w:p w14:paraId="299BE53A" w14:textId="77777777" w:rsidR="006543C4" w:rsidRDefault="006543C4" w:rsidP="006543C4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 xml:space="preserve">999 - 750/mm3 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[0.99 - 0.75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[0.99 - 0.75 x10^3/μL]</w:t>
            </w:r>
          </w:p>
          <w:p w14:paraId="424A3313" w14:textId="77777777" w:rsidR="00153F64" w:rsidRPr="00153F64" w:rsidRDefault="00153F64" w:rsidP="00153F64">
            <w:pPr>
              <w:rPr>
                <w:rFonts w:ascii="Calibri" w:eastAsia="Times New Roman" w:hAnsi="Calibri" w:cs="Times New Roman"/>
                <w:sz w:val="18"/>
                <w:szCs w:val="18"/>
                <w:lang w:eastAsia="fr-CH"/>
              </w:rPr>
            </w:pPr>
          </w:p>
          <w:p w14:paraId="1E8E18A1" w14:textId="3B98E043" w:rsidR="00153F64" w:rsidRPr="00153F64" w:rsidRDefault="00153F64" w:rsidP="00153F6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CH"/>
              </w:rPr>
            </w:pPr>
          </w:p>
        </w:tc>
        <w:tc>
          <w:tcPr>
            <w:tcW w:w="1008" w:type="pct"/>
            <w:shd w:val="clear" w:color="auto" w:fill="FDE9D9" w:themeFill="accent6" w:themeFillTint="33"/>
          </w:tcPr>
          <w:p w14:paraId="4C53A0F2" w14:textId="72E04440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 xml:space="preserve">749 - 500/mm3 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[0.74 - 0.50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[0.74 - 0.50 x10^3/μL]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3F523031" w14:textId="20A74A41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 xml:space="preserve">&lt;500/mm3 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[&lt;0.50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[&lt;0.50 x10^3/μL]</w:t>
            </w:r>
          </w:p>
        </w:tc>
      </w:tr>
      <w:tr w:rsidR="006543C4" w:rsidRPr="006D41BF" w14:paraId="260EA294" w14:textId="77777777" w:rsidTr="00CA1B48">
        <w:trPr>
          <w:trHeight w:val="900"/>
        </w:trPr>
        <w:tc>
          <w:tcPr>
            <w:tcW w:w="1020" w:type="pct"/>
            <w:shd w:val="clear" w:color="auto" w:fill="auto"/>
          </w:tcPr>
          <w:p w14:paraId="00B55DF1" w14:textId="4CD874F5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Lymphocyte Count Decreased</w:t>
            </w:r>
          </w:p>
        </w:tc>
        <w:tc>
          <w:tcPr>
            <w:tcW w:w="982" w:type="pct"/>
            <w:shd w:val="clear" w:color="auto" w:fill="auto"/>
          </w:tcPr>
          <w:p w14:paraId="48E199CD" w14:textId="270BB093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&lt;LLN - 800/mm3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[&lt;LLN - 0.8 x 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[&lt;LLN - 0.8 x10^3/μL]</w:t>
            </w:r>
          </w:p>
        </w:tc>
        <w:tc>
          <w:tcPr>
            <w:tcW w:w="982" w:type="pct"/>
            <w:shd w:val="clear" w:color="auto" w:fill="auto"/>
          </w:tcPr>
          <w:p w14:paraId="11D6309B" w14:textId="0681BB84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&lt;800 - 500/mm3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[&lt;0.8 - 0.5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[0.8 - 0.5 x10^3/μL]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61137529" w14:textId="3A036EB3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&lt;500 - 200/mm3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[&lt;0.5 - 0.2 x10^9/L]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[&lt;0.5 - 0.2 x10^3/μL]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42829158" w14:textId="30BAA843" w:rsidR="006543C4" w:rsidRPr="006D41BF" w:rsidRDefault="006543C4" w:rsidP="006543C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&lt;200/mm3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[&lt;0.2 x 10^9/L]</w:t>
            </w:r>
            <w:r w:rsidRPr="006D41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br/>
              <w:t>[&lt;0.2 x10^3/μL]</w:t>
            </w:r>
          </w:p>
        </w:tc>
      </w:tr>
    </w:tbl>
    <w:p w14:paraId="0B0B77D9" w14:textId="507E56BE" w:rsidR="00F72091" w:rsidRPr="006D41BF" w:rsidRDefault="00F72091" w:rsidP="005749E2">
      <w:pPr>
        <w:pStyle w:val="Heading3"/>
        <w:rPr>
          <w:lang/>
        </w:rPr>
      </w:pPr>
      <w:r w:rsidRPr="006D41BF">
        <w:rPr>
          <w:lang/>
        </w:rPr>
        <w:t>Grade 3</w:t>
      </w:r>
      <w:r w:rsidR="005749E2" w:rsidRPr="006D41BF">
        <w:rPr>
          <w:lang/>
        </w:rPr>
        <w:t xml:space="preserve"> or above peripheral neuropathy</w:t>
      </w:r>
    </w:p>
    <w:p w14:paraId="52018417" w14:textId="31C55862" w:rsidR="005749E2" w:rsidRPr="006D41BF" w:rsidRDefault="005749E2" w:rsidP="006C31BC">
      <w:pPr>
        <w:jc w:val="both"/>
        <w:rPr>
          <w:lang/>
        </w:rPr>
      </w:pPr>
      <w:r w:rsidRPr="006D41BF">
        <w:rPr>
          <w:lang/>
        </w:rPr>
        <w:t xml:space="preserve">If during a </w:t>
      </w:r>
      <w:r w:rsidR="00A81973" w:rsidRPr="006D41BF">
        <w:rPr>
          <w:lang/>
        </w:rPr>
        <w:t xml:space="preserve">scheduled </w:t>
      </w:r>
      <w:r w:rsidRPr="006D41BF">
        <w:rPr>
          <w:lang/>
        </w:rPr>
        <w:t xml:space="preserve">or </w:t>
      </w:r>
      <w:r w:rsidR="0052549F" w:rsidRPr="006D41BF">
        <w:rPr>
          <w:lang/>
        </w:rPr>
        <w:t>unscheduled</w:t>
      </w:r>
      <w:r w:rsidR="008021CA" w:rsidRPr="006D41BF">
        <w:rPr>
          <w:lang/>
        </w:rPr>
        <w:t xml:space="preserve"> </w:t>
      </w:r>
      <w:r w:rsidRPr="006D41BF">
        <w:rPr>
          <w:lang/>
        </w:rPr>
        <w:t>peripheral neuropathy screening</w:t>
      </w:r>
      <w:r w:rsidR="006C31BC" w:rsidRPr="006D41BF">
        <w:rPr>
          <w:lang/>
        </w:rPr>
        <w:t xml:space="preserve"> (e.g. triggered by patient complaining of pins and needles), the scores you obtain </w:t>
      </w:r>
      <w:r w:rsidR="003450A2" w:rsidRPr="006D41BF">
        <w:rPr>
          <w:lang/>
        </w:rPr>
        <w:t xml:space="preserve">from Brief Peripheral Neuropathy Screening Test </w:t>
      </w:r>
      <w:r w:rsidR="006C31BC" w:rsidRPr="006D41BF">
        <w:rPr>
          <w:lang/>
        </w:rPr>
        <w:t xml:space="preserve">and/or the symptoms </w:t>
      </w:r>
      <w:r w:rsidR="003450A2" w:rsidRPr="006D41BF">
        <w:rPr>
          <w:lang/>
        </w:rPr>
        <w:t>suggest</w:t>
      </w:r>
      <w:r w:rsidR="002B51FB" w:rsidRPr="006D41BF">
        <w:rPr>
          <w:lang/>
        </w:rPr>
        <w:t xml:space="preserve"> or confirm</w:t>
      </w:r>
      <w:r w:rsidR="006C31BC" w:rsidRPr="006D41BF">
        <w:rPr>
          <w:lang/>
        </w:rPr>
        <w:t xml:space="preserve"> a grade 3 or 4</w:t>
      </w:r>
      <w:r w:rsidR="005672DD" w:rsidRPr="006D41BF">
        <w:rPr>
          <w:lang/>
        </w:rPr>
        <w:t xml:space="preserve"> peripheral neuropathy (see also </w:t>
      </w:r>
      <w:r w:rsidR="003450A2" w:rsidRPr="006D41BF">
        <w:rPr>
          <w:lang/>
        </w:rPr>
        <w:t>SOP SP-018-CT),</w:t>
      </w:r>
      <w:r w:rsidR="006C31BC" w:rsidRPr="006D41BF">
        <w:rPr>
          <w:lang/>
        </w:rPr>
        <w:t xml:space="preserve"> then </w:t>
      </w:r>
      <w:r w:rsidR="006C31BC" w:rsidRPr="006D41BF">
        <w:rPr>
          <w:b/>
          <w:lang/>
        </w:rPr>
        <w:t>please report as AESI</w:t>
      </w:r>
      <w:r w:rsidR="006C31BC" w:rsidRPr="006D41BF">
        <w:rPr>
          <w:lang/>
        </w:rPr>
        <w:t>.</w:t>
      </w:r>
    </w:p>
    <w:p w14:paraId="7ADC7B71" w14:textId="5D751467" w:rsidR="002B51FB" w:rsidRPr="006D41BF" w:rsidRDefault="002B51FB" w:rsidP="00517104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>Example 1, patient reports</w:t>
      </w:r>
      <w:r w:rsidR="00E86464" w:rsidRPr="006D41BF">
        <w:rPr>
          <w:lang/>
        </w:rPr>
        <w:t xml:space="preserve"> severe</w:t>
      </w:r>
      <w:r w:rsidRPr="006D41BF">
        <w:rPr>
          <w:lang/>
        </w:rPr>
        <w:t xml:space="preserve"> subjective symptoms </w:t>
      </w:r>
      <w:r w:rsidR="00E86464" w:rsidRPr="006D41BF">
        <w:rPr>
          <w:lang/>
        </w:rPr>
        <w:t>(grade 3 Paresthesia) and mildly abnormal</w:t>
      </w:r>
      <w:r w:rsidRPr="006D41BF">
        <w:rPr>
          <w:lang/>
        </w:rPr>
        <w:t xml:space="preserve"> vibration perception and </w:t>
      </w:r>
      <w:r w:rsidR="00E86464" w:rsidRPr="006D41BF">
        <w:rPr>
          <w:lang/>
        </w:rPr>
        <w:t xml:space="preserve">reflexes (grade 1 </w:t>
      </w:r>
      <w:r w:rsidR="0052612F" w:rsidRPr="006D41BF">
        <w:rPr>
          <w:lang/>
        </w:rPr>
        <w:t>N</w:t>
      </w:r>
      <w:r w:rsidR="00E86464" w:rsidRPr="006D41BF">
        <w:rPr>
          <w:lang/>
        </w:rPr>
        <w:t xml:space="preserve">eurosensory disorder) </w:t>
      </w:r>
      <w:r w:rsidR="00E86464" w:rsidRPr="006D41BF">
        <w:rPr>
          <w:lang/>
        </w:rPr>
        <w:sym w:font="Wingdings" w:char="F0E0"/>
      </w:r>
      <w:r w:rsidR="00E86464" w:rsidRPr="006D41BF">
        <w:rPr>
          <w:lang/>
        </w:rPr>
        <w:t xml:space="preserve"> </w:t>
      </w:r>
      <w:r w:rsidR="00E86464" w:rsidRPr="006D41BF">
        <w:rPr>
          <w:b/>
          <w:lang/>
        </w:rPr>
        <w:t>report peripheral neuropathy grade 3=AESI.</w:t>
      </w:r>
    </w:p>
    <w:p w14:paraId="59C7E0A5" w14:textId="6584BBE5" w:rsidR="00E86464" w:rsidRPr="006D41BF" w:rsidRDefault="00E86464" w:rsidP="00517104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 xml:space="preserve">Example 2, patient reports mild subjective symptoms (grade 1 Paresthesia) and severely abnormal vibration perception and areflexia (grade 4 </w:t>
      </w:r>
      <w:r w:rsidR="0052612F" w:rsidRPr="006D41BF">
        <w:rPr>
          <w:lang/>
        </w:rPr>
        <w:t>N</w:t>
      </w:r>
      <w:r w:rsidRPr="006D41BF">
        <w:rPr>
          <w:lang/>
        </w:rPr>
        <w:t xml:space="preserve">eurosensory disorder) </w:t>
      </w:r>
      <w:r w:rsidRPr="006D41BF">
        <w:rPr>
          <w:lang/>
        </w:rPr>
        <w:sym w:font="Wingdings" w:char="F0E0"/>
      </w:r>
      <w:r w:rsidRPr="006D41BF">
        <w:rPr>
          <w:lang/>
        </w:rPr>
        <w:t xml:space="preserve"> </w:t>
      </w:r>
      <w:r w:rsidRPr="006D41BF">
        <w:rPr>
          <w:b/>
          <w:lang/>
        </w:rPr>
        <w:t>report peripheral neuropathy grade 4=AESI.</w:t>
      </w:r>
    </w:p>
    <w:p w14:paraId="2E79E75E" w14:textId="2E984AB0" w:rsidR="00E86464" w:rsidRPr="006D41BF" w:rsidRDefault="00E86464" w:rsidP="00517104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 xml:space="preserve">Example 3, patient reports severe subjective symptoms (grade 3 Paresthesia) and normal vibration perception and normal reflexes </w:t>
      </w:r>
      <w:r w:rsidRPr="006D41BF">
        <w:rPr>
          <w:lang/>
        </w:rPr>
        <w:sym w:font="Wingdings" w:char="F0E0"/>
      </w:r>
      <w:r w:rsidRPr="006D41BF">
        <w:rPr>
          <w:lang/>
        </w:rPr>
        <w:t xml:space="preserve"> </w:t>
      </w:r>
      <w:r w:rsidRPr="006D41BF">
        <w:rPr>
          <w:b/>
          <w:lang/>
        </w:rPr>
        <w:t>report paresthesia grade 3, investigate and manage, repeat the test or refer to a neurologist</w:t>
      </w:r>
      <w:r w:rsidR="005C001C" w:rsidRPr="006D41BF">
        <w:rPr>
          <w:b/>
          <w:lang/>
        </w:rPr>
        <w:t xml:space="preserve"> as appropriate</w:t>
      </w:r>
      <w:r w:rsidRPr="006D41BF">
        <w:rPr>
          <w:b/>
          <w:lang/>
        </w:rPr>
        <w:t>=AE.</w:t>
      </w:r>
    </w:p>
    <w:p w14:paraId="37BD1D66" w14:textId="37F9CF96" w:rsidR="00E86464" w:rsidRPr="006D41BF" w:rsidRDefault="00517104" w:rsidP="00517104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 xml:space="preserve">Example 4, patient reports no subjective symptoms, normal vibration perception and mild </w:t>
      </w:r>
      <w:r w:rsidR="005C001C" w:rsidRPr="006D41BF">
        <w:rPr>
          <w:lang/>
        </w:rPr>
        <w:t>hyporeflexia</w:t>
      </w:r>
      <w:r w:rsidRPr="006D41BF">
        <w:rPr>
          <w:lang/>
        </w:rPr>
        <w:t xml:space="preserve"> (grade 1 neurosensory disorder) </w:t>
      </w:r>
      <w:r w:rsidRPr="006D41BF">
        <w:rPr>
          <w:lang/>
        </w:rPr>
        <w:sym w:font="Wingdings" w:char="F0E0"/>
      </w:r>
      <w:r w:rsidRPr="006D41BF">
        <w:rPr>
          <w:lang/>
        </w:rPr>
        <w:t xml:space="preserve"> </w:t>
      </w:r>
      <w:r w:rsidR="005C001C" w:rsidRPr="006D41BF">
        <w:rPr>
          <w:b/>
          <w:lang/>
        </w:rPr>
        <w:t>report hyporeflexia grade 1, investigate and manage, repeat the test or refer to a neurologist as appropriate=AE.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80"/>
        <w:gridCol w:w="1780"/>
        <w:gridCol w:w="1827"/>
        <w:gridCol w:w="1827"/>
      </w:tblGrid>
      <w:tr w:rsidR="00CA1B48" w:rsidRPr="006D41BF" w14:paraId="1B75E870" w14:textId="77777777" w:rsidTr="00CA1B48">
        <w:trPr>
          <w:trHeight w:val="77"/>
        </w:trPr>
        <w:tc>
          <w:tcPr>
            <w:tcW w:w="1020" w:type="pct"/>
            <w:vMerge w:val="restart"/>
            <w:shd w:val="clear" w:color="auto" w:fill="auto"/>
            <w:noWrap/>
          </w:tcPr>
          <w:p w14:paraId="698D6CD9" w14:textId="79723E50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Condition term</w:t>
            </w:r>
          </w:p>
        </w:tc>
        <w:tc>
          <w:tcPr>
            <w:tcW w:w="1964" w:type="pct"/>
            <w:gridSpan w:val="2"/>
            <w:shd w:val="clear" w:color="auto" w:fill="auto"/>
          </w:tcPr>
          <w:p w14:paraId="7195BB43" w14:textId="77777777" w:rsidR="00CA1B48" w:rsidRPr="006D41BF" w:rsidRDefault="00CA1B48" w:rsidP="00C3094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NOT AESI</w:t>
            </w:r>
          </w:p>
        </w:tc>
        <w:tc>
          <w:tcPr>
            <w:tcW w:w="2016" w:type="pct"/>
            <w:gridSpan w:val="2"/>
            <w:shd w:val="clear" w:color="auto" w:fill="FDE9D9" w:themeFill="accent6" w:themeFillTint="33"/>
          </w:tcPr>
          <w:p w14:paraId="183DF1E7" w14:textId="77777777" w:rsidR="00CA1B48" w:rsidRPr="006D41BF" w:rsidRDefault="00CA1B48" w:rsidP="00C3094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AESI</w:t>
            </w:r>
          </w:p>
        </w:tc>
      </w:tr>
      <w:tr w:rsidR="00CA1B48" w:rsidRPr="006D41BF" w14:paraId="125D64CF" w14:textId="77777777" w:rsidTr="00CA1B48">
        <w:trPr>
          <w:trHeight w:val="77"/>
        </w:trPr>
        <w:tc>
          <w:tcPr>
            <w:tcW w:w="1020" w:type="pct"/>
            <w:vMerge/>
            <w:shd w:val="clear" w:color="auto" w:fill="auto"/>
            <w:noWrap/>
            <w:hideMark/>
          </w:tcPr>
          <w:p w14:paraId="1562C909" w14:textId="3CA6BA89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982" w:type="pct"/>
            <w:shd w:val="clear" w:color="auto" w:fill="auto"/>
            <w:hideMark/>
          </w:tcPr>
          <w:p w14:paraId="09C72887" w14:textId="77777777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1</w:t>
            </w:r>
          </w:p>
        </w:tc>
        <w:tc>
          <w:tcPr>
            <w:tcW w:w="982" w:type="pct"/>
            <w:shd w:val="clear" w:color="auto" w:fill="auto"/>
            <w:hideMark/>
          </w:tcPr>
          <w:p w14:paraId="386A76BF" w14:textId="77777777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2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675A3D99" w14:textId="77777777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3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BFA09FA" w14:textId="77777777" w:rsidR="00CA1B48" w:rsidRPr="006D41BF" w:rsidRDefault="00CA1B48" w:rsidP="00C309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4</w:t>
            </w:r>
          </w:p>
        </w:tc>
      </w:tr>
      <w:tr w:rsidR="00E86464" w:rsidRPr="006D41BF" w14:paraId="7483910A" w14:textId="77777777" w:rsidTr="00CA1B48">
        <w:trPr>
          <w:trHeight w:val="1980"/>
        </w:trPr>
        <w:tc>
          <w:tcPr>
            <w:tcW w:w="1020" w:type="pct"/>
            <w:shd w:val="clear" w:color="auto" w:fill="auto"/>
            <w:hideMark/>
          </w:tcPr>
          <w:p w14:paraId="23F11A64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Neuro-Sensory Disorders</w:t>
            </w:r>
          </w:p>
        </w:tc>
        <w:tc>
          <w:tcPr>
            <w:tcW w:w="982" w:type="pct"/>
            <w:shd w:val="clear" w:color="auto" w:fill="auto"/>
            <w:hideMark/>
          </w:tcPr>
          <w:p w14:paraId="738E22DA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Mild impairment in sensation (decreased sensation, e.g. vibratory, pinprick, hot/cold in great toes) in focal area or symmetrical distribution; or change in taste, smell, vision and/or hearing; and/or vibration perception score 1 (mild loss).</w:t>
            </w:r>
          </w:p>
        </w:tc>
        <w:tc>
          <w:tcPr>
            <w:tcW w:w="982" w:type="pct"/>
            <w:shd w:val="clear" w:color="auto" w:fill="auto"/>
            <w:hideMark/>
          </w:tcPr>
          <w:p w14:paraId="2EDBEBB3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Moderate impairment (mod decreased sensation, e.g. vibratory, pinprick, hot/cold to ankles) and/or joint position; and/or vibration perception score 2 (moderate loss).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5EDF816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Severe impairment (decreased or loss of sensation to knees or wrists); and/or vibration perception score 3 (severe loss) and/or deep tendon reflex score 1.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55533776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Sensory loss involves limbs and trunk; paralysis; or seizures; and/or deep tendon reflex score 0.</w:t>
            </w:r>
          </w:p>
        </w:tc>
      </w:tr>
      <w:tr w:rsidR="00E86464" w:rsidRPr="006D41BF" w14:paraId="2870E09F" w14:textId="77777777" w:rsidTr="00CA1B48">
        <w:trPr>
          <w:trHeight w:val="1020"/>
        </w:trPr>
        <w:tc>
          <w:tcPr>
            <w:tcW w:w="1020" w:type="pct"/>
            <w:shd w:val="clear" w:color="auto" w:fill="auto"/>
            <w:hideMark/>
          </w:tcPr>
          <w:p w14:paraId="76603167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lastRenderedPageBreak/>
              <w:t xml:space="preserve">Paresthesia (Burning, Tingling, etc.) </w:t>
            </w:r>
          </w:p>
        </w:tc>
        <w:tc>
          <w:tcPr>
            <w:tcW w:w="982" w:type="pct"/>
            <w:shd w:val="clear" w:color="auto" w:fill="auto"/>
            <w:hideMark/>
          </w:tcPr>
          <w:p w14:paraId="63543786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Mild discomfort; no treatment required;</w:t>
            </w:r>
          </w:p>
        </w:tc>
        <w:tc>
          <w:tcPr>
            <w:tcW w:w="982" w:type="pct"/>
            <w:shd w:val="clear" w:color="auto" w:fill="auto"/>
            <w:hideMark/>
          </w:tcPr>
          <w:p w14:paraId="30E2FA4E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Moderate discomfort; non-narcotic analgesia required; and/or BPNS subjective sensory neuropathy score 4-6 on any side.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EA94806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Severe discomfort; or narcotic analgesia required with symptomatic improvement; and/or BPNS subjective sensory neuropathy score 7-10 on any side.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F3CBED0" w14:textId="77777777" w:rsidR="00E86464" w:rsidRPr="006D41BF" w:rsidRDefault="00E86464" w:rsidP="00C3094E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Incapacitating; or not responsive to narcotic analgesia.</w:t>
            </w:r>
          </w:p>
        </w:tc>
      </w:tr>
    </w:tbl>
    <w:p w14:paraId="1F355268" w14:textId="17D2CA45" w:rsidR="005749E2" w:rsidRPr="006D41BF" w:rsidRDefault="006C31BC" w:rsidP="0052612F">
      <w:pPr>
        <w:jc w:val="both"/>
        <w:rPr>
          <w:lang/>
        </w:rPr>
      </w:pPr>
      <w:r w:rsidRPr="006D41BF">
        <w:rPr>
          <w:lang/>
        </w:rPr>
        <w:t xml:space="preserve">It is recommended to use the ‘diagnosis term’ from the protocol as much as possible when peripheral neuropathy </w:t>
      </w:r>
      <w:r w:rsidR="00A81973" w:rsidRPr="006D41BF">
        <w:rPr>
          <w:lang/>
        </w:rPr>
        <w:t>occurs</w:t>
      </w:r>
      <w:r w:rsidRPr="006D41BF">
        <w:rPr>
          <w:lang/>
        </w:rPr>
        <w:t xml:space="preserve">, meaning: </w:t>
      </w:r>
      <w:r w:rsidRPr="006D41BF">
        <w:rPr>
          <w:i/>
          <w:lang/>
        </w:rPr>
        <w:t>Peripheral neuropathy</w:t>
      </w:r>
      <w:r w:rsidRPr="006D41BF">
        <w:rPr>
          <w:lang/>
        </w:rPr>
        <w:t xml:space="preserve"> instead of the symptoms (burning, tingling, loss of sensation, etc.). You can add the location and some adjectives as needed, e.g. peripheral neuropathy in lower limbs.</w:t>
      </w:r>
    </w:p>
    <w:p w14:paraId="5BA71069" w14:textId="62745D7E" w:rsidR="00FF2E58" w:rsidRPr="006D41BF" w:rsidRDefault="00FF2E58" w:rsidP="00080B1D">
      <w:pPr>
        <w:jc w:val="both"/>
        <w:rPr>
          <w:lang/>
        </w:rPr>
      </w:pPr>
      <w:r w:rsidRPr="006D41BF">
        <w:rPr>
          <w:b/>
          <w:u w:val="single"/>
          <w:lang/>
        </w:rPr>
        <w:t>How to report if we are not sure</w:t>
      </w:r>
      <w:r w:rsidR="00652A0C" w:rsidRPr="006D41BF">
        <w:rPr>
          <w:b/>
          <w:u w:val="single"/>
          <w:lang/>
        </w:rPr>
        <w:t xml:space="preserve"> or pending investigations</w:t>
      </w:r>
      <w:r w:rsidRPr="006D41BF">
        <w:rPr>
          <w:b/>
          <w:u w:val="single"/>
          <w:lang/>
        </w:rPr>
        <w:t>?</w:t>
      </w:r>
      <w:r w:rsidRPr="006D41BF">
        <w:rPr>
          <w:lang/>
        </w:rPr>
        <w:t xml:space="preserve"> </w:t>
      </w:r>
      <w:r w:rsidR="00652A0C" w:rsidRPr="006D41BF">
        <w:rPr>
          <w:lang/>
        </w:rPr>
        <w:t xml:space="preserve">Please do not wait </w:t>
      </w:r>
      <w:r w:rsidR="00A81973" w:rsidRPr="006D41BF">
        <w:rPr>
          <w:lang/>
        </w:rPr>
        <w:t>to</w:t>
      </w:r>
      <w:r w:rsidR="0052549F" w:rsidRPr="006D41BF">
        <w:rPr>
          <w:lang/>
        </w:rPr>
        <w:t xml:space="preserve"> </w:t>
      </w:r>
      <w:r w:rsidR="00652A0C" w:rsidRPr="006D41BF">
        <w:rPr>
          <w:lang/>
        </w:rPr>
        <w:t xml:space="preserve">confirm your suspicions. </w:t>
      </w:r>
      <w:r w:rsidR="00652A0C" w:rsidRPr="006D41BF">
        <w:rPr>
          <w:b/>
          <w:u w:val="single"/>
          <w:lang/>
        </w:rPr>
        <w:t>If the investigations are not</w:t>
      </w:r>
      <w:r w:rsidR="008021CA" w:rsidRPr="006D41BF">
        <w:rPr>
          <w:b/>
          <w:u w:val="single"/>
          <w:lang/>
        </w:rPr>
        <w:t xml:space="preserve"> fully</w:t>
      </w:r>
      <w:r w:rsidR="00652A0C" w:rsidRPr="006D41BF">
        <w:rPr>
          <w:b/>
          <w:u w:val="single"/>
          <w:lang/>
        </w:rPr>
        <w:t xml:space="preserve"> conclusive but you still suspect peripheral neuropathy, please report</w:t>
      </w:r>
      <w:r w:rsidR="00652A0C" w:rsidRPr="006D41BF">
        <w:rPr>
          <w:lang/>
        </w:rPr>
        <w:t>.</w:t>
      </w:r>
    </w:p>
    <w:p w14:paraId="332D6190" w14:textId="310A32C4" w:rsidR="006C31BC" w:rsidRPr="006D41BF" w:rsidRDefault="00FF2E58" w:rsidP="00080B1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 xml:space="preserve">Example 1, patient has severe pain in knee joints on 01-Feb-2018; you think it is arthralgia initially. Then you perform BPNS and diagnose peripheral neuropathy on 05-Feb-2018. </w:t>
      </w:r>
      <w:r w:rsidRPr="006D41BF">
        <w:rPr>
          <w:u w:val="single"/>
          <w:lang/>
        </w:rPr>
        <w:sym w:font="Wingdings" w:char="F0E0"/>
      </w:r>
      <w:r w:rsidRPr="006D41BF">
        <w:rPr>
          <w:u w:val="single"/>
          <w:lang/>
        </w:rPr>
        <w:t xml:space="preserve"> report on 05/06 Feb as AESI </w:t>
      </w:r>
      <w:r w:rsidR="002178A3" w:rsidRPr="006D41BF">
        <w:rPr>
          <w:u w:val="single"/>
          <w:lang/>
        </w:rPr>
        <w:t>diagnosed on 05-</w:t>
      </w:r>
      <w:r w:rsidR="00A81973" w:rsidRPr="006D41BF">
        <w:rPr>
          <w:u w:val="single"/>
          <w:lang/>
        </w:rPr>
        <w:t>Feb</w:t>
      </w:r>
      <w:r w:rsidRPr="006D41BF">
        <w:rPr>
          <w:u w:val="single"/>
          <w:lang/>
        </w:rPr>
        <w:t>.</w:t>
      </w:r>
    </w:p>
    <w:p w14:paraId="6F04ADD9" w14:textId="5029CFC0" w:rsidR="00FF2E58" w:rsidRPr="006D41BF" w:rsidRDefault="00FF2E58" w:rsidP="00080B1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lang/>
        </w:rPr>
      </w:pPr>
      <w:r w:rsidRPr="006D41BF">
        <w:rPr>
          <w:lang/>
        </w:rPr>
        <w:t>Example 2, patient reports severe pains in limbs on 01-Feb-2018</w:t>
      </w:r>
      <w:r w:rsidR="002178A3" w:rsidRPr="006D41BF">
        <w:rPr>
          <w:lang/>
        </w:rPr>
        <w:t>, but cannot come to the site before 05-Feb-2018, he went very far to visit his family</w:t>
      </w:r>
      <w:r w:rsidRPr="006D41BF">
        <w:rPr>
          <w:lang/>
        </w:rPr>
        <w:t>;</w:t>
      </w:r>
      <w:r w:rsidR="00A81973" w:rsidRPr="006D41BF">
        <w:rPr>
          <w:lang/>
        </w:rPr>
        <w:t xml:space="preserve"> on 05-Feb-2018 </w:t>
      </w:r>
      <w:r w:rsidRPr="006D41BF">
        <w:rPr>
          <w:lang/>
        </w:rPr>
        <w:t xml:space="preserve">you perform BPNS and the result is not conclusive, but you still suspect LZD-induced neuropathy and interrupt this drug. </w:t>
      </w:r>
      <w:r w:rsidRPr="006D41BF">
        <w:rPr>
          <w:u w:val="single"/>
          <w:lang/>
        </w:rPr>
        <w:sym w:font="Wingdings" w:char="F0E0"/>
      </w:r>
      <w:r w:rsidRPr="006D41BF">
        <w:rPr>
          <w:u w:val="single"/>
          <w:lang/>
        </w:rPr>
        <w:t xml:space="preserve"> report on 05/06 Feb as AESI as you suspect neuropathy</w:t>
      </w:r>
      <w:r w:rsidRPr="006D41BF">
        <w:rPr>
          <w:lang/>
        </w:rPr>
        <w:t xml:space="preserve">. </w:t>
      </w:r>
      <w:r w:rsidR="00652A0C" w:rsidRPr="006D41BF">
        <w:rPr>
          <w:lang/>
        </w:rPr>
        <w:t xml:space="preserve">If later, </w:t>
      </w:r>
      <w:r w:rsidRPr="006D41BF">
        <w:rPr>
          <w:lang/>
        </w:rPr>
        <w:t xml:space="preserve">it turns out it is not neuropathy </w:t>
      </w:r>
      <w:r w:rsidR="00652A0C" w:rsidRPr="006D41BF">
        <w:rPr>
          <w:lang/>
        </w:rPr>
        <w:t xml:space="preserve">but another cause, </w:t>
      </w:r>
      <w:r w:rsidRPr="006D41BF">
        <w:rPr>
          <w:lang/>
        </w:rPr>
        <w:t>we can change the status of the AE at follow-up.</w:t>
      </w:r>
    </w:p>
    <w:p w14:paraId="4183D002" w14:textId="77777777" w:rsidR="00F72091" w:rsidRPr="006D41BF" w:rsidRDefault="006C31BC" w:rsidP="006C31BC">
      <w:pPr>
        <w:pStyle w:val="Heading3"/>
        <w:rPr>
          <w:lang/>
        </w:rPr>
      </w:pPr>
      <w:r w:rsidRPr="006D41BF">
        <w:rPr>
          <w:lang/>
        </w:rPr>
        <w:t>Grade 3 or above optic neuritis</w:t>
      </w:r>
    </w:p>
    <w:p w14:paraId="78CFB1FE" w14:textId="3D0F2D17" w:rsidR="006C31BC" w:rsidRPr="006D41BF" w:rsidRDefault="006C31BC" w:rsidP="006C31BC">
      <w:pPr>
        <w:jc w:val="both"/>
        <w:rPr>
          <w:lang/>
        </w:rPr>
      </w:pPr>
      <w:r w:rsidRPr="006D41BF">
        <w:rPr>
          <w:lang/>
        </w:rPr>
        <w:t xml:space="preserve">If during a </w:t>
      </w:r>
      <w:r w:rsidR="00A81973" w:rsidRPr="006D41BF">
        <w:rPr>
          <w:lang/>
        </w:rPr>
        <w:t xml:space="preserve">scheduled </w:t>
      </w:r>
      <w:r w:rsidRPr="006D41BF">
        <w:rPr>
          <w:lang/>
        </w:rPr>
        <w:t xml:space="preserve">or </w:t>
      </w:r>
      <w:r w:rsidR="00A81973" w:rsidRPr="006D41BF">
        <w:rPr>
          <w:lang/>
        </w:rPr>
        <w:t xml:space="preserve">unplanned </w:t>
      </w:r>
      <w:r w:rsidRPr="006D41BF">
        <w:rPr>
          <w:lang/>
        </w:rPr>
        <w:t xml:space="preserve">ophthalmological </w:t>
      </w:r>
      <w:r w:rsidR="00A81973" w:rsidRPr="006D41BF">
        <w:rPr>
          <w:lang/>
        </w:rPr>
        <w:t xml:space="preserve">assessment </w:t>
      </w:r>
      <w:r w:rsidRPr="006D41BF">
        <w:rPr>
          <w:lang/>
        </w:rPr>
        <w:t xml:space="preserve">(e.g. if patient complains of blurry vision), the symptoms and/or the acuity measured are in favour of optic nerve disorder and match the definition of a grade 3 or 4, then </w:t>
      </w:r>
      <w:r w:rsidRPr="006D41BF">
        <w:rPr>
          <w:b/>
          <w:lang/>
        </w:rPr>
        <w:t>please report as AESI</w:t>
      </w:r>
      <w:r w:rsidRPr="006D41BF">
        <w:rPr>
          <w:lang/>
        </w:rPr>
        <w:t>.</w:t>
      </w:r>
    </w:p>
    <w:p w14:paraId="5CAD0B0A" w14:textId="77777777" w:rsidR="0007021C" w:rsidRPr="006D41BF" w:rsidRDefault="006C31BC" w:rsidP="006C31BC">
      <w:pPr>
        <w:jc w:val="both"/>
        <w:rPr>
          <w:lang/>
        </w:rPr>
      </w:pPr>
      <w:r w:rsidRPr="006D41BF">
        <w:rPr>
          <w:lang/>
        </w:rPr>
        <w:t xml:space="preserve">It is recommended to use the ‘diagnosis term’ from the protocol as much as possible when optic nerve disorder </w:t>
      </w:r>
      <w:r w:rsidR="00A81973" w:rsidRPr="006D41BF">
        <w:rPr>
          <w:lang/>
        </w:rPr>
        <w:t>occurs</w:t>
      </w:r>
      <w:r w:rsidRPr="006D41BF">
        <w:rPr>
          <w:lang/>
        </w:rPr>
        <w:t xml:space="preserve">, meaning: </w:t>
      </w:r>
      <w:r w:rsidRPr="006D41BF">
        <w:rPr>
          <w:i/>
          <w:lang/>
        </w:rPr>
        <w:t>Optic neuritis</w:t>
      </w:r>
      <w:r w:rsidRPr="006D41BF">
        <w:rPr>
          <w:lang/>
        </w:rPr>
        <w:t xml:space="preserve"> instead of the symptoms (vision colour abnormal, decrease visual acuity, blindness on right, etc.). You can add </w:t>
      </w:r>
      <w:r w:rsidR="00652A0C" w:rsidRPr="006D41BF">
        <w:rPr>
          <w:lang/>
        </w:rPr>
        <w:t xml:space="preserve">lateralization and </w:t>
      </w:r>
      <w:r w:rsidRPr="006D41BF">
        <w:rPr>
          <w:lang/>
        </w:rPr>
        <w:t xml:space="preserve">adjectives as needed, e.g. </w:t>
      </w:r>
      <w:r w:rsidR="00652A0C" w:rsidRPr="006D41BF">
        <w:rPr>
          <w:lang/>
        </w:rPr>
        <w:t>Optic neuritis bilateral</w:t>
      </w:r>
      <w:r w:rsidRPr="006D41BF">
        <w:rPr>
          <w:lang/>
        </w:rPr>
        <w:t>.</w:t>
      </w:r>
      <w:r w:rsidR="00651785" w:rsidRPr="006D41BF">
        <w:rPr>
          <w:lang/>
        </w:rPr>
        <w:t xml:space="preserve"> </w:t>
      </w:r>
    </w:p>
    <w:p w14:paraId="52EC523C" w14:textId="362A2762" w:rsidR="006C31BC" w:rsidRPr="006D41BF" w:rsidRDefault="00651785" w:rsidP="006C31BC">
      <w:pPr>
        <w:jc w:val="both"/>
        <w:rPr>
          <w:lang/>
        </w:rPr>
      </w:pPr>
      <w:r w:rsidRPr="006D41BF">
        <w:rPr>
          <w:lang/>
        </w:rPr>
        <w:t xml:space="preserve">If </w:t>
      </w:r>
      <w:r w:rsidR="0007021C" w:rsidRPr="006D41BF">
        <w:rPr>
          <w:lang/>
        </w:rPr>
        <w:t>patient is not colour blind at baseline and the Ichihara</w:t>
      </w:r>
      <w:r w:rsidRPr="006D41BF">
        <w:rPr>
          <w:lang/>
        </w:rPr>
        <w:t xml:space="preserve"> test </w:t>
      </w:r>
      <w:r w:rsidR="0007021C" w:rsidRPr="006D41BF">
        <w:rPr>
          <w:lang/>
        </w:rPr>
        <w:t>becomes</w:t>
      </w:r>
      <w:r w:rsidRPr="006D41BF">
        <w:rPr>
          <w:lang/>
        </w:rPr>
        <w:t xml:space="preserve"> abnormal</w:t>
      </w:r>
      <w:r w:rsidR="0007021C" w:rsidRPr="006D41BF">
        <w:rPr>
          <w:lang/>
        </w:rPr>
        <w:t>,</w:t>
      </w:r>
      <w:r w:rsidRPr="006D41BF">
        <w:rPr>
          <w:lang/>
        </w:rPr>
        <w:t xml:space="preserve"> it is an early indicator of </w:t>
      </w:r>
      <w:r w:rsidR="008B6FE5" w:rsidRPr="006D41BF">
        <w:rPr>
          <w:lang/>
        </w:rPr>
        <w:t>possible</w:t>
      </w:r>
      <w:r w:rsidR="0007021C" w:rsidRPr="006D41BF">
        <w:rPr>
          <w:lang/>
        </w:rPr>
        <w:t xml:space="preserve"> </w:t>
      </w:r>
      <w:r w:rsidRPr="006D41BF">
        <w:rPr>
          <w:lang/>
        </w:rPr>
        <w:t>optic neuritis</w:t>
      </w:r>
      <w:r w:rsidR="00276424" w:rsidRPr="006D41BF">
        <w:rPr>
          <w:lang/>
        </w:rPr>
        <w:t xml:space="preserve">, but </w:t>
      </w:r>
      <w:r w:rsidR="00F86812" w:rsidRPr="006D41BF">
        <w:rPr>
          <w:lang/>
        </w:rPr>
        <w:t>visual acuity (not number of plates) allow for the grading of optic neuritis.</w:t>
      </w:r>
    </w:p>
    <w:p w14:paraId="4F1BB677" w14:textId="0613E059" w:rsidR="00652A0C" w:rsidRPr="006D41BF" w:rsidRDefault="00652A0C" w:rsidP="0011188C">
      <w:pPr>
        <w:jc w:val="both"/>
        <w:rPr>
          <w:lang/>
        </w:rPr>
      </w:pPr>
      <w:r w:rsidRPr="006D41BF">
        <w:rPr>
          <w:b/>
          <w:u w:val="single"/>
          <w:lang/>
        </w:rPr>
        <w:t>How to report if we are not sure or pending investigations?</w:t>
      </w:r>
      <w:r w:rsidRPr="006D41BF">
        <w:rPr>
          <w:lang/>
        </w:rPr>
        <w:t xml:space="preserve"> Please do not wait to test </w:t>
      </w:r>
      <w:r w:rsidR="00A81973" w:rsidRPr="006D41BF">
        <w:rPr>
          <w:lang/>
        </w:rPr>
        <w:t xml:space="preserve">to </w:t>
      </w:r>
      <w:r w:rsidRPr="006D41BF">
        <w:rPr>
          <w:lang/>
        </w:rPr>
        <w:t>confirm your suspicions. If the investigations are not conclusive but you still suspect optic neuritis</w:t>
      </w:r>
      <w:r w:rsidR="0011188C" w:rsidRPr="006D41BF">
        <w:rPr>
          <w:lang/>
        </w:rPr>
        <w:t xml:space="preserve"> and visual acuity is impacted (worse than 20/40)</w:t>
      </w:r>
      <w:r w:rsidRPr="006D41BF">
        <w:rPr>
          <w:lang/>
        </w:rPr>
        <w:t>, please report.</w:t>
      </w:r>
      <w:r w:rsidR="00080B1D" w:rsidRPr="006D41BF">
        <w:rPr>
          <w:lang/>
        </w:rPr>
        <w:t xml:space="preserve"> If another cause is found later, we can change the AE status at this stage.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80"/>
        <w:gridCol w:w="1780"/>
        <w:gridCol w:w="1827"/>
        <w:gridCol w:w="1827"/>
      </w:tblGrid>
      <w:tr w:rsidR="00CA1B48" w:rsidRPr="006D41BF" w14:paraId="54789A39" w14:textId="77777777" w:rsidTr="00CA1B48">
        <w:trPr>
          <w:trHeight w:val="67"/>
        </w:trPr>
        <w:tc>
          <w:tcPr>
            <w:tcW w:w="1020" w:type="pct"/>
            <w:vMerge w:val="restart"/>
            <w:shd w:val="clear" w:color="auto" w:fill="auto"/>
            <w:noWrap/>
          </w:tcPr>
          <w:p w14:paraId="7533D7EE" w14:textId="0C84F0E6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Condition term</w:t>
            </w:r>
          </w:p>
        </w:tc>
        <w:tc>
          <w:tcPr>
            <w:tcW w:w="1964" w:type="pct"/>
            <w:gridSpan w:val="2"/>
            <w:shd w:val="clear" w:color="auto" w:fill="auto"/>
          </w:tcPr>
          <w:p w14:paraId="60EFCA75" w14:textId="39B12C50" w:rsidR="00CA1B48" w:rsidRPr="006D41BF" w:rsidRDefault="00CA1B48" w:rsidP="00CA1B4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NOT AESI</w:t>
            </w:r>
          </w:p>
        </w:tc>
        <w:tc>
          <w:tcPr>
            <w:tcW w:w="2016" w:type="pct"/>
            <w:gridSpan w:val="2"/>
            <w:shd w:val="clear" w:color="auto" w:fill="FDE9D9" w:themeFill="accent6" w:themeFillTint="33"/>
          </w:tcPr>
          <w:p w14:paraId="6A36D43A" w14:textId="5CFDCFC1" w:rsidR="00CA1B48" w:rsidRPr="006D41BF" w:rsidRDefault="00CA1B48" w:rsidP="00CA1B4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AESI</w:t>
            </w:r>
          </w:p>
        </w:tc>
      </w:tr>
      <w:tr w:rsidR="00CA1B48" w:rsidRPr="006D41BF" w14:paraId="6400A452" w14:textId="77777777" w:rsidTr="00CA1B48">
        <w:trPr>
          <w:trHeight w:val="67"/>
        </w:trPr>
        <w:tc>
          <w:tcPr>
            <w:tcW w:w="1020" w:type="pct"/>
            <w:vMerge/>
            <w:shd w:val="clear" w:color="auto" w:fill="auto"/>
            <w:noWrap/>
            <w:hideMark/>
          </w:tcPr>
          <w:p w14:paraId="31C15ECA" w14:textId="67043C93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982" w:type="pct"/>
            <w:shd w:val="clear" w:color="auto" w:fill="auto"/>
            <w:hideMark/>
          </w:tcPr>
          <w:p w14:paraId="625E3C4E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1</w:t>
            </w:r>
          </w:p>
        </w:tc>
        <w:tc>
          <w:tcPr>
            <w:tcW w:w="982" w:type="pct"/>
            <w:shd w:val="clear" w:color="auto" w:fill="auto"/>
            <w:hideMark/>
          </w:tcPr>
          <w:p w14:paraId="543C5CC5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2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2ABFC2A4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3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99AD596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4</w:t>
            </w:r>
          </w:p>
        </w:tc>
      </w:tr>
      <w:tr w:rsidR="00CA1B48" w:rsidRPr="006D41BF" w14:paraId="50FC6A8F" w14:textId="77777777" w:rsidTr="00CA1B48">
        <w:trPr>
          <w:trHeight w:val="735"/>
        </w:trPr>
        <w:tc>
          <w:tcPr>
            <w:tcW w:w="1020" w:type="pct"/>
            <w:shd w:val="clear" w:color="auto" w:fill="auto"/>
            <w:hideMark/>
          </w:tcPr>
          <w:p w14:paraId="07ACCCE9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Optic Nerve Disorder</w:t>
            </w:r>
          </w:p>
        </w:tc>
        <w:tc>
          <w:tcPr>
            <w:tcW w:w="982" w:type="pct"/>
            <w:shd w:val="clear" w:color="auto" w:fill="auto"/>
            <w:hideMark/>
          </w:tcPr>
          <w:p w14:paraId="0B3DC86F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Asymptomatic; clinical or diagnostic observations only</w:t>
            </w:r>
          </w:p>
        </w:tc>
        <w:tc>
          <w:tcPr>
            <w:tcW w:w="982" w:type="pct"/>
            <w:shd w:val="clear" w:color="auto" w:fill="auto"/>
            <w:hideMark/>
          </w:tcPr>
          <w:p w14:paraId="5C3F103B" w14:textId="23717D19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Limiting vision of the affected eye (20/40 [6/12</w:t>
            </w:r>
            <w:r w:rsidR="007E2011" w:rsidRP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; 7</w:t>
            </w:r>
            <w:r w:rsid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0%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] or better)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7A5E9354" w14:textId="6436C005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Limiting vision in the affected eye (worse than 20/40 [6/12</w:t>
            </w:r>
            <w:r w:rsidR="007E2011" w:rsidRP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; </w:t>
            </w:r>
            <w:r w:rsid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70%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] but better than 20/200 [6/60</w:t>
            </w:r>
            <w:r w:rsid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 </w:t>
            </w:r>
            <w:r w:rsidR="007E2011" w:rsidRP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;</w:t>
            </w:r>
            <w:r w:rsid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 10%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])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946ECF0" w14:textId="185C52B6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Blindness (20/200 [6/</w:t>
            </w:r>
            <w:r w:rsidR="007E2011"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60</w:t>
            </w:r>
            <w:r w:rsid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;</w:t>
            </w:r>
            <w:r w:rsidR="007E2011" w:rsidRPr="007E2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 10%</w:t>
            </w: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] or worse) in the affected eye</w:t>
            </w:r>
          </w:p>
        </w:tc>
      </w:tr>
    </w:tbl>
    <w:p w14:paraId="7E90D2B4" w14:textId="46C33624" w:rsidR="0011188C" w:rsidRPr="006D41BF" w:rsidRDefault="00F72091" w:rsidP="0011188C">
      <w:pPr>
        <w:pStyle w:val="Heading3"/>
        <w:rPr>
          <w:lang/>
        </w:rPr>
      </w:pPr>
      <w:r w:rsidRPr="006D41BF">
        <w:rPr>
          <w:lang/>
        </w:rPr>
        <w:lastRenderedPageBreak/>
        <w:t>Hepatotoxicity</w:t>
      </w:r>
    </w:p>
    <w:p w14:paraId="14F02CAB" w14:textId="57AA69EE" w:rsidR="0011188C" w:rsidRPr="006D41BF" w:rsidRDefault="00080B1D" w:rsidP="00651FBD">
      <w:pPr>
        <w:jc w:val="both"/>
        <w:rPr>
          <w:lang/>
        </w:rPr>
      </w:pPr>
      <w:r w:rsidRPr="006D41BF">
        <w:rPr>
          <w:lang/>
        </w:rPr>
        <w:t>The grade should be checked for blood biochemistry abnormalities after each test (scheduled or unscheduled)</w:t>
      </w:r>
      <w:r w:rsidR="00A81973" w:rsidRPr="006D41BF">
        <w:rPr>
          <w:lang/>
        </w:rPr>
        <w:t>.</w:t>
      </w:r>
      <w:r w:rsidRPr="006D41BF">
        <w:rPr>
          <w:lang/>
        </w:rPr>
        <w:t xml:space="preserve"> Verify if </w:t>
      </w:r>
      <w:r w:rsidR="00E36404" w:rsidRPr="006D41BF">
        <w:rPr>
          <w:lang/>
        </w:rPr>
        <w:t>liver function test results</w:t>
      </w:r>
      <w:r w:rsidRPr="006D41BF">
        <w:rPr>
          <w:lang/>
        </w:rPr>
        <w:t xml:space="preserve"> match the AESI definition:</w:t>
      </w:r>
    </w:p>
    <w:p w14:paraId="15FDD8CD" w14:textId="2314AF7A" w:rsidR="00224295" w:rsidRPr="006D41BF" w:rsidRDefault="00224295" w:rsidP="00651FBD">
      <w:pPr>
        <w:jc w:val="both"/>
        <w:rPr>
          <w:lang/>
        </w:rPr>
      </w:pPr>
      <w:r w:rsidRPr="006D41BF">
        <w:rPr>
          <w:lang/>
        </w:rPr>
        <w:t>In endTB-Q and endTB protocol version 3+:</w:t>
      </w:r>
    </w:p>
    <w:p w14:paraId="4703D96A" w14:textId="6B9C904B" w:rsidR="00F72091" w:rsidRPr="006D41BF" w:rsidRDefault="00600CF7" w:rsidP="00600CF7">
      <w:pPr>
        <w:pStyle w:val="ListParagraph"/>
        <w:numPr>
          <w:ilvl w:val="0"/>
          <w:numId w:val="4"/>
        </w:numPr>
        <w:contextualSpacing w:val="0"/>
        <w:rPr>
          <w:lang/>
        </w:rPr>
      </w:pPr>
      <w:r w:rsidRPr="006D41BF">
        <w:rPr>
          <w:lang/>
        </w:rPr>
        <w:t>I</w:t>
      </w:r>
      <w:r w:rsidR="00F72091" w:rsidRPr="006D41BF">
        <w:rPr>
          <w:lang/>
        </w:rPr>
        <w:t>ncreases in ALT or AST</w:t>
      </w:r>
      <w:r w:rsidR="0011188C" w:rsidRPr="006D41BF">
        <w:rPr>
          <w:lang/>
        </w:rPr>
        <w:t xml:space="preserve"> </w:t>
      </w:r>
      <w:r w:rsidR="00F72091" w:rsidRPr="006D41BF">
        <w:rPr>
          <w:lang/>
        </w:rPr>
        <w:t>≥5x ULN</w:t>
      </w:r>
      <w:r w:rsidR="0011188C" w:rsidRPr="006D41BF">
        <w:rPr>
          <w:lang/>
        </w:rPr>
        <w:t>.</w:t>
      </w:r>
    </w:p>
    <w:p w14:paraId="70587731" w14:textId="2E1E7EBB" w:rsidR="00224295" w:rsidRPr="006D41BF" w:rsidRDefault="00224295" w:rsidP="00224295">
      <w:pPr>
        <w:rPr>
          <w:lang/>
        </w:rPr>
      </w:pPr>
      <w:r w:rsidRPr="006D41BF">
        <w:rPr>
          <w:lang/>
        </w:rPr>
        <w:t>In endTB protocol versions 1-2:</w:t>
      </w:r>
    </w:p>
    <w:p w14:paraId="3275AD2F" w14:textId="62822CC4" w:rsidR="00E36404" w:rsidRPr="006D41BF" w:rsidRDefault="00E36404" w:rsidP="00E36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217"/>
        <w:rPr>
          <w:rFonts w:ascii="Calibri" w:hAnsi="Calibri" w:cs="Calibri"/>
          <w:color w:val="000000"/>
          <w:lang/>
        </w:rPr>
      </w:pPr>
      <w:r w:rsidRPr="006D41BF">
        <w:rPr>
          <w:rFonts w:ascii="Calibri" w:hAnsi="Calibri" w:cs="Calibri"/>
          <w:color w:val="000000"/>
          <w:lang/>
        </w:rPr>
        <w:t xml:space="preserve">increases in ALT or AST ≥5x ULN, </w:t>
      </w:r>
    </w:p>
    <w:p w14:paraId="6781B0CC" w14:textId="72FF862E" w:rsidR="00E36404" w:rsidRPr="006D41BF" w:rsidRDefault="00E36404" w:rsidP="00E36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217"/>
        <w:rPr>
          <w:rFonts w:ascii="Calibri" w:hAnsi="Calibri" w:cs="Calibri"/>
          <w:color w:val="000000"/>
          <w:lang/>
        </w:rPr>
      </w:pPr>
      <w:r w:rsidRPr="006D41BF">
        <w:rPr>
          <w:rFonts w:ascii="Calibri" w:hAnsi="Calibri" w:cs="Calibri"/>
          <w:color w:val="000000"/>
          <w:lang/>
        </w:rPr>
        <w:t xml:space="preserve">increases in ALT or AST ≥3x ULN with clinical manifestations, or </w:t>
      </w:r>
    </w:p>
    <w:p w14:paraId="7568824F" w14:textId="63773BB3" w:rsidR="00E36404" w:rsidRPr="006D41BF" w:rsidRDefault="00E36404" w:rsidP="00E36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lang/>
        </w:rPr>
      </w:pPr>
      <w:r w:rsidRPr="006D41BF">
        <w:rPr>
          <w:rFonts w:ascii="Calibri" w:hAnsi="Calibri" w:cs="Calibri"/>
          <w:color w:val="000000"/>
          <w:lang/>
        </w:rPr>
        <w:t xml:space="preserve">increases in ALT or AST ≥3x ULN with concomitant increase in bilirubin [total bilirubin] ≥1.5 x ULN. </w:t>
      </w:r>
    </w:p>
    <w:p w14:paraId="372306B9" w14:textId="77777777" w:rsidR="00D43A88" w:rsidRPr="006D41BF" w:rsidRDefault="00D43A88" w:rsidP="00D43A88">
      <w:pPr>
        <w:jc w:val="both"/>
        <w:rPr>
          <w:lang/>
        </w:rPr>
      </w:pPr>
      <w:r w:rsidRPr="006D41BF">
        <w:rPr>
          <w:b/>
          <w:u w:val="single"/>
          <w:lang/>
        </w:rPr>
        <w:t>What if I think it is a lab error?</w:t>
      </w:r>
      <w:r w:rsidRPr="006D41BF">
        <w:rPr>
          <w:b/>
          <w:lang/>
        </w:rPr>
        <w:t xml:space="preserve"> </w:t>
      </w:r>
      <w:r w:rsidRPr="006D41BF">
        <w:rPr>
          <w:lang/>
        </w:rPr>
        <w:t xml:space="preserve"> If you have doubts about the lab results, please re-order a test as soon as possible to confirm the results and report if the abnormality is confirmed. If the re-test cannot be done immediately, please report. If it was a lab error then the result is invalid, not recordable, not reportable and will be discarded as an AE/AESI.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80"/>
        <w:gridCol w:w="1780"/>
        <w:gridCol w:w="1827"/>
        <w:gridCol w:w="1827"/>
      </w:tblGrid>
      <w:tr w:rsidR="00CA1B48" w:rsidRPr="006D41BF" w14:paraId="206EDD84" w14:textId="77777777" w:rsidTr="00CA1B48">
        <w:trPr>
          <w:trHeight w:val="78"/>
        </w:trPr>
        <w:tc>
          <w:tcPr>
            <w:tcW w:w="1020" w:type="pct"/>
            <w:vMerge w:val="restart"/>
            <w:shd w:val="clear" w:color="auto" w:fill="auto"/>
            <w:noWrap/>
          </w:tcPr>
          <w:p w14:paraId="2A9988A9" w14:textId="3B47D710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Condition term</w:t>
            </w:r>
          </w:p>
        </w:tc>
        <w:tc>
          <w:tcPr>
            <w:tcW w:w="1964" w:type="pct"/>
            <w:gridSpan w:val="2"/>
            <w:shd w:val="clear" w:color="auto" w:fill="auto"/>
          </w:tcPr>
          <w:p w14:paraId="623AA2A5" w14:textId="6094DF7B" w:rsidR="00CA1B48" w:rsidRPr="006D41BF" w:rsidRDefault="00CA1B48" w:rsidP="006D41B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NOT AESI</w:t>
            </w:r>
          </w:p>
        </w:tc>
        <w:tc>
          <w:tcPr>
            <w:tcW w:w="2016" w:type="pct"/>
            <w:gridSpan w:val="2"/>
            <w:shd w:val="clear" w:color="auto" w:fill="FDE9D9" w:themeFill="accent6" w:themeFillTint="33"/>
          </w:tcPr>
          <w:p w14:paraId="571D7719" w14:textId="4A4E5D48" w:rsidR="00CA1B48" w:rsidRPr="006D41BF" w:rsidRDefault="00CA1B48" w:rsidP="006D41B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AESI</w:t>
            </w:r>
          </w:p>
        </w:tc>
      </w:tr>
      <w:tr w:rsidR="00CA1B48" w:rsidRPr="006D41BF" w14:paraId="55714926" w14:textId="77777777" w:rsidTr="00CA1B48">
        <w:trPr>
          <w:trHeight w:val="78"/>
        </w:trPr>
        <w:tc>
          <w:tcPr>
            <w:tcW w:w="1020" w:type="pct"/>
            <w:vMerge/>
            <w:shd w:val="clear" w:color="auto" w:fill="auto"/>
            <w:noWrap/>
            <w:hideMark/>
          </w:tcPr>
          <w:p w14:paraId="55C5B5CE" w14:textId="16D46DF0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982" w:type="pct"/>
            <w:shd w:val="clear" w:color="auto" w:fill="auto"/>
            <w:hideMark/>
          </w:tcPr>
          <w:p w14:paraId="1CDC8E6F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1</w:t>
            </w:r>
          </w:p>
        </w:tc>
        <w:tc>
          <w:tcPr>
            <w:tcW w:w="982" w:type="pct"/>
            <w:shd w:val="clear" w:color="auto" w:fill="auto"/>
            <w:hideMark/>
          </w:tcPr>
          <w:p w14:paraId="5450EFB2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2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008626B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3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1CB48C26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H"/>
              </w:rPr>
              <w:t>Grade 4</w:t>
            </w:r>
          </w:p>
        </w:tc>
      </w:tr>
      <w:tr w:rsidR="00CA1B48" w:rsidRPr="006D41BF" w14:paraId="3A1FE44E" w14:textId="77777777" w:rsidTr="00CA1B48">
        <w:trPr>
          <w:trHeight w:val="750"/>
        </w:trPr>
        <w:tc>
          <w:tcPr>
            <w:tcW w:w="1020" w:type="pct"/>
            <w:shd w:val="clear" w:color="auto" w:fill="auto"/>
            <w:hideMark/>
          </w:tcPr>
          <w:p w14:paraId="520F5BFA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Alanine Aminotransferase (ALT or SGPT) Increased</w:t>
            </w:r>
          </w:p>
        </w:tc>
        <w:tc>
          <w:tcPr>
            <w:tcW w:w="982" w:type="pct"/>
            <w:shd w:val="clear" w:color="auto" w:fill="auto"/>
            <w:hideMark/>
          </w:tcPr>
          <w:p w14:paraId="3248594B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&gt;ULN - 3.0 x ULN</w:t>
            </w:r>
          </w:p>
        </w:tc>
        <w:tc>
          <w:tcPr>
            <w:tcW w:w="982" w:type="pct"/>
            <w:shd w:val="clear" w:color="auto" w:fill="auto"/>
            <w:hideMark/>
          </w:tcPr>
          <w:p w14:paraId="1C965310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&gt;3.0 - 5.0 x ULN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DFD44DC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&gt;5.0 - 20.0 x ULN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084780AB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&gt;20.0 x ULN</w:t>
            </w:r>
          </w:p>
        </w:tc>
      </w:tr>
      <w:tr w:rsidR="00CA1B48" w:rsidRPr="006D41BF" w14:paraId="466B64A1" w14:textId="77777777" w:rsidTr="00CA1B48">
        <w:trPr>
          <w:trHeight w:val="810"/>
        </w:trPr>
        <w:tc>
          <w:tcPr>
            <w:tcW w:w="1020" w:type="pct"/>
            <w:shd w:val="clear" w:color="auto" w:fill="auto"/>
            <w:hideMark/>
          </w:tcPr>
          <w:p w14:paraId="74866969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Aspartate Aminotransferase (AST or SGOT) Increased</w:t>
            </w:r>
          </w:p>
        </w:tc>
        <w:tc>
          <w:tcPr>
            <w:tcW w:w="982" w:type="pct"/>
            <w:shd w:val="clear" w:color="auto" w:fill="auto"/>
            <w:hideMark/>
          </w:tcPr>
          <w:p w14:paraId="6386E29E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&gt;ULN - 3.0 x ULN</w:t>
            </w:r>
          </w:p>
        </w:tc>
        <w:tc>
          <w:tcPr>
            <w:tcW w:w="982" w:type="pct"/>
            <w:shd w:val="clear" w:color="auto" w:fill="auto"/>
            <w:hideMark/>
          </w:tcPr>
          <w:p w14:paraId="48B0C2CE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&gt;3.0 - 5.0 x ULN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02E38E5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&gt;5.0 - 20.0 x ULN</w:t>
            </w:r>
          </w:p>
        </w:tc>
        <w:tc>
          <w:tcPr>
            <w:tcW w:w="1008" w:type="pct"/>
            <w:shd w:val="clear" w:color="auto" w:fill="FDE9D9" w:themeFill="accent6" w:themeFillTint="33"/>
            <w:hideMark/>
          </w:tcPr>
          <w:p w14:paraId="48497DC9" w14:textId="77777777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&gt;20.0 x ULN</w:t>
            </w:r>
          </w:p>
        </w:tc>
      </w:tr>
      <w:tr w:rsidR="00CA1B48" w:rsidRPr="006D41BF" w14:paraId="78A75894" w14:textId="77777777" w:rsidTr="00CA1B48">
        <w:trPr>
          <w:trHeight w:val="810"/>
        </w:trPr>
        <w:tc>
          <w:tcPr>
            <w:tcW w:w="1020" w:type="pct"/>
            <w:shd w:val="clear" w:color="auto" w:fill="auto"/>
          </w:tcPr>
          <w:p w14:paraId="589A3142" w14:textId="36C45C60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Hyperbilirubinemia </w:t>
            </w:r>
            <w:r w:rsidRPr="006D41B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H"/>
              </w:rPr>
              <w:t>(for endTB protocol versions 1-2)</w:t>
            </w:r>
          </w:p>
        </w:tc>
        <w:tc>
          <w:tcPr>
            <w:tcW w:w="982" w:type="pct"/>
            <w:shd w:val="clear" w:color="auto" w:fill="auto"/>
          </w:tcPr>
          <w:p w14:paraId="2E609469" w14:textId="2EEAC24C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 xml:space="preserve">&gt;ULN - 1.5 x ULN </w:t>
            </w:r>
          </w:p>
        </w:tc>
        <w:tc>
          <w:tcPr>
            <w:tcW w:w="982" w:type="pct"/>
            <w:shd w:val="clear" w:color="auto" w:fill="auto"/>
          </w:tcPr>
          <w:p w14:paraId="4A2A4082" w14:textId="7F2CB319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&gt;1.5 - 3.0 x ULN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51F99630" w14:textId="0DA0C6BC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&gt;3.0 - 10.0 x ULN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6F039CE8" w14:textId="60BE0391" w:rsidR="00CA1B48" w:rsidRPr="006D41BF" w:rsidRDefault="00CA1B48" w:rsidP="00CA1B4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</w:pPr>
            <w:r w:rsidRPr="006D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H"/>
              </w:rPr>
              <w:t>&gt;10.0 x ULN</w:t>
            </w:r>
          </w:p>
        </w:tc>
      </w:tr>
    </w:tbl>
    <w:p w14:paraId="210061D0" w14:textId="77777777" w:rsidR="0011188C" w:rsidRPr="006D41BF" w:rsidRDefault="0011188C" w:rsidP="00F72091">
      <w:pPr>
        <w:rPr>
          <w:lang/>
        </w:rPr>
      </w:pPr>
    </w:p>
    <w:sectPr w:rsidR="0011188C" w:rsidRPr="006D41B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6EF5" w14:textId="77777777" w:rsidR="000C69C3" w:rsidRDefault="000C69C3" w:rsidP="00080B1D">
      <w:pPr>
        <w:spacing w:after="0"/>
      </w:pPr>
      <w:r>
        <w:separator/>
      </w:r>
    </w:p>
  </w:endnote>
  <w:endnote w:type="continuationSeparator" w:id="0">
    <w:p w14:paraId="6BAC2086" w14:textId="77777777" w:rsidR="000C69C3" w:rsidRDefault="000C69C3" w:rsidP="00080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39626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7DAC25" w14:textId="77777777" w:rsidR="00153F64" w:rsidRDefault="00153F64" w:rsidP="00153F64">
            <w:pPr>
              <w:pStyle w:val="Footer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153F64">
              <w:rPr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153F64">
              <w:rPr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53F64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153F64">
              <w:rPr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153F64">
              <w:rPr>
                <w:sz w:val="18"/>
                <w:szCs w:val="18"/>
                <w:lang w:val="en-US"/>
              </w:rPr>
              <w:t xml:space="preserve"> </w:t>
            </w:r>
            <w:hyperlink r:id="rId2" w:history="1">
              <w:r w:rsidRPr="00153F64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153F64">
              <w:rPr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5115F5A5" w14:textId="77777777" w:rsidR="00FB5250" w:rsidRPr="00153F64" w:rsidRDefault="00FB5250" w:rsidP="00153F64">
            <w:pPr>
              <w:pStyle w:val="Footer"/>
              <w:jc w:val="both"/>
              <w:rPr>
                <w:i/>
                <w:iCs/>
                <w:sz w:val="18"/>
                <w:szCs w:val="18"/>
                <w:lang w:val="en-US"/>
              </w:rPr>
            </w:pPr>
          </w:p>
          <w:p w14:paraId="1BA87F98" w14:textId="5341EB3F" w:rsidR="00080B1D" w:rsidRDefault="00080B1D" w:rsidP="00153F64">
            <w:pPr>
              <w:pStyle w:val="Footer"/>
              <w:jc w:val="center"/>
            </w:pPr>
            <w:r w:rsidRPr="00080B1D">
              <w:rPr>
                <w:sz w:val="20"/>
              </w:rPr>
              <w:t xml:space="preserve">Page </w:t>
            </w:r>
            <w:r w:rsidRPr="00080B1D">
              <w:rPr>
                <w:b/>
                <w:bCs/>
                <w:szCs w:val="24"/>
              </w:rPr>
              <w:fldChar w:fldCharType="begin"/>
            </w:r>
            <w:r w:rsidRPr="00080B1D">
              <w:rPr>
                <w:b/>
                <w:bCs/>
                <w:sz w:val="20"/>
              </w:rPr>
              <w:instrText xml:space="preserve"> PAGE </w:instrText>
            </w:r>
            <w:r w:rsidRPr="00080B1D">
              <w:rPr>
                <w:b/>
                <w:bCs/>
                <w:szCs w:val="24"/>
              </w:rPr>
              <w:fldChar w:fldCharType="separate"/>
            </w:r>
            <w:r w:rsidR="00B3352F">
              <w:rPr>
                <w:b/>
                <w:bCs/>
                <w:noProof/>
                <w:sz w:val="20"/>
              </w:rPr>
              <w:t>3</w:t>
            </w:r>
            <w:r w:rsidRPr="00080B1D">
              <w:rPr>
                <w:b/>
                <w:bCs/>
                <w:szCs w:val="24"/>
              </w:rPr>
              <w:fldChar w:fldCharType="end"/>
            </w:r>
            <w:r w:rsidRPr="00080B1D">
              <w:rPr>
                <w:sz w:val="20"/>
              </w:rPr>
              <w:t xml:space="preserve"> of </w:t>
            </w:r>
            <w:r w:rsidRPr="00080B1D">
              <w:rPr>
                <w:b/>
                <w:bCs/>
                <w:szCs w:val="24"/>
              </w:rPr>
              <w:fldChar w:fldCharType="begin"/>
            </w:r>
            <w:r w:rsidRPr="00080B1D">
              <w:rPr>
                <w:b/>
                <w:bCs/>
                <w:sz w:val="20"/>
              </w:rPr>
              <w:instrText xml:space="preserve"> NUMPAGES  </w:instrText>
            </w:r>
            <w:r w:rsidRPr="00080B1D">
              <w:rPr>
                <w:b/>
                <w:bCs/>
                <w:szCs w:val="24"/>
              </w:rPr>
              <w:fldChar w:fldCharType="separate"/>
            </w:r>
            <w:r w:rsidR="00B3352F">
              <w:rPr>
                <w:b/>
                <w:bCs/>
                <w:noProof/>
                <w:sz w:val="20"/>
              </w:rPr>
              <w:t>3</w:t>
            </w:r>
            <w:r w:rsidRPr="00080B1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BD49" w14:textId="77777777" w:rsidR="000C69C3" w:rsidRDefault="000C69C3" w:rsidP="00080B1D">
      <w:pPr>
        <w:spacing w:after="0"/>
      </w:pPr>
      <w:r>
        <w:separator/>
      </w:r>
    </w:p>
  </w:footnote>
  <w:footnote w:type="continuationSeparator" w:id="0">
    <w:p w14:paraId="3E6E6948" w14:textId="77777777" w:rsidR="000C69C3" w:rsidRDefault="000C69C3" w:rsidP="00080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B5250" w14:paraId="0B02053B" w14:textId="77777777" w:rsidTr="00FB5250">
      <w:tc>
        <w:tcPr>
          <w:tcW w:w="3020" w:type="dxa"/>
        </w:tcPr>
        <w:p w14:paraId="68521602" w14:textId="34EACBE4" w:rsidR="00FB5250" w:rsidRPr="00FB5250" w:rsidRDefault="00FB5250" w:rsidP="00FB5250">
          <w:pPr>
            <w:pStyle w:val="Header"/>
            <w:spacing w:before="0"/>
            <w:rPr>
              <w:iCs/>
              <w:lang w:val="en-US"/>
            </w:rPr>
          </w:pPr>
          <w:r w:rsidRPr="00FB5250">
            <w:rPr>
              <w:iCs/>
              <w:lang w:val="en-US"/>
            </w:rPr>
            <w:t>endTB clinical trials</w:t>
          </w:r>
        </w:p>
      </w:tc>
      <w:tc>
        <w:tcPr>
          <w:tcW w:w="3021" w:type="dxa"/>
        </w:tcPr>
        <w:p w14:paraId="30232BC3" w14:textId="23FF8D96" w:rsidR="00FB5250" w:rsidRPr="00FB5250" w:rsidRDefault="00FB5250" w:rsidP="00FB5250">
          <w:pPr>
            <w:pStyle w:val="Header"/>
            <w:spacing w:before="0"/>
            <w:rPr>
              <w:iCs/>
              <w:lang w:val="en-US"/>
            </w:rPr>
          </w:pPr>
          <w:r w:rsidRPr="00FB5250">
            <w:rPr>
              <w:iCs/>
              <w:lang w:val="en-US"/>
            </w:rPr>
            <w:t>How to identify easily AESI?</w:t>
          </w:r>
        </w:p>
      </w:tc>
      <w:tc>
        <w:tcPr>
          <w:tcW w:w="3021" w:type="dxa"/>
        </w:tcPr>
        <w:p w14:paraId="505293EF" w14:textId="5D8FDD43" w:rsidR="00FB5250" w:rsidRPr="00FB5250" w:rsidRDefault="00FB5250" w:rsidP="00FB5250">
          <w:pPr>
            <w:pStyle w:val="Header"/>
            <w:spacing w:before="0"/>
            <w:jc w:val="right"/>
            <w:rPr>
              <w:iCs/>
              <w:lang w:val="en-US"/>
            </w:rPr>
          </w:pPr>
          <w:r w:rsidRPr="00FB5250">
            <w:rPr>
              <w:iCs/>
              <w:lang w:val="en-US"/>
            </w:rPr>
            <w:t>Version 2.0, 10-Jul-2020</w:t>
          </w:r>
        </w:p>
      </w:tc>
    </w:tr>
  </w:tbl>
  <w:p w14:paraId="1DE76758" w14:textId="4070E52F" w:rsidR="00FB5250" w:rsidRPr="00FB5250" w:rsidRDefault="00FB5250" w:rsidP="00FB5250">
    <w:pPr>
      <w:pStyle w:val="Header"/>
      <w:spacing w:before="0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B05AB"/>
    <w:multiLevelType w:val="hybridMultilevel"/>
    <w:tmpl w:val="B8C273C8"/>
    <w:lvl w:ilvl="0" w:tplc="868C3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6A49"/>
    <w:multiLevelType w:val="hybridMultilevel"/>
    <w:tmpl w:val="72C8EE7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F021B"/>
    <w:multiLevelType w:val="hybridMultilevel"/>
    <w:tmpl w:val="E53AA5F6"/>
    <w:lvl w:ilvl="0" w:tplc="5540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679F"/>
    <w:multiLevelType w:val="hybridMultilevel"/>
    <w:tmpl w:val="FB92C4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5BCB"/>
    <w:multiLevelType w:val="hybridMultilevel"/>
    <w:tmpl w:val="72D24A3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A0ADE"/>
    <w:multiLevelType w:val="hybridMultilevel"/>
    <w:tmpl w:val="694E3068"/>
    <w:lvl w:ilvl="0" w:tplc="BF5CE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0B49"/>
    <w:multiLevelType w:val="hybridMultilevel"/>
    <w:tmpl w:val="6FC68DA2"/>
    <w:lvl w:ilvl="0" w:tplc="11E62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36603">
    <w:abstractNumId w:val="2"/>
  </w:num>
  <w:num w:numId="2" w16cid:durableId="814369548">
    <w:abstractNumId w:val="4"/>
  </w:num>
  <w:num w:numId="3" w16cid:durableId="1466580629">
    <w:abstractNumId w:val="5"/>
  </w:num>
  <w:num w:numId="4" w16cid:durableId="992835552">
    <w:abstractNumId w:val="3"/>
  </w:num>
  <w:num w:numId="5" w16cid:durableId="508983235">
    <w:abstractNumId w:val="6"/>
  </w:num>
  <w:num w:numId="6" w16cid:durableId="1009716969">
    <w:abstractNumId w:val="1"/>
  </w:num>
  <w:num w:numId="7" w16cid:durableId="19787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0F"/>
    <w:rsid w:val="0007021C"/>
    <w:rsid w:val="00080B1D"/>
    <w:rsid w:val="000A29A4"/>
    <w:rsid w:val="000C69C3"/>
    <w:rsid w:val="0011188C"/>
    <w:rsid w:val="00116CA0"/>
    <w:rsid w:val="00153F64"/>
    <w:rsid w:val="00157770"/>
    <w:rsid w:val="00196C28"/>
    <w:rsid w:val="002178A3"/>
    <w:rsid w:val="00224295"/>
    <w:rsid w:val="00234076"/>
    <w:rsid w:val="00276424"/>
    <w:rsid w:val="002B51FB"/>
    <w:rsid w:val="002B5F0A"/>
    <w:rsid w:val="00311C39"/>
    <w:rsid w:val="0032143A"/>
    <w:rsid w:val="003366A5"/>
    <w:rsid w:val="003450A2"/>
    <w:rsid w:val="003A03B3"/>
    <w:rsid w:val="003B2DF7"/>
    <w:rsid w:val="003E595B"/>
    <w:rsid w:val="00442EB6"/>
    <w:rsid w:val="00484175"/>
    <w:rsid w:val="00517104"/>
    <w:rsid w:val="0052549F"/>
    <w:rsid w:val="0052612F"/>
    <w:rsid w:val="005672DD"/>
    <w:rsid w:val="005749E2"/>
    <w:rsid w:val="005B32D2"/>
    <w:rsid w:val="005B510C"/>
    <w:rsid w:val="005C001C"/>
    <w:rsid w:val="005C400B"/>
    <w:rsid w:val="00600CF7"/>
    <w:rsid w:val="0062333C"/>
    <w:rsid w:val="00643DC2"/>
    <w:rsid w:val="00651785"/>
    <w:rsid w:val="00651FBD"/>
    <w:rsid w:val="00652A0C"/>
    <w:rsid w:val="006543C4"/>
    <w:rsid w:val="006C31BC"/>
    <w:rsid w:val="006D41BF"/>
    <w:rsid w:val="0073188B"/>
    <w:rsid w:val="00752C89"/>
    <w:rsid w:val="007E2011"/>
    <w:rsid w:val="008021CA"/>
    <w:rsid w:val="008A18A9"/>
    <w:rsid w:val="008B6FE5"/>
    <w:rsid w:val="00987141"/>
    <w:rsid w:val="0099280F"/>
    <w:rsid w:val="00A26BAF"/>
    <w:rsid w:val="00A34FE0"/>
    <w:rsid w:val="00A454BB"/>
    <w:rsid w:val="00A81973"/>
    <w:rsid w:val="00AE178A"/>
    <w:rsid w:val="00B039DF"/>
    <w:rsid w:val="00B3352F"/>
    <w:rsid w:val="00BE2DA3"/>
    <w:rsid w:val="00C2087A"/>
    <w:rsid w:val="00C24B45"/>
    <w:rsid w:val="00C634A6"/>
    <w:rsid w:val="00CA1B48"/>
    <w:rsid w:val="00CA6E78"/>
    <w:rsid w:val="00D110FB"/>
    <w:rsid w:val="00D354AE"/>
    <w:rsid w:val="00D43A88"/>
    <w:rsid w:val="00DD6116"/>
    <w:rsid w:val="00E36404"/>
    <w:rsid w:val="00E37DC4"/>
    <w:rsid w:val="00E86464"/>
    <w:rsid w:val="00EB2052"/>
    <w:rsid w:val="00EB65DA"/>
    <w:rsid w:val="00F47103"/>
    <w:rsid w:val="00F72091"/>
    <w:rsid w:val="00F86812"/>
    <w:rsid w:val="00FB525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E9AF"/>
  <w15:docId w15:val="{002DC206-903F-478C-864D-FAE2E6D1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2F"/>
    <w:pPr>
      <w:spacing w:before="120" w:after="120" w:line="240" w:lineRule="auto"/>
    </w:pPr>
    <w:rPr>
      <w:lang w:val="en-GB"/>
    </w:rPr>
  </w:style>
  <w:style w:type="paragraph" w:styleId="Heading1">
    <w:name w:val="heading 1"/>
    <w:aliases w:val="H2,h1,H1"/>
    <w:basedOn w:val="Normal"/>
    <w:next w:val="Normal"/>
    <w:link w:val="Heading1Char"/>
    <w:uiPriority w:val="9"/>
    <w:qFormat/>
    <w:rsid w:val="00F72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32348"/>
      <w:sz w:val="28"/>
      <w:szCs w:val="28"/>
    </w:rPr>
  </w:style>
  <w:style w:type="paragraph" w:styleId="Heading2">
    <w:name w:val="heading 2"/>
    <w:aliases w:val="Lev 2,h2,h2 main heading,Section,2m,h 2,body,h2.H2,UNDERRUBRIK 1-2,Attribute Heading 2,test"/>
    <w:basedOn w:val="Normal"/>
    <w:next w:val="Normal"/>
    <w:link w:val="Heading2Char"/>
    <w:uiPriority w:val="9"/>
    <w:unhideWhenUsed/>
    <w:qFormat/>
    <w:rsid w:val="002B5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H3,H31,(Alt+3),h3 sub heading,Head 3,3m,h:3"/>
    <w:basedOn w:val="Normal"/>
    <w:next w:val="Normal"/>
    <w:link w:val="Heading3Char"/>
    <w:uiPriority w:val="9"/>
    <w:unhideWhenUsed/>
    <w:qFormat/>
    <w:rsid w:val="005749E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E36C0A" w:themeColor="accent6" w:themeShade="BF"/>
    </w:rPr>
  </w:style>
  <w:style w:type="paragraph" w:styleId="Heading4">
    <w:name w:val="heading 4"/>
    <w:aliases w:val="h4,4,sub-sub-sub-sect,H4,h4 sub sub heading"/>
    <w:basedOn w:val="Normal"/>
    <w:next w:val="Normal"/>
    <w:link w:val="Heading4Char"/>
    <w:uiPriority w:val="9"/>
    <w:unhideWhenUsed/>
    <w:qFormat/>
    <w:rsid w:val="002B5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F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5F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5F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5F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5F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,h1 Char,H1 Char"/>
    <w:basedOn w:val="DefaultParagraphFont"/>
    <w:link w:val="Heading1"/>
    <w:uiPriority w:val="9"/>
    <w:rsid w:val="00F72091"/>
    <w:rPr>
      <w:rFonts w:asciiTheme="majorHAnsi" w:eastAsiaTheme="majorEastAsia" w:hAnsiTheme="majorHAnsi" w:cstheme="majorBidi"/>
      <w:b/>
      <w:bCs/>
      <w:color w:val="632348"/>
      <w:sz w:val="28"/>
      <w:szCs w:val="28"/>
      <w:lang w:val="en-GB"/>
    </w:rPr>
  </w:style>
  <w:style w:type="character" w:customStyle="1" w:styleId="Heading2Char">
    <w:name w:val="Heading 2 Char"/>
    <w:aliases w:val="Lev 2 Char,h2 Char,h2 main heading Char,Section Char,2m Char,h 2 Char,body Char,h2.H2 Char,UNDERRUBRIK 1-2 Char,Attribute Heading 2 Char,test Char"/>
    <w:basedOn w:val="DefaultParagraphFont"/>
    <w:link w:val="Heading2"/>
    <w:uiPriority w:val="9"/>
    <w:rsid w:val="002B5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,H3 Char,H31 Char,(Alt+3) Char,h3 sub heading Char,Head 3 Char,3m Char,h:3 Char"/>
    <w:basedOn w:val="DefaultParagraphFont"/>
    <w:link w:val="Heading3"/>
    <w:uiPriority w:val="9"/>
    <w:rsid w:val="005749E2"/>
    <w:rPr>
      <w:rFonts w:asciiTheme="majorHAnsi" w:eastAsiaTheme="majorEastAsia" w:hAnsiTheme="majorHAnsi" w:cstheme="majorBidi"/>
      <w:b/>
      <w:bCs/>
      <w:color w:val="E36C0A" w:themeColor="accent6" w:themeShade="BF"/>
      <w:lang w:val="en-GB"/>
    </w:rPr>
  </w:style>
  <w:style w:type="character" w:customStyle="1" w:styleId="Heading4Char">
    <w:name w:val="Heading 4 Char"/>
    <w:aliases w:val="h4 Char,4 Char,sub-sub-sub-sect Char,H4 Char,h4 sub sub heading Char"/>
    <w:basedOn w:val="DefaultParagraphFont"/>
    <w:link w:val="Heading4"/>
    <w:uiPriority w:val="9"/>
    <w:rsid w:val="002B5F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B5F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B5F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B5F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B5F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B5F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5F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5F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0A"/>
    <w:rPr>
      <w:b/>
      <w:bCs/>
    </w:rPr>
  </w:style>
  <w:style w:type="character" w:styleId="Emphasis">
    <w:name w:val="Emphasis"/>
    <w:basedOn w:val="DefaultParagraphFont"/>
    <w:uiPriority w:val="20"/>
    <w:qFormat/>
    <w:rsid w:val="002B5F0A"/>
    <w:rPr>
      <w:i/>
      <w:iCs/>
    </w:rPr>
  </w:style>
  <w:style w:type="paragraph" w:styleId="NoSpacing">
    <w:name w:val="No Spacing"/>
    <w:link w:val="NoSpacingChar"/>
    <w:uiPriority w:val="1"/>
    <w:qFormat/>
    <w:rsid w:val="002B5F0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B5F0A"/>
  </w:style>
  <w:style w:type="paragraph" w:styleId="ListParagraph">
    <w:name w:val="List Paragraph"/>
    <w:basedOn w:val="Normal"/>
    <w:uiPriority w:val="34"/>
    <w:qFormat/>
    <w:rsid w:val="002B5F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F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5F0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0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5F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5F0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5F0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5F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5F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F0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8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0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0B1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B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0B1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B1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5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49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49F"/>
    <w:rPr>
      <w:b/>
      <w:bCs/>
      <w:sz w:val="20"/>
      <w:szCs w:val="20"/>
      <w:lang w:val="en-GB"/>
    </w:rPr>
  </w:style>
  <w:style w:type="paragraph" w:customStyle="1" w:styleId="Default">
    <w:name w:val="Default"/>
    <w:rsid w:val="00623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CA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B7F7D-24E6-405A-AB05-ADED6894617E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20c1abfa-485b-41c9-a329-38772ca1fd48"/>
    <ds:schemaRef ds:uri="d1dc8e9d-c2d7-4f1e-a8b8-6d152e0fdc8f"/>
    <ds:schemaRef ds:uri="57d60e0b-bbcc-4e8c-ae17-1bc07bf7b2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C6C6C2-5D8D-4CBB-8C4B-CC6D82A4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BA776-0BC5-4305-9391-218F2C35E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Suisse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LACHENAL</dc:creator>
  <cp:lastModifiedBy>Marhaba Chaudhry</cp:lastModifiedBy>
  <cp:revision>7</cp:revision>
  <cp:lastPrinted>2020-07-10T09:49:00Z</cp:lastPrinted>
  <dcterms:created xsi:type="dcterms:W3CDTF">2020-07-10T09:48:00Z</dcterms:created>
  <dcterms:modified xsi:type="dcterms:W3CDTF">2024-10-25T09:52:00Z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MediaServiceImageTags">
    <vt:lpwstr/>
  </property>
</Properties>
</file>