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12E8A5" w14:textId="0239E9F7" w:rsidR="00FB66A5" w:rsidRDefault="00FB66A5" w:rsidP="006E01EC">
      <w:pPr>
        <w:pStyle w:val="Heading1"/>
        <w:numPr>
          <w:ilvl w:val="0"/>
          <w:numId w:val="0"/>
        </w:numPr>
        <w:ind w:left="360"/>
      </w:pPr>
      <w:bookmarkStart w:id="0" w:name="_Toc181291994"/>
      <w:bookmarkStart w:id="1" w:name="_Toc181292323"/>
      <w:r>
        <w:t xml:space="preserve">Standard Operating Procedures for </w:t>
      </w:r>
      <w:r w:rsidR="00D25D96">
        <w:t xml:space="preserve">                        </w:t>
      </w:r>
      <w:r>
        <w:t>Investigational Product Release</w:t>
      </w:r>
      <w:bookmarkEnd w:id="0"/>
      <w:bookmarkEnd w:id="1"/>
      <w:r>
        <w:t xml:space="preserve"> </w:t>
      </w:r>
    </w:p>
    <w:p w14:paraId="12D72DF2" w14:textId="7B48D941" w:rsidR="005A3AC2" w:rsidRPr="005A3AC2" w:rsidRDefault="005A3AC2" w:rsidP="006E01EC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4"/>
          <w:szCs w:val="24"/>
        </w:rPr>
      </w:pPr>
      <w:r w:rsidRPr="005A3AC2">
        <w:rPr>
          <w:sz w:val="24"/>
          <w:szCs w:val="24"/>
        </w:rPr>
        <w:t>(</w:t>
      </w:r>
      <w:r w:rsidR="007D010C">
        <w:rPr>
          <w:sz w:val="24"/>
          <w:szCs w:val="24"/>
        </w:rPr>
        <w:t>G</w:t>
      </w:r>
      <w:r w:rsidRPr="005A3AC2">
        <w:rPr>
          <w:sz w:val="24"/>
          <w:szCs w:val="24"/>
        </w:rPr>
        <w:t xml:space="preserve">reenlight to </w:t>
      </w:r>
      <w:r w:rsidR="0030238F">
        <w:rPr>
          <w:sz w:val="24"/>
          <w:szCs w:val="24"/>
        </w:rPr>
        <w:t xml:space="preserve">MSF </w:t>
      </w:r>
      <w:proofErr w:type="spellStart"/>
      <w:r w:rsidR="0030238F">
        <w:rPr>
          <w:sz w:val="24"/>
          <w:szCs w:val="24"/>
        </w:rPr>
        <w:t>Logistique</w:t>
      </w:r>
      <w:proofErr w:type="spellEnd"/>
      <w:r w:rsidR="0030238F">
        <w:rPr>
          <w:sz w:val="24"/>
          <w:szCs w:val="24"/>
        </w:rPr>
        <w:t xml:space="preserve"> </w:t>
      </w:r>
      <w:r w:rsidR="00F86E67">
        <w:rPr>
          <w:sz w:val="24"/>
          <w:szCs w:val="24"/>
        </w:rPr>
        <w:t xml:space="preserve">for initial IP shipment to </w:t>
      </w:r>
      <w:r w:rsidR="00394CB7">
        <w:rPr>
          <w:sz w:val="24"/>
          <w:szCs w:val="24"/>
        </w:rPr>
        <w:t>participating countries</w:t>
      </w:r>
      <w:r w:rsidR="00D25D96">
        <w:rPr>
          <w:sz w:val="24"/>
          <w:szCs w:val="24"/>
        </w:rPr>
        <w:t>)</w:t>
      </w:r>
    </w:p>
    <w:p w14:paraId="0AD2599B" w14:textId="77777777" w:rsidR="00217C5E" w:rsidRDefault="00217C5E" w:rsidP="008F6470">
      <w:pPr>
        <w:spacing w:after="0"/>
        <w:jc w:val="both"/>
      </w:pPr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5"/>
        <w:gridCol w:w="4101"/>
      </w:tblGrid>
      <w:tr w:rsidR="00217C5E" w14:paraId="315CF583" w14:textId="77777777" w:rsidTr="001C2401">
        <w:tc>
          <w:tcPr>
            <w:tcW w:w="5245" w:type="dxa"/>
            <w:shd w:val="clear" w:color="auto" w:fill="F2F2F2"/>
          </w:tcPr>
          <w:p w14:paraId="42C43692" w14:textId="663FA4BE" w:rsidR="00217C5E" w:rsidRDefault="00217C5E" w:rsidP="008F6470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SOP Number</w:t>
            </w:r>
            <w:r w:rsidR="00AF0B91">
              <w:rPr>
                <w:sz w:val="24"/>
                <w:szCs w:val="24"/>
              </w:rPr>
              <w:t>: IP-002</w:t>
            </w:r>
            <w:r w:rsidRPr="0078696D">
              <w:rPr>
                <w:sz w:val="24"/>
                <w:szCs w:val="24"/>
              </w:rPr>
              <w:t>-</w:t>
            </w:r>
            <w:r w:rsidR="00AF0B91">
              <w:rPr>
                <w:sz w:val="24"/>
                <w:szCs w:val="24"/>
              </w:rPr>
              <w:t>CT</w:t>
            </w:r>
          </w:p>
        </w:tc>
        <w:tc>
          <w:tcPr>
            <w:tcW w:w="4101" w:type="dxa"/>
            <w:shd w:val="clear" w:color="auto" w:fill="F2F2F2"/>
          </w:tcPr>
          <w:p w14:paraId="7C6E5FC5" w14:textId="6E7B7059" w:rsidR="00217C5E" w:rsidRDefault="00217C5E" w:rsidP="008C6527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Effective Date</w:t>
            </w:r>
            <w:r w:rsidRPr="0078696D">
              <w:rPr>
                <w:sz w:val="24"/>
                <w:szCs w:val="24"/>
              </w:rPr>
              <w:t xml:space="preserve">: </w:t>
            </w:r>
          </w:p>
        </w:tc>
      </w:tr>
      <w:tr w:rsidR="0024268F" w14:paraId="7F279F1D" w14:textId="77777777" w:rsidTr="00D52A27">
        <w:tc>
          <w:tcPr>
            <w:tcW w:w="9346" w:type="dxa"/>
            <w:gridSpan w:val="2"/>
            <w:shd w:val="clear" w:color="auto" w:fill="F2F2F2"/>
          </w:tcPr>
          <w:p w14:paraId="76AA5263" w14:textId="79CA1DA9" w:rsidR="0024268F" w:rsidRDefault="0024268F" w:rsidP="005920B6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ersion Number and </w:t>
            </w:r>
            <w:r w:rsidRPr="0078696D">
              <w:rPr>
                <w:b/>
                <w:sz w:val="24"/>
                <w:szCs w:val="24"/>
              </w:rPr>
              <w:t>Date</w:t>
            </w:r>
            <w:r w:rsidR="00CB429B">
              <w:rPr>
                <w:sz w:val="24"/>
                <w:szCs w:val="24"/>
              </w:rPr>
              <w:t xml:space="preserve">: </w:t>
            </w:r>
            <w:r w:rsidR="003C02EB">
              <w:rPr>
                <w:sz w:val="24"/>
                <w:szCs w:val="24"/>
              </w:rPr>
              <w:t>5</w:t>
            </w:r>
            <w:r w:rsidR="00AB7844">
              <w:rPr>
                <w:sz w:val="24"/>
                <w:szCs w:val="24"/>
              </w:rPr>
              <w:t>.0</w:t>
            </w:r>
            <w:r w:rsidR="00796473">
              <w:rPr>
                <w:sz w:val="24"/>
                <w:szCs w:val="24"/>
              </w:rPr>
              <w:t xml:space="preserve">, </w:t>
            </w:r>
            <w:r w:rsidR="003C02EB">
              <w:rPr>
                <w:sz w:val="24"/>
                <w:szCs w:val="24"/>
              </w:rPr>
              <w:t>01</w:t>
            </w:r>
            <w:r w:rsidR="008C6527">
              <w:rPr>
                <w:sz w:val="24"/>
                <w:szCs w:val="24"/>
              </w:rPr>
              <w:t>-</w:t>
            </w:r>
            <w:r w:rsidR="003C02EB">
              <w:rPr>
                <w:sz w:val="24"/>
                <w:szCs w:val="24"/>
              </w:rPr>
              <w:t>Jun</w:t>
            </w:r>
            <w:r w:rsidR="008C6527">
              <w:rPr>
                <w:sz w:val="24"/>
                <w:szCs w:val="24"/>
              </w:rPr>
              <w:t>-</w:t>
            </w:r>
            <w:r w:rsidR="00AB7844">
              <w:rPr>
                <w:sz w:val="24"/>
                <w:szCs w:val="24"/>
              </w:rPr>
              <w:t>20</w:t>
            </w:r>
            <w:r w:rsidR="003C02EB">
              <w:rPr>
                <w:sz w:val="24"/>
                <w:szCs w:val="24"/>
              </w:rPr>
              <w:t>20</w:t>
            </w:r>
          </w:p>
        </w:tc>
      </w:tr>
    </w:tbl>
    <w:p w14:paraId="2E10252E" w14:textId="77777777" w:rsidR="00217C5E" w:rsidRDefault="00217C5E" w:rsidP="008F6470">
      <w:pPr>
        <w:spacing w:after="0"/>
        <w:jc w:val="both"/>
      </w:pPr>
    </w:p>
    <w:p w14:paraId="23BD2413" w14:textId="77777777" w:rsidR="00217C5E" w:rsidRDefault="00217C5E" w:rsidP="008F6470">
      <w:pPr>
        <w:spacing w:after="0"/>
        <w:jc w:val="both"/>
      </w:pPr>
    </w:p>
    <w:sdt>
      <w:sdtPr>
        <w:id w:val="-48607810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lang w:eastAsia="zh-TW"/>
        </w:rPr>
      </w:sdtEndPr>
      <w:sdtContent>
        <w:p w14:paraId="39938189" w14:textId="18E0AE5D" w:rsidR="00AE5DF3" w:rsidRPr="00F14E76" w:rsidRDefault="00AE5DF3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F14E7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</w:p>
        <w:p w14:paraId="140CD9B5" w14:textId="6FCCF987" w:rsidR="00A56228" w:rsidRDefault="00AE5DF3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4C08AFDF" w14:textId="483C8C9B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25" w:history="1">
            <w:r w:rsidRPr="00AA3E17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FE3EB" w14:textId="3E3A4CBC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26" w:history="1">
            <w:r w:rsidRPr="00AA3E17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7630D" w14:textId="2856B861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27" w:history="1">
            <w:r w:rsidRPr="00AA3E17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RESPONSIBLE FUNCTIONS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F916F" w14:textId="699249AF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28" w:history="1">
            <w:r w:rsidRPr="00AA3E17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DEFINITIONS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B3382" w14:textId="33A3139D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29" w:history="1">
            <w:r w:rsidRPr="00AA3E17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3B015" w14:textId="730BE634" w:rsidR="00A56228" w:rsidRDefault="00A56228">
          <w:pPr>
            <w:pStyle w:val="TOC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30" w:history="1">
            <w:r w:rsidRPr="00AA3E17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Drug Storage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6F5C4" w14:textId="36EABB94" w:rsidR="00A56228" w:rsidRDefault="00A56228">
          <w:pPr>
            <w:pStyle w:val="TOC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31" w:history="1">
            <w:r w:rsidRPr="00AA3E17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Request of IPs Release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F230A" w14:textId="42E84588" w:rsidR="00A56228" w:rsidRDefault="00A56228">
          <w:pPr>
            <w:pStyle w:val="TOC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32" w:history="1">
            <w:r w:rsidRPr="00AA3E17">
              <w:rPr>
                <w:rStyle w:val="Hyperlink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Greenlight for IPs release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0115E" w14:textId="7B227A22" w:rsidR="00A56228" w:rsidRDefault="00A56228">
          <w:pPr>
            <w:pStyle w:val="TOC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33" w:history="1">
            <w:r w:rsidRPr="00AA3E17">
              <w:rPr>
                <w:rStyle w:val="Hyperlink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Filing of IP Release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74214" w14:textId="5C9A8F3E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34" w:history="1">
            <w:r w:rsidRPr="00AA3E17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EC791" w14:textId="2321E765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35" w:history="1">
            <w:r w:rsidRPr="00AA3E17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AD865" w14:textId="0CA24107" w:rsidR="00A56228" w:rsidRDefault="00A56228">
          <w:pPr>
            <w:pStyle w:val="TOC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hyperlink w:anchor="_Toc181292336" w:history="1">
            <w:r w:rsidRPr="00AA3E17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  <w:r w:rsidRPr="00AA3E17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_Toc181292336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D25CE" w14:textId="602C88E9" w:rsidR="00AE5DF3" w:rsidRDefault="00AE5DF3">
          <w:r>
            <w:rPr>
              <w:b/>
              <w:bCs/>
              <w:noProof/>
            </w:rPr>
            <w:fldChar w:fldCharType="end"/>
          </w:r>
        </w:p>
      </w:sdtContent>
    </w:sdt>
    <w:p w14:paraId="052DCA53" w14:textId="77777777" w:rsidR="00217C5E" w:rsidRDefault="00217C5E" w:rsidP="008F6470">
      <w:pPr>
        <w:spacing w:after="0"/>
        <w:jc w:val="both"/>
      </w:pPr>
    </w:p>
    <w:p w14:paraId="48B7961D" w14:textId="77777777" w:rsidR="00217C5E" w:rsidRDefault="00217C5E" w:rsidP="008F6470">
      <w:pPr>
        <w:ind w:right="146"/>
        <w:jc w:val="both"/>
      </w:pPr>
      <w:r>
        <w:br w:type="page"/>
      </w:r>
    </w:p>
    <w:p w14:paraId="047F0BFB" w14:textId="60C680AB" w:rsidR="00D25D96" w:rsidRDefault="00D25D96" w:rsidP="00D25D96">
      <w:pPr>
        <w:pStyle w:val="Heading1"/>
        <w:numPr>
          <w:ilvl w:val="0"/>
          <w:numId w:val="0"/>
        </w:numPr>
        <w:ind w:left="360"/>
      </w:pPr>
      <w:r w:rsidRPr="00D25D96">
        <w:lastRenderedPageBreak/>
        <w:t xml:space="preserve"> </w:t>
      </w:r>
      <w:bookmarkStart w:id="2" w:name="_Toc181291995"/>
      <w:bookmarkStart w:id="3" w:name="_Toc181292324"/>
      <w:r>
        <w:t>Standard Operating Procedures for                         Investigational Product Release</w:t>
      </w:r>
      <w:bookmarkEnd w:id="2"/>
      <w:bookmarkEnd w:id="3"/>
      <w:r>
        <w:t xml:space="preserve"> </w:t>
      </w:r>
    </w:p>
    <w:p w14:paraId="6661CF0A" w14:textId="4C27BDE9" w:rsidR="00D25D96" w:rsidRPr="006E01EC" w:rsidRDefault="00D25D96" w:rsidP="006E01EC">
      <w:pPr>
        <w:jc w:val="center"/>
      </w:pPr>
      <w:r>
        <w:t xml:space="preserve">(Greenlight to </w:t>
      </w:r>
      <w:r w:rsidR="0030238F">
        <w:t xml:space="preserve">MSF </w:t>
      </w:r>
      <w:proofErr w:type="spellStart"/>
      <w:r w:rsidR="0030238F">
        <w:t>Logistique</w:t>
      </w:r>
      <w:proofErr w:type="spellEnd"/>
      <w:r w:rsidR="0030238F">
        <w:t xml:space="preserve"> </w:t>
      </w:r>
      <w:r>
        <w:t>for initial IP shipment to study sites)</w:t>
      </w:r>
    </w:p>
    <w:p w14:paraId="61B46678" w14:textId="77777777" w:rsidR="00217C5E" w:rsidRPr="006E01EC" w:rsidRDefault="00217C5E" w:rsidP="006E01EC">
      <w:pPr>
        <w:pStyle w:val="Heading2"/>
      </w:pPr>
      <w:bookmarkStart w:id="4" w:name="_Toc181292325"/>
      <w:r w:rsidRPr="006E01EC">
        <w:t>PURPOSE</w:t>
      </w:r>
      <w:bookmarkEnd w:id="4"/>
      <w:r w:rsidRPr="006E01EC">
        <w:t xml:space="preserve"> </w:t>
      </w:r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46"/>
      </w:tblGrid>
      <w:tr w:rsidR="00217C5E" w14:paraId="66042233" w14:textId="77777777" w:rsidTr="0078696D">
        <w:tc>
          <w:tcPr>
            <w:tcW w:w="9346" w:type="dxa"/>
          </w:tcPr>
          <w:p w14:paraId="0E336DB3" w14:textId="2A0EAEDF" w:rsidR="00217C5E" w:rsidRDefault="00217C5E" w:rsidP="005920B6">
            <w:pPr>
              <w:pStyle w:val="ListNumber"/>
              <w:tabs>
                <w:tab w:val="clear" w:pos="360"/>
              </w:tabs>
              <w:spacing w:before="120" w:line="240" w:lineRule="auto"/>
              <w:ind w:left="0" w:firstLine="0"/>
              <w:contextualSpacing w:val="0"/>
              <w:jc w:val="both"/>
            </w:pPr>
            <w:r w:rsidRPr="00FE2D20">
              <w:t xml:space="preserve">The purpose of this </w:t>
            </w:r>
            <w:r w:rsidR="00F86E67">
              <w:t>standard operati</w:t>
            </w:r>
            <w:r w:rsidR="0083747B">
              <w:t>ng</w:t>
            </w:r>
            <w:r w:rsidR="00F86E67">
              <w:t xml:space="preserve"> procedure (</w:t>
            </w:r>
            <w:r w:rsidRPr="00FE2D20">
              <w:t>SOP</w:t>
            </w:r>
            <w:r w:rsidR="00F86E67">
              <w:t>)</w:t>
            </w:r>
            <w:r w:rsidRPr="00FE2D20">
              <w:t xml:space="preserve"> is to ensure that </w:t>
            </w:r>
            <w:r w:rsidR="00F86E67">
              <w:t>sites involv</w:t>
            </w:r>
            <w:r w:rsidR="0083747B">
              <w:t>ed</w:t>
            </w:r>
            <w:r w:rsidR="00F86E67">
              <w:t xml:space="preserve"> in</w:t>
            </w:r>
            <w:r w:rsidR="0083747B">
              <w:t xml:space="preserve"> the</w:t>
            </w:r>
            <w:r w:rsidR="00F86E67">
              <w:t xml:space="preserve"> endTB</w:t>
            </w:r>
            <w:r w:rsidR="00AB7844">
              <w:t xml:space="preserve"> </w:t>
            </w:r>
            <w:r w:rsidR="00F86E67">
              <w:t>Clinical Trial</w:t>
            </w:r>
            <w:r w:rsidR="00AB7844">
              <w:t>s</w:t>
            </w:r>
            <w:r w:rsidR="00A53948">
              <w:t xml:space="preserve"> meet </w:t>
            </w:r>
            <w:r w:rsidRPr="00FE2D20">
              <w:t xml:space="preserve">all </w:t>
            </w:r>
            <w:r w:rsidR="00F86E67">
              <w:t xml:space="preserve">applicable </w:t>
            </w:r>
            <w:r w:rsidR="002F535A">
              <w:t xml:space="preserve">national regulatory </w:t>
            </w:r>
            <w:r w:rsidR="00497896">
              <w:t>requirements</w:t>
            </w:r>
            <w:r w:rsidR="00F86E67">
              <w:t xml:space="preserve"> and appropriate drug storage conditions</w:t>
            </w:r>
            <w:r w:rsidR="00497896">
              <w:t xml:space="preserve"> before </w:t>
            </w:r>
            <w:r w:rsidR="00F86E67">
              <w:t xml:space="preserve">receiving </w:t>
            </w:r>
            <w:r w:rsidR="00497896">
              <w:t xml:space="preserve">the </w:t>
            </w:r>
            <w:r w:rsidR="00F86E67">
              <w:t xml:space="preserve">first shipment of </w:t>
            </w:r>
            <w:r w:rsidR="00114D1A">
              <w:t>I</w:t>
            </w:r>
            <w:r w:rsidR="00F86E67">
              <w:t xml:space="preserve">nvestigational </w:t>
            </w:r>
            <w:r w:rsidR="00114D1A">
              <w:t>P</w:t>
            </w:r>
            <w:r w:rsidR="00F86E67">
              <w:t>roduct</w:t>
            </w:r>
            <w:r w:rsidR="00114D1A">
              <w:t>s</w:t>
            </w:r>
            <w:r w:rsidR="00F86E67">
              <w:t xml:space="preserve"> (IPs) for the study.</w:t>
            </w:r>
          </w:p>
        </w:tc>
      </w:tr>
    </w:tbl>
    <w:p w14:paraId="47A0E4E1" w14:textId="77777777" w:rsidR="00217C5E" w:rsidRPr="006E01EC" w:rsidRDefault="00217C5E" w:rsidP="006E01EC">
      <w:pPr>
        <w:pStyle w:val="Heading2"/>
      </w:pPr>
      <w:bookmarkStart w:id="5" w:name="_Toc181292326"/>
      <w:r w:rsidRPr="006E01EC">
        <w:t>SCOPE</w:t>
      </w:r>
      <w:bookmarkEnd w:id="5"/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46"/>
      </w:tblGrid>
      <w:tr w:rsidR="00217C5E" w14:paraId="06ECE86C" w14:textId="77777777" w:rsidTr="0078696D">
        <w:tc>
          <w:tcPr>
            <w:tcW w:w="9346" w:type="dxa"/>
          </w:tcPr>
          <w:p w14:paraId="7C32CD72" w14:textId="1F656AC7" w:rsidR="0089209C" w:rsidRDefault="00217C5E" w:rsidP="00F86E67">
            <w:pPr>
              <w:spacing w:before="120" w:line="240" w:lineRule="auto"/>
              <w:jc w:val="both"/>
            </w:pPr>
            <w:r>
              <w:t xml:space="preserve">This SOP </w:t>
            </w:r>
            <w:r w:rsidR="00B967AF">
              <w:t xml:space="preserve">details all the </w:t>
            </w:r>
            <w:r w:rsidR="00F86E67">
              <w:t xml:space="preserve">mandatory regulatory and facility </w:t>
            </w:r>
            <w:r w:rsidR="00B967AF">
              <w:t xml:space="preserve">requirements </w:t>
            </w:r>
            <w:r w:rsidR="0083747B">
              <w:t xml:space="preserve">to be met prior to the disbursement of </w:t>
            </w:r>
            <w:r w:rsidR="00F86E67">
              <w:t xml:space="preserve">the initial shipment of IPs </w:t>
            </w:r>
            <w:r w:rsidR="0083747B">
              <w:t>to t</w:t>
            </w:r>
            <w:r w:rsidR="00B967AF">
              <w:t xml:space="preserve">he </w:t>
            </w:r>
            <w:r w:rsidR="00F86E67">
              <w:t xml:space="preserve">designated </w:t>
            </w:r>
            <w:r w:rsidR="005D7C11">
              <w:t>Central Medical Store</w:t>
            </w:r>
            <w:r w:rsidR="00C20632">
              <w:t xml:space="preserve"> (CMS)</w:t>
            </w:r>
            <w:r w:rsidR="005D7C11">
              <w:t xml:space="preserve"> </w:t>
            </w:r>
            <w:r w:rsidR="00F86E67">
              <w:t xml:space="preserve">in </w:t>
            </w:r>
            <w:r w:rsidR="00B967AF">
              <w:t xml:space="preserve">each country participating in endTB </w:t>
            </w:r>
            <w:r w:rsidR="00F86E67">
              <w:t>C</w:t>
            </w:r>
            <w:r w:rsidR="00B967AF">
              <w:t xml:space="preserve">linical </w:t>
            </w:r>
            <w:r w:rsidR="00F86E67">
              <w:t>T</w:t>
            </w:r>
            <w:r w:rsidR="00B967AF">
              <w:t>rial</w:t>
            </w:r>
            <w:r w:rsidR="005D7C11">
              <w:t>s</w:t>
            </w:r>
            <w:r w:rsidR="00B967AF">
              <w:t>.</w:t>
            </w:r>
          </w:p>
          <w:p w14:paraId="02796A3A" w14:textId="67FD4216" w:rsidR="00AB7844" w:rsidRPr="00FE2D20" w:rsidRDefault="00AB7844" w:rsidP="00A53948">
            <w:pPr>
              <w:spacing w:before="116" w:line="242" w:lineRule="auto"/>
              <w:ind w:right="104"/>
            </w:pPr>
            <w:r>
              <w:t xml:space="preserve">The procedures described in this SOP are valid for both </w:t>
            </w:r>
            <w:r w:rsidR="005D7C11">
              <w:t xml:space="preserve">the </w:t>
            </w:r>
            <w:r>
              <w:t xml:space="preserve">endTB and endTB-Q trials. However, trial specific forms and logs (see appendices listed in section 8) have to be completed separately for each trial. </w:t>
            </w:r>
          </w:p>
        </w:tc>
      </w:tr>
    </w:tbl>
    <w:p w14:paraId="499D374D" w14:textId="77777777" w:rsidR="00217C5E" w:rsidRPr="006E01EC" w:rsidRDefault="00217C5E" w:rsidP="006E01EC">
      <w:pPr>
        <w:pStyle w:val="Heading2"/>
      </w:pPr>
      <w:bookmarkStart w:id="6" w:name="_Toc181292327"/>
      <w:r w:rsidRPr="006E01EC">
        <w:t>RESPONSIBLE FUNCTIONS</w:t>
      </w:r>
      <w:bookmarkEnd w:id="6"/>
    </w:p>
    <w:tbl>
      <w:tblPr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217C5E" w14:paraId="265AFE78" w14:textId="77777777" w:rsidTr="47599F53">
        <w:trPr>
          <w:trHeight w:val="60"/>
        </w:trPr>
        <w:tc>
          <w:tcPr>
            <w:tcW w:w="2835" w:type="dxa"/>
            <w:shd w:val="clear" w:color="auto" w:fill="F2F2F2" w:themeFill="background1" w:themeFillShade="F2"/>
          </w:tcPr>
          <w:p w14:paraId="2F5F5B0F" w14:textId="77777777" w:rsidR="00217C5E" w:rsidRDefault="00217C5E" w:rsidP="008F6470">
            <w:pPr>
              <w:spacing w:before="80" w:after="80"/>
              <w:jc w:val="both"/>
            </w:pPr>
            <w:r w:rsidRPr="0078696D">
              <w:rPr>
                <w:b/>
              </w:rPr>
              <w:t>Function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78350DB0" w14:textId="77777777" w:rsidR="00217C5E" w:rsidRDefault="00217C5E" w:rsidP="008F6470">
            <w:pPr>
              <w:spacing w:before="80" w:after="80"/>
              <w:jc w:val="both"/>
            </w:pPr>
            <w:r w:rsidRPr="0078696D">
              <w:rPr>
                <w:b/>
              </w:rPr>
              <w:t>Activities</w:t>
            </w:r>
          </w:p>
        </w:tc>
      </w:tr>
      <w:tr w:rsidR="008A1B26" w14:paraId="5856AC8D" w14:textId="77777777" w:rsidTr="47599F53">
        <w:tc>
          <w:tcPr>
            <w:tcW w:w="2835" w:type="dxa"/>
            <w:shd w:val="clear" w:color="auto" w:fill="FFFFFF" w:themeFill="background1"/>
          </w:tcPr>
          <w:p w14:paraId="7A63AB20" w14:textId="7A1F82BC" w:rsidR="008A1B26" w:rsidRPr="5BC604AB" w:rsidRDefault="008A1B26" w:rsidP="5BC604AB">
            <w:pPr>
              <w:spacing w:before="80" w:after="80"/>
              <w:rPr>
                <w:b/>
                <w:bCs/>
              </w:rPr>
            </w:pPr>
            <w:r w:rsidRPr="5BC604AB">
              <w:rPr>
                <w:b/>
                <w:bCs/>
              </w:rPr>
              <w:t>Site Principal Investigator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5CA8F1F2" w14:textId="64ADC9B1" w:rsidR="008A1B26" w:rsidRDefault="008A1B26" w:rsidP="005D7C11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ind w:left="380"/>
              <w:jc w:val="both"/>
              <w:rPr>
                <w:rStyle w:val="normaltextrun"/>
                <w:shd w:val="clear" w:color="auto" w:fill="FFFFFF"/>
              </w:rPr>
            </w:pPr>
            <w:r w:rsidRPr="008A1B26">
              <w:t>Accountable for the overall IP Management at the Site</w:t>
            </w:r>
            <w:r>
              <w:rPr>
                <w:rStyle w:val="normaltextrun"/>
                <w:shd w:val="clear" w:color="auto" w:fill="FFFFFF"/>
              </w:rPr>
              <w:t> </w:t>
            </w:r>
            <w:r>
              <w:rPr>
                <w:rStyle w:val="Heading3Char"/>
                <w:shd w:val="clear" w:color="auto" w:fill="FFFFFF"/>
              </w:rPr>
              <w:t> </w:t>
            </w:r>
          </w:p>
        </w:tc>
      </w:tr>
      <w:tr w:rsidR="00217C5E" w14:paraId="4E64DFAF" w14:textId="77777777" w:rsidTr="47599F53">
        <w:tc>
          <w:tcPr>
            <w:tcW w:w="2835" w:type="dxa"/>
            <w:shd w:val="clear" w:color="auto" w:fill="FFFFFF" w:themeFill="background1"/>
          </w:tcPr>
          <w:p w14:paraId="0BE0F9DE" w14:textId="28F6686A" w:rsidR="00217C5E" w:rsidRPr="00FC5702" w:rsidRDefault="4C570A8F" w:rsidP="008A1B26">
            <w:pPr>
              <w:spacing w:before="80" w:after="80"/>
              <w:rPr>
                <w:b/>
                <w:bCs/>
              </w:rPr>
            </w:pPr>
            <w:r w:rsidRPr="47599F53">
              <w:rPr>
                <w:b/>
                <w:bCs/>
              </w:rPr>
              <w:t>D</w:t>
            </w:r>
            <w:r w:rsidR="00217C5E" w:rsidRPr="47599F53">
              <w:rPr>
                <w:b/>
                <w:bCs/>
              </w:rPr>
              <w:t xml:space="preserve">elegated </w:t>
            </w:r>
            <w:r w:rsidR="007F06FF" w:rsidRPr="47599F53">
              <w:rPr>
                <w:b/>
                <w:bCs/>
              </w:rPr>
              <w:t>S</w:t>
            </w:r>
            <w:r w:rsidR="007D010C" w:rsidRPr="47599F53">
              <w:rPr>
                <w:b/>
                <w:bCs/>
              </w:rPr>
              <w:t xml:space="preserve">ite </w:t>
            </w:r>
            <w:r w:rsidR="007F06FF" w:rsidRPr="47599F53">
              <w:rPr>
                <w:b/>
                <w:bCs/>
              </w:rPr>
              <w:t>Pharmacist</w:t>
            </w:r>
            <w:r w:rsidRPr="47599F53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365A04CA" w14:textId="2C09598D" w:rsidR="008F4340" w:rsidRDefault="008F4340" w:rsidP="005D7C11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ind w:left="380"/>
              <w:jc w:val="both"/>
            </w:pPr>
            <w:r>
              <w:t>Complete the Drug storage Assessment Form and IP Release Form</w:t>
            </w:r>
          </w:p>
          <w:p w14:paraId="590C7803" w14:textId="214FFB6C" w:rsidR="00217C5E" w:rsidRDefault="007D010C" w:rsidP="005D7C11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ind w:left="380"/>
              <w:jc w:val="both"/>
            </w:pPr>
            <w:r>
              <w:t>E</w:t>
            </w:r>
            <w:r w:rsidR="00B967AF">
              <w:t xml:space="preserve">nsure that </w:t>
            </w:r>
            <w:r>
              <w:t xml:space="preserve">all mandatory documentation for regulatory approvals and/or facility requirements are </w:t>
            </w:r>
            <w:r w:rsidR="005D7C11">
              <w:t>shared with</w:t>
            </w:r>
            <w:r>
              <w:t xml:space="preserve"> the</w:t>
            </w:r>
            <w:r w:rsidR="001C2401">
              <w:t xml:space="preserve"> Central T</w:t>
            </w:r>
            <w:r>
              <w:t>rial Pharmacist</w:t>
            </w:r>
            <w:r w:rsidR="00330E99">
              <w:t xml:space="preserve"> and file</w:t>
            </w:r>
            <w:r w:rsidR="005D7C11">
              <w:t>d</w:t>
            </w:r>
            <w:r w:rsidR="00330E99">
              <w:t xml:space="preserve"> in the Investigator Site File (ISF) </w:t>
            </w:r>
            <w:r w:rsidR="00706C32">
              <w:t xml:space="preserve">and when applicable in the Central Investigator File (CIF) </w:t>
            </w:r>
            <w:r w:rsidR="00330E99">
              <w:t xml:space="preserve">after approval. </w:t>
            </w:r>
          </w:p>
        </w:tc>
      </w:tr>
      <w:tr w:rsidR="007D010C" w14:paraId="69A7EAE3" w14:textId="77777777" w:rsidTr="47599F53">
        <w:tc>
          <w:tcPr>
            <w:tcW w:w="2835" w:type="dxa"/>
            <w:shd w:val="clear" w:color="auto" w:fill="FFFFFF" w:themeFill="background1"/>
          </w:tcPr>
          <w:p w14:paraId="303464C6" w14:textId="715898E4" w:rsidR="007D010C" w:rsidRPr="00FC5702" w:rsidRDefault="00183581" w:rsidP="00632A16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Clinical </w:t>
            </w:r>
            <w:r w:rsidR="00632A16">
              <w:rPr>
                <w:b/>
              </w:rPr>
              <w:t>T</w:t>
            </w:r>
            <w:r>
              <w:rPr>
                <w:b/>
              </w:rPr>
              <w:t xml:space="preserve">rial </w:t>
            </w:r>
            <w:r w:rsidR="00632A16">
              <w:rPr>
                <w:b/>
              </w:rPr>
              <w:t>P</w:t>
            </w:r>
            <w:r>
              <w:rPr>
                <w:b/>
              </w:rPr>
              <w:t>harmacist</w:t>
            </w:r>
            <w:r w:rsidR="0085069C">
              <w:rPr>
                <w:b/>
              </w:rPr>
              <w:t xml:space="preserve"> or designee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1D35DEA3" w14:textId="146D2BDD" w:rsidR="007D010C" w:rsidRDefault="007D010C" w:rsidP="007D010C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ind w:left="380"/>
              <w:jc w:val="both"/>
            </w:pPr>
            <w:r>
              <w:t xml:space="preserve">Ensure that all mandatory documentation for regulatory approvals and/or facility requirements are received from </w:t>
            </w:r>
            <w:r w:rsidR="005D7C11">
              <w:t>the S</w:t>
            </w:r>
            <w:r>
              <w:t xml:space="preserve">ite </w:t>
            </w:r>
          </w:p>
          <w:p w14:paraId="74E0A4B8" w14:textId="6FC0ACD5" w:rsidR="008F4340" w:rsidRDefault="0072460E" w:rsidP="004C5146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ind w:left="380"/>
              <w:jc w:val="both"/>
            </w:pPr>
            <w:r>
              <w:t>Complete the</w:t>
            </w:r>
            <w:r w:rsidR="008F4340">
              <w:t xml:space="preserve"> </w:t>
            </w:r>
            <w:r>
              <w:t xml:space="preserve">storage conformity validation part of </w:t>
            </w:r>
            <w:r w:rsidR="008F4340">
              <w:t xml:space="preserve">the Drug storage Assessment Form </w:t>
            </w:r>
          </w:p>
          <w:p w14:paraId="788EBD45" w14:textId="77777777" w:rsidR="0072460E" w:rsidRDefault="0072460E" w:rsidP="004C5146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ind w:left="380"/>
              <w:jc w:val="both"/>
            </w:pPr>
            <w:r>
              <w:t>Complete the greenlight part of the IP Release Form</w:t>
            </w:r>
          </w:p>
          <w:p w14:paraId="650AC802" w14:textId="2546CB86" w:rsidR="007D010C" w:rsidRDefault="007D010C" w:rsidP="00C20632">
            <w:pPr>
              <w:pStyle w:val="ListParagraph"/>
              <w:numPr>
                <w:ilvl w:val="0"/>
                <w:numId w:val="25"/>
              </w:numPr>
              <w:spacing w:before="80" w:after="80" w:line="240" w:lineRule="auto"/>
              <w:ind w:left="380"/>
              <w:jc w:val="both"/>
            </w:pPr>
            <w:r>
              <w:t xml:space="preserve">Give greenlight to </w:t>
            </w:r>
            <w:r w:rsidR="0030238F">
              <w:t xml:space="preserve">MSF </w:t>
            </w:r>
            <w:proofErr w:type="spellStart"/>
            <w:r w:rsidR="0030238F">
              <w:t>Logistique</w:t>
            </w:r>
            <w:proofErr w:type="spellEnd"/>
            <w:r w:rsidR="0030238F">
              <w:t xml:space="preserve"> </w:t>
            </w:r>
            <w:r>
              <w:t xml:space="preserve">for initial IP shipment to </w:t>
            </w:r>
            <w:r w:rsidR="00C20632">
              <w:t>CMS</w:t>
            </w:r>
            <w:r w:rsidR="005D7C11">
              <w:t xml:space="preserve"> </w:t>
            </w:r>
            <w:r w:rsidR="00394CB7">
              <w:t>of each participating country</w:t>
            </w:r>
            <w:r w:rsidR="001C2401">
              <w:t>/site (as applicable)</w:t>
            </w:r>
            <w:r w:rsidR="003A526A">
              <w:t>.</w:t>
            </w:r>
          </w:p>
        </w:tc>
      </w:tr>
    </w:tbl>
    <w:p w14:paraId="27D4BF25" w14:textId="16FFF8B4" w:rsidR="001C2401" w:rsidRPr="00A53948" w:rsidRDefault="00217C5E" w:rsidP="00A53948">
      <w:pPr>
        <w:pStyle w:val="Heading2"/>
      </w:pPr>
      <w:bookmarkStart w:id="7" w:name="_Toc181292328"/>
      <w:r w:rsidRPr="006E01EC">
        <w:t>DEFINITIONS and ABBREVIATIONS</w:t>
      </w:r>
      <w:bookmarkEnd w:id="7"/>
    </w:p>
    <w:p w14:paraId="5258CF47" w14:textId="1DF71201" w:rsidR="002F0CE0" w:rsidRPr="009A17A8" w:rsidRDefault="002F0CE0" w:rsidP="002F0CE0">
      <w:pPr>
        <w:pStyle w:val="ListNumber"/>
        <w:tabs>
          <w:tab w:val="clear" w:pos="360"/>
        </w:tabs>
        <w:ind w:left="0" w:firstLine="0"/>
        <w:contextualSpacing w:val="0"/>
        <w:jc w:val="both"/>
        <w:rPr>
          <w:bCs/>
        </w:rPr>
      </w:pPr>
      <w:r w:rsidRPr="009A17A8">
        <w:rPr>
          <w:bCs/>
          <w:i/>
          <w:iCs/>
        </w:rPr>
        <w:t>See endTB Pharmacy Manual, paragraph 1 definitions and abbreviations</w:t>
      </w:r>
      <w:r>
        <w:rPr>
          <w:bCs/>
          <w:i/>
          <w:iCs/>
        </w:rPr>
        <w:t>.</w:t>
      </w:r>
    </w:p>
    <w:p w14:paraId="15EF83B0" w14:textId="1C543F2C" w:rsidR="00217C5E" w:rsidRPr="006E01EC" w:rsidRDefault="00217C5E" w:rsidP="006E01EC">
      <w:pPr>
        <w:pStyle w:val="Heading2"/>
      </w:pPr>
      <w:bookmarkStart w:id="8" w:name="_Toc181292329"/>
      <w:r w:rsidRPr="006E01EC">
        <w:lastRenderedPageBreak/>
        <w:t>PROCEDURE</w:t>
      </w:r>
      <w:bookmarkEnd w:id="8"/>
    </w:p>
    <w:p w14:paraId="79F55120" w14:textId="67084A55" w:rsidR="00D52A27" w:rsidRDefault="00D52A27" w:rsidP="006E01EC">
      <w:pPr>
        <w:pStyle w:val="Heading3"/>
      </w:pPr>
      <w:bookmarkStart w:id="9" w:name="_Toc181292330"/>
      <w:r>
        <w:t>Drug Storage Assessment</w:t>
      </w:r>
      <w:bookmarkEnd w:id="9"/>
      <w:r w:rsidRPr="00234780">
        <w:t xml:space="preserve"> </w:t>
      </w:r>
    </w:p>
    <w:p w14:paraId="57772711" w14:textId="052A4441" w:rsidR="00907B3C" w:rsidRDefault="008A1B26" w:rsidP="0042307B">
      <w:pPr>
        <w:jc w:val="both"/>
      </w:pPr>
      <w:r w:rsidRPr="47599F53">
        <w:rPr>
          <w:b/>
          <w:bCs/>
        </w:rPr>
        <w:t xml:space="preserve">Delegated Site Pharmacist </w:t>
      </w:r>
      <w:r w:rsidR="00D52A27">
        <w:t xml:space="preserve">must ensure that the storage conditions at the </w:t>
      </w:r>
      <w:r w:rsidR="00C20632">
        <w:t>CMS</w:t>
      </w:r>
      <w:r w:rsidR="004A105F">
        <w:t>, disp</w:t>
      </w:r>
      <w:r w:rsidR="00814972">
        <w:t>ensary and institution pharmacy</w:t>
      </w:r>
      <w:r w:rsidR="00D52A27">
        <w:t>(</w:t>
      </w:r>
      <w:proofErr w:type="spellStart"/>
      <w:r w:rsidR="00D52A27">
        <w:t>ies</w:t>
      </w:r>
      <w:proofErr w:type="spellEnd"/>
      <w:r w:rsidR="00D52A27">
        <w:t>) fulfill the storage requirements detailed in SOP IP-001-CT</w:t>
      </w:r>
      <w:r w:rsidR="007F06FF">
        <w:t xml:space="preserve"> </w:t>
      </w:r>
      <w:r w:rsidR="0042307B">
        <w:t>IP</w:t>
      </w:r>
      <w:r w:rsidR="007F06FF">
        <w:t xml:space="preserve"> Storage</w:t>
      </w:r>
      <w:r w:rsidR="00D52A27">
        <w:t xml:space="preserve">. </w:t>
      </w:r>
      <w:r w:rsidR="007F06FF">
        <w:t xml:space="preserve">The </w:t>
      </w:r>
      <w:r w:rsidRPr="47599F53">
        <w:rPr>
          <w:b/>
          <w:bCs/>
        </w:rPr>
        <w:t xml:space="preserve">delegated Site Pharmacist </w:t>
      </w:r>
      <w:r w:rsidR="00907B3C">
        <w:t xml:space="preserve">must assess the </w:t>
      </w:r>
      <w:r w:rsidR="00D52A27">
        <w:t xml:space="preserve">drug storage conditions </w:t>
      </w:r>
      <w:r w:rsidR="00907B3C">
        <w:t xml:space="preserve">in each of the designated </w:t>
      </w:r>
      <w:r w:rsidR="00C20632">
        <w:t>CMS</w:t>
      </w:r>
      <w:r w:rsidR="004A105F">
        <w:t xml:space="preserve">, dispensary </w:t>
      </w:r>
      <w:r w:rsidR="00394CB7">
        <w:t>and institution</w:t>
      </w:r>
      <w:r w:rsidR="00907B3C">
        <w:t xml:space="preserve"> pharmacy </w:t>
      </w:r>
      <w:r w:rsidR="00D52A27">
        <w:t xml:space="preserve">and complete </w:t>
      </w:r>
      <w:r w:rsidR="000B5735">
        <w:t xml:space="preserve">one </w:t>
      </w:r>
      <w:r w:rsidR="00D52A27">
        <w:t>Drug</w:t>
      </w:r>
      <w:r w:rsidR="00234780">
        <w:t xml:space="preserve"> storage</w:t>
      </w:r>
      <w:r w:rsidR="00907B3C">
        <w:t xml:space="preserve"> Assessment Form </w:t>
      </w:r>
      <w:r w:rsidR="000B5735">
        <w:t>(</w:t>
      </w:r>
      <w:r w:rsidR="00907B3C">
        <w:t xml:space="preserve">Appendix </w:t>
      </w:r>
      <w:r w:rsidR="004A105F">
        <w:t>A</w:t>
      </w:r>
      <w:r w:rsidR="00907B3C">
        <w:t>1</w:t>
      </w:r>
      <w:r w:rsidR="000B5735">
        <w:t>) per storage location</w:t>
      </w:r>
      <w:r w:rsidR="003802D4">
        <w:t xml:space="preserve"> and per clinical trial.</w:t>
      </w:r>
      <w:r w:rsidR="00907B3C">
        <w:t xml:space="preserve"> </w:t>
      </w:r>
      <w:r w:rsidR="00865D16">
        <w:t xml:space="preserve">The </w:t>
      </w:r>
      <w:r w:rsidR="00D86A01" w:rsidRPr="47599F53">
        <w:rPr>
          <w:b/>
          <w:bCs/>
        </w:rPr>
        <w:t>d</w:t>
      </w:r>
      <w:r w:rsidRPr="47599F53">
        <w:rPr>
          <w:b/>
          <w:bCs/>
        </w:rPr>
        <w:t>elegated Site Pharmacist</w:t>
      </w:r>
      <w:r w:rsidR="28BFA562" w:rsidRPr="47599F53">
        <w:rPr>
          <w:b/>
          <w:bCs/>
        </w:rPr>
        <w:t xml:space="preserve"> </w:t>
      </w:r>
      <w:r w:rsidR="00907B3C">
        <w:t xml:space="preserve">must scan the completed Drug </w:t>
      </w:r>
      <w:r w:rsidR="005E55B6">
        <w:t xml:space="preserve">storage </w:t>
      </w:r>
      <w:r w:rsidR="00907B3C">
        <w:t>Assessment Form</w:t>
      </w:r>
      <w:r w:rsidR="000B5735">
        <w:t>(s)</w:t>
      </w:r>
      <w:r w:rsidR="00907B3C">
        <w:t xml:space="preserve"> and email the electronic copy to the </w:t>
      </w:r>
      <w:r w:rsidR="00907B3C" w:rsidRPr="47599F53">
        <w:rPr>
          <w:b/>
          <w:bCs/>
        </w:rPr>
        <w:t>Clinical Trial Pharmacist</w:t>
      </w:r>
      <w:r w:rsidR="00330892" w:rsidRPr="47599F53">
        <w:rPr>
          <w:b/>
          <w:bCs/>
        </w:rPr>
        <w:t xml:space="preserve"> or</w:t>
      </w:r>
      <w:r w:rsidR="00330892" w:rsidRPr="47599F53">
        <w:rPr>
          <w:b/>
          <w:bCs/>
          <w:sz w:val="24"/>
          <w:szCs w:val="24"/>
        </w:rPr>
        <w:t xml:space="preserve"> </w:t>
      </w:r>
      <w:r w:rsidR="00330892" w:rsidRPr="47599F53">
        <w:rPr>
          <w:b/>
          <w:bCs/>
        </w:rPr>
        <w:t>designee</w:t>
      </w:r>
      <w:r w:rsidR="00907B3C">
        <w:t>.</w:t>
      </w:r>
    </w:p>
    <w:p w14:paraId="65789DE2" w14:textId="7FEE59BE" w:rsidR="00907B3C" w:rsidRPr="00D52A27" w:rsidRDefault="00907B3C" w:rsidP="0042307B">
      <w:pPr>
        <w:jc w:val="both"/>
      </w:pPr>
      <w:r>
        <w:rPr>
          <w:b/>
        </w:rPr>
        <w:t>Clinical Trial Pharmacist</w:t>
      </w:r>
      <w:r w:rsidR="00330892">
        <w:rPr>
          <w:b/>
        </w:rPr>
        <w:t xml:space="preserve"> or designee</w:t>
      </w:r>
      <w:r>
        <w:t xml:space="preserve"> should review the completed Drug</w:t>
      </w:r>
      <w:r w:rsidR="00234780">
        <w:t xml:space="preserve"> storage</w:t>
      </w:r>
      <w:r>
        <w:t xml:space="preserve"> Assessment Form</w:t>
      </w:r>
      <w:r w:rsidR="000B5735">
        <w:t>s</w:t>
      </w:r>
      <w:r>
        <w:t xml:space="preserve"> and </w:t>
      </w:r>
      <w:r w:rsidR="00F72B77">
        <w:t xml:space="preserve">complete the storage conformity validation part </w:t>
      </w:r>
      <w:r>
        <w:t xml:space="preserve">when all drug storage requirements are met.   </w:t>
      </w:r>
    </w:p>
    <w:p w14:paraId="0AD4002A" w14:textId="43C930BA" w:rsidR="00D52A27" w:rsidRDefault="00D52A27" w:rsidP="006E01EC">
      <w:pPr>
        <w:pStyle w:val="Heading3"/>
      </w:pPr>
      <w:bookmarkStart w:id="10" w:name="_Hlk515878024"/>
      <w:bookmarkStart w:id="11" w:name="_Toc181292331"/>
      <w:r>
        <w:t>Request of IP</w:t>
      </w:r>
      <w:r w:rsidR="00937094">
        <w:t>s</w:t>
      </w:r>
      <w:r>
        <w:t xml:space="preserve"> Release</w:t>
      </w:r>
      <w:bookmarkEnd w:id="11"/>
    </w:p>
    <w:bookmarkEnd w:id="10"/>
    <w:p w14:paraId="6B25F783" w14:textId="01F18482" w:rsidR="00907B3C" w:rsidRDefault="6810C7D2" w:rsidP="005E55B6">
      <w:pPr>
        <w:spacing w:after="0"/>
        <w:jc w:val="both"/>
      </w:pPr>
      <w:r w:rsidRPr="47599F53">
        <w:rPr>
          <w:b/>
          <w:bCs/>
        </w:rPr>
        <w:t>D</w:t>
      </w:r>
      <w:r w:rsidR="008A1B26" w:rsidRPr="47599F53">
        <w:rPr>
          <w:b/>
          <w:bCs/>
        </w:rPr>
        <w:t xml:space="preserve">elegated Site Pharmacist </w:t>
      </w:r>
      <w:r w:rsidR="00907B3C">
        <w:t>is responsible for collecting</w:t>
      </w:r>
      <w:r w:rsidR="00100CB5">
        <w:t xml:space="preserve"> and filing</w:t>
      </w:r>
      <w:r w:rsidR="00907B3C">
        <w:t xml:space="preserve"> </w:t>
      </w:r>
      <w:r w:rsidR="00241EC2">
        <w:t xml:space="preserve">in the appropriate section of Investigator Site File (ISF) and when applicable in the Central Investigator File (CIF) </w:t>
      </w:r>
      <w:r w:rsidR="00907B3C">
        <w:t xml:space="preserve">all mandatory regulatory documents required for IP release </w:t>
      </w:r>
      <w:r w:rsidR="00394CB7">
        <w:t xml:space="preserve">to the </w:t>
      </w:r>
      <w:r w:rsidR="00C20632">
        <w:t>CMS</w:t>
      </w:r>
      <w:r w:rsidR="005D7C11">
        <w:t xml:space="preserve"> </w:t>
      </w:r>
      <w:r w:rsidR="00394CB7">
        <w:t xml:space="preserve">of each </w:t>
      </w:r>
      <w:r w:rsidR="00330892">
        <w:t xml:space="preserve">participating </w:t>
      </w:r>
      <w:r w:rsidR="00394CB7">
        <w:t>country</w:t>
      </w:r>
      <w:r w:rsidR="005D7C11">
        <w:t>/Site (as applicable)</w:t>
      </w:r>
      <w:r w:rsidR="00907B3C">
        <w:t>:</w:t>
      </w:r>
    </w:p>
    <w:p w14:paraId="2A954D6F" w14:textId="2872028E" w:rsidR="00907B3C" w:rsidRPr="00CA0C3F" w:rsidRDefault="00907B3C" w:rsidP="006E01EC">
      <w:pPr>
        <w:pStyle w:val="ListParagraph"/>
        <w:numPr>
          <w:ilvl w:val="0"/>
          <w:numId w:val="27"/>
        </w:numPr>
        <w:spacing w:after="0"/>
        <w:jc w:val="both"/>
      </w:pPr>
      <w:r w:rsidRPr="00CA0C3F">
        <w:t xml:space="preserve">National approval from </w:t>
      </w:r>
      <w:r w:rsidR="00241EC2">
        <w:t>Institutional Review Boards (</w:t>
      </w:r>
      <w:r w:rsidRPr="00CA0C3F">
        <w:t>IRB</w:t>
      </w:r>
      <w:r w:rsidR="00241EC2">
        <w:t>)</w:t>
      </w:r>
      <w:r w:rsidRPr="00CA0C3F">
        <w:t>/</w:t>
      </w:r>
      <w:r w:rsidR="00241EC2" w:rsidRPr="00241EC2">
        <w:t xml:space="preserve"> </w:t>
      </w:r>
      <w:r w:rsidR="00241EC2">
        <w:t>Independent Ethics Committee (</w:t>
      </w:r>
      <w:r w:rsidRPr="00CA0C3F">
        <w:t>IEC</w:t>
      </w:r>
      <w:r w:rsidR="00241EC2">
        <w:t>)</w:t>
      </w:r>
      <w:r w:rsidR="0053529A">
        <w:t>.</w:t>
      </w:r>
      <w:r w:rsidR="00CA0C3F" w:rsidRPr="00CA0C3F">
        <w:t xml:space="preserve"> </w:t>
      </w:r>
    </w:p>
    <w:p w14:paraId="3CC863EE" w14:textId="1236DD22" w:rsidR="00907B3C" w:rsidRPr="00CA0C3F" w:rsidRDefault="00907B3C" w:rsidP="00234780">
      <w:pPr>
        <w:pStyle w:val="ListParagraph"/>
        <w:numPr>
          <w:ilvl w:val="0"/>
          <w:numId w:val="27"/>
        </w:numPr>
        <w:jc w:val="both"/>
      </w:pPr>
      <w:r w:rsidRPr="00CA0C3F">
        <w:t xml:space="preserve">Approval from </w:t>
      </w:r>
      <w:r w:rsidR="00241EC2">
        <w:t xml:space="preserve">National </w:t>
      </w:r>
      <w:r w:rsidRPr="00CA0C3F">
        <w:t>Regulatory Authorities</w:t>
      </w:r>
      <w:r w:rsidR="0053529A">
        <w:t>.</w:t>
      </w:r>
      <w:r w:rsidR="00CA0C3F" w:rsidRPr="00CA0C3F">
        <w:t xml:space="preserve"> </w:t>
      </w:r>
    </w:p>
    <w:p w14:paraId="6EAE7BAC" w14:textId="446E957E" w:rsidR="00907B3C" w:rsidRPr="00CA0C3F" w:rsidRDefault="00907B3C" w:rsidP="00551FE3">
      <w:pPr>
        <w:pStyle w:val="ListParagraph"/>
        <w:numPr>
          <w:ilvl w:val="0"/>
          <w:numId w:val="27"/>
        </w:numPr>
        <w:jc w:val="both"/>
      </w:pPr>
      <w:r w:rsidRPr="00CA0C3F">
        <w:t>Copy of Reference Safety Information Booklet for all IPs</w:t>
      </w:r>
      <w:r w:rsidR="0053529A">
        <w:t>.</w:t>
      </w:r>
      <w:r w:rsidR="00CA0C3F" w:rsidRPr="00CA0C3F">
        <w:t xml:space="preserve"> </w:t>
      </w:r>
    </w:p>
    <w:p w14:paraId="36CB6A00" w14:textId="4CDF4B57" w:rsidR="00907B3C" w:rsidRPr="00CA0C3F" w:rsidRDefault="00907B3C" w:rsidP="00234780">
      <w:pPr>
        <w:pStyle w:val="ListParagraph"/>
        <w:numPr>
          <w:ilvl w:val="0"/>
          <w:numId w:val="27"/>
        </w:numPr>
        <w:jc w:val="both"/>
      </w:pPr>
      <w:r w:rsidRPr="00CA0C3F">
        <w:t>Curriculum Vitae</w:t>
      </w:r>
      <w:r w:rsidR="00CA0C3F" w:rsidRPr="00CA0C3F">
        <w:t>(s)</w:t>
      </w:r>
      <w:r w:rsidRPr="00CA0C3F">
        <w:t xml:space="preserve"> </w:t>
      </w:r>
      <w:r w:rsidR="00F24E35">
        <w:t>of</w:t>
      </w:r>
      <w:r w:rsidR="00F24E35" w:rsidRPr="00CA0C3F">
        <w:t xml:space="preserve"> </w:t>
      </w:r>
      <w:r w:rsidRPr="00CA0C3F">
        <w:t>the study staff involved in IPs management (current, dated</w:t>
      </w:r>
      <w:r w:rsidR="00865D16">
        <w:t>,</w:t>
      </w:r>
      <w:r w:rsidRPr="00CA0C3F">
        <w:t xml:space="preserve"> and signed)</w:t>
      </w:r>
      <w:r w:rsidR="0053529A">
        <w:t>.</w:t>
      </w:r>
      <w:r w:rsidR="00CA0C3F" w:rsidRPr="00CA0C3F">
        <w:t xml:space="preserve"> </w:t>
      </w:r>
    </w:p>
    <w:p w14:paraId="1E53F175" w14:textId="585C2C45" w:rsidR="00CA0C3F" w:rsidRPr="00CA0C3F" w:rsidRDefault="00CA0C3F" w:rsidP="00234780">
      <w:pPr>
        <w:pStyle w:val="ListParagraph"/>
        <w:numPr>
          <w:ilvl w:val="0"/>
          <w:numId w:val="27"/>
        </w:numPr>
        <w:jc w:val="both"/>
      </w:pPr>
      <w:r>
        <w:t>Proof of d</w:t>
      </w:r>
      <w:r w:rsidRPr="00234780">
        <w:t>elegated site pharmacy staff</w:t>
      </w:r>
      <w:r>
        <w:t>’s</w:t>
      </w:r>
      <w:r w:rsidRPr="00234780">
        <w:t xml:space="preserve"> </w:t>
      </w:r>
      <w:r w:rsidR="002E6B10">
        <w:t>International Conference on Harmonization - Good Clinical Practice (</w:t>
      </w:r>
      <w:r w:rsidRPr="00234780">
        <w:t>ICH-GCP</w:t>
      </w:r>
      <w:r w:rsidR="002E6B10">
        <w:t>)</w:t>
      </w:r>
      <w:r w:rsidRPr="00234780">
        <w:t xml:space="preserve"> and </w:t>
      </w:r>
      <w:r>
        <w:t>IP-related SOP training records</w:t>
      </w:r>
      <w:r w:rsidR="0053529A">
        <w:t>.</w:t>
      </w:r>
      <w:r w:rsidRPr="00CA0C3F" w:rsidDel="00CA0C3F">
        <w:t xml:space="preserve"> </w:t>
      </w:r>
    </w:p>
    <w:p w14:paraId="07ED924D" w14:textId="0B88A73C" w:rsidR="00907B3C" w:rsidRPr="00CA0C3F" w:rsidRDefault="00907B3C" w:rsidP="00234780">
      <w:pPr>
        <w:pStyle w:val="ListParagraph"/>
        <w:numPr>
          <w:ilvl w:val="0"/>
          <w:numId w:val="27"/>
        </w:numPr>
        <w:jc w:val="both"/>
      </w:pPr>
      <w:r w:rsidRPr="00CA0C3F">
        <w:t xml:space="preserve">Import license </w:t>
      </w:r>
      <w:r w:rsidR="00100CB5">
        <w:t>for</w:t>
      </w:r>
      <w:r w:rsidRPr="00CA0C3F">
        <w:t xml:space="preserve"> IPs and ancillary drugs</w:t>
      </w:r>
      <w:r w:rsidR="0053529A">
        <w:t>.</w:t>
      </w:r>
    </w:p>
    <w:p w14:paraId="40124606" w14:textId="63D228E5" w:rsidR="00907B3C" w:rsidRPr="00CA0C3F" w:rsidRDefault="00907B3C" w:rsidP="00234780">
      <w:pPr>
        <w:pStyle w:val="ListParagraph"/>
        <w:numPr>
          <w:ilvl w:val="0"/>
          <w:numId w:val="27"/>
        </w:numPr>
        <w:jc w:val="both"/>
      </w:pPr>
      <w:bookmarkStart w:id="12" w:name="_Hlk515877960"/>
      <w:r w:rsidRPr="00CA0C3F">
        <w:t xml:space="preserve">Drug storage </w:t>
      </w:r>
      <w:r w:rsidR="006775FD">
        <w:t>A</w:t>
      </w:r>
      <w:r w:rsidRPr="00CA0C3F">
        <w:t xml:space="preserve">ssessment </w:t>
      </w:r>
      <w:r w:rsidR="006775FD">
        <w:t>F</w:t>
      </w:r>
      <w:r w:rsidRPr="00CA0C3F">
        <w:t>orm</w:t>
      </w:r>
      <w:r w:rsidR="000B5735">
        <w:t>(s)</w:t>
      </w:r>
      <w:r w:rsidRPr="00CA0C3F">
        <w:t xml:space="preserve"> is</w:t>
      </w:r>
      <w:r w:rsidR="000B5735">
        <w:t>/are</w:t>
      </w:r>
      <w:r w:rsidRPr="00CA0C3F">
        <w:t xml:space="preserve"> completed and </w:t>
      </w:r>
      <w:r w:rsidR="00F24E35">
        <w:t xml:space="preserve">conform </w:t>
      </w:r>
      <w:r w:rsidR="00A00C28">
        <w:t xml:space="preserve">(see </w:t>
      </w:r>
      <w:r w:rsidR="000B5735">
        <w:t>A</w:t>
      </w:r>
      <w:r w:rsidR="00A00C28">
        <w:t xml:space="preserve">ppendix </w:t>
      </w:r>
      <w:r w:rsidR="00E31D88">
        <w:t>A</w:t>
      </w:r>
      <w:r w:rsidRPr="00CA0C3F">
        <w:t>1)</w:t>
      </w:r>
      <w:r w:rsidR="0053529A">
        <w:t>.</w:t>
      </w:r>
    </w:p>
    <w:bookmarkEnd w:id="12"/>
    <w:p w14:paraId="18153AE9" w14:textId="4B11F712" w:rsidR="00907B3C" w:rsidRPr="008E0223" w:rsidRDefault="00CA0C3F" w:rsidP="0042307B">
      <w:pPr>
        <w:jc w:val="both"/>
      </w:pPr>
      <w:r>
        <w:t>Once all the above documents are obtained,</w:t>
      </w:r>
      <w:r w:rsidRPr="47599F53">
        <w:rPr>
          <w:b/>
          <w:bCs/>
        </w:rPr>
        <w:t xml:space="preserve"> </w:t>
      </w:r>
      <w:r w:rsidR="00100CB5">
        <w:t>the</w:t>
      </w:r>
      <w:r w:rsidR="00100CB5" w:rsidRPr="47599F53">
        <w:rPr>
          <w:b/>
          <w:bCs/>
        </w:rPr>
        <w:t xml:space="preserve"> </w:t>
      </w:r>
      <w:r w:rsidR="00D86A01" w:rsidRPr="47599F53">
        <w:rPr>
          <w:b/>
          <w:bCs/>
        </w:rPr>
        <w:t>d</w:t>
      </w:r>
      <w:r w:rsidR="008A1B26" w:rsidRPr="47599F53">
        <w:rPr>
          <w:b/>
          <w:bCs/>
        </w:rPr>
        <w:t xml:space="preserve">elegated Site Pharmacist </w:t>
      </w:r>
      <w:r>
        <w:t xml:space="preserve">must </w:t>
      </w:r>
      <w:r w:rsidR="00907B3C">
        <w:t xml:space="preserve">complete the “IP </w:t>
      </w:r>
      <w:r>
        <w:t>R</w:t>
      </w:r>
      <w:r w:rsidR="00907B3C">
        <w:t xml:space="preserve">elease </w:t>
      </w:r>
      <w:r>
        <w:t>F</w:t>
      </w:r>
      <w:r w:rsidR="00907B3C">
        <w:t>orm</w:t>
      </w:r>
      <w:r w:rsidR="00E31D88">
        <w:t>” (see A</w:t>
      </w:r>
      <w:r w:rsidR="00907B3C">
        <w:t xml:space="preserve">ppendix </w:t>
      </w:r>
      <w:r w:rsidR="004A105F">
        <w:t>A</w:t>
      </w:r>
      <w:r w:rsidR="00907B3C">
        <w:t>2)</w:t>
      </w:r>
      <w:r w:rsidR="005146EC">
        <w:t xml:space="preserve"> </w:t>
      </w:r>
      <w:r>
        <w:t>and submit the scanned copy to</w:t>
      </w:r>
      <w:r w:rsidR="00907B3C">
        <w:t xml:space="preserve"> the </w:t>
      </w:r>
      <w:r w:rsidRPr="47599F53">
        <w:rPr>
          <w:b/>
          <w:bCs/>
        </w:rPr>
        <w:t>C</w:t>
      </w:r>
      <w:r w:rsidR="00907B3C" w:rsidRPr="47599F53">
        <w:rPr>
          <w:b/>
          <w:bCs/>
        </w:rPr>
        <w:t xml:space="preserve">linical </w:t>
      </w:r>
      <w:r w:rsidRPr="47599F53">
        <w:rPr>
          <w:b/>
          <w:bCs/>
        </w:rPr>
        <w:t>T</w:t>
      </w:r>
      <w:r w:rsidR="00907B3C" w:rsidRPr="47599F53">
        <w:rPr>
          <w:b/>
          <w:bCs/>
        </w:rPr>
        <w:t xml:space="preserve">rial </w:t>
      </w:r>
      <w:r w:rsidRPr="47599F53">
        <w:rPr>
          <w:b/>
          <w:bCs/>
        </w:rPr>
        <w:t>P</w:t>
      </w:r>
      <w:r w:rsidR="00907B3C" w:rsidRPr="47599F53">
        <w:rPr>
          <w:b/>
          <w:bCs/>
        </w:rPr>
        <w:t>harmacist</w:t>
      </w:r>
      <w:r w:rsidRPr="47599F53">
        <w:rPr>
          <w:b/>
          <w:bCs/>
        </w:rPr>
        <w:t xml:space="preserve"> </w:t>
      </w:r>
      <w:r w:rsidR="00330892" w:rsidRPr="47599F53">
        <w:rPr>
          <w:b/>
          <w:bCs/>
        </w:rPr>
        <w:t>or designee</w:t>
      </w:r>
      <w:r w:rsidR="00330892">
        <w:t xml:space="preserve"> </w:t>
      </w:r>
      <w:r>
        <w:t>via email</w:t>
      </w:r>
      <w:r w:rsidR="001E60AA">
        <w:t>.</w:t>
      </w:r>
      <w:r w:rsidR="00907B3C">
        <w:t xml:space="preserve"> </w:t>
      </w:r>
    </w:p>
    <w:p w14:paraId="22DB7EB5" w14:textId="529B0FAD" w:rsidR="00D23F3B" w:rsidRDefault="00D52A27" w:rsidP="006E01EC">
      <w:pPr>
        <w:pStyle w:val="Heading3"/>
      </w:pPr>
      <w:bookmarkStart w:id="13" w:name="_Toc181292332"/>
      <w:r>
        <w:t>Greenlight</w:t>
      </w:r>
      <w:r w:rsidR="0015554F">
        <w:t xml:space="preserve"> for IP</w:t>
      </w:r>
      <w:r w:rsidR="00937094">
        <w:t>s</w:t>
      </w:r>
      <w:r w:rsidR="0015554F">
        <w:t xml:space="preserve"> release</w:t>
      </w:r>
      <w:bookmarkEnd w:id="13"/>
    </w:p>
    <w:p w14:paraId="5DE1A2BE" w14:textId="1BA6553C" w:rsidR="00A4653D" w:rsidRDefault="006775FD" w:rsidP="0042307B">
      <w:pPr>
        <w:jc w:val="both"/>
      </w:pPr>
      <w:r w:rsidRPr="47599F53">
        <w:rPr>
          <w:b/>
          <w:bCs/>
        </w:rPr>
        <w:t>Clinical Trial P</w:t>
      </w:r>
      <w:r w:rsidR="00183581" w:rsidRPr="47599F53">
        <w:rPr>
          <w:b/>
          <w:bCs/>
        </w:rPr>
        <w:t>harmacist</w:t>
      </w:r>
      <w:r w:rsidR="00A4653D" w:rsidRPr="47599F53">
        <w:rPr>
          <w:b/>
          <w:bCs/>
        </w:rPr>
        <w:t xml:space="preserve"> </w:t>
      </w:r>
      <w:r w:rsidR="0085069C" w:rsidRPr="47599F53">
        <w:rPr>
          <w:b/>
          <w:bCs/>
        </w:rPr>
        <w:t>or</w:t>
      </w:r>
      <w:r w:rsidR="0085069C">
        <w:t xml:space="preserve"> </w:t>
      </w:r>
      <w:r w:rsidR="0085069C" w:rsidRPr="47599F53">
        <w:rPr>
          <w:b/>
          <w:bCs/>
        </w:rPr>
        <w:t>designee</w:t>
      </w:r>
      <w:r w:rsidR="0085069C">
        <w:t xml:space="preserve"> </w:t>
      </w:r>
      <w:r w:rsidR="00A4653D">
        <w:t xml:space="preserve">must review the </w:t>
      </w:r>
      <w:r>
        <w:t>completed IP R</w:t>
      </w:r>
      <w:r w:rsidR="00A4653D">
        <w:t xml:space="preserve">elease </w:t>
      </w:r>
      <w:r>
        <w:t>F</w:t>
      </w:r>
      <w:r w:rsidR="00A4653D">
        <w:t xml:space="preserve">orm and, if it is </w:t>
      </w:r>
      <w:r w:rsidR="00F24E35">
        <w:t>conform</w:t>
      </w:r>
      <w:r w:rsidR="00A4653D">
        <w:t>, sh</w:t>
      </w:r>
      <w:r w:rsidR="007D455D">
        <w:t xml:space="preserve">ould </w:t>
      </w:r>
      <w:r w:rsidR="00A4653D">
        <w:t xml:space="preserve">give </w:t>
      </w:r>
      <w:r w:rsidR="0030238F">
        <w:t xml:space="preserve">MSF </w:t>
      </w:r>
      <w:proofErr w:type="spellStart"/>
      <w:r w:rsidR="0030238F">
        <w:t>Logistique</w:t>
      </w:r>
      <w:proofErr w:type="spellEnd"/>
      <w:r w:rsidR="0030238F">
        <w:t xml:space="preserve"> </w:t>
      </w:r>
      <w:r w:rsidR="00A4653D">
        <w:t xml:space="preserve">the greenlight to </w:t>
      </w:r>
      <w:r w:rsidR="007D455D">
        <w:t>proceed with</w:t>
      </w:r>
      <w:r w:rsidR="00A4653D">
        <w:t xml:space="preserve"> the initial shipment of IPs and ancillary drugs to the country. </w:t>
      </w:r>
      <w:r w:rsidR="00183581" w:rsidRPr="47599F53">
        <w:rPr>
          <w:b/>
          <w:bCs/>
        </w:rPr>
        <w:t xml:space="preserve">Clinical </w:t>
      </w:r>
      <w:r w:rsidR="00632A16" w:rsidRPr="47599F53">
        <w:rPr>
          <w:b/>
          <w:bCs/>
        </w:rPr>
        <w:t>T</w:t>
      </w:r>
      <w:r w:rsidR="00183581" w:rsidRPr="47599F53">
        <w:rPr>
          <w:b/>
          <w:bCs/>
        </w:rPr>
        <w:t xml:space="preserve">rial </w:t>
      </w:r>
      <w:r w:rsidR="00632A16" w:rsidRPr="47599F53">
        <w:rPr>
          <w:b/>
          <w:bCs/>
        </w:rPr>
        <w:t>P</w:t>
      </w:r>
      <w:r w:rsidR="00183581" w:rsidRPr="47599F53">
        <w:rPr>
          <w:b/>
          <w:bCs/>
        </w:rPr>
        <w:t>harmacist</w:t>
      </w:r>
      <w:r w:rsidR="00A4653D" w:rsidRPr="47599F53">
        <w:rPr>
          <w:b/>
          <w:bCs/>
        </w:rPr>
        <w:t xml:space="preserve"> </w:t>
      </w:r>
      <w:r w:rsidR="0085069C" w:rsidRPr="47599F53">
        <w:rPr>
          <w:b/>
          <w:bCs/>
        </w:rPr>
        <w:t>or designee</w:t>
      </w:r>
      <w:r w:rsidR="0085069C">
        <w:t xml:space="preserve"> </w:t>
      </w:r>
      <w:r w:rsidR="00A4653D">
        <w:t xml:space="preserve">must inform the </w:t>
      </w:r>
      <w:r w:rsidR="00D86A01" w:rsidRPr="47599F53">
        <w:rPr>
          <w:b/>
          <w:bCs/>
        </w:rPr>
        <w:t>d</w:t>
      </w:r>
      <w:r w:rsidR="008A1B26" w:rsidRPr="47599F53">
        <w:rPr>
          <w:b/>
          <w:bCs/>
        </w:rPr>
        <w:t xml:space="preserve">elegated Site Pharmacist </w:t>
      </w:r>
      <w:r w:rsidR="00A4653D">
        <w:t>of the greenlight in writing.</w:t>
      </w:r>
    </w:p>
    <w:p w14:paraId="3605E9E9" w14:textId="7A1F8FCF" w:rsidR="00D23F3B" w:rsidRDefault="00CD7FEA" w:rsidP="0042307B">
      <w:pPr>
        <w:jc w:val="both"/>
      </w:pPr>
      <w:r>
        <w:rPr>
          <w:noProof/>
          <w:lang w:val="fr-FR" w:eastAsia="fr-FR"/>
        </w:rPr>
        <w:drawing>
          <wp:inline distT="0" distB="0" distL="0" distR="0" wp14:anchorId="5A9A846C" wp14:editId="7C201352">
            <wp:extent cx="236716" cy="246185"/>
            <wp:effectExtent l="0" t="0" r="0" b="1905"/>
            <wp:docPr id="4265278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6" cy="2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A526A">
        <w:t>T</w:t>
      </w:r>
      <w:r w:rsidR="00205479">
        <w:t>he</w:t>
      </w:r>
      <w:r w:rsidR="00EC6288">
        <w:t xml:space="preserve"> </w:t>
      </w:r>
      <w:r w:rsidR="006B2BC0" w:rsidRPr="47599F53">
        <w:rPr>
          <w:b/>
          <w:bCs/>
        </w:rPr>
        <w:t xml:space="preserve">delegated </w:t>
      </w:r>
      <w:r w:rsidR="6AAB745E" w:rsidRPr="47599F53">
        <w:rPr>
          <w:b/>
          <w:bCs/>
        </w:rPr>
        <w:t>pharmacy</w:t>
      </w:r>
      <w:r w:rsidR="001355CD" w:rsidRPr="47599F53">
        <w:rPr>
          <w:b/>
          <w:bCs/>
        </w:rPr>
        <w:t xml:space="preserve"> personnel in </w:t>
      </w:r>
      <w:r w:rsidR="000C4A83" w:rsidRPr="47599F53">
        <w:rPr>
          <w:b/>
          <w:bCs/>
        </w:rPr>
        <w:t xml:space="preserve">charge </w:t>
      </w:r>
      <w:r w:rsidR="00A00C28" w:rsidRPr="47599F53">
        <w:rPr>
          <w:b/>
          <w:bCs/>
        </w:rPr>
        <w:t xml:space="preserve">of the </w:t>
      </w:r>
      <w:r w:rsidR="00C20632" w:rsidRPr="47599F53">
        <w:rPr>
          <w:b/>
          <w:bCs/>
        </w:rPr>
        <w:t>CMS</w:t>
      </w:r>
      <w:r w:rsidR="00AD197D" w:rsidRPr="47599F53">
        <w:rPr>
          <w:b/>
          <w:bCs/>
        </w:rPr>
        <w:t xml:space="preserve"> </w:t>
      </w:r>
      <w:r w:rsidR="003A526A">
        <w:t>will</w:t>
      </w:r>
      <w:r w:rsidR="006C4B29">
        <w:t xml:space="preserve"> </w:t>
      </w:r>
      <w:r w:rsidR="00EC6288">
        <w:t>dis</w:t>
      </w:r>
      <w:r w:rsidR="001355CD">
        <w:t xml:space="preserve">tribute </w:t>
      </w:r>
      <w:r w:rsidR="00EC6288">
        <w:t>IPs and ancillary drugs</w:t>
      </w:r>
      <w:r w:rsidR="001355CD">
        <w:t xml:space="preserve"> from </w:t>
      </w:r>
      <w:r w:rsidR="006958B4">
        <w:t xml:space="preserve">the </w:t>
      </w:r>
      <w:r w:rsidR="00C20632">
        <w:t>CMS</w:t>
      </w:r>
      <w:r w:rsidR="00AD197D">
        <w:t xml:space="preserve"> </w:t>
      </w:r>
      <w:r w:rsidR="00A00C28">
        <w:t>(see SOP</w:t>
      </w:r>
      <w:r w:rsidR="00A00C28" w:rsidRPr="47599F53">
        <w:rPr>
          <w:b/>
          <w:bCs/>
          <w:i/>
          <w:iCs/>
        </w:rPr>
        <w:t xml:space="preserve"> </w:t>
      </w:r>
      <w:r w:rsidR="00A00C28">
        <w:t>IP-004-CT</w:t>
      </w:r>
      <w:r w:rsidR="00A00C28" w:rsidRPr="47599F53">
        <w:rPr>
          <w:b/>
          <w:bCs/>
          <w:i/>
          <w:iCs/>
        </w:rPr>
        <w:t xml:space="preserve"> </w:t>
      </w:r>
      <w:r w:rsidR="00A00C28">
        <w:t xml:space="preserve">IP Distributing, Dispensing, and Accountability) </w:t>
      </w:r>
      <w:r w:rsidR="00EC6288">
        <w:t>only once the</w:t>
      </w:r>
      <w:r w:rsidR="00C40B16">
        <w:t xml:space="preserve"> </w:t>
      </w:r>
      <w:r w:rsidR="00C40B16">
        <w:lastRenderedPageBreak/>
        <w:t>Investigator site initiation visit will be completed and conform</w:t>
      </w:r>
      <w:r w:rsidR="001355CD">
        <w:t xml:space="preserve"> (see SOP SS-003-CT Investigator Site Initiation)</w:t>
      </w:r>
      <w:r w:rsidR="00AD197D">
        <w:t xml:space="preserve"> and the Site Activation letter will be received from the Sponsor</w:t>
      </w:r>
      <w:r w:rsidR="00C40B16">
        <w:t>.</w:t>
      </w:r>
    </w:p>
    <w:p w14:paraId="61DF0096" w14:textId="7AE37039" w:rsidR="000B5735" w:rsidRDefault="00252D2F" w:rsidP="0042307B">
      <w:pPr>
        <w:jc w:val="both"/>
      </w:pPr>
      <w:r>
        <w:t>For a</w:t>
      </w:r>
      <w:r w:rsidR="000B5735">
        <w:t xml:space="preserve">ny new storage location not approved at the time </w:t>
      </w:r>
      <w:r>
        <w:t>of IP</w:t>
      </w:r>
      <w:r w:rsidR="00937094">
        <w:t>s</w:t>
      </w:r>
      <w:r>
        <w:t xml:space="preserve"> release, the corresponding Drug assessment </w:t>
      </w:r>
      <w:r w:rsidR="00A15FD9">
        <w:t>S</w:t>
      </w:r>
      <w:r>
        <w:t xml:space="preserve">torage </w:t>
      </w:r>
      <w:r w:rsidR="00A15FD9">
        <w:t>F</w:t>
      </w:r>
      <w:r>
        <w:t xml:space="preserve">orm has to be submitted and approved by the </w:t>
      </w:r>
      <w:r w:rsidR="00183581" w:rsidRPr="47599F53">
        <w:rPr>
          <w:b/>
          <w:bCs/>
        </w:rPr>
        <w:t>Clinical Trial Pharmacist</w:t>
      </w:r>
      <w:r w:rsidR="00330E99" w:rsidRPr="47599F53">
        <w:rPr>
          <w:b/>
          <w:bCs/>
        </w:rPr>
        <w:t xml:space="preserve"> or designee</w:t>
      </w:r>
      <w:r>
        <w:t xml:space="preserve"> as described in 5.1 prior </w:t>
      </w:r>
      <w:r w:rsidR="00AD197D">
        <w:t xml:space="preserve">to </w:t>
      </w:r>
      <w:r>
        <w:t xml:space="preserve">any </w:t>
      </w:r>
      <w:r w:rsidR="550BEF87">
        <w:t xml:space="preserve">IPs </w:t>
      </w:r>
      <w:r>
        <w:t>dis</w:t>
      </w:r>
      <w:r w:rsidR="00330E99">
        <w:t>tribution</w:t>
      </w:r>
      <w:r>
        <w:t xml:space="preserve"> to this location.</w:t>
      </w:r>
    </w:p>
    <w:p w14:paraId="62FCCA09" w14:textId="7DF812C1" w:rsidR="00D52A27" w:rsidRPr="00911FD8" w:rsidRDefault="00D52A27" w:rsidP="006E01EC">
      <w:pPr>
        <w:pStyle w:val="Heading3"/>
      </w:pPr>
      <w:bookmarkStart w:id="14" w:name="_Toc181292333"/>
      <w:r>
        <w:t>Filing of IP Release Documentation</w:t>
      </w:r>
      <w:bookmarkEnd w:id="14"/>
      <w:r w:rsidRPr="00911FD8">
        <w:t xml:space="preserve"> </w:t>
      </w:r>
    </w:p>
    <w:p w14:paraId="7FCA7036" w14:textId="7CEC0125" w:rsidR="00CF73EC" w:rsidRPr="00CF73EC" w:rsidRDefault="008A1B26" w:rsidP="0042307B">
      <w:pPr>
        <w:jc w:val="both"/>
      </w:pPr>
      <w:r w:rsidRPr="47599F53">
        <w:rPr>
          <w:b/>
          <w:bCs/>
        </w:rPr>
        <w:t xml:space="preserve">Delegated Site Pharmacist </w:t>
      </w:r>
      <w:r w:rsidR="00CF73EC">
        <w:t xml:space="preserve">is responsible for ensuring that the following documents are </w:t>
      </w:r>
      <w:r w:rsidR="00040DE3">
        <w:t>filed</w:t>
      </w:r>
      <w:r w:rsidR="769EE935">
        <w:t xml:space="preserve"> in the</w:t>
      </w:r>
      <w:r w:rsidR="00040DE3">
        <w:t xml:space="preserve"> Pharmacy Site File (</w:t>
      </w:r>
      <w:r w:rsidR="00A4653D">
        <w:t xml:space="preserve">section of the </w:t>
      </w:r>
      <w:r w:rsidR="00706C32">
        <w:t>ISF</w:t>
      </w:r>
      <w:r w:rsidR="00040DE3">
        <w:t>)</w:t>
      </w:r>
      <w:r w:rsidR="00706C32">
        <w:t xml:space="preserve"> and when applicable in the CIF:</w:t>
      </w:r>
    </w:p>
    <w:p w14:paraId="3E30A412" w14:textId="70AD270E" w:rsidR="00D1560B" w:rsidRDefault="00C05D5F" w:rsidP="000A683D">
      <w:pPr>
        <w:pStyle w:val="ListParagraph"/>
        <w:numPr>
          <w:ilvl w:val="0"/>
          <w:numId w:val="28"/>
        </w:numPr>
        <w:ind w:left="993"/>
        <w:jc w:val="both"/>
      </w:pPr>
      <w:r>
        <w:t xml:space="preserve">Submitted and Approved </w:t>
      </w:r>
      <w:r w:rsidR="001352D6">
        <w:t xml:space="preserve">IP </w:t>
      </w:r>
      <w:r>
        <w:t>R</w:t>
      </w:r>
      <w:r w:rsidR="001352D6">
        <w:t xml:space="preserve">elease </w:t>
      </w:r>
      <w:r>
        <w:t>F</w:t>
      </w:r>
      <w:r w:rsidR="001352D6">
        <w:t>orm</w:t>
      </w:r>
      <w:r>
        <w:t>s</w:t>
      </w:r>
      <w:r w:rsidR="00937094">
        <w:t xml:space="preserve"> (signed by the </w:t>
      </w:r>
      <w:r w:rsidR="00937094" w:rsidRPr="00A15FD9">
        <w:rPr>
          <w:b/>
        </w:rPr>
        <w:t>Clinical Trial Pharmacist or designee</w:t>
      </w:r>
      <w:r w:rsidR="00937094">
        <w:t>)</w:t>
      </w:r>
      <w:r w:rsidR="0053529A">
        <w:t>.</w:t>
      </w:r>
    </w:p>
    <w:p w14:paraId="4E1FF2B5" w14:textId="6725AEF8" w:rsidR="00EC6288" w:rsidRDefault="00B66166" w:rsidP="000A683D">
      <w:pPr>
        <w:pStyle w:val="ListParagraph"/>
        <w:numPr>
          <w:ilvl w:val="0"/>
          <w:numId w:val="28"/>
        </w:numPr>
        <w:ind w:left="993"/>
        <w:jc w:val="both"/>
      </w:pPr>
      <w:r>
        <w:t>Cop</w:t>
      </w:r>
      <w:r w:rsidR="00C05D5F">
        <w:t>ies</w:t>
      </w:r>
      <w:r>
        <w:t xml:space="preserve"> of Good Manufacturing Practices certificate for each IP</w:t>
      </w:r>
      <w:r w:rsidR="00EC6288">
        <w:t>, if required by the national authorities</w:t>
      </w:r>
      <w:r w:rsidR="00330E99">
        <w:t xml:space="preserve"> </w:t>
      </w:r>
      <w:r w:rsidR="00551FE3">
        <w:t>for delivering the import permit</w:t>
      </w:r>
      <w:r w:rsidR="0053529A">
        <w:t>.</w:t>
      </w:r>
    </w:p>
    <w:p w14:paraId="3E8F15BC" w14:textId="2DF64B92" w:rsidR="00B66166" w:rsidRDefault="00B66166" w:rsidP="000A683D">
      <w:pPr>
        <w:pStyle w:val="ListParagraph"/>
        <w:numPr>
          <w:ilvl w:val="0"/>
          <w:numId w:val="28"/>
        </w:numPr>
        <w:ind w:left="993"/>
        <w:jc w:val="both"/>
      </w:pPr>
      <w:r>
        <w:t>Cop</w:t>
      </w:r>
      <w:r w:rsidR="00C05D5F">
        <w:t>ies</w:t>
      </w:r>
      <w:r>
        <w:t xml:space="preserve"> of Certificate of Pharmaceutical Product or </w:t>
      </w:r>
      <w:r w:rsidR="00A4653D">
        <w:t>M</w:t>
      </w:r>
      <w:r>
        <w:t>arket</w:t>
      </w:r>
      <w:r w:rsidR="00A4653D">
        <w:t>ing</w:t>
      </w:r>
      <w:r>
        <w:t xml:space="preserve"> </w:t>
      </w:r>
      <w:r w:rsidR="00A4653D">
        <w:t>A</w:t>
      </w:r>
      <w:r>
        <w:t>uthorization for each IP</w:t>
      </w:r>
      <w:r w:rsidR="00A4653D">
        <w:t>,</w:t>
      </w:r>
      <w:r w:rsidR="00EB70ED">
        <w:t xml:space="preserve"> </w:t>
      </w:r>
      <w:r w:rsidR="007F41C6">
        <w:t>if</w:t>
      </w:r>
      <w:r w:rsidR="00EB70ED">
        <w:t xml:space="preserve"> required by the national authorities</w:t>
      </w:r>
      <w:r w:rsidR="00330E99">
        <w:t xml:space="preserve"> </w:t>
      </w:r>
      <w:r w:rsidR="001C2401">
        <w:t>for delivering the import permit</w:t>
      </w:r>
      <w:r w:rsidR="0053529A">
        <w:t>.</w:t>
      </w:r>
    </w:p>
    <w:p w14:paraId="1B58BA10" w14:textId="4E1171A5" w:rsidR="0080331D" w:rsidRDefault="0080331D" w:rsidP="000A683D">
      <w:pPr>
        <w:pStyle w:val="ListParagraph"/>
        <w:numPr>
          <w:ilvl w:val="0"/>
          <w:numId w:val="28"/>
        </w:numPr>
        <w:ind w:left="993"/>
        <w:jc w:val="both"/>
      </w:pPr>
      <w:r>
        <w:t xml:space="preserve">List of </w:t>
      </w:r>
      <w:r w:rsidR="00A4653D">
        <w:t xml:space="preserve">the delegated </w:t>
      </w:r>
      <w:r>
        <w:t xml:space="preserve">site </w:t>
      </w:r>
      <w:r w:rsidR="00A4653D">
        <w:t xml:space="preserve">pharmacy </w:t>
      </w:r>
      <w:r>
        <w:t xml:space="preserve">staff </w:t>
      </w:r>
      <w:r w:rsidR="00A4653D">
        <w:t xml:space="preserve">and their </w:t>
      </w:r>
      <w:r>
        <w:t>train</w:t>
      </w:r>
      <w:r w:rsidR="00A4653D">
        <w:t>ing records</w:t>
      </w:r>
      <w:r>
        <w:t xml:space="preserve"> on </w:t>
      </w:r>
      <w:r w:rsidR="008F6470">
        <w:t xml:space="preserve">ICH-GCP and </w:t>
      </w:r>
      <w:r w:rsidR="00EB70ED">
        <w:t>IP</w:t>
      </w:r>
      <w:r w:rsidR="00A4653D">
        <w:t>-related</w:t>
      </w:r>
      <w:r>
        <w:t xml:space="preserve"> SOP</w:t>
      </w:r>
      <w:r w:rsidR="00EB70ED">
        <w:t>s</w:t>
      </w:r>
      <w:r w:rsidR="0053529A">
        <w:t>.</w:t>
      </w:r>
    </w:p>
    <w:p w14:paraId="22900F53" w14:textId="6C454366" w:rsidR="0080331D" w:rsidRDefault="00AD197D" w:rsidP="000A683D">
      <w:pPr>
        <w:pStyle w:val="ListParagraph"/>
        <w:numPr>
          <w:ilvl w:val="0"/>
          <w:numId w:val="28"/>
        </w:numPr>
        <w:ind w:left="993"/>
        <w:jc w:val="both"/>
      </w:pPr>
      <w:r>
        <w:t xml:space="preserve">Initial </w:t>
      </w:r>
      <w:r w:rsidR="0080331D">
        <w:t>import license</w:t>
      </w:r>
      <w:r w:rsidR="00A4653D">
        <w:t>(s)</w:t>
      </w:r>
      <w:r w:rsidR="0080331D">
        <w:t xml:space="preserve"> for IP</w:t>
      </w:r>
      <w:r>
        <w:t>s</w:t>
      </w:r>
      <w:r w:rsidR="0080331D">
        <w:t xml:space="preserve"> and ancillary drugs</w:t>
      </w:r>
      <w:r w:rsidR="0053529A">
        <w:t>.</w:t>
      </w:r>
    </w:p>
    <w:p w14:paraId="67920C46" w14:textId="13B5C16E" w:rsidR="00AB4037" w:rsidRDefault="00A4653D" w:rsidP="000A683D">
      <w:pPr>
        <w:pStyle w:val="ListParagraph"/>
        <w:numPr>
          <w:ilvl w:val="0"/>
          <w:numId w:val="28"/>
        </w:numPr>
        <w:ind w:left="993"/>
        <w:jc w:val="both"/>
      </w:pPr>
      <w:r>
        <w:t xml:space="preserve">Completed </w:t>
      </w:r>
      <w:r w:rsidR="007E3E48">
        <w:t>“D</w:t>
      </w:r>
      <w:r w:rsidR="00AB4037">
        <w:t xml:space="preserve">rug </w:t>
      </w:r>
      <w:r w:rsidR="007E3E48">
        <w:t>storage</w:t>
      </w:r>
      <w:r w:rsidR="00AB4037">
        <w:t xml:space="preserve"> </w:t>
      </w:r>
      <w:r w:rsidR="00A15FD9">
        <w:t>Assessment F</w:t>
      </w:r>
      <w:r w:rsidR="00AB4037">
        <w:t>orm”</w:t>
      </w:r>
      <w:r w:rsidR="008F6470">
        <w:t xml:space="preserve"> </w:t>
      </w:r>
      <w:r w:rsidR="00AD197D">
        <w:t>with conformity validation</w:t>
      </w:r>
      <w:r w:rsidR="00486CDE">
        <w:t xml:space="preserve"> signed by the </w:t>
      </w:r>
      <w:r w:rsidRPr="00A15FD9">
        <w:rPr>
          <w:b/>
        </w:rPr>
        <w:t>C</w:t>
      </w:r>
      <w:r w:rsidR="00EB70ED" w:rsidRPr="00A15FD9">
        <w:rPr>
          <w:b/>
        </w:rPr>
        <w:t xml:space="preserve">linical </w:t>
      </w:r>
      <w:r w:rsidRPr="00A15FD9">
        <w:rPr>
          <w:b/>
        </w:rPr>
        <w:t>T</w:t>
      </w:r>
      <w:r w:rsidR="00EB70ED" w:rsidRPr="00A15FD9">
        <w:rPr>
          <w:b/>
        </w:rPr>
        <w:t xml:space="preserve">rial </w:t>
      </w:r>
      <w:r w:rsidRPr="00A15FD9">
        <w:rPr>
          <w:b/>
        </w:rPr>
        <w:t>P</w:t>
      </w:r>
      <w:r w:rsidR="00EB70ED" w:rsidRPr="00A15FD9">
        <w:rPr>
          <w:b/>
        </w:rPr>
        <w:t xml:space="preserve">harmacist </w:t>
      </w:r>
      <w:r w:rsidR="00937094" w:rsidRPr="00A15FD9">
        <w:rPr>
          <w:b/>
        </w:rPr>
        <w:t>or designee</w:t>
      </w:r>
      <w:r w:rsidR="00A15FD9">
        <w:t>.</w:t>
      </w:r>
    </w:p>
    <w:p w14:paraId="6C25BA43" w14:textId="77777777" w:rsidR="00217C5E" w:rsidRPr="006E01EC" w:rsidRDefault="00217C5E" w:rsidP="006E01EC">
      <w:pPr>
        <w:pStyle w:val="Heading2"/>
      </w:pPr>
      <w:bookmarkStart w:id="15" w:name="_Toc181292334"/>
      <w:r w:rsidRPr="006E01EC">
        <w:t>REFERENCES</w:t>
      </w:r>
      <w:bookmarkEnd w:id="15"/>
    </w:p>
    <w:p w14:paraId="7B7E049C" w14:textId="624C0742" w:rsidR="00217C5E" w:rsidRDefault="00C15EC3" w:rsidP="001B72F9">
      <w:pPr>
        <w:pStyle w:val="NormalWeb"/>
        <w:spacing w:before="0" w:beforeAutospacing="0" w:after="12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None</w:t>
      </w:r>
    </w:p>
    <w:p w14:paraId="76A6EF67" w14:textId="77777777" w:rsidR="00AB7844" w:rsidRDefault="00AB7844" w:rsidP="005E05D6">
      <w:pPr>
        <w:pStyle w:val="Heading2"/>
      </w:pPr>
      <w:bookmarkStart w:id="16" w:name="_Toc181292335"/>
      <w:r>
        <w:t>SUPPORTING DOCUMENTS</w:t>
      </w:r>
      <w:bookmarkEnd w:id="16"/>
    </w:p>
    <w:p w14:paraId="59B29A75" w14:textId="57327D8A" w:rsidR="0042307B" w:rsidRDefault="6D057649" w:rsidP="0053529A">
      <w:pPr>
        <w:pStyle w:val="NormalWeb"/>
        <w:numPr>
          <w:ilvl w:val="0"/>
          <w:numId w:val="34"/>
        </w:numPr>
        <w:spacing w:before="0" w:beforeAutospacing="0" w:after="0" w:afterAutospacing="0"/>
        <w:ind w:left="425" w:hanging="357"/>
        <w:jc w:val="both"/>
        <w:rPr>
          <w:rFonts w:asciiTheme="minorHAnsi" w:hAnsiTheme="minorHAnsi" w:cstheme="minorBidi"/>
          <w:color w:val="000000"/>
          <w:sz w:val="20"/>
          <w:szCs w:val="20"/>
        </w:rPr>
      </w:pPr>
      <w:r w:rsidRPr="59072801">
        <w:rPr>
          <w:rFonts w:ascii="Calibri" w:eastAsia="Calibri" w:hAnsi="Calibri" w:cs="Calibri"/>
          <w:sz w:val="22"/>
          <w:szCs w:val="22"/>
        </w:rPr>
        <w:t>endTB Pharmacy Manual (endTB Site Study Documents)</w:t>
      </w:r>
      <w:r w:rsidRPr="5907280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462D25C" w14:textId="68DB5FB2" w:rsidR="0042307B" w:rsidRDefault="0042307B" w:rsidP="0053529A">
      <w:pPr>
        <w:pStyle w:val="NormalWeb"/>
        <w:numPr>
          <w:ilvl w:val="0"/>
          <w:numId w:val="34"/>
        </w:numPr>
        <w:spacing w:before="0" w:beforeAutospacing="0" w:after="0" w:afterAutospacing="0"/>
        <w:ind w:left="425" w:hanging="357"/>
        <w:jc w:val="both"/>
        <w:rPr>
          <w:color w:val="000000"/>
          <w:sz w:val="20"/>
          <w:szCs w:val="20"/>
        </w:rPr>
      </w:pPr>
      <w:r w:rsidRPr="59072801">
        <w:rPr>
          <w:rFonts w:asciiTheme="minorHAnsi" w:hAnsiTheme="minorHAnsi" w:cstheme="minorBidi"/>
          <w:color w:val="000000" w:themeColor="text1"/>
          <w:sz w:val="22"/>
          <w:szCs w:val="22"/>
        </w:rPr>
        <w:t>SOP IP-001-CT IP Storage (endTB Site Study Document</w:t>
      </w:r>
      <w:r w:rsidR="18FCB4EE" w:rsidRPr="59072801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Pr="59072801">
        <w:rPr>
          <w:rFonts w:asciiTheme="minorHAnsi" w:hAnsiTheme="minorHAnsi" w:cstheme="minorBidi"/>
          <w:color w:val="000000" w:themeColor="text1"/>
          <w:sz w:val="22"/>
          <w:szCs w:val="22"/>
        </w:rPr>
        <w:t>) </w:t>
      </w:r>
      <w:r w:rsidRPr="59072801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</w:p>
    <w:p w14:paraId="3E23BB72" w14:textId="4941CA5E" w:rsidR="00A15FD9" w:rsidRDefault="00A15FD9" w:rsidP="0053529A">
      <w:pPr>
        <w:pStyle w:val="NormalWeb"/>
        <w:numPr>
          <w:ilvl w:val="0"/>
          <w:numId w:val="34"/>
        </w:numPr>
        <w:spacing w:before="0" w:beforeAutospacing="0" w:after="0" w:afterAutospacing="0"/>
        <w:ind w:left="425" w:hanging="357"/>
        <w:jc w:val="both"/>
        <w:rPr>
          <w:rFonts w:asciiTheme="minorHAnsi" w:hAnsiTheme="minorHAnsi" w:cstheme="minorBidi"/>
          <w:color w:val="000000"/>
          <w:sz w:val="22"/>
          <w:szCs w:val="22"/>
        </w:rPr>
      </w:pPr>
      <w:r w:rsidRPr="14607775">
        <w:rPr>
          <w:rFonts w:asciiTheme="minorHAnsi" w:hAnsiTheme="minorHAnsi" w:cstheme="minorBidi"/>
          <w:color w:val="000000" w:themeColor="text1"/>
          <w:sz w:val="22"/>
          <w:szCs w:val="22"/>
        </w:rPr>
        <w:t>SOP IP-004-CT IP Distributing, Dispensing, and Accountability (endTB Site Study Document</w:t>
      </w:r>
      <w:r w:rsidR="4CC03CD8" w:rsidRPr="14607775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Pr="14607775">
        <w:rPr>
          <w:rFonts w:asciiTheme="minorHAnsi" w:hAnsiTheme="minorHAnsi" w:cstheme="minorBidi"/>
          <w:color w:val="000000" w:themeColor="text1"/>
          <w:sz w:val="22"/>
          <w:szCs w:val="22"/>
        </w:rPr>
        <w:t>) </w:t>
      </w:r>
    </w:p>
    <w:p w14:paraId="5E52BF01" w14:textId="68996D7B" w:rsidR="00706C32" w:rsidRPr="00A15FD9" w:rsidRDefault="00706C32" w:rsidP="0053529A">
      <w:pPr>
        <w:pStyle w:val="NormalWeb"/>
        <w:numPr>
          <w:ilvl w:val="0"/>
          <w:numId w:val="34"/>
        </w:numPr>
        <w:spacing w:before="0" w:beforeAutospacing="0" w:after="0" w:afterAutospacing="0"/>
        <w:ind w:left="425" w:hanging="357"/>
        <w:jc w:val="both"/>
        <w:rPr>
          <w:rFonts w:asciiTheme="minorHAnsi" w:hAnsiTheme="minorHAnsi" w:cstheme="minorHAnsi"/>
          <w:color w:val="000000"/>
          <w:sz w:val="22"/>
        </w:rPr>
      </w:pPr>
      <w:r w:rsidRPr="00706C32" w:rsidDel="00EC6288">
        <w:rPr>
          <w:rFonts w:asciiTheme="minorHAnsi" w:hAnsiTheme="minorHAnsi" w:cstheme="minorHAnsi"/>
          <w:color w:val="000000"/>
          <w:sz w:val="22"/>
        </w:rPr>
        <w:t>SOP SS-003-CT Investigator Site Initiation</w:t>
      </w:r>
      <w:r w:rsidRPr="00706C32">
        <w:rPr>
          <w:rFonts w:asciiTheme="minorHAnsi" w:hAnsiTheme="minorHAnsi" w:cstheme="minorHAnsi"/>
          <w:color w:val="000000"/>
          <w:sz w:val="22"/>
        </w:rPr>
        <w:t xml:space="preserve"> </w:t>
      </w:r>
      <w:r w:rsidRPr="0042307B">
        <w:rPr>
          <w:rFonts w:asciiTheme="minorHAnsi" w:hAnsiTheme="minorHAnsi" w:cstheme="minorHAnsi"/>
          <w:color w:val="000000"/>
          <w:sz w:val="22"/>
        </w:rPr>
        <w:t xml:space="preserve">(endTB </w:t>
      </w:r>
      <w:r>
        <w:rPr>
          <w:rFonts w:asciiTheme="minorHAnsi" w:hAnsiTheme="minorHAnsi" w:cstheme="minorHAnsi"/>
          <w:color w:val="000000"/>
          <w:sz w:val="22"/>
        </w:rPr>
        <w:t>Trial Master File</w:t>
      </w:r>
      <w:r w:rsidRPr="0042307B">
        <w:rPr>
          <w:rFonts w:asciiTheme="minorHAnsi" w:hAnsiTheme="minorHAnsi" w:cstheme="minorHAnsi"/>
          <w:color w:val="000000"/>
          <w:sz w:val="22"/>
        </w:rPr>
        <w:t>) </w:t>
      </w:r>
    </w:p>
    <w:p w14:paraId="2C83C750" w14:textId="77777777" w:rsidR="00217C5E" w:rsidRPr="006E01EC" w:rsidRDefault="00217C5E" w:rsidP="006E01EC">
      <w:pPr>
        <w:pStyle w:val="Heading2"/>
      </w:pPr>
      <w:bookmarkStart w:id="17" w:name="_Toc181292336"/>
      <w:r w:rsidRPr="006E01EC">
        <w:t>APPENDIX</w:t>
      </w:r>
      <w:bookmarkEnd w:id="17"/>
    </w:p>
    <w:tbl>
      <w:tblPr>
        <w:tblW w:w="95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8071"/>
      </w:tblGrid>
      <w:tr w:rsidR="00217C5E" w14:paraId="50F0E90D" w14:textId="77777777" w:rsidTr="005E05D6">
        <w:tc>
          <w:tcPr>
            <w:tcW w:w="1499" w:type="dxa"/>
            <w:vAlign w:val="center"/>
          </w:tcPr>
          <w:p w14:paraId="2F47830F" w14:textId="77777777" w:rsidR="00217C5E" w:rsidRDefault="00217C5E" w:rsidP="008F6470">
            <w:pPr>
              <w:spacing w:before="120" w:after="120"/>
              <w:jc w:val="both"/>
            </w:pPr>
            <w:r>
              <w:rPr>
                <w:b/>
              </w:rPr>
              <w:t>Number</w:t>
            </w:r>
          </w:p>
        </w:tc>
        <w:tc>
          <w:tcPr>
            <w:tcW w:w="8071" w:type="dxa"/>
          </w:tcPr>
          <w:p w14:paraId="657B9430" w14:textId="77777777" w:rsidR="00217C5E" w:rsidRDefault="00217C5E" w:rsidP="008F6470">
            <w:pPr>
              <w:spacing w:before="120" w:after="120"/>
              <w:jc w:val="both"/>
            </w:pPr>
            <w:r>
              <w:rPr>
                <w:b/>
              </w:rPr>
              <w:t>Title</w:t>
            </w:r>
          </w:p>
        </w:tc>
      </w:tr>
      <w:tr w:rsidR="00FC1BEF" w14:paraId="113B71AE" w14:textId="77777777" w:rsidTr="005E05D6">
        <w:tc>
          <w:tcPr>
            <w:tcW w:w="1499" w:type="dxa"/>
            <w:vAlign w:val="center"/>
          </w:tcPr>
          <w:p w14:paraId="341030F2" w14:textId="77777777" w:rsidR="00FC1BEF" w:rsidRDefault="003555EC" w:rsidP="00EB70ED">
            <w:pPr>
              <w:spacing w:before="120" w:after="120"/>
              <w:jc w:val="both"/>
            </w:pPr>
            <w:r>
              <w:t xml:space="preserve">endTB </w:t>
            </w:r>
            <w:r w:rsidR="00FC1BEF">
              <w:t>A1</w:t>
            </w:r>
          </w:p>
          <w:p w14:paraId="7F196E19" w14:textId="0DDA0D28" w:rsidR="003555EC" w:rsidRDefault="003555EC" w:rsidP="00377BE7">
            <w:pPr>
              <w:spacing w:before="120" w:after="120"/>
              <w:jc w:val="both"/>
            </w:pPr>
            <w:r>
              <w:t>endTB-Q A1</w:t>
            </w:r>
          </w:p>
        </w:tc>
        <w:tc>
          <w:tcPr>
            <w:tcW w:w="8071" w:type="dxa"/>
          </w:tcPr>
          <w:p w14:paraId="0D294F5E" w14:textId="55316385" w:rsidR="00FC1BEF" w:rsidRDefault="004A105F" w:rsidP="00040DE3">
            <w:pPr>
              <w:spacing w:before="120" w:after="120"/>
              <w:jc w:val="both"/>
            </w:pPr>
            <w:r>
              <w:t>IP-002-CT</w:t>
            </w:r>
            <w:r w:rsidR="00FB1E61">
              <w:t>_</w:t>
            </w:r>
            <w:r w:rsidR="003555EC">
              <w:t>endTB</w:t>
            </w:r>
            <w:r>
              <w:t xml:space="preserve"> A1</w:t>
            </w:r>
            <w:r w:rsidR="00FB1E61">
              <w:t>-</w:t>
            </w:r>
            <w:r>
              <w:t xml:space="preserve"> </w:t>
            </w:r>
            <w:r w:rsidR="00FC1BEF" w:rsidRPr="00FC1BEF">
              <w:t xml:space="preserve">Drug storage </w:t>
            </w:r>
            <w:r w:rsidR="00AE77FF">
              <w:t>Assessment F</w:t>
            </w:r>
            <w:r w:rsidR="00FC1BEF" w:rsidRPr="00FC1BEF">
              <w:t>orm</w:t>
            </w:r>
          </w:p>
          <w:p w14:paraId="0DA1BF7A" w14:textId="761B0046" w:rsidR="003555EC" w:rsidRDefault="003555EC" w:rsidP="00FB1E61">
            <w:pPr>
              <w:spacing w:before="120" w:after="120"/>
              <w:jc w:val="both"/>
            </w:pPr>
            <w:r>
              <w:t>IP-002-CT</w:t>
            </w:r>
            <w:r w:rsidR="00FB1E61">
              <w:t>_</w:t>
            </w:r>
            <w:r>
              <w:t>endTB-Q A1</w:t>
            </w:r>
            <w:r w:rsidR="00FB1E61">
              <w:t>-</w:t>
            </w:r>
            <w:r>
              <w:t xml:space="preserve"> </w:t>
            </w:r>
            <w:r w:rsidR="00AE77FF">
              <w:t>Drug storage Assessment F</w:t>
            </w:r>
            <w:r w:rsidRPr="00FC1BEF">
              <w:t>orm</w:t>
            </w:r>
          </w:p>
        </w:tc>
      </w:tr>
      <w:tr w:rsidR="00217C5E" w14:paraId="26E185BE" w14:textId="77777777" w:rsidTr="005E05D6">
        <w:tc>
          <w:tcPr>
            <w:tcW w:w="1499" w:type="dxa"/>
            <w:vAlign w:val="center"/>
          </w:tcPr>
          <w:p w14:paraId="7DD73BF3" w14:textId="77777777" w:rsidR="00217C5E" w:rsidRDefault="003555EC" w:rsidP="00EB70ED">
            <w:pPr>
              <w:spacing w:before="120" w:after="120"/>
              <w:jc w:val="both"/>
            </w:pPr>
            <w:r>
              <w:t xml:space="preserve">endTB </w:t>
            </w:r>
            <w:r w:rsidR="00FC1BEF">
              <w:t>A2</w:t>
            </w:r>
          </w:p>
          <w:p w14:paraId="45297BFA" w14:textId="6D627719" w:rsidR="003555EC" w:rsidRDefault="003555EC" w:rsidP="00EB70ED">
            <w:pPr>
              <w:spacing w:before="120" w:after="120"/>
              <w:jc w:val="both"/>
            </w:pPr>
            <w:r>
              <w:t>endTB-Q A2</w:t>
            </w:r>
          </w:p>
        </w:tc>
        <w:tc>
          <w:tcPr>
            <w:tcW w:w="8071" w:type="dxa"/>
          </w:tcPr>
          <w:p w14:paraId="7FDF4E9C" w14:textId="2EE358C3" w:rsidR="00217C5E" w:rsidRDefault="004A105F" w:rsidP="008F6470">
            <w:pPr>
              <w:spacing w:before="120" w:after="120"/>
              <w:jc w:val="both"/>
            </w:pPr>
            <w:r>
              <w:t>IP-002-CT</w:t>
            </w:r>
            <w:r w:rsidR="00FB1E61">
              <w:t>_</w:t>
            </w:r>
            <w:r w:rsidR="003555EC">
              <w:t xml:space="preserve">endTB </w:t>
            </w:r>
            <w:r>
              <w:t>A</w:t>
            </w:r>
            <w:r w:rsidR="005E2F91">
              <w:t>2</w:t>
            </w:r>
            <w:r w:rsidR="00FB1E61">
              <w:t>-</w:t>
            </w:r>
            <w:r>
              <w:t xml:space="preserve"> </w:t>
            </w:r>
            <w:r w:rsidR="00AE77FF">
              <w:t>IP Release F</w:t>
            </w:r>
            <w:r w:rsidR="001B72F9">
              <w:t>orm</w:t>
            </w:r>
          </w:p>
          <w:p w14:paraId="63860102" w14:textId="4F3CCFAD" w:rsidR="003555EC" w:rsidRDefault="003555EC" w:rsidP="00FB1E61">
            <w:pPr>
              <w:spacing w:before="120" w:after="120"/>
              <w:jc w:val="both"/>
            </w:pPr>
            <w:r>
              <w:t>IP-002-CT</w:t>
            </w:r>
            <w:r w:rsidR="00FB1E61">
              <w:t>_</w:t>
            </w:r>
            <w:r>
              <w:t>endTB-Q</w:t>
            </w:r>
            <w:r w:rsidR="00FB1E61">
              <w:t>-</w:t>
            </w:r>
            <w:r w:rsidR="00AE77FF">
              <w:t xml:space="preserve"> A2 IP Release F</w:t>
            </w:r>
            <w:r>
              <w:t>orm</w:t>
            </w:r>
          </w:p>
        </w:tc>
      </w:tr>
    </w:tbl>
    <w:p w14:paraId="59D29FF3" w14:textId="77777777" w:rsidR="00D46335" w:rsidRDefault="00D46335" w:rsidP="005E2F91">
      <w:pPr>
        <w:pStyle w:val="ListNumber"/>
        <w:tabs>
          <w:tab w:val="clear" w:pos="360"/>
          <w:tab w:val="left" w:pos="7513"/>
          <w:tab w:val="left" w:pos="8505"/>
        </w:tabs>
        <w:spacing w:line="360" w:lineRule="auto"/>
        <w:ind w:left="0" w:firstLine="0"/>
        <w:jc w:val="both"/>
        <w:rPr>
          <w:sz w:val="24"/>
          <w:szCs w:val="24"/>
        </w:rPr>
      </w:pPr>
    </w:p>
    <w:sectPr w:rsidR="00D46335" w:rsidSect="00A56228">
      <w:headerReference w:type="default" r:id="rId12"/>
      <w:footerReference w:type="default" r:id="rId13"/>
      <w:pgSz w:w="11906" w:h="16838"/>
      <w:pgMar w:top="851" w:right="1417" w:bottom="2127" w:left="1417" w:header="283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37C0" w14:textId="77777777" w:rsidR="00340ABD" w:rsidRDefault="00340ABD">
      <w:pPr>
        <w:spacing w:after="0" w:line="240" w:lineRule="auto"/>
      </w:pPr>
      <w:r>
        <w:separator/>
      </w:r>
    </w:p>
  </w:endnote>
  <w:endnote w:type="continuationSeparator" w:id="0">
    <w:p w14:paraId="0DFD37E0" w14:textId="77777777" w:rsidR="00340ABD" w:rsidRDefault="00340ABD">
      <w:pPr>
        <w:spacing w:after="0" w:line="240" w:lineRule="auto"/>
      </w:pPr>
      <w:r>
        <w:continuationSeparator/>
      </w:r>
    </w:p>
  </w:endnote>
  <w:endnote w:type="continuationNotice" w:id="1">
    <w:p w14:paraId="4D65D80D" w14:textId="77777777" w:rsidR="00340ABD" w:rsidRDefault="00340A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17E70DC" w14:textId="77777777" w:rsidR="00271E82" w:rsidRDefault="00271E82" w:rsidP="00271E82">
        <w:pPr>
          <w:pStyle w:val="Footer"/>
          <w:jc w:val="both"/>
          <w:rPr>
            <w:sz w:val="18"/>
            <w:szCs w:val="18"/>
          </w:rPr>
        </w:pPr>
        <w:r w:rsidRPr="00271E82">
          <w:rPr>
            <w:sz w:val="18"/>
            <w:szCs w:val="18"/>
          </w:rPr>
          <w:t>​​​</w:t>
        </w:r>
        <w:r w:rsidRPr="00271E82">
          <w:rPr>
            <w:b/>
            <w:bCs/>
            <w:i/>
            <w:iCs/>
            <w:sz w:val="18"/>
            <w:szCs w:val="18"/>
          </w:rPr>
          <w:t>NOTE:</w:t>
        </w:r>
        <w:r w:rsidRPr="00271E82">
          <w:rPr>
            <w:i/>
            <w:iCs/>
            <w:sz w:val="18"/>
            <w:szCs w:val="18"/>
          </w:rPr>
          <w:t> This work is licensed under the Creative Commons CC BY-SA by the endTB Research Partners. To view a copy of this license, visit: </w:t>
        </w:r>
        <w:hyperlink r:id="rId1" w:tgtFrame="_blank" w:history="1">
          <w:r w:rsidRPr="00271E82">
            <w:rPr>
              <w:rStyle w:val="Hyperlink"/>
              <w:rFonts w:cs="Calibri"/>
              <w:i/>
              <w:iCs/>
              <w:sz w:val="18"/>
              <w:szCs w:val="18"/>
            </w:rPr>
            <w:t>https://creativecommons.org/licenses/by-sa/4.0/</w:t>
          </w:r>
        </w:hyperlink>
        <w:r w:rsidRPr="00271E82">
          <w:rPr>
            <w:i/>
            <w:iCs/>
            <w:sz w:val="18"/>
            <w:szCs w:val="18"/>
          </w:rPr>
          <w:t>. More information about this copyright is available in the endTB website:</w:t>
        </w:r>
        <w:r w:rsidRPr="00271E82">
          <w:rPr>
            <w:sz w:val="18"/>
            <w:szCs w:val="18"/>
          </w:rPr>
          <w:t> </w:t>
        </w:r>
        <w:hyperlink r:id="rId2" w:tgtFrame="_blank" w:history="1">
          <w:r w:rsidRPr="00271E82">
            <w:rPr>
              <w:rStyle w:val="Hyperlink"/>
              <w:rFonts w:cs="Calibri"/>
              <w:i/>
              <w:iCs/>
              <w:sz w:val="18"/>
              <w:szCs w:val="18"/>
            </w:rPr>
            <w:t>https://endtb.org/</w:t>
          </w:r>
        </w:hyperlink>
        <w:r w:rsidRPr="00271E82">
          <w:rPr>
            <w:i/>
            <w:iCs/>
            <w:sz w:val="18"/>
            <w:szCs w:val="18"/>
          </w:rPr>
          <w:t> in the “Toolkit” section.</w:t>
        </w:r>
        <w:r w:rsidRPr="00271E82">
          <w:rPr>
            <w:sz w:val="18"/>
            <w:szCs w:val="18"/>
          </w:rPr>
          <w:t> </w:t>
        </w:r>
      </w:p>
      <w:p w14:paraId="3663FAE0" w14:textId="77777777" w:rsidR="00905940" w:rsidRPr="00271E82" w:rsidRDefault="00905940" w:rsidP="00271E82">
        <w:pPr>
          <w:pStyle w:val="Footer"/>
          <w:jc w:val="both"/>
          <w:rPr>
            <w:sz w:val="18"/>
            <w:szCs w:val="18"/>
          </w:rPr>
        </w:pPr>
      </w:p>
      <w:p w14:paraId="138BCD7F" w14:textId="7E0DC654" w:rsidR="00F24E35" w:rsidRDefault="00F24E35" w:rsidP="0067253D">
        <w:pPr>
          <w:pStyle w:val="Footer"/>
          <w:jc w:val="center"/>
        </w:pPr>
        <w:r>
          <w:rPr>
            <w:lang w:val="fr-FR"/>
          </w:rPr>
          <w:t>Page</w:t>
        </w:r>
        <w:r w:rsidRPr="009F776E">
          <w:rPr>
            <w:lang w:val="fr-FR"/>
          </w:rPr>
          <w:t xml:space="preserve"> </w:t>
        </w:r>
        <w:r w:rsidRPr="00A53948">
          <w:rPr>
            <w:b/>
            <w:bCs/>
            <w:sz w:val="24"/>
            <w:szCs w:val="24"/>
          </w:rPr>
          <w:fldChar w:fldCharType="begin"/>
        </w:r>
        <w:r w:rsidRPr="00A53948">
          <w:rPr>
            <w:b/>
            <w:bCs/>
          </w:rPr>
          <w:instrText>PAGE</w:instrText>
        </w:r>
        <w:r w:rsidRPr="00A53948">
          <w:rPr>
            <w:b/>
            <w:bCs/>
            <w:sz w:val="24"/>
            <w:szCs w:val="24"/>
          </w:rPr>
          <w:fldChar w:fldCharType="separate"/>
        </w:r>
        <w:r w:rsidR="0053529A">
          <w:rPr>
            <w:b/>
            <w:bCs/>
            <w:noProof/>
          </w:rPr>
          <w:t>4</w:t>
        </w:r>
        <w:r w:rsidRPr="00A53948">
          <w:rPr>
            <w:b/>
            <w:bCs/>
            <w:sz w:val="24"/>
            <w:szCs w:val="24"/>
          </w:rPr>
          <w:fldChar w:fldCharType="end"/>
        </w:r>
        <w:r w:rsidRPr="009F776E">
          <w:rPr>
            <w:bCs/>
            <w:sz w:val="24"/>
            <w:szCs w:val="24"/>
          </w:rPr>
          <w:t xml:space="preserve"> of</w:t>
        </w:r>
        <w:r w:rsidRPr="009F776E">
          <w:rPr>
            <w:lang w:val="fr-FR"/>
          </w:rPr>
          <w:t xml:space="preserve"> </w:t>
        </w:r>
        <w:r w:rsidRPr="00A53948">
          <w:rPr>
            <w:b/>
            <w:bCs/>
            <w:sz w:val="24"/>
            <w:szCs w:val="24"/>
          </w:rPr>
          <w:fldChar w:fldCharType="begin"/>
        </w:r>
        <w:r w:rsidRPr="00A53948">
          <w:rPr>
            <w:b/>
            <w:bCs/>
          </w:rPr>
          <w:instrText>NUMPAGES</w:instrText>
        </w:r>
        <w:r w:rsidRPr="00A53948">
          <w:rPr>
            <w:b/>
            <w:bCs/>
            <w:sz w:val="24"/>
            <w:szCs w:val="24"/>
          </w:rPr>
          <w:fldChar w:fldCharType="separate"/>
        </w:r>
        <w:r w:rsidR="0053529A">
          <w:rPr>
            <w:b/>
            <w:bCs/>
            <w:noProof/>
          </w:rPr>
          <w:t>4</w:t>
        </w:r>
        <w:r w:rsidRPr="00A53948">
          <w:rPr>
            <w:b/>
            <w:bCs/>
            <w:sz w:val="24"/>
            <w:szCs w:val="24"/>
          </w:rPr>
          <w:fldChar w:fldCharType="end"/>
        </w:r>
      </w:p>
    </w:sdtContent>
  </w:sdt>
  <w:p w14:paraId="3AE9C1D8" w14:textId="546F55E5" w:rsidR="00F24E35" w:rsidRDefault="00F24E35">
    <w:pPr>
      <w:pStyle w:val="Footer"/>
    </w:pPr>
    <w:r w:rsidDel="0067253D">
      <w:rPr>
        <w:caps/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E226B" w14:textId="77777777" w:rsidR="00340ABD" w:rsidRDefault="00340ABD">
      <w:pPr>
        <w:spacing w:after="0" w:line="240" w:lineRule="auto"/>
      </w:pPr>
      <w:r>
        <w:separator/>
      </w:r>
    </w:p>
  </w:footnote>
  <w:footnote w:type="continuationSeparator" w:id="0">
    <w:p w14:paraId="24B058DF" w14:textId="77777777" w:rsidR="00340ABD" w:rsidRDefault="00340ABD">
      <w:pPr>
        <w:spacing w:after="0" w:line="240" w:lineRule="auto"/>
      </w:pPr>
      <w:r>
        <w:continuationSeparator/>
      </w:r>
    </w:p>
  </w:footnote>
  <w:footnote w:type="continuationNotice" w:id="1">
    <w:p w14:paraId="7D9E8A1A" w14:textId="77777777" w:rsidR="00340ABD" w:rsidRDefault="00340A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2C50" w14:textId="6637FC0B" w:rsidR="00F24E35" w:rsidRDefault="00F24E35" w:rsidP="00205479">
    <w:pPr>
      <w:pStyle w:val="Header"/>
      <w:rPr>
        <w:b/>
      </w:rPr>
    </w:pPr>
  </w:p>
  <w:p w14:paraId="3FEE3413" w14:textId="59DBF9C8" w:rsidR="00F24E35" w:rsidRDefault="00F24E35" w:rsidP="00205479">
    <w:pPr>
      <w:pStyle w:val="Header"/>
      <w:rPr>
        <w:b/>
      </w:rPr>
    </w:pPr>
    <w:r w:rsidRPr="007C565F">
      <w:rPr>
        <w:b/>
      </w:rPr>
      <w:t>endTB Clinical Trial</w:t>
    </w:r>
    <w:r>
      <w:rPr>
        <w:b/>
      </w:rPr>
      <w:t>s</w:t>
    </w:r>
    <w:r w:rsidRPr="007C565F">
      <w:rPr>
        <w:b/>
      </w:rPr>
      <w:t xml:space="preserve">  </w:t>
    </w:r>
    <w:r>
      <w:rPr>
        <w:b/>
      </w:rPr>
      <w:t xml:space="preserve">                                 </w:t>
    </w:r>
    <w:r w:rsidR="004C5146">
      <w:rPr>
        <w:b/>
      </w:rPr>
      <w:tab/>
    </w:r>
    <w:r w:rsidR="004C5146">
      <w:rPr>
        <w:b/>
      </w:rPr>
      <w:tab/>
    </w:r>
    <w:r>
      <w:rPr>
        <w:b/>
      </w:rPr>
      <w:t xml:space="preserve"> </w:t>
    </w:r>
    <w:r w:rsidRPr="007C565F">
      <w:rPr>
        <w:b/>
      </w:rPr>
      <w:t xml:space="preserve">SOP IP-002-CT Version </w:t>
    </w:r>
    <w:r>
      <w:rPr>
        <w:b/>
      </w:rPr>
      <w:t>5.0</w:t>
    </w:r>
    <w:r w:rsidRPr="007C565F">
      <w:rPr>
        <w:b/>
      </w:rPr>
      <w:t xml:space="preserve">, Date </w:t>
    </w:r>
    <w:r w:rsidR="008C6527">
      <w:rPr>
        <w:b/>
      </w:rPr>
      <w:t>01-Jun-</w:t>
    </w:r>
    <w:r>
      <w:rPr>
        <w:b/>
      </w:rPr>
      <w:t>2020</w:t>
    </w:r>
  </w:p>
  <w:p w14:paraId="64F5A7D4" w14:textId="77777777" w:rsidR="00F24E35" w:rsidRDefault="00F24E35" w:rsidP="00205479">
    <w:pPr>
      <w:pStyle w:val="Header"/>
    </w:pPr>
  </w:p>
  <w:p w14:paraId="3F346F65" w14:textId="77777777" w:rsidR="00F24E35" w:rsidRPr="00205479" w:rsidRDefault="00F24E35" w:rsidP="00205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5A888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0AA2C80"/>
    <w:multiLevelType w:val="hybridMultilevel"/>
    <w:tmpl w:val="7B1A35EC"/>
    <w:lvl w:ilvl="0" w:tplc="15BE7B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3139"/>
    <w:multiLevelType w:val="multilevel"/>
    <w:tmpl w:val="38A6BD5C"/>
    <w:numStyleLink w:val="SOPFormat"/>
  </w:abstractNum>
  <w:abstractNum w:abstractNumId="3" w15:restartNumberingAfterBreak="0">
    <w:nsid w:val="09F06F1F"/>
    <w:multiLevelType w:val="hybridMultilevel"/>
    <w:tmpl w:val="82161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B3F0F"/>
    <w:multiLevelType w:val="hybridMultilevel"/>
    <w:tmpl w:val="BB6215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175F6F"/>
    <w:multiLevelType w:val="hybridMultilevel"/>
    <w:tmpl w:val="D38AE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A397C"/>
    <w:multiLevelType w:val="hybridMultilevel"/>
    <w:tmpl w:val="1988F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0E3FA2"/>
    <w:multiLevelType w:val="hybridMultilevel"/>
    <w:tmpl w:val="BD6C6E0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4671E4"/>
    <w:multiLevelType w:val="multilevel"/>
    <w:tmpl w:val="68E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2D5B29A3"/>
    <w:multiLevelType w:val="multilevel"/>
    <w:tmpl w:val="68E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2DCB0270"/>
    <w:multiLevelType w:val="multilevel"/>
    <w:tmpl w:val="6114C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153067A"/>
    <w:multiLevelType w:val="hybridMultilevel"/>
    <w:tmpl w:val="2F84326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6AA5385"/>
    <w:multiLevelType w:val="hybridMultilevel"/>
    <w:tmpl w:val="BC1C0DE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016463E"/>
    <w:multiLevelType w:val="hybridMultilevel"/>
    <w:tmpl w:val="F8AC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A5F83"/>
    <w:multiLevelType w:val="hybridMultilevel"/>
    <w:tmpl w:val="E9AE615E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6A0288"/>
    <w:multiLevelType w:val="hybridMultilevel"/>
    <w:tmpl w:val="945068B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D0C73"/>
    <w:multiLevelType w:val="multilevel"/>
    <w:tmpl w:val="839C75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C40071F"/>
    <w:multiLevelType w:val="hybridMultilevel"/>
    <w:tmpl w:val="C03A1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D283A46"/>
    <w:multiLevelType w:val="hybridMultilevel"/>
    <w:tmpl w:val="F39417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3F6E0E"/>
    <w:multiLevelType w:val="hybridMultilevel"/>
    <w:tmpl w:val="A2702C86"/>
    <w:lvl w:ilvl="0" w:tplc="EFFC4DE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73B34B8"/>
    <w:multiLevelType w:val="multilevel"/>
    <w:tmpl w:val="4ABEBE5A"/>
    <w:lvl w:ilvl="0">
      <w:start w:val="1"/>
      <w:numFmt w:val="bullet"/>
      <w:lvlText w:val="●"/>
      <w:lvlJc w:val="left"/>
      <w:pPr>
        <w:ind w:firstLine="72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720" w:firstLine="144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44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16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288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60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32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04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5760" w:firstLine="6480"/>
      </w:pPr>
      <w:rPr>
        <w:rFonts w:ascii="Arial" w:eastAsia="Times New Roman" w:hAnsi="Arial"/>
      </w:rPr>
    </w:lvl>
  </w:abstractNum>
  <w:abstractNum w:abstractNumId="21" w15:restartNumberingAfterBreak="0">
    <w:nsid w:val="5EE4218D"/>
    <w:multiLevelType w:val="multilevel"/>
    <w:tmpl w:val="38A6BD5C"/>
    <w:styleLink w:val="SOPFormat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b/>
        <w:i w:val="0"/>
        <w:sz w:val="36"/>
      </w:rPr>
    </w:lvl>
    <w:lvl w:ilvl="1">
      <w:start w:val="1"/>
      <w:numFmt w:val="decimal"/>
      <w:pStyle w:val="Heading2"/>
      <w:lvlText w:val="%2."/>
      <w:lvlJc w:val="left"/>
      <w:pPr>
        <w:ind w:left="720" w:hanging="360"/>
      </w:pPr>
      <w:rPr>
        <w:b/>
        <w:i w:val="0"/>
        <w:sz w:val="24"/>
      </w:rPr>
    </w:lvl>
    <w:lvl w:ilvl="2">
      <w:start w:val="1"/>
      <w:numFmt w:val="decimal"/>
      <w:pStyle w:val="Heading3"/>
      <w:lvlText w:val="%2.%3"/>
      <w:lvlJc w:val="left"/>
      <w:pPr>
        <w:ind w:left="1080" w:hanging="360"/>
      </w:pPr>
      <w:rPr>
        <w:b/>
        <w:i/>
        <w:sz w:val="24"/>
      </w:rPr>
    </w:lvl>
    <w:lvl w:ilvl="3">
      <w:start w:val="1"/>
      <w:numFmt w:val="decimal"/>
      <w:pStyle w:val="Heading4"/>
      <w:lvlText w:val="%2.%3.%4"/>
      <w:lvlJc w:val="left"/>
      <w:pPr>
        <w:ind w:left="1440" w:hanging="360"/>
      </w:pPr>
      <w:rPr>
        <w:b w:val="0"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0707549"/>
    <w:multiLevelType w:val="hybridMultilevel"/>
    <w:tmpl w:val="A2B81F1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2F1E3D"/>
    <w:multiLevelType w:val="hybridMultilevel"/>
    <w:tmpl w:val="B524D726"/>
    <w:lvl w:ilvl="0" w:tplc="E910B6F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45D70"/>
    <w:multiLevelType w:val="hybridMultilevel"/>
    <w:tmpl w:val="A376830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B724FAA"/>
    <w:multiLevelType w:val="hybridMultilevel"/>
    <w:tmpl w:val="07BC17C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D5D6A8F"/>
    <w:multiLevelType w:val="hybridMultilevel"/>
    <w:tmpl w:val="8596716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3347220"/>
    <w:multiLevelType w:val="multilevel"/>
    <w:tmpl w:val="135059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B826F9A"/>
    <w:multiLevelType w:val="hybridMultilevel"/>
    <w:tmpl w:val="4812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714534"/>
    <w:multiLevelType w:val="hybridMultilevel"/>
    <w:tmpl w:val="452E8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537823">
    <w:abstractNumId w:val="0"/>
  </w:num>
  <w:num w:numId="2" w16cid:durableId="1605653999">
    <w:abstractNumId w:val="0"/>
  </w:num>
  <w:num w:numId="3" w16cid:durableId="934484159">
    <w:abstractNumId w:val="0"/>
  </w:num>
  <w:num w:numId="4" w16cid:durableId="453867042">
    <w:abstractNumId w:val="20"/>
  </w:num>
  <w:num w:numId="5" w16cid:durableId="145710084">
    <w:abstractNumId w:val="27"/>
  </w:num>
  <w:num w:numId="6" w16cid:durableId="250820160">
    <w:abstractNumId w:val="16"/>
  </w:num>
  <w:num w:numId="7" w16cid:durableId="570772193">
    <w:abstractNumId w:val="10"/>
  </w:num>
  <w:num w:numId="8" w16cid:durableId="598686632">
    <w:abstractNumId w:val="17"/>
  </w:num>
  <w:num w:numId="9" w16cid:durableId="2023509211">
    <w:abstractNumId w:val="4"/>
  </w:num>
  <w:num w:numId="10" w16cid:durableId="1435132862">
    <w:abstractNumId w:val="11"/>
  </w:num>
  <w:num w:numId="11" w16cid:durableId="505633974">
    <w:abstractNumId w:val="25"/>
  </w:num>
  <w:num w:numId="12" w16cid:durableId="1599286150">
    <w:abstractNumId w:val="28"/>
  </w:num>
  <w:num w:numId="13" w16cid:durableId="722411488">
    <w:abstractNumId w:val="24"/>
  </w:num>
  <w:num w:numId="14" w16cid:durableId="1004280161">
    <w:abstractNumId w:val="19"/>
  </w:num>
  <w:num w:numId="15" w16cid:durableId="1749226143">
    <w:abstractNumId w:val="26"/>
  </w:num>
  <w:num w:numId="16" w16cid:durableId="1682924924">
    <w:abstractNumId w:val="22"/>
  </w:num>
  <w:num w:numId="17" w16cid:durableId="564488830">
    <w:abstractNumId w:val="0"/>
  </w:num>
  <w:num w:numId="18" w16cid:durableId="481240820">
    <w:abstractNumId w:val="5"/>
  </w:num>
  <w:num w:numId="19" w16cid:durableId="452015437">
    <w:abstractNumId w:val="13"/>
  </w:num>
  <w:num w:numId="20" w16cid:durableId="1128165787">
    <w:abstractNumId w:val="18"/>
  </w:num>
  <w:num w:numId="21" w16cid:durableId="943611392">
    <w:abstractNumId w:val="7"/>
  </w:num>
  <w:num w:numId="22" w16cid:durableId="1933006512">
    <w:abstractNumId w:val="14"/>
  </w:num>
  <w:num w:numId="23" w16cid:durableId="470027450">
    <w:abstractNumId w:val="9"/>
  </w:num>
  <w:num w:numId="24" w16cid:durableId="324087810">
    <w:abstractNumId w:val="1"/>
  </w:num>
  <w:num w:numId="25" w16cid:durableId="1075013603">
    <w:abstractNumId w:val="12"/>
  </w:num>
  <w:num w:numId="26" w16cid:durableId="721976288">
    <w:abstractNumId w:val="29"/>
  </w:num>
  <w:num w:numId="27" w16cid:durableId="1943881317">
    <w:abstractNumId w:val="3"/>
  </w:num>
  <w:num w:numId="28" w16cid:durableId="2065525720">
    <w:abstractNumId w:val="6"/>
  </w:num>
  <w:num w:numId="29" w16cid:durableId="1062481039">
    <w:abstractNumId w:val="21"/>
  </w:num>
  <w:num w:numId="30" w16cid:durableId="44644111">
    <w:abstractNumId w:val="2"/>
  </w:num>
  <w:num w:numId="31" w16cid:durableId="1402095860">
    <w:abstractNumId w:val="8"/>
  </w:num>
  <w:num w:numId="32" w16cid:durableId="1158961628">
    <w:abstractNumId w:val="2"/>
  </w:num>
  <w:num w:numId="33" w16cid:durableId="1793399533">
    <w:abstractNumId w:val="23"/>
  </w:num>
  <w:num w:numId="34" w16cid:durableId="186524257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D1"/>
    <w:rsid w:val="00004DCA"/>
    <w:rsid w:val="00011A75"/>
    <w:rsid w:val="00024139"/>
    <w:rsid w:val="000313DF"/>
    <w:rsid w:val="00031757"/>
    <w:rsid w:val="0003588D"/>
    <w:rsid w:val="0004054F"/>
    <w:rsid w:val="00040DE3"/>
    <w:rsid w:val="0004634E"/>
    <w:rsid w:val="0004660B"/>
    <w:rsid w:val="00047942"/>
    <w:rsid w:val="00063CE4"/>
    <w:rsid w:val="00063EAC"/>
    <w:rsid w:val="0008737E"/>
    <w:rsid w:val="00095D7C"/>
    <w:rsid w:val="00096881"/>
    <w:rsid w:val="00097D3F"/>
    <w:rsid w:val="000A13E0"/>
    <w:rsid w:val="000A683D"/>
    <w:rsid w:val="000A787D"/>
    <w:rsid w:val="000B2C99"/>
    <w:rsid w:val="000B5735"/>
    <w:rsid w:val="000C4A83"/>
    <w:rsid w:val="000D22E0"/>
    <w:rsid w:val="000D7F45"/>
    <w:rsid w:val="000E230F"/>
    <w:rsid w:val="000E6CD6"/>
    <w:rsid w:val="00100CB5"/>
    <w:rsid w:val="00101BC2"/>
    <w:rsid w:val="00111726"/>
    <w:rsid w:val="00114D1A"/>
    <w:rsid w:val="00124D06"/>
    <w:rsid w:val="001352D6"/>
    <w:rsid w:val="001355CD"/>
    <w:rsid w:val="001374AF"/>
    <w:rsid w:val="0014389E"/>
    <w:rsid w:val="0015554F"/>
    <w:rsid w:val="00180BD0"/>
    <w:rsid w:val="00183581"/>
    <w:rsid w:val="00191EBC"/>
    <w:rsid w:val="001923A8"/>
    <w:rsid w:val="0019271C"/>
    <w:rsid w:val="001A2865"/>
    <w:rsid w:val="001A71AC"/>
    <w:rsid w:val="001B58F5"/>
    <w:rsid w:val="001B5E7E"/>
    <w:rsid w:val="001B72F9"/>
    <w:rsid w:val="001C2401"/>
    <w:rsid w:val="001D04E8"/>
    <w:rsid w:val="001E60AA"/>
    <w:rsid w:val="001E78A8"/>
    <w:rsid w:val="001F7DD5"/>
    <w:rsid w:val="00204C7E"/>
    <w:rsid w:val="00205479"/>
    <w:rsid w:val="00217C5E"/>
    <w:rsid w:val="00234780"/>
    <w:rsid w:val="00237F8C"/>
    <w:rsid w:val="00241EC2"/>
    <w:rsid w:val="00242217"/>
    <w:rsid w:val="0024268F"/>
    <w:rsid w:val="00245927"/>
    <w:rsid w:val="00252D2F"/>
    <w:rsid w:val="002533F7"/>
    <w:rsid w:val="00271E82"/>
    <w:rsid w:val="002924C5"/>
    <w:rsid w:val="00293BFE"/>
    <w:rsid w:val="002B37FB"/>
    <w:rsid w:val="002B67E7"/>
    <w:rsid w:val="002C683D"/>
    <w:rsid w:val="002C696F"/>
    <w:rsid w:val="002E6B10"/>
    <w:rsid w:val="002F0CE0"/>
    <w:rsid w:val="002F535A"/>
    <w:rsid w:val="00301533"/>
    <w:rsid w:val="0030238F"/>
    <w:rsid w:val="00323845"/>
    <w:rsid w:val="00323F8A"/>
    <w:rsid w:val="00330892"/>
    <w:rsid w:val="00330E99"/>
    <w:rsid w:val="003336A6"/>
    <w:rsid w:val="00340ABD"/>
    <w:rsid w:val="00340E5B"/>
    <w:rsid w:val="003524A7"/>
    <w:rsid w:val="00354532"/>
    <w:rsid w:val="003555EC"/>
    <w:rsid w:val="0036758D"/>
    <w:rsid w:val="00373D03"/>
    <w:rsid w:val="00377BE7"/>
    <w:rsid w:val="00377C26"/>
    <w:rsid w:val="003802D4"/>
    <w:rsid w:val="003803C9"/>
    <w:rsid w:val="003910A0"/>
    <w:rsid w:val="00394CB7"/>
    <w:rsid w:val="00395C11"/>
    <w:rsid w:val="003A526A"/>
    <w:rsid w:val="003A6237"/>
    <w:rsid w:val="003B2EA2"/>
    <w:rsid w:val="003B55BE"/>
    <w:rsid w:val="003B68F0"/>
    <w:rsid w:val="003C02EB"/>
    <w:rsid w:val="003E42EE"/>
    <w:rsid w:val="003E4BE0"/>
    <w:rsid w:val="003E767E"/>
    <w:rsid w:val="00410B89"/>
    <w:rsid w:val="0042307B"/>
    <w:rsid w:val="0042685A"/>
    <w:rsid w:val="00426A94"/>
    <w:rsid w:val="004270A1"/>
    <w:rsid w:val="00443652"/>
    <w:rsid w:val="004473D4"/>
    <w:rsid w:val="00454BF1"/>
    <w:rsid w:val="00456662"/>
    <w:rsid w:val="00456E64"/>
    <w:rsid w:val="00457AE0"/>
    <w:rsid w:val="00460B43"/>
    <w:rsid w:val="00466F65"/>
    <w:rsid w:val="00486CDE"/>
    <w:rsid w:val="00490EFF"/>
    <w:rsid w:val="00497896"/>
    <w:rsid w:val="004A105F"/>
    <w:rsid w:val="004A2591"/>
    <w:rsid w:val="004A6C31"/>
    <w:rsid w:val="004C5146"/>
    <w:rsid w:val="004D1E70"/>
    <w:rsid w:val="004D312B"/>
    <w:rsid w:val="004E1A74"/>
    <w:rsid w:val="004F322F"/>
    <w:rsid w:val="0050250E"/>
    <w:rsid w:val="005076F0"/>
    <w:rsid w:val="0051293D"/>
    <w:rsid w:val="005132C0"/>
    <w:rsid w:val="005146EC"/>
    <w:rsid w:val="00531234"/>
    <w:rsid w:val="0053529A"/>
    <w:rsid w:val="00551FE3"/>
    <w:rsid w:val="00553BCC"/>
    <w:rsid w:val="005757B3"/>
    <w:rsid w:val="005902D7"/>
    <w:rsid w:val="005920B6"/>
    <w:rsid w:val="00594465"/>
    <w:rsid w:val="00597B75"/>
    <w:rsid w:val="005A3AC2"/>
    <w:rsid w:val="005D7C11"/>
    <w:rsid w:val="005E05D6"/>
    <w:rsid w:val="005E0628"/>
    <w:rsid w:val="005E0D5B"/>
    <w:rsid w:val="005E2F91"/>
    <w:rsid w:val="005E55B6"/>
    <w:rsid w:val="005F31B0"/>
    <w:rsid w:val="005F3601"/>
    <w:rsid w:val="005F6307"/>
    <w:rsid w:val="00614ED2"/>
    <w:rsid w:val="00632A16"/>
    <w:rsid w:val="0067253D"/>
    <w:rsid w:val="00672DC0"/>
    <w:rsid w:val="00673110"/>
    <w:rsid w:val="006775FD"/>
    <w:rsid w:val="006958B4"/>
    <w:rsid w:val="006A1975"/>
    <w:rsid w:val="006B2BC0"/>
    <w:rsid w:val="006B3F88"/>
    <w:rsid w:val="006B41ED"/>
    <w:rsid w:val="006B5918"/>
    <w:rsid w:val="006C4B29"/>
    <w:rsid w:val="006D42AE"/>
    <w:rsid w:val="006E01EC"/>
    <w:rsid w:val="006E7B61"/>
    <w:rsid w:val="006F2733"/>
    <w:rsid w:val="007018F9"/>
    <w:rsid w:val="007033A6"/>
    <w:rsid w:val="007041E5"/>
    <w:rsid w:val="00706C32"/>
    <w:rsid w:val="00712819"/>
    <w:rsid w:val="0072460E"/>
    <w:rsid w:val="00731B1B"/>
    <w:rsid w:val="007569A6"/>
    <w:rsid w:val="00757F24"/>
    <w:rsid w:val="00772439"/>
    <w:rsid w:val="00773717"/>
    <w:rsid w:val="00777815"/>
    <w:rsid w:val="0078696D"/>
    <w:rsid w:val="00787AD3"/>
    <w:rsid w:val="00793CB6"/>
    <w:rsid w:val="00794437"/>
    <w:rsid w:val="00795BC5"/>
    <w:rsid w:val="00796473"/>
    <w:rsid w:val="007A3EE9"/>
    <w:rsid w:val="007B12D1"/>
    <w:rsid w:val="007C565F"/>
    <w:rsid w:val="007D010C"/>
    <w:rsid w:val="007D455D"/>
    <w:rsid w:val="007E2079"/>
    <w:rsid w:val="007E210F"/>
    <w:rsid w:val="007E3E48"/>
    <w:rsid w:val="007E46F2"/>
    <w:rsid w:val="007F06FF"/>
    <w:rsid w:val="007F1A86"/>
    <w:rsid w:val="007F227E"/>
    <w:rsid w:val="007F36C4"/>
    <w:rsid w:val="007F41C6"/>
    <w:rsid w:val="008019E2"/>
    <w:rsid w:val="0080331D"/>
    <w:rsid w:val="008035BF"/>
    <w:rsid w:val="0081019E"/>
    <w:rsid w:val="00811747"/>
    <w:rsid w:val="00814972"/>
    <w:rsid w:val="008227CD"/>
    <w:rsid w:val="0082720E"/>
    <w:rsid w:val="00830715"/>
    <w:rsid w:val="0083747B"/>
    <w:rsid w:val="00837C3B"/>
    <w:rsid w:val="00846982"/>
    <w:rsid w:val="00846A39"/>
    <w:rsid w:val="0085069C"/>
    <w:rsid w:val="008615BC"/>
    <w:rsid w:val="00865D16"/>
    <w:rsid w:val="0086746A"/>
    <w:rsid w:val="008678C1"/>
    <w:rsid w:val="00872A9B"/>
    <w:rsid w:val="008764EF"/>
    <w:rsid w:val="0088698B"/>
    <w:rsid w:val="00887A5B"/>
    <w:rsid w:val="0089209C"/>
    <w:rsid w:val="00892EF7"/>
    <w:rsid w:val="008A1B26"/>
    <w:rsid w:val="008B6BC9"/>
    <w:rsid w:val="008C6527"/>
    <w:rsid w:val="008C7A3E"/>
    <w:rsid w:val="008E0223"/>
    <w:rsid w:val="008F3BF0"/>
    <w:rsid w:val="008F4340"/>
    <w:rsid w:val="008F6470"/>
    <w:rsid w:val="00905940"/>
    <w:rsid w:val="00907B3C"/>
    <w:rsid w:val="00920F80"/>
    <w:rsid w:val="00922BE4"/>
    <w:rsid w:val="00932037"/>
    <w:rsid w:val="00936FB9"/>
    <w:rsid w:val="00937094"/>
    <w:rsid w:val="009375F2"/>
    <w:rsid w:val="00957945"/>
    <w:rsid w:val="00965892"/>
    <w:rsid w:val="00977452"/>
    <w:rsid w:val="009844AF"/>
    <w:rsid w:val="00987472"/>
    <w:rsid w:val="009A7BEB"/>
    <w:rsid w:val="009B7992"/>
    <w:rsid w:val="009C7B53"/>
    <w:rsid w:val="009D4236"/>
    <w:rsid w:val="009E2C04"/>
    <w:rsid w:val="009E5C0D"/>
    <w:rsid w:val="009F5C35"/>
    <w:rsid w:val="00A00C28"/>
    <w:rsid w:val="00A060E2"/>
    <w:rsid w:val="00A11BE9"/>
    <w:rsid w:val="00A12C41"/>
    <w:rsid w:val="00A14473"/>
    <w:rsid w:val="00A15FD9"/>
    <w:rsid w:val="00A16625"/>
    <w:rsid w:val="00A435D2"/>
    <w:rsid w:val="00A4653D"/>
    <w:rsid w:val="00A53948"/>
    <w:rsid w:val="00A56228"/>
    <w:rsid w:val="00A613E0"/>
    <w:rsid w:val="00A617EC"/>
    <w:rsid w:val="00A72B09"/>
    <w:rsid w:val="00A7345D"/>
    <w:rsid w:val="00A75192"/>
    <w:rsid w:val="00A753BF"/>
    <w:rsid w:val="00A86006"/>
    <w:rsid w:val="00A90040"/>
    <w:rsid w:val="00AB4037"/>
    <w:rsid w:val="00AB7844"/>
    <w:rsid w:val="00AC1A89"/>
    <w:rsid w:val="00AC68A1"/>
    <w:rsid w:val="00AD197D"/>
    <w:rsid w:val="00AE438B"/>
    <w:rsid w:val="00AE5DF3"/>
    <w:rsid w:val="00AE77FF"/>
    <w:rsid w:val="00AE7817"/>
    <w:rsid w:val="00AF0B91"/>
    <w:rsid w:val="00B020AE"/>
    <w:rsid w:val="00B137CF"/>
    <w:rsid w:val="00B1770A"/>
    <w:rsid w:val="00B202E1"/>
    <w:rsid w:val="00B303FB"/>
    <w:rsid w:val="00B3256A"/>
    <w:rsid w:val="00B35C48"/>
    <w:rsid w:val="00B35E29"/>
    <w:rsid w:val="00B417D9"/>
    <w:rsid w:val="00B66166"/>
    <w:rsid w:val="00B75EAE"/>
    <w:rsid w:val="00B83302"/>
    <w:rsid w:val="00B84976"/>
    <w:rsid w:val="00B941BB"/>
    <w:rsid w:val="00B967AF"/>
    <w:rsid w:val="00BA0BBD"/>
    <w:rsid w:val="00BA1BB2"/>
    <w:rsid w:val="00BA1F24"/>
    <w:rsid w:val="00BC35EC"/>
    <w:rsid w:val="00BD51DA"/>
    <w:rsid w:val="00BD7FF8"/>
    <w:rsid w:val="00BF04A0"/>
    <w:rsid w:val="00BF0915"/>
    <w:rsid w:val="00C05D5F"/>
    <w:rsid w:val="00C11AC6"/>
    <w:rsid w:val="00C11EDD"/>
    <w:rsid w:val="00C15EC3"/>
    <w:rsid w:val="00C20632"/>
    <w:rsid w:val="00C2307B"/>
    <w:rsid w:val="00C40B16"/>
    <w:rsid w:val="00C50FE4"/>
    <w:rsid w:val="00C52F15"/>
    <w:rsid w:val="00C5345A"/>
    <w:rsid w:val="00C540ED"/>
    <w:rsid w:val="00C770DA"/>
    <w:rsid w:val="00C777F0"/>
    <w:rsid w:val="00C8089A"/>
    <w:rsid w:val="00C97494"/>
    <w:rsid w:val="00CA0C3F"/>
    <w:rsid w:val="00CA36A2"/>
    <w:rsid w:val="00CA5979"/>
    <w:rsid w:val="00CB40EE"/>
    <w:rsid w:val="00CB429B"/>
    <w:rsid w:val="00CD7FEA"/>
    <w:rsid w:val="00CE6636"/>
    <w:rsid w:val="00CF05FE"/>
    <w:rsid w:val="00CF13CE"/>
    <w:rsid w:val="00CF5FB8"/>
    <w:rsid w:val="00CF73EC"/>
    <w:rsid w:val="00D10D93"/>
    <w:rsid w:val="00D129E2"/>
    <w:rsid w:val="00D1560B"/>
    <w:rsid w:val="00D16D06"/>
    <w:rsid w:val="00D234C0"/>
    <w:rsid w:val="00D23F3B"/>
    <w:rsid w:val="00D25D96"/>
    <w:rsid w:val="00D46335"/>
    <w:rsid w:val="00D52A27"/>
    <w:rsid w:val="00D539D8"/>
    <w:rsid w:val="00D649E4"/>
    <w:rsid w:val="00D73D09"/>
    <w:rsid w:val="00D74CB0"/>
    <w:rsid w:val="00D85272"/>
    <w:rsid w:val="00D86A01"/>
    <w:rsid w:val="00D9534F"/>
    <w:rsid w:val="00DA625D"/>
    <w:rsid w:val="00DA6A1D"/>
    <w:rsid w:val="00DB401C"/>
    <w:rsid w:val="00DD68DD"/>
    <w:rsid w:val="00DE107F"/>
    <w:rsid w:val="00DE2D55"/>
    <w:rsid w:val="00DE5579"/>
    <w:rsid w:val="00DF24F8"/>
    <w:rsid w:val="00DF51D5"/>
    <w:rsid w:val="00DF7834"/>
    <w:rsid w:val="00E01A84"/>
    <w:rsid w:val="00E06AC3"/>
    <w:rsid w:val="00E06DEF"/>
    <w:rsid w:val="00E31D88"/>
    <w:rsid w:val="00E402F5"/>
    <w:rsid w:val="00E41296"/>
    <w:rsid w:val="00E4270C"/>
    <w:rsid w:val="00E52F0D"/>
    <w:rsid w:val="00E5638D"/>
    <w:rsid w:val="00E566E6"/>
    <w:rsid w:val="00E62942"/>
    <w:rsid w:val="00E62B91"/>
    <w:rsid w:val="00E70D60"/>
    <w:rsid w:val="00E71E6D"/>
    <w:rsid w:val="00E84FE5"/>
    <w:rsid w:val="00E85D7A"/>
    <w:rsid w:val="00E87522"/>
    <w:rsid w:val="00EA6A89"/>
    <w:rsid w:val="00EB10F9"/>
    <w:rsid w:val="00EB54F6"/>
    <w:rsid w:val="00EB70ED"/>
    <w:rsid w:val="00EC622F"/>
    <w:rsid w:val="00EC6288"/>
    <w:rsid w:val="00EF54F5"/>
    <w:rsid w:val="00EF7BF2"/>
    <w:rsid w:val="00F14E76"/>
    <w:rsid w:val="00F24E35"/>
    <w:rsid w:val="00F37F6F"/>
    <w:rsid w:val="00F638A9"/>
    <w:rsid w:val="00F646F9"/>
    <w:rsid w:val="00F72B77"/>
    <w:rsid w:val="00F7372C"/>
    <w:rsid w:val="00F86E67"/>
    <w:rsid w:val="00F917D6"/>
    <w:rsid w:val="00F92620"/>
    <w:rsid w:val="00F94DE6"/>
    <w:rsid w:val="00FA3BC9"/>
    <w:rsid w:val="00FA4452"/>
    <w:rsid w:val="00FB1E61"/>
    <w:rsid w:val="00FB5A9F"/>
    <w:rsid w:val="00FB66A5"/>
    <w:rsid w:val="00FB6E89"/>
    <w:rsid w:val="00FC1BEF"/>
    <w:rsid w:val="00FC3CDF"/>
    <w:rsid w:val="00FC5702"/>
    <w:rsid w:val="00FE2687"/>
    <w:rsid w:val="00FE2D20"/>
    <w:rsid w:val="088EE471"/>
    <w:rsid w:val="144DF6FA"/>
    <w:rsid w:val="14607775"/>
    <w:rsid w:val="150F6F57"/>
    <w:rsid w:val="17B5AC3C"/>
    <w:rsid w:val="18FCB4EE"/>
    <w:rsid w:val="1E3828CB"/>
    <w:rsid w:val="28BFA562"/>
    <w:rsid w:val="34F32208"/>
    <w:rsid w:val="47599F53"/>
    <w:rsid w:val="4C570A8F"/>
    <w:rsid w:val="4CC03CD8"/>
    <w:rsid w:val="550BEF87"/>
    <w:rsid w:val="59072801"/>
    <w:rsid w:val="5BC604AB"/>
    <w:rsid w:val="615E167C"/>
    <w:rsid w:val="6810C7D2"/>
    <w:rsid w:val="6AAB745E"/>
    <w:rsid w:val="6D057649"/>
    <w:rsid w:val="72875FC9"/>
    <w:rsid w:val="73079423"/>
    <w:rsid w:val="769EE935"/>
    <w:rsid w:val="7B47F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4A81A"/>
  <w15:docId w15:val="{AEABF303-E803-49F2-8864-5C500410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F7"/>
    <w:pPr>
      <w:spacing w:after="200" w:line="276" w:lineRule="auto"/>
    </w:pPr>
    <w:rPr>
      <w:color w:val="000000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6A5"/>
    <w:pPr>
      <w:keepNext/>
      <w:keepLines/>
      <w:numPr>
        <w:numId w:val="30"/>
      </w:numPr>
      <w:spacing w:before="120" w:after="120" w:line="240" w:lineRule="auto"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ListNumber"/>
    <w:next w:val="Normal"/>
    <w:link w:val="Heading2Char"/>
    <w:uiPriority w:val="99"/>
    <w:qFormat/>
    <w:rsid w:val="00FB66A5"/>
    <w:pPr>
      <w:keepNext/>
      <w:keepLines/>
      <w:numPr>
        <w:ilvl w:val="1"/>
        <w:numId w:val="30"/>
      </w:numPr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66A5"/>
    <w:pPr>
      <w:keepNext/>
      <w:keepLines/>
      <w:numPr>
        <w:ilvl w:val="2"/>
        <w:numId w:val="30"/>
      </w:numPr>
      <w:spacing w:before="120" w:after="80"/>
      <w:ind w:left="1224" w:hanging="504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B66A5"/>
    <w:pPr>
      <w:keepNext/>
      <w:keepLines/>
      <w:numPr>
        <w:ilvl w:val="3"/>
        <w:numId w:val="30"/>
      </w:numPr>
      <w:spacing w:before="200" w:after="0"/>
      <w:ind w:left="1800" w:hanging="720"/>
      <w:contextualSpacing/>
      <w:outlineLvl w:val="3"/>
    </w:pPr>
    <w:rPr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EF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2EF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66A5"/>
    <w:rPr>
      <w:b/>
      <w:color w:val="000000"/>
      <w:sz w:val="36"/>
      <w:szCs w:val="24"/>
      <w:lang w:val="en-US" w:eastAsia="zh-TW"/>
    </w:rPr>
  </w:style>
  <w:style w:type="character" w:customStyle="1" w:styleId="Heading2Char">
    <w:name w:val="Heading 2 Char"/>
    <w:basedOn w:val="DefaultParagraphFont"/>
    <w:link w:val="Heading2"/>
    <w:uiPriority w:val="99"/>
    <w:rsid w:val="00FB66A5"/>
    <w:rPr>
      <w:b/>
      <w:color w:val="000000"/>
      <w:sz w:val="24"/>
      <w:szCs w:val="3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FB66A5"/>
    <w:rPr>
      <w:b/>
      <w:i/>
      <w:color w:val="000000"/>
      <w:sz w:val="24"/>
      <w:szCs w:val="28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rsid w:val="00FB66A5"/>
    <w:rPr>
      <w:i/>
      <w:color w:val="000000"/>
      <w:sz w:val="24"/>
      <w:szCs w:val="24"/>
      <w:u w:val="single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0E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0E2"/>
    <w:rPr>
      <w:rFonts w:asciiTheme="minorHAnsi" w:eastAsiaTheme="minorEastAsia" w:hAnsiTheme="minorHAnsi" w:cstheme="minorBidi"/>
      <w:b/>
      <w:bCs/>
      <w:color w:val="00000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892EF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60E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2EF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760E2"/>
    <w:rPr>
      <w:rFonts w:asciiTheme="majorHAnsi" w:eastAsiaTheme="majorEastAsia" w:hAnsiTheme="majorHAnsi" w:cstheme="majorBidi"/>
      <w:color w:val="000000"/>
      <w:sz w:val="24"/>
      <w:szCs w:val="24"/>
      <w:lang w:val="en-US" w:eastAsia="zh-TW"/>
    </w:rPr>
  </w:style>
  <w:style w:type="table" w:customStyle="1" w:styleId="Style">
    <w:name w:val="Style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Style13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Style12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Style11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">
    <w:name w:val="Style10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9">
    <w:name w:val="Style9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">
    <w:name w:val="Style8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">
    <w:name w:val="Style7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">
    <w:name w:val="Style6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">
    <w:name w:val="Style5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">
    <w:name w:val="Style4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0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0ED"/>
    <w:rPr>
      <w:rFonts w:cs="Times New Roman"/>
    </w:rPr>
  </w:style>
  <w:style w:type="paragraph" w:styleId="ListNumber">
    <w:name w:val="List Number"/>
    <w:basedOn w:val="Normal"/>
    <w:uiPriority w:val="99"/>
    <w:rsid w:val="00594465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99"/>
    <w:qFormat/>
    <w:rsid w:val="00BF0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4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2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EF7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92EF7"/>
    <w:rPr>
      <w:rFonts w:cs="Times New Roman"/>
      <w:sz w:val="16"/>
      <w:szCs w:val="16"/>
    </w:rPr>
  </w:style>
  <w:style w:type="table" w:customStyle="1" w:styleId="1">
    <w:name w:val="1"/>
    <w:uiPriority w:val="99"/>
    <w:rsid w:val="00932037"/>
    <w:rPr>
      <w:rFonts w:eastAsia="PMingLiU"/>
      <w:sz w:val="20"/>
      <w:szCs w:val="20"/>
      <w:lang w:val="en-C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99"/>
    <w:qFormat/>
    <w:rsid w:val="00CA36A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E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sid w:val="006B3F8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49E4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0E2"/>
    <w:rPr>
      <w:rFonts w:cs="Times New Roman"/>
      <w:b/>
      <w:bCs/>
      <w:color w:val="000000"/>
      <w:sz w:val="20"/>
      <w:szCs w:val="20"/>
      <w:lang w:val="en-US" w:eastAsia="zh-TW"/>
    </w:rPr>
  </w:style>
  <w:style w:type="table" w:styleId="TableGrid">
    <w:name w:val="Table Grid"/>
    <w:basedOn w:val="TableNormal"/>
    <w:locked/>
    <w:rsid w:val="0098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010C"/>
    <w:rPr>
      <w:color w:val="000000"/>
      <w:lang w:val="en-US" w:eastAsia="zh-TW"/>
    </w:rPr>
  </w:style>
  <w:style w:type="numbering" w:customStyle="1" w:styleId="SOPFormat">
    <w:name w:val="SOP Format"/>
    <w:basedOn w:val="NoList"/>
    <w:uiPriority w:val="99"/>
    <w:rsid w:val="00FB66A5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5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26A"/>
    <w:rPr>
      <w:color w:val="000000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3A526A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B7844"/>
    <w:pPr>
      <w:widowControl w:val="0"/>
      <w:spacing w:after="0" w:line="240" w:lineRule="auto"/>
      <w:ind w:left="1060"/>
    </w:pPr>
    <w:rPr>
      <w:rFonts w:cstheme="minorBidi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B7844"/>
    <w:rPr>
      <w:rFonts w:cstheme="minorBidi"/>
      <w:lang w:val="en-US" w:eastAsia="en-US"/>
    </w:rPr>
  </w:style>
  <w:style w:type="character" w:customStyle="1" w:styleId="normaltextrun">
    <w:name w:val="normaltextrun"/>
    <w:basedOn w:val="DefaultParagraphFont"/>
    <w:rsid w:val="0042307B"/>
  </w:style>
  <w:style w:type="character" w:customStyle="1" w:styleId="eop">
    <w:name w:val="eop"/>
    <w:basedOn w:val="DefaultParagraphFont"/>
    <w:rsid w:val="0042307B"/>
  </w:style>
  <w:style w:type="paragraph" w:styleId="TOCHeading">
    <w:name w:val="TOC Heading"/>
    <w:basedOn w:val="Heading1"/>
    <w:next w:val="Normal"/>
    <w:uiPriority w:val="39"/>
    <w:unhideWhenUsed/>
    <w:qFormat/>
    <w:rsid w:val="00AE5DF3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locked/>
    <w:rsid w:val="00AE5DF3"/>
    <w:pPr>
      <w:spacing w:after="100"/>
    </w:pPr>
  </w:style>
  <w:style w:type="paragraph" w:styleId="TOC2">
    <w:name w:val="toc 2"/>
    <w:basedOn w:val="Normal"/>
    <w:next w:val="Normal"/>
    <w:autoRedefine/>
    <w:uiPriority w:val="39"/>
    <w:locked/>
    <w:rsid w:val="00AE5D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AE5DF3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427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19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5A4A4-7FF1-467A-A410-8C7C71774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AA04D-B5DC-4882-8C53-DDE875D30C4F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57d60e0b-bbcc-4e8c-ae17-1bc07bf7b2a6"/>
    <ds:schemaRef ds:uri="d1dc8e9d-c2d7-4f1e-a8b8-6d152e0fdc8f"/>
  </ds:schemaRefs>
</ds:datastoreItem>
</file>

<file path=customXml/itemProps3.xml><?xml version="1.0" encoding="utf-8"?>
<ds:datastoreItem xmlns:ds="http://schemas.openxmlformats.org/officeDocument/2006/customXml" ds:itemID="{379F0E29-DA57-42B0-BC9A-0D4DFD6AA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35D4E-8E7A-43A4-99AE-B6CC62D49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1142</Words>
  <Characters>6514</Characters>
  <Application>Microsoft Office Word</Application>
  <DocSecurity>0</DocSecurity>
  <Lines>54</Lines>
  <Paragraphs>15</Paragraphs>
  <ScaleCrop>false</ScaleCrop>
  <Company>Microsoft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 for</dc:title>
  <dc:creator>Chang, Eva</dc:creator>
  <cp:lastModifiedBy>Marhaba Chaudhry</cp:lastModifiedBy>
  <cp:revision>68</cp:revision>
  <cp:lastPrinted>2020-07-02T14:06:00Z</cp:lastPrinted>
  <dcterms:created xsi:type="dcterms:W3CDTF">2020-06-13T16:23:00Z</dcterms:created>
  <dcterms:modified xsi:type="dcterms:W3CDTF">2024-10-31T13:38:00Z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endTBStructureCentral">
    <vt:lpwstr>8;#N/A|603d074b-cb2d-4568-af2a-4cd630184ab0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AuthorIds_UIVersion_1024">
    <vt:lpwstr>17</vt:lpwstr>
  </property>
  <property fmtid="{D5CDD505-2E9C-101B-9397-08002B2CF9AE}" pid="6" name="AuthorIds_UIVersion_1536">
    <vt:lpwstr>17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haredWithUsers">
    <vt:lpwstr/>
  </property>
  <property fmtid="{D5CDD505-2E9C-101B-9397-08002B2CF9AE}" pid="12" name="Order">
    <vt:r8>712400</vt:r8>
  </property>
  <property fmtid="{D5CDD505-2E9C-101B-9397-08002B2CF9AE}" pid="13" name="endTBClinicalTrial">
    <vt:lpwstr>endTB</vt:lpwstr>
  </property>
  <property fmtid="{D5CDD505-2E9C-101B-9397-08002B2CF9AE}" pid="14" name="endTBCountry">
    <vt:lpwstr>Central team</vt:lpwstr>
  </property>
  <property fmtid="{D5CDD505-2E9C-101B-9397-08002B2CF9AE}" pid="15" name="endTBStatusDocument">
    <vt:lpwstr>Final</vt:lpwstr>
  </property>
  <property fmtid="{D5CDD505-2E9C-101B-9397-08002B2CF9AE}" pid="16" name="_ExtendedDescription">
    <vt:lpwstr/>
  </property>
  <property fmtid="{D5CDD505-2E9C-101B-9397-08002B2CF9AE}" pid="17" name="ie6fc752e8314f23b9add3aacdf734e2">
    <vt:lpwstr>N/A|603d074b-cb2d-4568-af2a-4cd630184ab0</vt:lpwstr>
  </property>
  <property fmtid="{D5CDD505-2E9C-101B-9397-08002B2CF9AE}" pid="18" name="b133059517bd4b6ba2826fe941cfd2cb">
    <vt:lpwstr>N/A|7a4f8743-7bab-4f6a-8a0d-b24596741886</vt:lpwstr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