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A916A0" w14:textId="565D2E34" w:rsidR="006F6BA1" w:rsidRPr="00A532D4" w:rsidRDefault="00C5345A" w:rsidP="003D78E4">
      <w:pPr>
        <w:pStyle w:val="Heading1"/>
        <w:numPr>
          <w:ilvl w:val="0"/>
          <w:numId w:val="0"/>
        </w:numPr>
        <w:ind w:left="360"/>
        <w:rPr>
          <w:sz w:val="22"/>
          <w:szCs w:val="22"/>
        </w:rPr>
      </w:pPr>
      <w:bookmarkStart w:id="0" w:name="_Toc181293172"/>
      <w:r w:rsidRPr="00A532D4">
        <w:t>Standard Operating Procedures for</w:t>
      </w:r>
      <w:r w:rsidR="00A532D4">
        <w:t xml:space="preserve">                                              I</w:t>
      </w:r>
      <w:r w:rsidR="006C3D9D">
        <w:t xml:space="preserve">nvestigational </w:t>
      </w:r>
      <w:r w:rsidR="00A532D4">
        <w:t>P</w:t>
      </w:r>
      <w:r w:rsidR="006C3D9D">
        <w:t>roduct</w:t>
      </w:r>
      <w:r w:rsidR="00A532D4">
        <w:t xml:space="preserve"> Distributing, Dispensing</w:t>
      </w:r>
      <w:r w:rsidR="0020202B">
        <w:t>,</w:t>
      </w:r>
      <w:r w:rsidR="00A532D4">
        <w:t xml:space="preserve"> and Accountability</w:t>
      </w:r>
      <w:bookmarkEnd w:id="0"/>
    </w:p>
    <w:p w14:paraId="0AD2599B" w14:textId="77777777" w:rsidR="00217C5E" w:rsidRDefault="00217C5E" w:rsidP="008F6470">
      <w:pPr>
        <w:spacing w:after="0"/>
        <w:jc w:val="both"/>
      </w:pPr>
    </w:p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88"/>
        <w:gridCol w:w="3258"/>
      </w:tblGrid>
      <w:tr w:rsidR="00217C5E" w14:paraId="315CF583" w14:textId="77777777" w:rsidTr="0078696D">
        <w:tc>
          <w:tcPr>
            <w:tcW w:w="6088" w:type="dxa"/>
            <w:shd w:val="clear" w:color="auto" w:fill="F2F2F2"/>
          </w:tcPr>
          <w:p w14:paraId="42C43692" w14:textId="38ED892D" w:rsidR="00217C5E" w:rsidRDefault="00217C5E" w:rsidP="008F6470">
            <w:pPr>
              <w:spacing w:after="0" w:line="240" w:lineRule="auto"/>
              <w:jc w:val="both"/>
            </w:pPr>
            <w:r w:rsidRPr="0078696D">
              <w:rPr>
                <w:b/>
                <w:sz w:val="24"/>
                <w:szCs w:val="24"/>
              </w:rPr>
              <w:t>SOP Number</w:t>
            </w:r>
            <w:r w:rsidR="00F67650">
              <w:rPr>
                <w:sz w:val="24"/>
                <w:szCs w:val="24"/>
              </w:rPr>
              <w:t>: IP-004</w:t>
            </w:r>
            <w:r w:rsidRPr="0078696D">
              <w:rPr>
                <w:sz w:val="24"/>
                <w:szCs w:val="24"/>
              </w:rPr>
              <w:t>-</w:t>
            </w:r>
            <w:r w:rsidR="00AF0B91">
              <w:rPr>
                <w:sz w:val="24"/>
                <w:szCs w:val="24"/>
              </w:rPr>
              <w:t>CT</w:t>
            </w:r>
          </w:p>
        </w:tc>
        <w:tc>
          <w:tcPr>
            <w:tcW w:w="3258" w:type="dxa"/>
            <w:shd w:val="clear" w:color="auto" w:fill="F2F2F2"/>
          </w:tcPr>
          <w:p w14:paraId="7C6E5FC5" w14:textId="15AA67FC" w:rsidR="00217C5E" w:rsidRDefault="00217C5E" w:rsidP="006C3D9D">
            <w:pPr>
              <w:spacing w:after="0" w:line="240" w:lineRule="auto"/>
              <w:jc w:val="both"/>
            </w:pPr>
            <w:r w:rsidRPr="0078696D">
              <w:rPr>
                <w:b/>
                <w:sz w:val="24"/>
                <w:szCs w:val="24"/>
              </w:rPr>
              <w:t>Effective Date</w:t>
            </w:r>
            <w:r w:rsidRPr="0078696D">
              <w:rPr>
                <w:sz w:val="24"/>
                <w:szCs w:val="24"/>
              </w:rPr>
              <w:t xml:space="preserve">: </w:t>
            </w:r>
          </w:p>
        </w:tc>
      </w:tr>
      <w:tr w:rsidR="0024268F" w14:paraId="7F279F1D" w14:textId="77777777" w:rsidTr="00A26470">
        <w:tc>
          <w:tcPr>
            <w:tcW w:w="9346" w:type="dxa"/>
            <w:gridSpan w:val="2"/>
            <w:shd w:val="clear" w:color="auto" w:fill="F2F2F2"/>
          </w:tcPr>
          <w:p w14:paraId="76AA5263" w14:textId="655FED12" w:rsidR="0024268F" w:rsidRDefault="0024268F" w:rsidP="00883B46">
            <w:pPr>
              <w:spacing w:after="0" w:line="240" w:lineRule="auto"/>
              <w:jc w:val="both"/>
            </w:pPr>
            <w:r w:rsidRPr="0078696D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ersion Number and </w:t>
            </w:r>
            <w:r w:rsidRPr="0078696D">
              <w:rPr>
                <w:b/>
                <w:sz w:val="24"/>
                <w:szCs w:val="24"/>
              </w:rPr>
              <w:t>Date</w:t>
            </w:r>
            <w:r w:rsidR="00106EEF">
              <w:rPr>
                <w:sz w:val="24"/>
                <w:szCs w:val="24"/>
              </w:rPr>
              <w:t xml:space="preserve">: </w:t>
            </w:r>
            <w:r w:rsidR="00E85068">
              <w:rPr>
                <w:sz w:val="24"/>
                <w:szCs w:val="24"/>
              </w:rPr>
              <w:t>5</w:t>
            </w:r>
            <w:r w:rsidR="00106EEF">
              <w:rPr>
                <w:sz w:val="24"/>
                <w:szCs w:val="24"/>
              </w:rPr>
              <w:t>.</w:t>
            </w:r>
            <w:r w:rsidR="00656A4D">
              <w:rPr>
                <w:sz w:val="24"/>
                <w:szCs w:val="24"/>
              </w:rPr>
              <w:t>0</w:t>
            </w:r>
            <w:r w:rsidR="00106EEF">
              <w:rPr>
                <w:sz w:val="24"/>
                <w:szCs w:val="24"/>
              </w:rPr>
              <w:t xml:space="preserve">, </w:t>
            </w:r>
            <w:r w:rsidR="00E85068">
              <w:rPr>
                <w:sz w:val="24"/>
                <w:szCs w:val="24"/>
              </w:rPr>
              <w:t>01</w:t>
            </w:r>
            <w:r w:rsidR="00F00FF6">
              <w:rPr>
                <w:sz w:val="24"/>
                <w:szCs w:val="24"/>
              </w:rPr>
              <w:t>-</w:t>
            </w:r>
            <w:r w:rsidR="00E85068">
              <w:rPr>
                <w:sz w:val="24"/>
                <w:szCs w:val="24"/>
              </w:rPr>
              <w:t>Jun</w:t>
            </w:r>
            <w:r w:rsidR="00F00FF6">
              <w:rPr>
                <w:sz w:val="24"/>
                <w:szCs w:val="24"/>
              </w:rPr>
              <w:t>-</w:t>
            </w:r>
            <w:r w:rsidR="00AF0B91">
              <w:rPr>
                <w:sz w:val="24"/>
                <w:szCs w:val="24"/>
              </w:rPr>
              <w:t>20</w:t>
            </w:r>
            <w:r w:rsidR="00E85068">
              <w:rPr>
                <w:sz w:val="24"/>
                <w:szCs w:val="24"/>
              </w:rPr>
              <w:t>20</w:t>
            </w:r>
          </w:p>
        </w:tc>
      </w:tr>
    </w:tbl>
    <w:p w14:paraId="2E10252E" w14:textId="77777777" w:rsidR="00217C5E" w:rsidRDefault="00217C5E" w:rsidP="008F6470">
      <w:pPr>
        <w:spacing w:after="0"/>
        <w:jc w:val="both"/>
      </w:pPr>
    </w:p>
    <w:p w14:paraId="23BD2413" w14:textId="77777777" w:rsidR="00217C5E" w:rsidRDefault="00217C5E" w:rsidP="008F6470">
      <w:pPr>
        <w:spacing w:after="0"/>
        <w:jc w:val="both"/>
      </w:pPr>
    </w:p>
    <w:sdt>
      <w:sdtPr>
        <w:id w:val="-254051781"/>
        <w:docPartObj>
          <w:docPartGallery w:val="Table of Contents"/>
          <w:docPartUnique/>
        </w:docPartObj>
      </w:sdtPr>
      <w:sdtEndPr>
        <w:rPr>
          <w:rFonts w:ascii="Calibri" w:eastAsia="PMingLiU" w:hAnsi="Calibri" w:cs="Calibri"/>
          <w:b/>
          <w:bCs/>
          <w:noProof/>
          <w:color w:val="000000"/>
          <w:sz w:val="22"/>
          <w:szCs w:val="22"/>
          <w:lang w:eastAsia="zh-TW"/>
        </w:rPr>
      </w:sdtEndPr>
      <w:sdtContent>
        <w:p w14:paraId="4999F676" w14:textId="68113D6D" w:rsidR="002537B6" w:rsidRDefault="002537B6">
          <w:pPr>
            <w:pStyle w:val="TOCHeading"/>
          </w:pPr>
          <w:r w:rsidRPr="002537B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Table of Contents</w:t>
          </w:r>
        </w:p>
        <w:p w14:paraId="4170A26E" w14:textId="758A91FC" w:rsidR="002537B6" w:rsidRDefault="002537B6" w:rsidP="002537B6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91438CB" w14:textId="44BF43E5" w:rsidR="002537B6" w:rsidRDefault="002537B6">
          <w:pPr>
            <w:pStyle w:val="TOC2"/>
            <w:tabs>
              <w:tab w:val="left" w:pos="720"/>
              <w:tab w:val="right" w:leader="dot" w:pos="9350"/>
            </w:tabs>
            <w:rPr>
              <w:noProof/>
            </w:rPr>
          </w:pPr>
          <w:hyperlink w:anchor="_Toc181293174" w:history="1">
            <w:r w:rsidRPr="00283320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38DA0" w14:textId="25919FFC" w:rsidR="002537B6" w:rsidRDefault="002537B6">
          <w:pPr>
            <w:pStyle w:val="TOC2"/>
            <w:tabs>
              <w:tab w:val="left" w:pos="720"/>
              <w:tab w:val="right" w:leader="dot" w:pos="9350"/>
            </w:tabs>
            <w:rPr>
              <w:noProof/>
            </w:rPr>
          </w:pPr>
          <w:hyperlink w:anchor="_Toc181293175" w:history="1">
            <w:r w:rsidRPr="00283320">
              <w:rPr>
                <w:rStyle w:val="Hyperlink"/>
                <w:noProof/>
              </w:rPr>
              <w:t>2.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D10B6" w14:textId="644F11A5" w:rsidR="002537B6" w:rsidRDefault="002537B6">
          <w:pPr>
            <w:pStyle w:val="TOC2"/>
            <w:tabs>
              <w:tab w:val="left" w:pos="720"/>
              <w:tab w:val="right" w:leader="dot" w:pos="9350"/>
            </w:tabs>
            <w:rPr>
              <w:noProof/>
            </w:rPr>
          </w:pPr>
          <w:hyperlink w:anchor="_Toc181293176" w:history="1">
            <w:r w:rsidRPr="00283320">
              <w:rPr>
                <w:rStyle w:val="Hyperlink"/>
                <w:noProof/>
              </w:rPr>
              <w:t>3.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RESPONSIBLE FUNCTIONS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6EAF0" w14:textId="4095C518" w:rsidR="002537B6" w:rsidRDefault="002537B6">
          <w:pPr>
            <w:pStyle w:val="TOC2"/>
            <w:tabs>
              <w:tab w:val="left" w:pos="720"/>
              <w:tab w:val="right" w:leader="dot" w:pos="9350"/>
            </w:tabs>
            <w:rPr>
              <w:noProof/>
            </w:rPr>
          </w:pPr>
          <w:hyperlink w:anchor="_Toc181293177" w:history="1">
            <w:r w:rsidRPr="00283320">
              <w:rPr>
                <w:rStyle w:val="Hyperlink"/>
                <w:noProof/>
              </w:rPr>
              <w:t>4.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DEFINITIONS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FC457" w14:textId="21B8CE0C" w:rsidR="002537B6" w:rsidRDefault="002537B6">
          <w:pPr>
            <w:pStyle w:val="TOC2"/>
            <w:tabs>
              <w:tab w:val="left" w:pos="720"/>
              <w:tab w:val="right" w:leader="dot" w:pos="9350"/>
            </w:tabs>
            <w:rPr>
              <w:noProof/>
            </w:rPr>
          </w:pPr>
          <w:hyperlink w:anchor="_Toc181293178" w:history="1">
            <w:r w:rsidRPr="00283320">
              <w:rPr>
                <w:rStyle w:val="Hyperlink"/>
                <w:noProof/>
              </w:rPr>
              <w:t>5.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C1E90" w14:textId="6590414F" w:rsidR="002537B6" w:rsidRDefault="002537B6">
          <w:pPr>
            <w:pStyle w:val="TOC3"/>
            <w:tabs>
              <w:tab w:val="left" w:pos="1200"/>
              <w:tab w:val="right" w:leader="dot" w:pos="9350"/>
            </w:tabs>
            <w:rPr>
              <w:noProof/>
            </w:rPr>
          </w:pPr>
          <w:hyperlink w:anchor="_Toc181293179" w:history="1">
            <w:r w:rsidRPr="00283320">
              <w:rPr>
                <w:rStyle w:val="Hyperlink"/>
                <w:noProof/>
              </w:rPr>
              <w:t>5.1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Distributing 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D55F3" w14:textId="55720237" w:rsidR="002537B6" w:rsidRDefault="002537B6">
          <w:pPr>
            <w:pStyle w:val="TOC3"/>
            <w:tabs>
              <w:tab w:val="left" w:pos="1200"/>
              <w:tab w:val="right" w:leader="dot" w:pos="9350"/>
            </w:tabs>
            <w:rPr>
              <w:noProof/>
            </w:rPr>
          </w:pPr>
          <w:hyperlink w:anchor="_Toc181293180" w:history="1">
            <w:r w:rsidRPr="00283320">
              <w:rPr>
                <w:rStyle w:val="Hyperlink"/>
                <w:noProof/>
              </w:rPr>
              <w:t>5.2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Prescribing IPs to 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72ABD" w14:textId="42A8E9A4" w:rsidR="002537B6" w:rsidRDefault="002537B6">
          <w:pPr>
            <w:pStyle w:val="TOC3"/>
            <w:tabs>
              <w:tab w:val="left" w:pos="1200"/>
              <w:tab w:val="right" w:leader="dot" w:pos="9350"/>
            </w:tabs>
            <w:rPr>
              <w:noProof/>
            </w:rPr>
          </w:pPr>
          <w:hyperlink w:anchor="_Toc181293181" w:history="1">
            <w:r w:rsidRPr="00283320">
              <w:rPr>
                <w:rStyle w:val="Hyperlink"/>
                <w:noProof/>
              </w:rPr>
              <w:t>5.3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Dispensing IPs to 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F57DE" w14:textId="16F03D38" w:rsidR="002537B6" w:rsidRDefault="002537B6">
          <w:pPr>
            <w:pStyle w:val="TOC3"/>
            <w:tabs>
              <w:tab w:val="left" w:pos="1200"/>
              <w:tab w:val="right" w:leader="dot" w:pos="9350"/>
            </w:tabs>
            <w:rPr>
              <w:noProof/>
            </w:rPr>
          </w:pPr>
          <w:hyperlink w:anchor="_Toc181293182" w:history="1">
            <w:r w:rsidRPr="00283320">
              <w:rPr>
                <w:rStyle w:val="Hyperlink"/>
                <w:noProof/>
              </w:rPr>
              <w:t>5.4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IPs Accountability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ADD3A" w14:textId="1243875C" w:rsidR="002537B6" w:rsidRDefault="002537B6">
          <w:pPr>
            <w:pStyle w:val="TOC3"/>
            <w:tabs>
              <w:tab w:val="left" w:pos="1200"/>
              <w:tab w:val="right" w:leader="dot" w:pos="9350"/>
            </w:tabs>
            <w:rPr>
              <w:noProof/>
            </w:rPr>
          </w:pPr>
          <w:hyperlink w:anchor="_Toc181293183" w:history="1">
            <w:r w:rsidRPr="00283320">
              <w:rPr>
                <w:rStyle w:val="Hyperlink"/>
                <w:noProof/>
              </w:rPr>
              <w:t>5.5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Physical Inventory of 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5E465" w14:textId="6A54CD46" w:rsidR="002537B6" w:rsidRDefault="002537B6">
          <w:pPr>
            <w:pStyle w:val="TOC2"/>
            <w:tabs>
              <w:tab w:val="left" w:pos="720"/>
              <w:tab w:val="right" w:leader="dot" w:pos="9350"/>
            </w:tabs>
            <w:rPr>
              <w:noProof/>
            </w:rPr>
          </w:pPr>
          <w:hyperlink w:anchor="_Toc181293184" w:history="1">
            <w:r w:rsidRPr="00283320">
              <w:rPr>
                <w:rStyle w:val="Hyperlink"/>
                <w:noProof/>
              </w:rPr>
              <w:t>6.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7C6DD" w14:textId="3DC4A113" w:rsidR="002537B6" w:rsidRDefault="002537B6">
          <w:pPr>
            <w:pStyle w:val="TOC2"/>
            <w:tabs>
              <w:tab w:val="left" w:pos="720"/>
              <w:tab w:val="right" w:leader="dot" w:pos="9350"/>
            </w:tabs>
            <w:rPr>
              <w:noProof/>
            </w:rPr>
          </w:pPr>
          <w:hyperlink w:anchor="_Toc181293185" w:history="1">
            <w:r w:rsidRPr="00283320">
              <w:rPr>
                <w:rStyle w:val="Hyperlink"/>
                <w:noProof/>
              </w:rPr>
              <w:t>7.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SUPPORTING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4F3C4" w14:textId="043486E0" w:rsidR="002537B6" w:rsidRDefault="002537B6">
          <w:pPr>
            <w:pStyle w:val="TOC2"/>
            <w:tabs>
              <w:tab w:val="left" w:pos="720"/>
              <w:tab w:val="right" w:leader="dot" w:pos="9350"/>
            </w:tabs>
            <w:rPr>
              <w:noProof/>
            </w:rPr>
          </w:pPr>
          <w:hyperlink w:anchor="_Toc181293186" w:history="1">
            <w:r w:rsidRPr="00283320">
              <w:rPr>
                <w:rStyle w:val="Hyperlink"/>
                <w:noProof/>
              </w:rPr>
              <w:t>8.</w:t>
            </w:r>
            <w:r>
              <w:rPr>
                <w:noProof/>
              </w:rPr>
              <w:tab/>
            </w:r>
            <w:r w:rsidRPr="00283320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0E00A" w14:textId="6E26F851" w:rsidR="002537B6" w:rsidRDefault="002537B6">
          <w:r>
            <w:rPr>
              <w:b/>
              <w:bCs/>
              <w:noProof/>
            </w:rPr>
            <w:fldChar w:fldCharType="end"/>
          </w:r>
        </w:p>
      </w:sdtContent>
    </w:sdt>
    <w:p w14:paraId="052DCA53" w14:textId="77777777" w:rsidR="00217C5E" w:rsidRDefault="00217C5E" w:rsidP="008F6470">
      <w:pPr>
        <w:spacing w:after="0"/>
        <w:jc w:val="both"/>
      </w:pPr>
    </w:p>
    <w:p w14:paraId="48B7961D" w14:textId="77777777" w:rsidR="00217C5E" w:rsidRDefault="00217C5E" w:rsidP="008F6470">
      <w:pPr>
        <w:ind w:right="146"/>
        <w:jc w:val="both"/>
      </w:pPr>
      <w:r>
        <w:br w:type="page"/>
      </w:r>
    </w:p>
    <w:p w14:paraId="0C00D62B" w14:textId="0ADA4715" w:rsidR="00051569" w:rsidRPr="00A532D4" w:rsidRDefault="00C5345A" w:rsidP="003D78E4">
      <w:pPr>
        <w:pStyle w:val="Heading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1" w:name="_Toc181293173"/>
      <w:r w:rsidRPr="00A532D4">
        <w:lastRenderedPageBreak/>
        <w:t>Standard Operating Procedures for</w:t>
      </w:r>
      <w:r w:rsidR="00A532D4">
        <w:t xml:space="preserve">                                                       I</w:t>
      </w:r>
      <w:r w:rsidR="00141148">
        <w:t xml:space="preserve">nvestigational </w:t>
      </w:r>
      <w:r w:rsidR="00A532D4">
        <w:t>P</w:t>
      </w:r>
      <w:r w:rsidR="00141148">
        <w:t>roduct</w:t>
      </w:r>
      <w:r w:rsidR="00A532D4">
        <w:t xml:space="preserve"> Distributing, Dispensing</w:t>
      </w:r>
      <w:r w:rsidR="0020202B">
        <w:t>,</w:t>
      </w:r>
      <w:r w:rsidR="00A532D4">
        <w:t xml:space="preserve"> and Accountability</w:t>
      </w:r>
      <w:bookmarkEnd w:id="1"/>
    </w:p>
    <w:p w14:paraId="61B46678" w14:textId="77777777" w:rsidR="00217C5E" w:rsidRPr="00B20CED" w:rsidRDefault="00217C5E" w:rsidP="00B23BA7">
      <w:pPr>
        <w:pStyle w:val="Heading2"/>
      </w:pPr>
      <w:bookmarkStart w:id="2" w:name="_Toc181293174"/>
      <w:r w:rsidRPr="00B20CED">
        <w:t>PURPOSE</w:t>
      </w:r>
      <w:bookmarkEnd w:id="2"/>
      <w:r w:rsidRPr="00B20CED">
        <w:t xml:space="preserve"> 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46"/>
      </w:tblGrid>
      <w:tr w:rsidR="00217C5E" w14:paraId="66042233" w14:textId="77777777" w:rsidTr="00B23BA7">
        <w:tc>
          <w:tcPr>
            <w:tcW w:w="9346" w:type="dxa"/>
          </w:tcPr>
          <w:p w14:paraId="0E336DB3" w14:textId="544E5869" w:rsidR="00217C5E" w:rsidRDefault="00217C5E" w:rsidP="00883B46">
            <w:pPr>
              <w:pStyle w:val="ListNumber"/>
              <w:tabs>
                <w:tab w:val="clear" w:pos="360"/>
              </w:tabs>
              <w:spacing w:before="120" w:line="240" w:lineRule="auto"/>
              <w:ind w:left="0" w:firstLine="0"/>
              <w:contextualSpacing w:val="0"/>
              <w:jc w:val="both"/>
            </w:pPr>
            <w:r w:rsidRPr="00FE2D20">
              <w:t xml:space="preserve">The purpose of this </w:t>
            </w:r>
            <w:r w:rsidR="008B16CA">
              <w:t>standard operating procedure (</w:t>
            </w:r>
            <w:r w:rsidRPr="00FE2D20">
              <w:t>SOP</w:t>
            </w:r>
            <w:r w:rsidR="008B16CA">
              <w:t>)</w:t>
            </w:r>
            <w:r w:rsidRPr="00FE2D20">
              <w:t xml:space="preserve"> is to ensure </w:t>
            </w:r>
            <w:r w:rsidR="00106EEF">
              <w:t xml:space="preserve">appropriate </w:t>
            </w:r>
            <w:r w:rsidR="00CC35FA">
              <w:t>distribution, dispensing</w:t>
            </w:r>
            <w:r w:rsidR="00B23BA7">
              <w:t>,</w:t>
            </w:r>
            <w:r w:rsidR="00CC35FA">
              <w:t xml:space="preserve"> and accountability of </w:t>
            </w:r>
            <w:r w:rsidR="008B16CA">
              <w:t xml:space="preserve">the </w:t>
            </w:r>
            <w:r w:rsidR="00F44010">
              <w:t>I</w:t>
            </w:r>
            <w:r w:rsidR="008B16CA">
              <w:t xml:space="preserve">nvestigational </w:t>
            </w:r>
            <w:r w:rsidR="00F44010">
              <w:t>P</w:t>
            </w:r>
            <w:r w:rsidR="008B16CA">
              <w:t xml:space="preserve">roducts (IPs) in </w:t>
            </w:r>
            <w:r w:rsidR="004A3194">
              <w:t xml:space="preserve">the </w:t>
            </w:r>
            <w:r w:rsidR="008B16CA">
              <w:t>endTB</w:t>
            </w:r>
            <w:r w:rsidR="00E81499">
              <w:t xml:space="preserve"> </w:t>
            </w:r>
            <w:r w:rsidR="008B16CA">
              <w:t>Clinical Trial</w:t>
            </w:r>
            <w:r w:rsidR="00E81499">
              <w:t>s</w:t>
            </w:r>
            <w:r w:rsidR="008B16CA">
              <w:t>.</w:t>
            </w:r>
          </w:p>
        </w:tc>
      </w:tr>
    </w:tbl>
    <w:p w14:paraId="47A0E4E1" w14:textId="77777777" w:rsidR="00217C5E" w:rsidRPr="00B20CED" w:rsidRDefault="00217C5E" w:rsidP="00B23BA7">
      <w:pPr>
        <w:pStyle w:val="Heading2"/>
      </w:pPr>
      <w:bookmarkStart w:id="3" w:name="_Toc181293175"/>
      <w:r w:rsidRPr="00B20CED">
        <w:t>SCOPE</w:t>
      </w:r>
      <w:bookmarkEnd w:id="3"/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46"/>
      </w:tblGrid>
      <w:tr w:rsidR="00217C5E" w14:paraId="06ECE86C" w14:textId="77777777" w:rsidTr="00312A21">
        <w:trPr>
          <w:trHeight w:val="1798"/>
        </w:trPr>
        <w:tc>
          <w:tcPr>
            <w:tcW w:w="9346" w:type="dxa"/>
          </w:tcPr>
          <w:p w14:paraId="0180E2C0" w14:textId="797C9FCD" w:rsidR="00217C5E" w:rsidRDefault="00217C5E" w:rsidP="00B9018F">
            <w:pPr>
              <w:spacing w:before="120" w:line="240" w:lineRule="auto"/>
              <w:jc w:val="both"/>
            </w:pPr>
            <w:r>
              <w:t xml:space="preserve">This SOP </w:t>
            </w:r>
            <w:r w:rsidR="00A31513">
              <w:t>details</w:t>
            </w:r>
            <w:r w:rsidR="00B967AF">
              <w:t xml:space="preserve"> </w:t>
            </w:r>
            <w:r w:rsidR="00CC35FA">
              <w:t>how to distribute, dispense</w:t>
            </w:r>
            <w:r w:rsidR="00B23BA7">
              <w:t>,</w:t>
            </w:r>
            <w:r w:rsidR="00CC35FA">
              <w:t xml:space="preserve"> and </w:t>
            </w:r>
            <w:r w:rsidR="008B16CA">
              <w:t xml:space="preserve">account </w:t>
            </w:r>
            <w:r w:rsidR="00B23BA7">
              <w:t xml:space="preserve">for </w:t>
            </w:r>
            <w:r w:rsidR="008B16CA">
              <w:t>the</w:t>
            </w:r>
            <w:r w:rsidR="00CC35FA">
              <w:t xml:space="preserve"> IPs</w:t>
            </w:r>
            <w:r w:rsidR="00016BFF">
              <w:t xml:space="preserve"> at all </w:t>
            </w:r>
            <w:r w:rsidR="008B16CA">
              <w:t xml:space="preserve">site </w:t>
            </w:r>
            <w:r w:rsidR="00016BFF">
              <w:t>levels</w:t>
            </w:r>
            <w:r w:rsidR="008B16CA">
              <w:t xml:space="preserve"> involved in </w:t>
            </w:r>
            <w:r w:rsidR="00B23BA7">
              <w:t xml:space="preserve">the </w:t>
            </w:r>
            <w:r w:rsidR="008B16CA">
              <w:t>endTB Clinical Trial</w:t>
            </w:r>
            <w:r w:rsidR="00883B46">
              <w:t>s</w:t>
            </w:r>
            <w:r w:rsidR="00CC35FA">
              <w:t>.</w:t>
            </w:r>
          </w:p>
          <w:p w14:paraId="02796A3A" w14:textId="620A38B0" w:rsidR="00E81499" w:rsidRPr="00FE2D20" w:rsidRDefault="00E81499" w:rsidP="009C6BF5">
            <w:pPr>
              <w:spacing w:before="116" w:line="240" w:lineRule="auto"/>
              <w:ind w:right="104"/>
              <w:jc w:val="both"/>
            </w:pPr>
            <w:r>
              <w:t xml:space="preserve">The procedures described in this SOP are valid for both endTB and endTB-Q trials. However, trial specific forms and logs (see appendices listed in section 8) </w:t>
            </w:r>
            <w:proofErr w:type="gramStart"/>
            <w:r>
              <w:t>have to</w:t>
            </w:r>
            <w:proofErr w:type="gramEnd"/>
            <w:r>
              <w:t xml:space="preserve"> be completed separately for each trial. </w:t>
            </w:r>
          </w:p>
        </w:tc>
      </w:tr>
    </w:tbl>
    <w:p w14:paraId="499D374D" w14:textId="77777777" w:rsidR="00217C5E" w:rsidRPr="00B20CED" w:rsidRDefault="00217C5E" w:rsidP="00B23BA7">
      <w:pPr>
        <w:pStyle w:val="Heading2"/>
      </w:pPr>
      <w:bookmarkStart w:id="4" w:name="_Toc181293176"/>
      <w:r w:rsidRPr="00B20CED">
        <w:t>RESPONSIBLE FUNCTIONS</w:t>
      </w:r>
      <w:bookmarkEnd w:id="4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92"/>
        <w:gridCol w:w="6264"/>
      </w:tblGrid>
      <w:tr w:rsidR="00217C5E" w14:paraId="265AFE78" w14:textId="77777777" w:rsidTr="42FDBA3E">
        <w:trPr>
          <w:trHeight w:val="60"/>
        </w:trPr>
        <w:tc>
          <w:tcPr>
            <w:tcW w:w="3092" w:type="dxa"/>
            <w:shd w:val="clear" w:color="auto" w:fill="F2F2F2" w:themeFill="background1" w:themeFillShade="F2"/>
          </w:tcPr>
          <w:p w14:paraId="2F5F5B0F" w14:textId="77777777" w:rsidR="00217C5E" w:rsidRDefault="00217C5E" w:rsidP="008F6470">
            <w:pPr>
              <w:spacing w:before="80" w:after="80"/>
              <w:jc w:val="both"/>
            </w:pPr>
            <w:r w:rsidRPr="0078696D">
              <w:rPr>
                <w:b/>
              </w:rPr>
              <w:t>Function</w:t>
            </w:r>
          </w:p>
        </w:tc>
        <w:tc>
          <w:tcPr>
            <w:tcW w:w="6264" w:type="dxa"/>
            <w:shd w:val="clear" w:color="auto" w:fill="F2F2F2" w:themeFill="background1" w:themeFillShade="F2"/>
            <w:vAlign w:val="center"/>
          </w:tcPr>
          <w:p w14:paraId="78350DB0" w14:textId="77777777" w:rsidR="00217C5E" w:rsidRDefault="00217C5E" w:rsidP="008F6470">
            <w:pPr>
              <w:spacing w:before="80" w:after="80"/>
              <w:jc w:val="both"/>
            </w:pPr>
            <w:r w:rsidRPr="0078696D">
              <w:rPr>
                <w:b/>
              </w:rPr>
              <w:t>Activities</w:t>
            </w:r>
          </w:p>
        </w:tc>
      </w:tr>
      <w:tr w:rsidR="00E8038C" w14:paraId="2916B9D8" w14:textId="77777777" w:rsidTr="004D596D">
        <w:tc>
          <w:tcPr>
            <w:tcW w:w="3092" w:type="dxa"/>
            <w:shd w:val="clear" w:color="auto" w:fill="FFFFFF" w:themeFill="background1"/>
            <w:vAlign w:val="center"/>
          </w:tcPr>
          <w:p w14:paraId="74A4FBB9" w14:textId="53C8B037" w:rsidR="00E8038C" w:rsidRPr="000E10F3" w:rsidRDefault="00E8038C" w:rsidP="004D596D">
            <w:pPr>
              <w:spacing w:before="80" w:after="80" w:line="240" w:lineRule="auto"/>
              <w:contextualSpacing/>
              <w:rPr>
                <w:b/>
              </w:rPr>
            </w:pPr>
            <w:r w:rsidRPr="5BC604AB">
              <w:rPr>
                <w:b/>
                <w:bCs/>
              </w:rPr>
              <w:t>Site Principal Investigator</w:t>
            </w:r>
          </w:p>
        </w:tc>
        <w:tc>
          <w:tcPr>
            <w:tcW w:w="6264" w:type="dxa"/>
            <w:shd w:val="clear" w:color="auto" w:fill="FFFFFF" w:themeFill="background1"/>
            <w:vAlign w:val="center"/>
          </w:tcPr>
          <w:p w14:paraId="7859D393" w14:textId="10602719" w:rsidR="00E8038C" w:rsidRDefault="00E8038C" w:rsidP="00884A11">
            <w:pPr>
              <w:pStyle w:val="ListParagraph"/>
              <w:numPr>
                <w:ilvl w:val="0"/>
                <w:numId w:val="6"/>
              </w:numPr>
              <w:spacing w:before="80" w:after="80" w:line="240" w:lineRule="auto"/>
              <w:jc w:val="both"/>
            </w:pPr>
            <w:r>
              <w:rPr>
                <w:rStyle w:val="normaltextrun"/>
                <w:shd w:val="clear" w:color="auto" w:fill="FFFFFF"/>
              </w:rPr>
              <w:t>Accountable for the overall IP Management at the Site </w:t>
            </w:r>
            <w:r>
              <w:rPr>
                <w:rStyle w:val="Heading3Char"/>
                <w:shd w:val="clear" w:color="auto" w:fill="FFFFFF"/>
              </w:rPr>
              <w:t> </w:t>
            </w:r>
          </w:p>
        </w:tc>
      </w:tr>
      <w:tr w:rsidR="00217C5E" w14:paraId="4E64DFAF" w14:textId="77777777" w:rsidTr="42FDBA3E">
        <w:tc>
          <w:tcPr>
            <w:tcW w:w="3092" w:type="dxa"/>
            <w:shd w:val="clear" w:color="auto" w:fill="FFFFFF" w:themeFill="background1"/>
          </w:tcPr>
          <w:p w14:paraId="7F3DD70C" w14:textId="36B801B6" w:rsidR="00FD4A56" w:rsidRPr="000E10F3" w:rsidRDefault="007340CD" w:rsidP="42FDBA3E">
            <w:pPr>
              <w:spacing w:before="80" w:after="80" w:line="240" w:lineRule="auto"/>
              <w:contextualSpacing/>
              <w:rPr>
                <w:b/>
                <w:bCs/>
              </w:rPr>
            </w:pPr>
            <w:r w:rsidRPr="42FDBA3E">
              <w:rPr>
                <w:b/>
                <w:bCs/>
              </w:rPr>
              <w:t>Delegated S</w:t>
            </w:r>
            <w:r w:rsidR="00FD4A56" w:rsidRPr="42FDBA3E">
              <w:rPr>
                <w:b/>
                <w:bCs/>
              </w:rPr>
              <w:t xml:space="preserve">ite </w:t>
            </w:r>
            <w:r w:rsidRPr="42FDBA3E">
              <w:rPr>
                <w:b/>
                <w:bCs/>
              </w:rPr>
              <w:t>Pharmacist</w:t>
            </w:r>
            <w:r w:rsidR="00FD4A56" w:rsidRPr="42FDBA3E">
              <w:rPr>
                <w:b/>
                <w:bCs/>
              </w:rPr>
              <w:t xml:space="preserve"> in char</w:t>
            </w:r>
            <w:r w:rsidRPr="42FDBA3E">
              <w:rPr>
                <w:b/>
                <w:bCs/>
              </w:rPr>
              <w:t>ge of institution pharmacy(</w:t>
            </w:r>
            <w:proofErr w:type="spellStart"/>
            <w:r w:rsidRPr="42FDBA3E">
              <w:rPr>
                <w:b/>
                <w:bCs/>
              </w:rPr>
              <w:t>ies</w:t>
            </w:r>
            <w:proofErr w:type="spellEnd"/>
            <w:r w:rsidRPr="42FDBA3E">
              <w:rPr>
                <w:b/>
                <w:bCs/>
              </w:rPr>
              <w:t xml:space="preserve">), </w:t>
            </w:r>
            <w:r w:rsidR="001741CF" w:rsidRPr="42FDBA3E">
              <w:rPr>
                <w:b/>
                <w:bCs/>
              </w:rPr>
              <w:t>Central Medical Store</w:t>
            </w:r>
            <w:r w:rsidR="000123A1" w:rsidRPr="42FDBA3E">
              <w:rPr>
                <w:b/>
                <w:bCs/>
              </w:rPr>
              <w:t xml:space="preserve"> (CMS)</w:t>
            </w:r>
            <w:r w:rsidR="00A12DD1" w:rsidRPr="42FDBA3E">
              <w:rPr>
                <w:b/>
                <w:bCs/>
              </w:rPr>
              <w:t xml:space="preserve"> and dispensary pharmacy</w:t>
            </w:r>
          </w:p>
          <w:p w14:paraId="0BE0F9DE" w14:textId="3B99CC82" w:rsidR="00FD4A56" w:rsidRPr="00EB10F9" w:rsidRDefault="00FD4A56" w:rsidP="00D554C1">
            <w:pPr>
              <w:spacing w:before="80" w:after="80" w:line="240" w:lineRule="auto"/>
              <w:contextualSpacing/>
            </w:pPr>
          </w:p>
        </w:tc>
        <w:tc>
          <w:tcPr>
            <w:tcW w:w="6264" w:type="dxa"/>
            <w:shd w:val="clear" w:color="auto" w:fill="FFFFFF" w:themeFill="background1"/>
            <w:vAlign w:val="center"/>
          </w:tcPr>
          <w:p w14:paraId="590C7803" w14:textId="3D0B62B9" w:rsidR="00E81499" w:rsidRDefault="00F20194" w:rsidP="00884A11">
            <w:pPr>
              <w:pStyle w:val="ListParagraph"/>
              <w:numPr>
                <w:ilvl w:val="0"/>
                <w:numId w:val="6"/>
              </w:numPr>
              <w:spacing w:before="80" w:after="80" w:line="240" w:lineRule="auto"/>
              <w:jc w:val="both"/>
            </w:pPr>
            <w:r>
              <w:t>E</w:t>
            </w:r>
            <w:r w:rsidR="00B967AF">
              <w:t xml:space="preserve">nsure </w:t>
            </w:r>
            <w:r w:rsidR="00BD20A5">
              <w:t>proper distribution, dispensing and accountability of IP</w:t>
            </w:r>
            <w:r w:rsidR="00E81499">
              <w:t>s</w:t>
            </w:r>
          </w:p>
        </w:tc>
      </w:tr>
      <w:tr w:rsidR="00D554C1" w14:paraId="2CBC79BC" w14:textId="77777777" w:rsidTr="004D596D">
        <w:trPr>
          <w:trHeight w:val="1295"/>
        </w:trPr>
        <w:tc>
          <w:tcPr>
            <w:tcW w:w="3092" w:type="dxa"/>
            <w:shd w:val="clear" w:color="auto" w:fill="FFFFFF" w:themeFill="background1"/>
          </w:tcPr>
          <w:p w14:paraId="46B221D1" w14:textId="04A476CD" w:rsidR="00D554C1" w:rsidRPr="000E10F3" w:rsidRDefault="006121D5" w:rsidP="006121D5">
            <w:pPr>
              <w:spacing w:before="80" w:after="80" w:line="240" w:lineRule="auto"/>
              <w:contextualSpacing/>
              <w:rPr>
                <w:b/>
              </w:rPr>
            </w:pPr>
            <w:r>
              <w:rPr>
                <w:b/>
              </w:rPr>
              <w:t>D</w:t>
            </w:r>
            <w:r w:rsidR="005D471C">
              <w:rPr>
                <w:b/>
              </w:rPr>
              <w:t>elegated R</w:t>
            </w:r>
            <w:r w:rsidR="00D554C1" w:rsidRPr="000E10F3">
              <w:rPr>
                <w:b/>
              </w:rPr>
              <w:t xml:space="preserve">esponsible nurses or study personnel in the ward and/or the </w:t>
            </w:r>
            <w:r w:rsidR="000630D1" w:rsidRPr="000630D1">
              <w:rPr>
                <w:b/>
              </w:rPr>
              <w:t>Directly Observed Treatment (</w:t>
            </w:r>
            <w:r w:rsidR="00D554C1" w:rsidRPr="000E10F3">
              <w:rPr>
                <w:b/>
              </w:rPr>
              <w:t>DOT</w:t>
            </w:r>
            <w:r w:rsidR="000630D1">
              <w:rPr>
                <w:b/>
              </w:rPr>
              <w:t>)</w:t>
            </w:r>
            <w:r w:rsidR="00D554C1" w:rsidRPr="000E10F3">
              <w:rPr>
                <w:b/>
              </w:rPr>
              <w:t xml:space="preserve"> corners</w:t>
            </w:r>
          </w:p>
        </w:tc>
        <w:tc>
          <w:tcPr>
            <w:tcW w:w="6264" w:type="dxa"/>
            <w:shd w:val="clear" w:color="auto" w:fill="FFFFFF" w:themeFill="background1"/>
            <w:vAlign w:val="center"/>
          </w:tcPr>
          <w:p w14:paraId="3AC82EE9" w14:textId="1CC36324" w:rsidR="00D554C1" w:rsidRDefault="00D31CE2" w:rsidP="00884A11">
            <w:pPr>
              <w:pStyle w:val="ListParagraph"/>
              <w:numPr>
                <w:ilvl w:val="0"/>
                <w:numId w:val="6"/>
              </w:numPr>
              <w:spacing w:before="80" w:after="80" w:line="240" w:lineRule="auto"/>
              <w:jc w:val="both"/>
            </w:pPr>
            <w:r>
              <w:t>Ensure proper distribution of IPs</w:t>
            </w:r>
          </w:p>
        </w:tc>
      </w:tr>
    </w:tbl>
    <w:p w14:paraId="1DA5164E" w14:textId="03283B0E" w:rsidR="009C6BF5" w:rsidRPr="009C6BF5" w:rsidRDefault="00217C5E" w:rsidP="009C6BF5">
      <w:pPr>
        <w:pStyle w:val="Heading2"/>
        <w:spacing w:after="120"/>
      </w:pPr>
      <w:bookmarkStart w:id="5" w:name="_Toc181293177"/>
      <w:r w:rsidRPr="00B20CED">
        <w:t>DEFINITIONS and ABBREVIATIONS</w:t>
      </w:r>
      <w:bookmarkEnd w:id="5"/>
    </w:p>
    <w:p w14:paraId="29E4CC7C" w14:textId="7557DD4B" w:rsidR="005E32A3" w:rsidRPr="009A17A8" w:rsidRDefault="005E32A3" w:rsidP="009C6BF5">
      <w:pPr>
        <w:pStyle w:val="ListNumber"/>
        <w:tabs>
          <w:tab w:val="clear" w:pos="360"/>
        </w:tabs>
        <w:spacing w:after="120"/>
        <w:ind w:left="0" w:firstLine="0"/>
        <w:contextualSpacing w:val="0"/>
        <w:jc w:val="both"/>
        <w:rPr>
          <w:bCs/>
        </w:rPr>
      </w:pPr>
      <w:r w:rsidRPr="009A17A8">
        <w:rPr>
          <w:bCs/>
          <w:i/>
          <w:iCs/>
        </w:rPr>
        <w:t>See endTB Pharmacy Manual, paragraph 1 definitions and abbreviations</w:t>
      </w:r>
      <w:r>
        <w:rPr>
          <w:bCs/>
          <w:i/>
          <w:iCs/>
        </w:rPr>
        <w:t>.</w:t>
      </w:r>
    </w:p>
    <w:p w14:paraId="15EF83B0" w14:textId="46D66809" w:rsidR="00217C5E" w:rsidRPr="00B20CED" w:rsidRDefault="000E10F3" w:rsidP="000E10F3">
      <w:pPr>
        <w:pStyle w:val="Heading2"/>
      </w:pPr>
      <w:bookmarkStart w:id="6" w:name="_Toc181293178"/>
      <w:r>
        <w:lastRenderedPageBreak/>
        <w:t>PROCEDURE</w:t>
      </w:r>
      <w:bookmarkEnd w:id="6"/>
    </w:p>
    <w:p w14:paraId="39494EED" w14:textId="106D4264" w:rsidR="0077321A" w:rsidRPr="00B20CED" w:rsidRDefault="00BA4BA6" w:rsidP="000E10F3">
      <w:pPr>
        <w:pStyle w:val="Heading3"/>
      </w:pPr>
      <w:bookmarkStart w:id="7" w:name="_Toc181293179"/>
      <w:r w:rsidRPr="00B20CED">
        <w:t>Distributing IP</w:t>
      </w:r>
      <w:r w:rsidR="007E1628" w:rsidRPr="00B20CED">
        <w:t>s</w:t>
      </w:r>
      <w:bookmarkEnd w:id="7"/>
    </w:p>
    <w:p w14:paraId="380C09EE" w14:textId="7695C4B5" w:rsidR="005E32A3" w:rsidRDefault="00BA4BA6" w:rsidP="005D471C">
      <w:pPr>
        <w:spacing w:after="0"/>
        <w:jc w:val="both"/>
      </w:pPr>
      <w:r>
        <w:t xml:space="preserve">Distribution refers to </w:t>
      </w:r>
      <w:r w:rsidR="006910A4">
        <w:t>supplying</w:t>
      </w:r>
      <w:r>
        <w:t xml:space="preserve"> IPs from</w:t>
      </w:r>
      <w:r w:rsidR="005E32A3">
        <w:t xml:space="preserve">: </w:t>
      </w:r>
    </w:p>
    <w:p w14:paraId="35DFCA52" w14:textId="6ED6A932" w:rsidR="005E32A3" w:rsidRDefault="00E26DF3" w:rsidP="00884A11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the </w:t>
      </w:r>
      <w:r w:rsidR="000123A1">
        <w:t>CMS</w:t>
      </w:r>
      <w:r>
        <w:t xml:space="preserve"> </w:t>
      </w:r>
      <w:r w:rsidR="00BA4BA6">
        <w:t xml:space="preserve">to </w:t>
      </w:r>
      <w:r w:rsidR="00E939C1">
        <w:t xml:space="preserve">the dispensary pharmacy (if existing) </w:t>
      </w:r>
      <w:r w:rsidR="005E32A3">
        <w:t xml:space="preserve">and, subsequently, </w:t>
      </w:r>
      <w:r>
        <w:t xml:space="preserve">dispensed IP kits are distributed </w:t>
      </w:r>
      <w:r w:rsidR="005E32A3">
        <w:t>from the dispensary pharmac</w:t>
      </w:r>
      <w:r>
        <w:t>y</w:t>
      </w:r>
      <w:r w:rsidR="005E32A3">
        <w:t xml:space="preserve"> to storage and distribution areas or directly to the patients</w:t>
      </w:r>
      <w:r>
        <w:t>,</w:t>
      </w:r>
    </w:p>
    <w:p w14:paraId="1344F7CB" w14:textId="765AC130" w:rsidR="00E81499" w:rsidRDefault="001741CF" w:rsidP="00884A11">
      <w:pPr>
        <w:pStyle w:val="ListParagraph"/>
        <w:numPr>
          <w:ilvl w:val="0"/>
          <w:numId w:val="7"/>
        </w:numPr>
        <w:jc w:val="both"/>
      </w:pPr>
      <w:r>
        <w:t>or</w:t>
      </w:r>
      <w:r w:rsidR="00E939C1">
        <w:t xml:space="preserve"> </w:t>
      </w:r>
      <w:r w:rsidR="00E26DF3">
        <w:t xml:space="preserve">from the </w:t>
      </w:r>
      <w:r w:rsidR="000123A1">
        <w:t>CMS</w:t>
      </w:r>
      <w:r w:rsidR="00E26DF3">
        <w:t xml:space="preserve"> </w:t>
      </w:r>
      <w:r w:rsidR="00E939C1">
        <w:t xml:space="preserve">to </w:t>
      </w:r>
      <w:r w:rsidR="00B23BA7">
        <w:t xml:space="preserve">the </w:t>
      </w:r>
      <w:r w:rsidR="004813AD">
        <w:t>institution</w:t>
      </w:r>
      <w:r w:rsidR="00016BFF">
        <w:t xml:space="preserve"> pharmacy</w:t>
      </w:r>
      <w:r w:rsidR="004F4E4C">
        <w:t>(</w:t>
      </w:r>
      <w:proofErr w:type="spellStart"/>
      <w:r w:rsidR="004F4E4C">
        <w:t>ies</w:t>
      </w:r>
      <w:proofErr w:type="spellEnd"/>
      <w:r w:rsidR="004F4E4C">
        <w:t>)</w:t>
      </w:r>
      <w:r w:rsidR="006910A4">
        <w:t xml:space="preserve"> </w:t>
      </w:r>
      <w:r w:rsidR="005E32A3">
        <w:t xml:space="preserve">and, subsequently, </w:t>
      </w:r>
      <w:r w:rsidR="00BA4BA6">
        <w:t xml:space="preserve">from the </w:t>
      </w:r>
      <w:r w:rsidR="006910A4">
        <w:t xml:space="preserve">institution </w:t>
      </w:r>
      <w:r w:rsidR="00016BFF">
        <w:t>pharmacy</w:t>
      </w:r>
      <w:r w:rsidR="004F4E4C">
        <w:t>(</w:t>
      </w:r>
      <w:proofErr w:type="spellStart"/>
      <w:r w:rsidR="004F4E4C">
        <w:t>ies</w:t>
      </w:r>
      <w:proofErr w:type="spellEnd"/>
      <w:r w:rsidR="004F4E4C">
        <w:t>)</w:t>
      </w:r>
      <w:r w:rsidR="00BA4BA6">
        <w:t xml:space="preserve"> to </w:t>
      </w:r>
      <w:r w:rsidR="006910A4">
        <w:t>designated</w:t>
      </w:r>
      <w:r w:rsidR="00BA4BA6">
        <w:t xml:space="preserve"> wards and </w:t>
      </w:r>
      <w:r w:rsidR="00BA4BA6" w:rsidRPr="00E41235">
        <w:t>DOT</w:t>
      </w:r>
      <w:r w:rsidR="00BA4BA6">
        <w:t xml:space="preserve"> corners.</w:t>
      </w:r>
      <w:r w:rsidR="004C63BB">
        <w:t xml:space="preserve"> </w:t>
      </w:r>
    </w:p>
    <w:p w14:paraId="66CAF5CF" w14:textId="345AA5B8" w:rsidR="00E81499" w:rsidRDefault="00E81499" w:rsidP="00E81499">
      <w:pPr>
        <w:jc w:val="both"/>
      </w:pPr>
      <w:r>
        <w:t>All Site Staff members involved in study drug management at all levels must be appropriately delegated on the “endTB Site Delegation and Signature Log”</w:t>
      </w:r>
      <w:r>
        <w:rPr>
          <w:lang w:val="en-GB"/>
        </w:rPr>
        <w:t>.</w:t>
      </w:r>
    </w:p>
    <w:p w14:paraId="1D454937" w14:textId="7E654626" w:rsidR="00BA4BA6" w:rsidRDefault="007340CD" w:rsidP="000E10F3">
      <w:pPr>
        <w:jc w:val="both"/>
      </w:pPr>
      <w:r>
        <w:rPr>
          <w:b/>
        </w:rPr>
        <w:t>Delegated S</w:t>
      </w:r>
      <w:r w:rsidRPr="000E10F3">
        <w:rPr>
          <w:b/>
        </w:rPr>
        <w:t xml:space="preserve">ite </w:t>
      </w:r>
      <w:r>
        <w:rPr>
          <w:b/>
        </w:rPr>
        <w:t xml:space="preserve">Pharmacist </w:t>
      </w:r>
      <w:r w:rsidR="00813998">
        <w:t>must ensure that t</w:t>
      </w:r>
      <w:r w:rsidR="00286121">
        <w:t xml:space="preserve">he storage conditions at the </w:t>
      </w:r>
      <w:r w:rsidR="000123A1">
        <w:t>CMS</w:t>
      </w:r>
      <w:r w:rsidR="00B64A04">
        <w:t>, dispensary pharmacy</w:t>
      </w:r>
      <w:r w:rsidR="00E26DF3">
        <w:t xml:space="preserve"> </w:t>
      </w:r>
      <w:r w:rsidR="00B64A04">
        <w:t xml:space="preserve">and at the </w:t>
      </w:r>
      <w:r w:rsidR="004F4E4C">
        <w:t>institution</w:t>
      </w:r>
      <w:r w:rsidR="00016BFF">
        <w:t xml:space="preserve"> pharmacy</w:t>
      </w:r>
      <w:r w:rsidR="000523AF">
        <w:t>(</w:t>
      </w:r>
      <w:proofErr w:type="spellStart"/>
      <w:r w:rsidR="000523AF">
        <w:t>ies</w:t>
      </w:r>
      <w:proofErr w:type="spellEnd"/>
      <w:r w:rsidR="000523AF">
        <w:t>)</w:t>
      </w:r>
      <w:r w:rsidR="00286121">
        <w:t xml:space="preserve"> fulfill the storage </w:t>
      </w:r>
      <w:r w:rsidR="00813998">
        <w:t>requirements</w:t>
      </w:r>
      <w:r w:rsidR="00286121">
        <w:t xml:space="preserve"> </w:t>
      </w:r>
      <w:r w:rsidR="00813998">
        <w:t xml:space="preserve">detailed </w:t>
      </w:r>
      <w:r w:rsidR="00286121">
        <w:t xml:space="preserve">in </w:t>
      </w:r>
      <w:r w:rsidR="00286121" w:rsidRPr="00722938">
        <w:t>SOP IP-00</w:t>
      </w:r>
      <w:r w:rsidR="006E52C6" w:rsidRPr="00722938">
        <w:t>1</w:t>
      </w:r>
      <w:r w:rsidR="00286121" w:rsidRPr="00722938">
        <w:t>-CT</w:t>
      </w:r>
      <w:r w:rsidR="004A3194" w:rsidRPr="00722938">
        <w:t xml:space="preserve"> IP Storage</w:t>
      </w:r>
      <w:r w:rsidR="00286121">
        <w:t xml:space="preserve">. The supply of IPs from </w:t>
      </w:r>
      <w:r w:rsidR="00B64A04">
        <w:t xml:space="preserve">the </w:t>
      </w:r>
      <w:r w:rsidR="000123A1">
        <w:t>CMS</w:t>
      </w:r>
      <w:r w:rsidR="00B64A04">
        <w:t xml:space="preserve"> </w:t>
      </w:r>
      <w:r w:rsidR="00286121">
        <w:t xml:space="preserve">to </w:t>
      </w:r>
      <w:r w:rsidR="00B23BA7">
        <w:t xml:space="preserve">the </w:t>
      </w:r>
      <w:r w:rsidR="00B64A04">
        <w:t xml:space="preserve">dispensary pharmacy </w:t>
      </w:r>
      <w:r w:rsidR="005E32A3">
        <w:t>or</w:t>
      </w:r>
      <w:r w:rsidR="00B64A04">
        <w:t xml:space="preserve"> to the </w:t>
      </w:r>
      <w:r w:rsidR="000523AF">
        <w:t>institution</w:t>
      </w:r>
      <w:r w:rsidR="00016BFF">
        <w:t xml:space="preserve"> pharmacy</w:t>
      </w:r>
      <w:r w:rsidR="000523AF">
        <w:t>(</w:t>
      </w:r>
      <w:proofErr w:type="spellStart"/>
      <w:r w:rsidR="000523AF">
        <w:t>ies</w:t>
      </w:r>
      <w:proofErr w:type="spellEnd"/>
      <w:r w:rsidR="000523AF">
        <w:t>)</w:t>
      </w:r>
      <w:r w:rsidR="00286121">
        <w:t xml:space="preserve"> </w:t>
      </w:r>
      <w:r w:rsidR="000523AF">
        <w:t xml:space="preserve">should be </w:t>
      </w:r>
      <w:r w:rsidR="00286121">
        <w:t xml:space="preserve">done </w:t>
      </w:r>
      <w:proofErr w:type="gramStart"/>
      <w:r w:rsidR="00286121">
        <w:t>on a monthly basis</w:t>
      </w:r>
      <w:proofErr w:type="gramEnd"/>
      <w:r w:rsidR="000523AF">
        <w:t>;</w:t>
      </w:r>
      <w:r w:rsidR="006E52C6">
        <w:t xml:space="preserve"> </w:t>
      </w:r>
      <w:r w:rsidR="00B64A04">
        <w:t xml:space="preserve">the </w:t>
      </w:r>
      <w:r w:rsidR="000523AF">
        <w:t xml:space="preserve">actual </w:t>
      </w:r>
      <w:r w:rsidR="006E52C6">
        <w:t>frequency c</w:t>
      </w:r>
      <w:r w:rsidR="000523AF">
        <w:t>ould</w:t>
      </w:r>
      <w:r w:rsidR="006E52C6">
        <w:t xml:space="preserve"> be adapted </w:t>
      </w:r>
      <w:r w:rsidR="00B64A04">
        <w:t xml:space="preserve">as </w:t>
      </w:r>
      <w:r w:rsidR="006E52C6">
        <w:t>per country</w:t>
      </w:r>
      <w:r w:rsidR="000523AF">
        <w:t xml:space="preserve"> needs</w:t>
      </w:r>
      <w:r w:rsidR="005E32A3">
        <w:t>. During transport of drugs between the different pharmacie</w:t>
      </w:r>
      <w:r w:rsidR="00722938">
        <w:t>s</w:t>
      </w:r>
      <w:r w:rsidR="00E26DF3">
        <w:t xml:space="preserve">, </w:t>
      </w:r>
      <w:r w:rsidR="00E56F30">
        <w:t xml:space="preserve">the temperature </w:t>
      </w:r>
      <w:r w:rsidR="005E32A3">
        <w:t xml:space="preserve">should be </w:t>
      </w:r>
      <w:r w:rsidR="00E56F30">
        <w:t>maintained</w:t>
      </w:r>
      <w:r w:rsidR="00F0621A">
        <w:t xml:space="preserve"> </w:t>
      </w:r>
      <w:r w:rsidR="005E32A3">
        <w:t>within acceptable limits and monitored</w:t>
      </w:r>
      <w:r w:rsidR="006E52C6">
        <w:t>.</w:t>
      </w:r>
      <w:r w:rsidR="00F0621A">
        <w:t xml:space="preserve"> In case of excursion temperature refer to S</w:t>
      </w:r>
      <w:r w:rsidR="00EA4C09">
        <w:t>OP IP-001</w:t>
      </w:r>
      <w:r w:rsidR="00F0621A">
        <w:t>-CT IP Storage.</w:t>
      </w:r>
    </w:p>
    <w:p w14:paraId="03D15226" w14:textId="1A9439DD" w:rsidR="00AF19FB" w:rsidRDefault="00E26DF3" w:rsidP="00E41235">
      <w:pPr>
        <w:jc w:val="both"/>
      </w:pPr>
      <w:r>
        <w:t>P</w:t>
      </w:r>
      <w:r w:rsidR="00DA6ACC">
        <w:t>roper IP</w:t>
      </w:r>
      <w:r w:rsidR="00B64A04">
        <w:t>s</w:t>
      </w:r>
      <w:r w:rsidR="00DA6ACC">
        <w:t xml:space="preserve"> storage conditions cannot </w:t>
      </w:r>
      <w:r w:rsidR="00E56F30">
        <w:t xml:space="preserve">always </w:t>
      </w:r>
      <w:r w:rsidR="00DA6ACC">
        <w:t xml:space="preserve">be guaranteed </w:t>
      </w:r>
      <w:r w:rsidR="006E52C6">
        <w:t xml:space="preserve">once </w:t>
      </w:r>
      <w:r w:rsidR="00F5118C">
        <w:t xml:space="preserve">the supplies are transported out of </w:t>
      </w:r>
      <w:r w:rsidR="00E85068">
        <w:t xml:space="preserve">the dispensary pharmacy or out of </w:t>
      </w:r>
      <w:r w:rsidR="00F5118C">
        <w:t>the</w:t>
      </w:r>
      <w:r w:rsidR="006E52C6">
        <w:t xml:space="preserve"> </w:t>
      </w:r>
      <w:r w:rsidR="00F5118C">
        <w:t xml:space="preserve">institution </w:t>
      </w:r>
      <w:r w:rsidR="00016BFF">
        <w:t>pharmac</w:t>
      </w:r>
      <w:r w:rsidR="00F5118C">
        <w:t xml:space="preserve">ies and delivered to designated, peripheral </w:t>
      </w:r>
      <w:r w:rsidR="00AF19FB">
        <w:t>distribution/</w:t>
      </w:r>
      <w:r w:rsidR="00F5118C">
        <w:t>dispensing locations</w:t>
      </w:r>
      <w:r w:rsidR="006E52C6">
        <w:t>.</w:t>
      </w:r>
      <w:r w:rsidR="003D1C35">
        <w:t xml:space="preserve"> </w:t>
      </w:r>
      <w:r w:rsidR="002A410B">
        <w:t xml:space="preserve">As a result, </w:t>
      </w:r>
      <w:r w:rsidR="007340CD">
        <w:rPr>
          <w:b/>
        </w:rPr>
        <w:t>delegated S</w:t>
      </w:r>
      <w:r w:rsidR="007340CD" w:rsidRPr="000E10F3">
        <w:rPr>
          <w:b/>
        </w:rPr>
        <w:t xml:space="preserve">ite </w:t>
      </w:r>
      <w:r w:rsidR="007340CD">
        <w:rPr>
          <w:b/>
        </w:rPr>
        <w:t xml:space="preserve">Pharmacist </w:t>
      </w:r>
      <w:r w:rsidR="002A410B">
        <w:t xml:space="preserve">must ensure </w:t>
      </w:r>
      <w:r w:rsidR="00B64A04">
        <w:t xml:space="preserve">that </w:t>
      </w:r>
      <w:r w:rsidR="002A410B">
        <w:t xml:space="preserve">the quantity stored at the peripheral </w:t>
      </w:r>
      <w:r w:rsidR="00AF19FB">
        <w:t>distribution/</w:t>
      </w:r>
      <w:r w:rsidR="002A410B">
        <w:t xml:space="preserve">dispensing locations, such as the </w:t>
      </w:r>
      <w:proofErr w:type="gramStart"/>
      <w:r w:rsidR="00F0621A">
        <w:t>Out Patient</w:t>
      </w:r>
      <w:proofErr w:type="gramEnd"/>
      <w:r w:rsidR="00F0621A">
        <w:t xml:space="preserve"> Department</w:t>
      </w:r>
      <w:r w:rsidR="00AF19FB">
        <w:t xml:space="preserve"> drug distribution point</w:t>
      </w:r>
      <w:r w:rsidR="00E56F30">
        <w:t>(s)</w:t>
      </w:r>
      <w:r w:rsidR="00AF19FB">
        <w:t xml:space="preserve">, </w:t>
      </w:r>
      <w:r w:rsidR="002A410B">
        <w:t>wards and DOT corners, is kept at a minimal level and must not exceed 1 month of consumption needs.</w:t>
      </w:r>
      <w:r w:rsidR="003D1C35">
        <w:t xml:space="preserve"> </w:t>
      </w:r>
      <w:r w:rsidR="00584390">
        <w:t>If kept more than one mo</w:t>
      </w:r>
      <w:r w:rsidR="00633BE4">
        <w:t>nth</w:t>
      </w:r>
      <w:r w:rsidR="00584390">
        <w:t xml:space="preserve"> at peripheral dispensing locations, IPs must be returned to </w:t>
      </w:r>
      <w:r w:rsidR="00B64A04">
        <w:t xml:space="preserve">the </w:t>
      </w:r>
      <w:r w:rsidR="000123A1">
        <w:t>CMS</w:t>
      </w:r>
      <w:r w:rsidR="00584390">
        <w:t xml:space="preserve"> as per SOP IP-005-CT</w:t>
      </w:r>
      <w:r w:rsidR="00E41235">
        <w:t xml:space="preserve"> </w:t>
      </w:r>
      <w:r w:rsidR="00E41235" w:rsidRPr="00BA68E8">
        <w:t xml:space="preserve">IP Return </w:t>
      </w:r>
      <w:r w:rsidR="00584390">
        <w:t>and discarded as per SOP IP-006-CT</w:t>
      </w:r>
      <w:r w:rsidR="00E41235">
        <w:t xml:space="preserve"> </w:t>
      </w:r>
      <w:r w:rsidR="00E41235" w:rsidRPr="00E41235">
        <w:rPr>
          <w:color w:val="000000" w:themeColor="text1"/>
        </w:rPr>
        <w:t>IP Destruction</w:t>
      </w:r>
      <w:r w:rsidR="00584390">
        <w:t>.</w:t>
      </w:r>
      <w:r w:rsidR="00AF19FB" w:rsidRPr="00AF19FB">
        <w:t xml:space="preserve"> </w:t>
      </w:r>
      <w:r w:rsidR="00AF19FB">
        <w:t xml:space="preserve">The stock of ancillary drugs must not exceed 6 months outside of temperature and humidity-controlled storage. </w:t>
      </w:r>
    </w:p>
    <w:p w14:paraId="1B229916" w14:textId="1B862244" w:rsidR="00016BFF" w:rsidRDefault="00016BFF" w:rsidP="000E10F3">
      <w:pPr>
        <w:pStyle w:val="Heading4"/>
        <w:rPr>
          <w:rStyle w:val="SubtleEmphasis"/>
          <w:b w:val="0"/>
          <w:color w:val="auto"/>
        </w:rPr>
      </w:pPr>
      <w:r w:rsidRPr="00B20CED">
        <w:rPr>
          <w:rStyle w:val="SubtleEmphasis"/>
          <w:b w:val="0"/>
          <w:color w:val="auto"/>
        </w:rPr>
        <w:t xml:space="preserve">From </w:t>
      </w:r>
      <w:r w:rsidR="000123A1">
        <w:rPr>
          <w:rStyle w:val="SubtleEmphasis"/>
          <w:b w:val="0"/>
          <w:color w:val="auto"/>
        </w:rPr>
        <w:t>CMS</w:t>
      </w:r>
      <w:r w:rsidRPr="00B20CED">
        <w:rPr>
          <w:rStyle w:val="SubtleEmphasis"/>
          <w:b w:val="0"/>
          <w:color w:val="auto"/>
        </w:rPr>
        <w:t xml:space="preserve"> to </w:t>
      </w:r>
      <w:r w:rsidR="004B42B1" w:rsidRPr="00B20CED">
        <w:rPr>
          <w:rStyle w:val="SubtleEmphasis"/>
          <w:b w:val="0"/>
          <w:color w:val="auto"/>
        </w:rPr>
        <w:t xml:space="preserve">Institution </w:t>
      </w:r>
      <w:r w:rsidRPr="00B20CED">
        <w:rPr>
          <w:rStyle w:val="SubtleEmphasis"/>
          <w:b w:val="0"/>
          <w:color w:val="auto"/>
        </w:rPr>
        <w:t>pharmacy</w:t>
      </w:r>
    </w:p>
    <w:p w14:paraId="41718DCC" w14:textId="581DF123" w:rsidR="00E26DF3" w:rsidRPr="00E26DF3" w:rsidRDefault="00E26DF3" w:rsidP="00E26DF3">
      <w:pPr>
        <w:spacing w:after="0"/>
      </w:pPr>
    </w:p>
    <w:p w14:paraId="2312CCB0" w14:textId="740E1B74" w:rsidR="00E01404" w:rsidRDefault="007340CD" w:rsidP="000E10F3">
      <w:pPr>
        <w:jc w:val="both"/>
      </w:pPr>
      <w:r>
        <w:rPr>
          <w:b/>
        </w:rPr>
        <w:t>Delegated S</w:t>
      </w:r>
      <w:r w:rsidRPr="000E10F3">
        <w:rPr>
          <w:b/>
        </w:rPr>
        <w:t xml:space="preserve">ite </w:t>
      </w:r>
      <w:r>
        <w:rPr>
          <w:b/>
        </w:rPr>
        <w:t>Pharmacist</w:t>
      </w:r>
      <w:r w:rsidR="00846372" w:rsidRPr="00903938">
        <w:rPr>
          <w:b/>
          <w:lang w:val="en-CA"/>
        </w:rPr>
        <w:t xml:space="preserve"> </w:t>
      </w:r>
      <w:r w:rsidR="00E01404" w:rsidRPr="000F5F9F">
        <w:rPr>
          <w:b/>
        </w:rPr>
        <w:t>in</w:t>
      </w:r>
      <w:r w:rsidR="00846372" w:rsidRPr="000F5F9F">
        <w:rPr>
          <w:b/>
        </w:rPr>
        <w:t xml:space="preserve"> </w:t>
      </w:r>
      <w:r w:rsidR="00E01404" w:rsidRPr="000F5F9F">
        <w:rPr>
          <w:b/>
        </w:rPr>
        <w:t xml:space="preserve">charge of </w:t>
      </w:r>
      <w:r w:rsidR="00846372" w:rsidRPr="000F5F9F">
        <w:rPr>
          <w:b/>
        </w:rPr>
        <w:t>institution</w:t>
      </w:r>
      <w:r w:rsidR="00CE2DC7" w:rsidRPr="000F5F9F">
        <w:rPr>
          <w:b/>
        </w:rPr>
        <w:t xml:space="preserve"> </w:t>
      </w:r>
      <w:r w:rsidR="00D10EDB" w:rsidRPr="000F5F9F">
        <w:rPr>
          <w:b/>
        </w:rPr>
        <w:t>p</w:t>
      </w:r>
      <w:r w:rsidR="00CE2DC7" w:rsidRPr="000F5F9F">
        <w:rPr>
          <w:b/>
        </w:rPr>
        <w:t>harmacy</w:t>
      </w:r>
      <w:r w:rsidR="00E01404">
        <w:t xml:space="preserve"> </w:t>
      </w:r>
      <w:r w:rsidR="00846372">
        <w:t xml:space="preserve">should </w:t>
      </w:r>
      <w:r w:rsidR="00E01404">
        <w:t xml:space="preserve">send a requisition order to the </w:t>
      </w:r>
      <w:r w:rsidR="00846372">
        <w:t xml:space="preserve">responsible study personnel </w:t>
      </w:r>
      <w:r w:rsidR="00E56F30">
        <w:t xml:space="preserve">at </w:t>
      </w:r>
      <w:r w:rsidR="00846372">
        <w:t xml:space="preserve">the </w:t>
      </w:r>
      <w:r w:rsidR="000123A1">
        <w:t>CMS</w:t>
      </w:r>
      <w:r w:rsidR="00E56F30">
        <w:t xml:space="preserve"> </w:t>
      </w:r>
      <w:r w:rsidR="00E01404">
        <w:t xml:space="preserve">by using the form </w:t>
      </w:r>
      <w:r w:rsidR="00CE2DC7">
        <w:t>“IP request and supply Form”</w:t>
      </w:r>
      <w:r w:rsidR="004E609F">
        <w:t xml:space="preserve"> (see Appendix</w:t>
      </w:r>
      <w:r w:rsidR="00016BFF">
        <w:t xml:space="preserve"> A1</w:t>
      </w:r>
      <w:r w:rsidR="004E609F">
        <w:t>)</w:t>
      </w:r>
      <w:r w:rsidR="00E01404">
        <w:t>.</w:t>
      </w:r>
    </w:p>
    <w:p w14:paraId="2BD8412F" w14:textId="19A2657A" w:rsidR="00846372" w:rsidRDefault="007340CD" w:rsidP="000E10F3">
      <w:pPr>
        <w:jc w:val="both"/>
      </w:pPr>
      <w:r>
        <w:rPr>
          <w:b/>
        </w:rPr>
        <w:t>Delegated S</w:t>
      </w:r>
      <w:r w:rsidRPr="000E10F3">
        <w:rPr>
          <w:b/>
        </w:rPr>
        <w:t xml:space="preserve">ite </w:t>
      </w:r>
      <w:r>
        <w:rPr>
          <w:b/>
        </w:rPr>
        <w:t xml:space="preserve">Pharmacist </w:t>
      </w:r>
      <w:r w:rsidR="00D719D8" w:rsidRPr="000F5F9F">
        <w:rPr>
          <w:b/>
        </w:rPr>
        <w:t>in</w:t>
      </w:r>
      <w:r w:rsidR="00846372" w:rsidRPr="000F5F9F">
        <w:rPr>
          <w:b/>
        </w:rPr>
        <w:t xml:space="preserve"> </w:t>
      </w:r>
      <w:r w:rsidR="00D719D8" w:rsidRPr="000F5F9F">
        <w:rPr>
          <w:b/>
        </w:rPr>
        <w:t xml:space="preserve">charge of the </w:t>
      </w:r>
      <w:r w:rsidR="000123A1">
        <w:rPr>
          <w:b/>
        </w:rPr>
        <w:t>CMS</w:t>
      </w:r>
      <w:r w:rsidR="00E56F30">
        <w:t xml:space="preserve"> </w:t>
      </w:r>
      <w:r w:rsidR="00846372">
        <w:t>must</w:t>
      </w:r>
      <w:r w:rsidR="00D719D8">
        <w:t xml:space="preserve"> review the accuracy of </w:t>
      </w:r>
      <w:r w:rsidR="00846372">
        <w:t>each</w:t>
      </w:r>
      <w:r w:rsidR="00D719D8">
        <w:t xml:space="preserve"> </w:t>
      </w:r>
      <w:r w:rsidR="00016BFF">
        <w:t>requisition o</w:t>
      </w:r>
      <w:r w:rsidR="00D719D8">
        <w:t xml:space="preserve">rder, make changes if appropriate and use the same </w:t>
      </w:r>
      <w:r w:rsidR="00846372">
        <w:t xml:space="preserve">order </w:t>
      </w:r>
      <w:r w:rsidR="00D719D8">
        <w:t>form to record the quantities</w:t>
      </w:r>
      <w:r w:rsidR="00846372">
        <w:t xml:space="preserve"> of study drugs</w:t>
      </w:r>
      <w:r w:rsidR="00D719D8">
        <w:t xml:space="preserve"> </w:t>
      </w:r>
      <w:r w:rsidR="00F36C81">
        <w:t>delivered</w:t>
      </w:r>
      <w:r w:rsidR="00D719D8">
        <w:t xml:space="preserve"> to </w:t>
      </w:r>
      <w:r w:rsidR="00E26DF3">
        <w:t xml:space="preserve">the </w:t>
      </w:r>
      <w:r w:rsidR="00846372">
        <w:t>ordering</w:t>
      </w:r>
      <w:r w:rsidR="00D719D8">
        <w:t xml:space="preserve"> </w:t>
      </w:r>
      <w:r w:rsidR="00846372">
        <w:t>institution</w:t>
      </w:r>
      <w:r w:rsidR="00CE2DC7">
        <w:t xml:space="preserve"> </w:t>
      </w:r>
      <w:r w:rsidR="00D10EDB">
        <w:t>p</w:t>
      </w:r>
      <w:r w:rsidR="00CE2DC7">
        <w:t>harmacy</w:t>
      </w:r>
      <w:r w:rsidR="00D719D8">
        <w:t xml:space="preserve">. </w:t>
      </w:r>
    </w:p>
    <w:p w14:paraId="7D26AD65" w14:textId="576BEA9E" w:rsidR="00903938" w:rsidRDefault="00016BFF" w:rsidP="000E10F3">
      <w:pPr>
        <w:jc w:val="both"/>
        <w:rPr>
          <w:b/>
        </w:rPr>
      </w:pPr>
      <w:r>
        <w:lastRenderedPageBreak/>
        <w:t xml:space="preserve">The </w:t>
      </w:r>
      <w:r w:rsidR="000123A1">
        <w:t>CMS</w:t>
      </w:r>
      <w:r w:rsidR="00E56F30">
        <w:t xml:space="preserve"> </w:t>
      </w:r>
      <w:r w:rsidR="00846372">
        <w:t>should</w:t>
      </w:r>
      <w:r>
        <w:t xml:space="preserve"> supply only full packages </w:t>
      </w:r>
      <w:r w:rsidR="00846372">
        <w:t xml:space="preserve">of study drugs </w:t>
      </w:r>
      <w:r>
        <w:t xml:space="preserve">to the </w:t>
      </w:r>
      <w:r w:rsidR="00846372">
        <w:t>institution</w:t>
      </w:r>
      <w:r>
        <w:t xml:space="preserve"> pharmacy</w:t>
      </w:r>
      <w:r w:rsidR="00846372">
        <w:t>(</w:t>
      </w:r>
      <w:proofErr w:type="spellStart"/>
      <w:r w:rsidR="00846372">
        <w:t>ies</w:t>
      </w:r>
      <w:proofErr w:type="spellEnd"/>
      <w:r w:rsidR="00846372">
        <w:t>)</w:t>
      </w:r>
      <w:r>
        <w:t xml:space="preserve">. The </w:t>
      </w:r>
      <w:r w:rsidR="000123A1">
        <w:t>CMS</w:t>
      </w:r>
      <w:r w:rsidR="00E56F30">
        <w:t xml:space="preserve"> </w:t>
      </w:r>
      <w:r>
        <w:t>is not authorized to distribute open boxes of IPs.</w:t>
      </w:r>
      <w:r w:rsidR="0001663D">
        <w:t xml:space="preserve"> </w:t>
      </w:r>
    </w:p>
    <w:p w14:paraId="32258BD8" w14:textId="3D672684" w:rsidR="00480878" w:rsidRPr="00E41235" w:rsidRDefault="007340CD" w:rsidP="000E10F3">
      <w:pPr>
        <w:jc w:val="both"/>
      </w:pPr>
      <w:r>
        <w:rPr>
          <w:b/>
        </w:rPr>
        <w:t>Delegated S</w:t>
      </w:r>
      <w:r w:rsidRPr="000E10F3">
        <w:rPr>
          <w:b/>
        </w:rPr>
        <w:t xml:space="preserve">ite </w:t>
      </w:r>
      <w:r>
        <w:rPr>
          <w:b/>
        </w:rPr>
        <w:t xml:space="preserve">Pharmacist </w:t>
      </w:r>
      <w:r w:rsidR="00820D45" w:rsidRPr="000F5F9F">
        <w:rPr>
          <w:b/>
        </w:rPr>
        <w:t xml:space="preserve">in charge of the </w:t>
      </w:r>
      <w:r w:rsidR="000123A1">
        <w:rPr>
          <w:b/>
        </w:rPr>
        <w:t>CMS</w:t>
      </w:r>
      <w:r w:rsidR="00B92D04">
        <w:t xml:space="preserve"> </w:t>
      </w:r>
      <w:r w:rsidR="009F271F">
        <w:t xml:space="preserve">must </w:t>
      </w:r>
      <w:r w:rsidR="00903938">
        <w:t xml:space="preserve">deliver </w:t>
      </w:r>
      <w:r w:rsidR="009F271F">
        <w:t xml:space="preserve">the drugs supply to the </w:t>
      </w:r>
      <w:r w:rsidR="00903938">
        <w:t>institution</w:t>
      </w:r>
      <w:r w:rsidR="009F271F">
        <w:t xml:space="preserve"> pharmacy and </w:t>
      </w:r>
      <w:r w:rsidR="00903938">
        <w:rPr>
          <w:lang w:val="en-CA"/>
        </w:rPr>
        <w:t>verify the quantity of supplied study drugs against the quantity ordered on the Request and Supply Form</w:t>
      </w:r>
      <w:r w:rsidR="009F271F">
        <w:t xml:space="preserve"> with the </w:t>
      </w:r>
      <w:r w:rsidR="00903938">
        <w:t xml:space="preserve">site personnel in the institution </w:t>
      </w:r>
      <w:r w:rsidR="009F271F">
        <w:t>pharmacy.</w:t>
      </w:r>
      <w:r w:rsidR="00D719D8">
        <w:t xml:space="preserve"> In case of discrepancies</w:t>
      </w:r>
      <w:r w:rsidR="00903938">
        <w:t>,</w:t>
      </w:r>
      <w:r w:rsidR="00D719D8">
        <w:t xml:space="preserve"> the </w:t>
      </w:r>
      <w:r w:rsidR="00903938">
        <w:t>Request and Supply F</w:t>
      </w:r>
      <w:r w:rsidR="009F271F">
        <w:t xml:space="preserve">orm </w:t>
      </w:r>
      <w:r w:rsidR="00903938">
        <w:t>must</w:t>
      </w:r>
      <w:r w:rsidR="009F271F">
        <w:t xml:space="preserve"> be corrected on-site</w:t>
      </w:r>
      <w:r w:rsidR="00903938">
        <w:t xml:space="preserve"> with </w:t>
      </w:r>
      <w:r w:rsidR="0091479C">
        <w:t xml:space="preserve">the </w:t>
      </w:r>
      <w:r w:rsidR="00903938">
        <w:t>responsible personnel’s initials and date</w:t>
      </w:r>
      <w:r w:rsidR="00480878">
        <w:t xml:space="preserve"> (as detailed in </w:t>
      </w:r>
      <w:r w:rsidR="00480878" w:rsidRPr="00E41235">
        <w:t xml:space="preserve">SOP </w:t>
      </w:r>
      <w:r w:rsidR="00C228E1" w:rsidRPr="00E41235">
        <w:t>SM</w:t>
      </w:r>
      <w:r w:rsidR="00480878" w:rsidRPr="00E41235">
        <w:t>-</w:t>
      </w:r>
      <w:r w:rsidR="00C228E1" w:rsidRPr="00E41235">
        <w:t>002</w:t>
      </w:r>
      <w:r w:rsidR="00480878" w:rsidRPr="00E41235">
        <w:t xml:space="preserve">-CT </w:t>
      </w:r>
      <w:r w:rsidR="00C228E1" w:rsidRPr="00E41235">
        <w:t>Source Documentation</w:t>
      </w:r>
      <w:r w:rsidR="00086A32" w:rsidRPr="00E41235">
        <w:t>)</w:t>
      </w:r>
      <w:r w:rsidR="00480878" w:rsidRPr="00E41235">
        <w:t>.</w:t>
      </w:r>
    </w:p>
    <w:p w14:paraId="2C34264B" w14:textId="2BF76ED8" w:rsidR="009F271F" w:rsidRDefault="0091479C" w:rsidP="000E10F3">
      <w:pPr>
        <w:jc w:val="both"/>
      </w:pPr>
      <w:r>
        <w:t>The</w:t>
      </w:r>
      <w:r w:rsidR="009F271F">
        <w:t xml:space="preserve"> </w:t>
      </w:r>
      <w:r>
        <w:t>o</w:t>
      </w:r>
      <w:r w:rsidR="009F271F">
        <w:t xml:space="preserve">riginal </w:t>
      </w:r>
      <w:r>
        <w:t>r</w:t>
      </w:r>
      <w:r w:rsidR="00903938">
        <w:t>equest and Supply F</w:t>
      </w:r>
      <w:r w:rsidR="009F271F">
        <w:t xml:space="preserve">orm </w:t>
      </w:r>
      <w:r w:rsidR="00903938">
        <w:t xml:space="preserve">should be taken </w:t>
      </w:r>
      <w:r w:rsidR="009F271F">
        <w:t xml:space="preserve">back to the </w:t>
      </w:r>
      <w:r w:rsidR="000123A1">
        <w:t>CMS</w:t>
      </w:r>
      <w:r w:rsidR="00B92D04">
        <w:t xml:space="preserve"> </w:t>
      </w:r>
      <w:r w:rsidR="00903938">
        <w:t>for filing,</w:t>
      </w:r>
      <w:r w:rsidR="009F271F">
        <w:t xml:space="preserve"> and a copy </w:t>
      </w:r>
      <w:r w:rsidR="00903938">
        <w:t>should</w:t>
      </w:r>
      <w:r w:rsidR="009F271F">
        <w:t xml:space="preserve"> </w:t>
      </w:r>
      <w:r w:rsidR="00903938">
        <w:t>be retained</w:t>
      </w:r>
      <w:r w:rsidR="009F271F">
        <w:t xml:space="preserve"> at the </w:t>
      </w:r>
      <w:r w:rsidR="00903938">
        <w:t xml:space="preserve">institution </w:t>
      </w:r>
      <w:r w:rsidR="009F271F">
        <w:t>pharmacy.</w:t>
      </w:r>
    </w:p>
    <w:p w14:paraId="0D46EC22" w14:textId="22006B11" w:rsidR="00D7334D" w:rsidRDefault="00D7334D" w:rsidP="000E10F3">
      <w:pPr>
        <w:jc w:val="both"/>
      </w:pPr>
      <w:r>
        <w:t xml:space="preserve">As </w:t>
      </w:r>
      <w:r w:rsidR="00F36C81">
        <w:t>the Requ</w:t>
      </w:r>
      <w:r w:rsidR="002D236A">
        <w:t>est and Supply Form</w:t>
      </w:r>
      <w:r w:rsidR="00F36C81">
        <w:t xml:space="preserve"> is </w:t>
      </w:r>
      <w:r>
        <w:t xml:space="preserve">taken </w:t>
      </w:r>
      <w:r w:rsidR="00F36C81">
        <w:t xml:space="preserve">back </w:t>
      </w:r>
      <w:r>
        <w:t>to</w:t>
      </w:r>
      <w:r w:rsidR="00F36C81">
        <w:t xml:space="preserve"> </w:t>
      </w:r>
      <w:r w:rsidR="00D10EDB">
        <w:t xml:space="preserve">the </w:t>
      </w:r>
      <w:r w:rsidR="000123A1">
        <w:t>CMS</w:t>
      </w:r>
      <w:r>
        <w:t>, the distribution of study drugs is considered completed.</w:t>
      </w:r>
      <w:r w:rsidR="00F36C81">
        <w:t xml:space="preserve"> </w:t>
      </w:r>
      <w:r w:rsidR="007340CD">
        <w:rPr>
          <w:b/>
        </w:rPr>
        <w:t>Delegated S</w:t>
      </w:r>
      <w:r w:rsidR="007340CD" w:rsidRPr="000E10F3">
        <w:rPr>
          <w:b/>
        </w:rPr>
        <w:t xml:space="preserve">ite </w:t>
      </w:r>
      <w:r w:rsidR="007340CD">
        <w:rPr>
          <w:b/>
        </w:rPr>
        <w:t xml:space="preserve">Pharmacist </w:t>
      </w:r>
      <w:r w:rsidRPr="00F0621A">
        <w:rPr>
          <w:b/>
        </w:rPr>
        <w:t xml:space="preserve">in charge of the </w:t>
      </w:r>
      <w:r w:rsidR="000123A1">
        <w:rPr>
          <w:b/>
        </w:rPr>
        <w:t>CMS</w:t>
      </w:r>
      <w:r w:rsidR="00C665DB">
        <w:t xml:space="preserve"> </w:t>
      </w:r>
      <w:r w:rsidRPr="00F0621A">
        <w:rPr>
          <w:b/>
        </w:rPr>
        <w:t>and</w:t>
      </w:r>
      <w:r>
        <w:t xml:space="preserve"> </w:t>
      </w:r>
      <w:r w:rsidRPr="00F0621A">
        <w:rPr>
          <w:b/>
        </w:rPr>
        <w:t>institution pharmac</w:t>
      </w:r>
      <w:r w:rsidR="00E26DF3" w:rsidRPr="00F0621A">
        <w:rPr>
          <w:b/>
        </w:rPr>
        <w:t>y</w:t>
      </w:r>
      <w:r>
        <w:t xml:space="preserve"> should document the IP supply as below: </w:t>
      </w:r>
    </w:p>
    <w:p w14:paraId="405D557F" w14:textId="24236C27" w:rsidR="00D7334D" w:rsidRDefault="00D7334D" w:rsidP="00884A11">
      <w:pPr>
        <w:pStyle w:val="ListParagraph"/>
        <w:numPr>
          <w:ilvl w:val="0"/>
          <w:numId w:val="3"/>
        </w:numPr>
        <w:jc w:val="both"/>
      </w:pPr>
      <w:r w:rsidRPr="00F0621A">
        <w:rPr>
          <w:b/>
        </w:rPr>
        <w:t xml:space="preserve">Responsible </w:t>
      </w:r>
      <w:r w:rsidR="000123A1">
        <w:rPr>
          <w:b/>
        </w:rPr>
        <w:t>CMS</w:t>
      </w:r>
      <w:r w:rsidR="00B92D04" w:rsidRPr="00F0621A">
        <w:rPr>
          <w:b/>
        </w:rPr>
        <w:t xml:space="preserve"> </w:t>
      </w:r>
      <w:r w:rsidRPr="00F0621A">
        <w:rPr>
          <w:b/>
        </w:rPr>
        <w:t>personnel</w:t>
      </w:r>
      <w:r>
        <w:t xml:space="preserve"> should </w:t>
      </w:r>
      <w:r w:rsidR="00F36C81">
        <w:t xml:space="preserve">record the quantities distributed </w:t>
      </w:r>
      <w:r>
        <w:t xml:space="preserve">in the “OUT” column </w:t>
      </w:r>
      <w:r w:rsidR="009A6EC5">
        <w:t>o</w:t>
      </w:r>
      <w:r>
        <w:t>n</w:t>
      </w:r>
      <w:r w:rsidR="00F36C81">
        <w:t xml:space="preserve"> </w:t>
      </w:r>
      <w:r w:rsidR="00F0621A">
        <w:t>the</w:t>
      </w:r>
      <w:r w:rsidR="00F36C81">
        <w:t xml:space="preserve"> </w:t>
      </w:r>
      <w:r w:rsidR="00477A77">
        <w:t>“Drug Global A</w:t>
      </w:r>
      <w:r w:rsidR="00F36C81">
        <w:t xml:space="preserve">ccountability </w:t>
      </w:r>
      <w:r>
        <w:t>Log</w:t>
      </w:r>
      <w:r w:rsidR="00477A77">
        <w:t>”</w:t>
      </w:r>
      <w:r>
        <w:t xml:space="preserve"> of the </w:t>
      </w:r>
      <w:r w:rsidR="000123A1">
        <w:t>CMS.</w:t>
      </w:r>
      <w:r w:rsidR="00B92D04">
        <w:t xml:space="preserve"> </w:t>
      </w:r>
    </w:p>
    <w:p w14:paraId="2769D423" w14:textId="5F17719D" w:rsidR="00D7334D" w:rsidRDefault="00D7334D" w:rsidP="00884A11">
      <w:pPr>
        <w:pStyle w:val="ListParagraph"/>
        <w:numPr>
          <w:ilvl w:val="0"/>
          <w:numId w:val="3"/>
        </w:numPr>
        <w:jc w:val="both"/>
      </w:pPr>
      <w:r w:rsidRPr="00F0621A">
        <w:rPr>
          <w:b/>
        </w:rPr>
        <w:t>Responsible</w:t>
      </w:r>
      <w:r w:rsidR="009F271F" w:rsidRPr="00F0621A">
        <w:rPr>
          <w:b/>
        </w:rPr>
        <w:t xml:space="preserve"> </w:t>
      </w:r>
      <w:r w:rsidRPr="00F0621A">
        <w:rPr>
          <w:b/>
        </w:rPr>
        <w:t xml:space="preserve">institution </w:t>
      </w:r>
      <w:r w:rsidR="009F271F" w:rsidRPr="00F0621A">
        <w:rPr>
          <w:b/>
        </w:rPr>
        <w:t xml:space="preserve">pharmacy </w:t>
      </w:r>
      <w:r w:rsidRPr="00F0621A">
        <w:rPr>
          <w:b/>
        </w:rPr>
        <w:t>personnel</w:t>
      </w:r>
      <w:r>
        <w:t xml:space="preserve"> should</w:t>
      </w:r>
      <w:r w:rsidR="009F271F">
        <w:t xml:space="preserve"> record </w:t>
      </w:r>
      <w:r w:rsidR="00D10EDB">
        <w:t xml:space="preserve">the quantities received </w:t>
      </w:r>
      <w:r>
        <w:t xml:space="preserve">in the “IN” column </w:t>
      </w:r>
      <w:r w:rsidR="009A6EC5">
        <w:t>o</w:t>
      </w:r>
      <w:r>
        <w:t>n the</w:t>
      </w:r>
      <w:r w:rsidR="00D10EDB">
        <w:t xml:space="preserve"> “</w:t>
      </w:r>
      <w:r w:rsidR="009F271F">
        <w:t>Drug Global Accountability L</w:t>
      </w:r>
      <w:r>
        <w:t>og</w:t>
      </w:r>
      <w:r w:rsidR="009F271F">
        <w:t>”</w:t>
      </w:r>
      <w:r>
        <w:t xml:space="preserve"> of the institution pharmacy</w:t>
      </w:r>
      <w:r w:rsidR="00F36C81">
        <w:t>.</w:t>
      </w:r>
      <w:r w:rsidR="00D10EDB">
        <w:t xml:space="preserve"> </w:t>
      </w:r>
    </w:p>
    <w:p w14:paraId="01F62CC9" w14:textId="216E8A59" w:rsidR="00C47DBB" w:rsidRDefault="00C85584" w:rsidP="00884A11">
      <w:pPr>
        <w:pStyle w:val="ListParagraph"/>
        <w:numPr>
          <w:ilvl w:val="0"/>
          <w:numId w:val="3"/>
        </w:numPr>
        <w:jc w:val="both"/>
      </w:pPr>
      <w:r w:rsidRPr="00F0621A">
        <w:rPr>
          <w:b/>
        </w:rPr>
        <w:t>C</w:t>
      </w:r>
      <w:r w:rsidR="00D10EDB" w:rsidRPr="00F0621A">
        <w:rPr>
          <w:b/>
        </w:rPr>
        <w:t xml:space="preserve">entral and </w:t>
      </w:r>
      <w:r w:rsidRPr="00F0621A">
        <w:rPr>
          <w:b/>
        </w:rPr>
        <w:t>institution</w:t>
      </w:r>
      <w:r w:rsidR="00D10EDB" w:rsidRPr="00F0621A">
        <w:rPr>
          <w:b/>
        </w:rPr>
        <w:t xml:space="preserve"> pharmacies</w:t>
      </w:r>
      <w:r w:rsidR="00D10EDB">
        <w:t xml:space="preserve"> </w:t>
      </w:r>
      <w:r w:rsidR="00D7334D">
        <w:t>should maintain</w:t>
      </w:r>
      <w:r w:rsidR="00D10EDB">
        <w:t xml:space="preserve"> their </w:t>
      </w:r>
      <w:r w:rsidR="00A26470">
        <w:t>separate</w:t>
      </w:r>
      <w:r w:rsidR="00D10EDB">
        <w:t xml:space="preserve"> “Drug global Accountability L</w:t>
      </w:r>
      <w:r w:rsidR="00D7334D">
        <w:t>ogs</w:t>
      </w:r>
      <w:r w:rsidR="00D10EDB">
        <w:t>”</w:t>
      </w:r>
      <w:r>
        <w:t xml:space="preserve"> in their own </w:t>
      </w:r>
      <w:r w:rsidR="00D7334D">
        <w:t>Pharmacy Site Files</w:t>
      </w:r>
      <w:r w:rsidR="00D10EDB">
        <w:t>.</w:t>
      </w:r>
    </w:p>
    <w:p w14:paraId="0D2AB486" w14:textId="5D274089" w:rsidR="009F271F" w:rsidRDefault="009F271F" w:rsidP="000E10F3">
      <w:pPr>
        <w:pStyle w:val="Heading4"/>
        <w:rPr>
          <w:rStyle w:val="SubtleEmphasis"/>
          <w:b w:val="0"/>
          <w:color w:val="auto"/>
        </w:rPr>
      </w:pPr>
      <w:r w:rsidRPr="00B20CED">
        <w:rPr>
          <w:rStyle w:val="SubtleEmphasis"/>
          <w:b w:val="0"/>
          <w:color w:val="auto"/>
        </w:rPr>
        <w:t xml:space="preserve">From </w:t>
      </w:r>
      <w:r w:rsidR="008A49E5" w:rsidRPr="00B20CED">
        <w:rPr>
          <w:rStyle w:val="SubtleEmphasis"/>
          <w:b w:val="0"/>
          <w:color w:val="auto"/>
        </w:rPr>
        <w:t>Institution</w:t>
      </w:r>
      <w:r w:rsidR="00B20CED" w:rsidRPr="00B20CED">
        <w:rPr>
          <w:rStyle w:val="SubtleEmphasis"/>
          <w:b w:val="0"/>
          <w:color w:val="auto"/>
        </w:rPr>
        <w:t xml:space="preserve"> </w:t>
      </w:r>
      <w:r w:rsidR="00E14074" w:rsidRPr="00B20CED">
        <w:rPr>
          <w:rStyle w:val="SubtleEmphasis"/>
          <w:b w:val="0"/>
          <w:color w:val="auto"/>
        </w:rPr>
        <w:t>P</w:t>
      </w:r>
      <w:r w:rsidRPr="00B20CED">
        <w:rPr>
          <w:rStyle w:val="SubtleEmphasis"/>
          <w:b w:val="0"/>
          <w:color w:val="auto"/>
        </w:rPr>
        <w:t xml:space="preserve">harmacy to </w:t>
      </w:r>
      <w:r w:rsidR="00E14074" w:rsidRPr="00B20CED">
        <w:rPr>
          <w:rStyle w:val="SubtleEmphasis"/>
          <w:b w:val="0"/>
          <w:color w:val="auto"/>
        </w:rPr>
        <w:t>W</w:t>
      </w:r>
      <w:r w:rsidRPr="00B20CED">
        <w:rPr>
          <w:rStyle w:val="SubtleEmphasis"/>
          <w:b w:val="0"/>
          <w:color w:val="auto"/>
        </w:rPr>
        <w:t>ards and DOT</w:t>
      </w:r>
      <w:r w:rsidR="00E14074" w:rsidRPr="00B20CED">
        <w:rPr>
          <w:rStyle w:val="SubtleEmphasis"/>
          <w:b w:val="0"/>
          <w:color w:val="auto"/>
        </w:rPr>
        <w:t xml:space="preserve"> C</w:t>
      </w:r>
      <w:r w:rsidRPr="00B20CED">
        <w:rPr>
          <w:rStyle w:val="SubtleEmphasis"/>
          <w:b w:val="0"/>
          <w:color w:val="auto"/>
        </w:rPr>
        <w:t>orners</w:t>
      </w:r>
    </w:p>
    <w:p w14:paraId="45E3BE4E" w14:textId="77777777" w:rsidR="00E26DF3" w:rsidRPr="00E26DF3" w:rsidRDefault="00E26DF3" w:rsidP="00E26DF3">
      <w:pPr>
        <w:spacing w:after="0"/>
      </w:pPr>
    </w:p>
    <w:p w14:paraId="449224B5" w14:textId="46F28665" w:rsidR="009A6EC5" w:rsidRDefault="007340CD" w:rsidP="000E10F3">
      <w:pPr>
        <w:jc w:val="both"/>
      </w:pPr>
      <w:r>
        <w:rPr>
          <w:b/>
        </w:rPr>
        <w:t>Delegated R</w:t>
      </w:r>
      <w:r w:rsidRPr="000E10F3">
        <w:rPr>
          <w:b/>
        </w:rPr>
        <w:t>esponsible nurses or study personnel in the ward and/or the DOT corners</w:t>
      </w:r>
      <w:r w:rsidRPr="00F0621A">
        <w:t xml:space="preserve"> </w:t>
      </w:r>
      <w:r w:rsidR="00F819B0" w:rsidRPr="00F0621A">
        <w:t>at</w:t>
      </w:r>
      <w:r w:rsidR="00F819B0">
        <w:rPr>
          <w:b/>
        </w:rPr>
        <w:t xml:space="preserve"> </w:t>
      </w:r>
      <w:r w:rsidR="00F819B0">
        <w:t>t</w:t>
      </w:r>
      <w:r w:rsidR="00645A38">
        <w:t xml:space="preserve">he </w:t>
      </w:r>
      <w:r w:rsidR="00F819B0">
        <w:t xml:space="preserve">designated </w:t>
      </w:r>
      <w:r w:rsidR="00645A38">
        <w:t>ward</w:t>
      </w:r>
      <w:r w:rsidR="00F819B0">
        <w:t>s</w:t>
      </w:r>
      <w:r w:rsidR="00645A38">
        <w:t xml:space="preserve"> and/or DOT corner</w:t>
      </w:r>
      <w:r w:rsidR="00F819B0">
        <w:t>s</w:t>
      </w:r>
      <w:r w:rsidR="00645A38">
        <w:t xml:space="preserve"> </w:t>
      </w:r>
      <w:r w:rsidR="00F819B0">
        <w:t>must</w:t>
      </w:r>
      <w:r w:rsidR="00645A38">
        <w:t xml:space="preserve"> use the </w:t>
      </w:r>
      <w:r w:rsidR="00477A77">
        <w:t>Request and Supply Form</w:t>
      </w:r>
      <w:r w:rsidR="00645A38">
        <w:t xml:space="preserve"> to </w:t>
      </w:r>
      <w:r w:rsidR="00477A77">
        <w:t>order drugs</w:t>
      </w:r>
      <w:r w:rsidR="00645A38">
        <w:t xml:space="preserve"> </w:t>
      </w:r>
      <w:r w:rsidR="00477A77">
        <w:t>from the</w:t>
      </w:r>
      <w:r w:rsidR="00D719DF">
        <w:t xml:space="preserve"> supervising</w:t>
      </w:r>
      <w:r w:rsidR="00477A77">
        <w:t xml:space="preserve"> </w:t>
      </w:r>
      <w:r w:rsidR="00F819B0">
        <w:t>institution</w:t>
      </w:r>
      <w:r w:rsidR="00645A38">
        <w:t xml:space="preserve"> pharmacy. </w:t>
      </w:r>
      <w:r w:rsidR="00A672A5">
        <w:rPr>
          <w:b/>
        </w:rPr>
        <w:t>Delegated S</w:t>
      </w:r>
      <w:r w:rsidR="00A672A5" w:rsidRPr="000E10F3">
        <w:rPr>
          <w:b/>
        </w:rPr>
        <w:t xml:space="preserve">ite </w:t>
      </w:r>
      <w:r w:rsidR="00A672A5">
        <w:rPr>
          <w:b/>
        </w:rPr>
        <w:t>Pharmacist</w:t>
      </w:r>
      <w:r w:rsidR="00A672A5" w:rsidRPr="00903938">
        <w:rPr>
          <w:b/>
          <w:lang w:val="en-CA"/>
        </w:rPr>
        <w:t xml:space="preserve"> </w:t>
      </w:r>
      <w:r w:rsidR="00A672A5" w:rsidRPr="000F5F9F">
        <w:rPr>
          <w:b/>
        </w:rPr>
        <w:t>in charge of institution pharmacy</w:t>
      </w:r>
      <w:r w:rsidR="00A672A5">
        <w:t xml:space="preserve"> </w:t>
      </w:r>
      <w:r w:rsidR="00645A38">
        <w:t>will</w:t>
      </w:r>
      <w:r w:rsidR="002A4BD3">
        <w:t xml:space="preserve"> review the accuracy of the order, prepare the supply, fill the </w:t>
      </w:r>
      <w:r w:rsidR="00477A77">
        <w:t xml:space="preserve">form </w:t>
      </w:r>
      <w:r w:rsidR="00D719DF">
        <w:t xml:space="preserve">with </w:t>
      </w:r>
      <w:r w:rsidR="00477A77">
        <w:t>quantity supplied, batch number and expiry date</w:t>
      </w:r>
      <w:r w:rsidR="00D719DF">
        <w:t>,</w:t>
      </w:r>
      <w:r w:rsidR="00477A77">
        <w:t xml:space="preserve"> </w:t>
      </w:r>
      <w:r w:rsidR="002A4BD3">
        <w:t xml:space="preserve">and </w:t>
      </w:r>
      <w:r w:rsidR="00D719DF">
        <w:t>deliver</w:t>
      </w:r>
      <w:r w:rsidR="002A4BD3">
        <w:t xml:space="preserve"> the supply to the ward</w:t>
      </w:r>
      <w:r w:rsidR="009A6EC5">
        <w:t>s</w:t>
      </w:r>
      <w:r w:rsidR="002A4BD3">
        <w:t>/DOT corner</w:t>
      </w:r>
      <w:r w:rsidR="009A6EC5">
        <w:t>s</w:t>
      </w:r>
      <w:r w:rsidR="00924A90">
        <w:t>. Upon delivery,</w:t>
      </w:r>
      <w:r w:rsidR="0091479C">
        <w:t xml:space="preserve"> the </w:t>
      </w:r>
      <w:r w:rsidR="00A672A5">
        <w:rPr>
          <w:b/>
        </w:rPr>
        <w:t>delegated S</w:t>
      </w:r>
      <w:r w:rsidR="00A672A5" w:rsidRPr="000E10F3">
        <w:rPr>
          <w:b/>
        </w:rPr>
        <w:t xml:space="preserve">ite </w:t>
      </w:r>
      <w:r w:rsidR="00A672A5">
        <w:rPr>
          <w:b/>
        </w:rPr>
        <w:t>Pharmacist</w:t>
      </w:r>
      <w:r w:rsidR="00A672A5" w:rsidRPr="00903938">
        <w:rPr>
          <w:b/>
          <w:lang w:val="en-CA"/>
        </w:rPr>
        <w:t xml:space="preserve"> </w:t>
      </w:r>
      <w:r w:rsidR="00A672A5" w:rsidRPr="000F5F9F">
        <w:rPr>
          <w:b/>
        </w:rPr>
        <w:t>in charge of institution pharmacy</w:t>
      </w:r>
      <w:r w:rsidR="00924A90">
        <w:t xml:space="preserve"> and </w:t>
      </w:r>
      <w:r w:rsidR="00924A90" w:rsidRPr="00F0621A">
        <w:rPr>
          <w:b/>
        </w:rPr>
        <w:t>the</w:t>
      </w:r>
      <w:r w:rsidR="0091479C" w:rsidRPr="00F0621A">
        <w:rPr>
          <w:b/>
        </w:rPr>
        <w:t xml:space="preserve"> responsible </w:t>
      </w:r>
      <w:r w:rsidR="00A672A5" w:rsidRPr="000E10F3">
        <w:rPr>
          <w:b/>
        </w:rPr>
        <w:t>nurses or study personnel in the ward and/or the DOT corners</w:t>
      </w:r>
      <w:r w:rsidR="00924A90">
        <w:t xml:space="preserve"> should verify the </w:t>
      </w:r>
      <w:r w:rsidR="00924A90">
        <w:rPr>
          <w:lang w:val="en-CA"/>
        </w:rPr>
        <w:t>quantity of supplied study drugs against the quantity ordered on the Request and Supply Form</w:t>
      </w:r>
      <w:r w:rsidR="00924A90">
        <w:t>.</w:t>
      </w:r>
      <w:r w:rsidR="00B3377B">
        <w:t xml:space="preserve"> A copy </w:t>
      </w:r>
      <w:r w:rsidR="009A6EC5">
        <w:t>of the Request and Supply Form should be retained at</w:t>
      </w:r>
      <w:r w:rsidR="00CD6A94">
        <w:t xml:space="preserve"> the ward</w:t>
      </w:r>
      <w:r w:rsidR="009A6EC5">
        <w:t>s</w:t>
      </w:r>
      <w:r w:rsidR="00CD6A94">
        <w:t xml:space="preserve">/DOT </w:t>
      </w:r>
      <w:r w:rsidR="00B3377B">
        <w:t>corner</w:t>
      </w:r>
      <w:r w:rsidR="009A6EC5">
        <w:t>s.</w:t>
      </w:r>
      <w:r w:rsidR="00B3377B">
        <w:t xml:space="preserve"> </w:t>
      </w:r>
    </w:p>
    <w:p w14:paraId="72536F9A" w14:textId="4B10AF76" w:rsidR="0078382B" w:rsidRDefault="0078382B" w:rsidP="000E10F3">
      <w:pPr>
        <w:jc w:val="both"/>
      </w:pPr>
      <w:r>
        <w:t xml:space="preserve">In some cases, </w:t>
      </w:r>
      <w:r w:rsidR="00A672A5">
        <w:rPr>
          <w:b/>
        </w:rPr>
        <w:t>r</w:t>
      </w:r>
      <w:r w:rsidRPr="000F5F9F">
        <w:rPr>
          <w:b/>
        </w:rPr>
        <w:t>esponsible nurses or study personnel in the ward and/or the DOT corners</w:t>
      </w:r>
      <w:r w:rsidDel="009463FF">
        <w:rPr>
          <w:b/>
        </w:rPr>
        <w:t xml:space="preserve"> </w:t>
      </w:r>
      <w:r w:rsidRPr="00AF3E22">
        <w:t>can collect medicines directly form the institution pharmacy</w:t>
      </w:r>
      <w:r>
        <w:t>.</w:t>
      </w:r>
      <w:r w:rsidRPr="0078382B">
        <w:t xml:space="preserve"> </w:t>
      </w:r>
      <w:r w:rsidRPr="000F5F9F">
        <w:rPr>
          <w:b/>
        </w:rPr>
        <w:t>Responsible nurses or study personnel in the ward and/or the DOT corners</w:t>
      </w:r>
      <w:r w:rsidDel="009463FF">
        <w:rPr>
          <w:b/>
        </w:rPr>
        <w:t xml:space="preserve"> </w:t>
      </w:r>
      <w:r>
        <w:t xml:space="preserve">should verify the </w:t>
      </w:r>
      <w:r>
        <w:rPr>
          <w:lang w:val="en-CA"/>
        </w:rPr>
        <w:t>quantity of supplied study drugs against the quantity ordered on the Request and Supply Form</w:t>
      </w:r>
      <w:r>
        <w:t xml:space="preserve">. A copy of the Request and Supply Form should be retained at the wards/DOT corners. </w:t>
      </w:r>
    </w:p>
    <w:p w14:paraId="7A4D35CB" w14:textId="17B0B62D" w:rsidR="00CD6A94" w:rsidRDefault="00A672A5" w:rsidP="000E10F3">
      <w:pPr>
        <w:jc w:val="both"/>
      </w:pPr>
      <w:r>
        <w:rPr>
          <w:b/>
        </w:rPr>
        <w:lastRenderedPageBreak/>
        <w:t>Delegated S</w:t>
      </w:r>
      <w:r w:rsidRPr="000E10F3">
        <w:rPr>
          <w:b/>
        </w:rPr>
        <w:t xml:space="preserve">ite </w:t>
      </w:r>
      <w:r>
        <w:rPr>
          <w:b/>
        </w:rPr>
        <w:t>Pharmacist</w:t>
      </w:r>
      <w:r w:rsidRPr="00903938">
        <w:rPr>
          <w:b/>
          <w:lang w:val="en-CA"/>
        </w:rPr>
        <w:t xml:space="preserve"> </w:t>
      </w:r>
      <w:r w:rsidRPr="000F5F9F">
        <w:rPr>
          <w:b/>
        </w:rPr>
        <w:t>in charge of institution pharmacy</w:t>
      </w:r>
      <w:r>
        <w:t xml:space="preserve"> </w:t>
      </w:r>
      <w:r w:rsidR="009A6EC5">
        <w:t xml:space="preserve">should </w:t>
      </w:r>
      <w:r w:rsidR="0078382B">
        <w:t xml:space="preserve">keep </w:t>
      </w:r>
      <w:r w:rsidR="00CD6A94">
        <w:t>the original R</w:t>
      </w:r>
      <w:r w:rsidR="00D22AC3">
        <w:t>equest and Supply Form</w:t>
      </w:r>
      <w:r w:rsidR="0078382B">
        <w:t xml:space="preserve"> at</w:t>
      </w:r>
      <w:r w:rsidR="00CD6A94">
        <w:t xml:space="preserve"> the </w:t>
      </w:r>
      <w:r w:rsidR="009A6EC5">
        <w:t>institution</w:t>
      </w:r>
      <w:r w:rsidR="00CD6A94">
        <w:t xml:space="preserve"> pharmacy</w:t>
      </w:r>
      <w:r w:rsidR="009A6EC5">
        <w:t>,</w:t>
      </w:r>
      <w:r w:rsidR="00CD6A94">
        <w:t xml:space="preserve"> </w:t>
      </w:r>
      <w:r w:rsidR="00D22AC3">
        <w:t xml:space="preserve">record </w:t>
      </w:r>
      <w:r w:rsidR="009A6EC5">
        <w:t>the quantity supplied in the “OUT” column on</w:t>
      </w:r>
      <w:r w:rsidR="00D22AC3">
        <w:t xml:space="preserve"> the “Drug Global Accountability L</w:t>
      </w:r>
      <w:r w:rsidR="009A6EC5">
        <w:t>og</w:t>
      </w:r>
      <w:r w:rsidR="00D22AC3">
        <w:t>”</w:t>
      </w:r>
      <w:r w:rsidR="009A6EC5">
        <w:t xml:space="preserve"> of the institution pharmacy</w:t>
      </w:r>
      <w:r w:rsidR="008F5A57">
        <w:t xml:space="preserve"> </w:t>
      </w:r>
      <w:r w:rsidR="00D22AC3">
        <w:t>(see 5.4</w:t>
      </w:r>
      <w:r w:rsidR="00EE0E4B">
        <w:t>.1.</w:t>
      </w:r>
      <w:r w:rsidR="00D22AC3">
        <w:t xml:space="preserve">) and </w:t>
      </w:r>
      <w:r w:rsidR="008F5A57">
        <w:t>file all documents</w:t>
      </w:r>
      <w:r w:rsidR="00CD6A94">
        <w:t xml:space="preserve"> in </w:t>
      </w:r>
      <w:r w:rsidR="008F5A57">
        <w:t>the Pharmacy Site Files</w:t>
      </w:r>
      <w:r w:rsidR="00F0621A">
        <w:t>.</w:t>
      </w:r>
    </w:p>
    <w:p w14:paraId="62CAFA14" w14:textId="1A2C766D" w:rsidR="003666C2" w:rsidRDefault="003666C2" w:rsidP="001D12E2">
      <w:pPr>
        <w:pStyle w:val="Heading4"/>
        <w:ind w:left="1440"/>
        <w:rPr>
          <w:rStyle w:val="SubtleEmphasis"/>
          <w:b w:val="0"/>
          <w:color w:val="auto"/>
        </w:rPr>
      </w:pPr>
      <w:r w:rsidRPr="003666C2">
        <w:rPr>
          <w:rStyle w:val="SubtleEmphasis"/>
          <w:b w:val="0"/>
          <w:color w:val="auto"/>
        </w:rPr>
        <w:t xml:space="preserve">From </w:t>
      </w:r>
      <w:r w:rsidR="000123A1">
        <w:rPr>
          <w:rStyle w:val="SubtleEmphasis"/>
          <w:b w:val="0"/>
          <w:color w:val="auto"/>
        </w:rPr>
        <w:t>CMS</w:t>
      </w:r>
      <w:r w:rsidRPr="003666C2">
        <w:rPr>
          <w:rStyle w:val="SubtleEmphasis"/>
          <w:b w:val="0"/>
          <w:color w:val="auto"/>
        </w:rPr>
        <w:t xml:space="preserve"> to dispensary pharmacy</w:t>
      </w:r>
    </w:p>
    <w:p w14:paraId="14AB54E3" w14:textId="5DB06B33" w:rsidR="004C266E" w:rsidRPr="004C266E" w:rsidRDefault="004C266E" w:rsidP="004C266E">
      <w:pPr>
        <w:spacing w:after="0"/>
      </w:pPr>
    </w:p>
    <w:p w14:paraId="3F9F7151" w14:textId="10CD686E" w:rsidR="003666C2" w:rsidRDefault="003666C2" w:rsidP="003666C2">
      <w:pPr>
        <w:jc w:val="both"/>
      </w:pPr>
      <w:r>
        <w:t xml:space="preserve">In case there is no institution pharmacy and as the </w:t>
      </w:r>
      <w:r w:rsidR="000123A1">
        <w:t>CMS</w:t>
      </w:r>
      <w:r>
        <w:t xml:space="preserve"> should supply only full packages of study drugs, the CMS will distribute full and sealed boxes to a dispensary pharmacy where IP boxes can be opened for further dispensing through preparation of Blister Pack or kits. </w:t>
      </w:r>
      <w:r w:rsidR="004C266E">
        <w:t>At</w:t>
      </w:r>
      <w:r>
        <w:t xml:space="preserve"> the endTB sites where there is a dispensary pharmacy, the latter is always located in the same room than the CMS and managed by the same delegated phar</w:t>
      </w:r>
      <w:r w:rsidR="004D596D">
        <w:t xml:space="preserve">macy staff. Therefore, </w:t>
      </w:r>
      <w:r>
        <w:t xml:space="preserve">movement of stock are simply recorded in the Drug Global Accountability log (of the CMS) and dispensation log (of the dispensary pharmacy). There is no need to complete a supply and request form.  </w:t>
      </w:r>
    </w:p>
    <w:p w14:paraId="44A6CD2A" w14:textId="00832EC8" w:rsidR="5CCF5164" w:rsidRDefault="5CCF5164" w:rsidP="00CB69B1">
      <w:pPr>
        <w:pStyle w:val="Heading4"/>
        <w:ind w:left="1440"/>
        <w:rPr>
          <w:rStyle w:val="SubtleEmphasis"/>
          <w:b w:val="0"/>
          <w:color w:val="auto"/>
        </w:rPr>
      </w:pPr>
      <w:r w:rsidRPr="00CB69B1">
        <w:rPr>
          <w:rStyle w:val="SubtleEmphasis"/>
          <w:b w:val="0"/>
          <w:color w:val="auto"/>
        </w:rPr>
        <w:t xml:space="preserve"> </w:t>
      </w:r>
      <w:r w:rsidR="3727ADF5" w:rsidRPr="00CB69B1">
        <w:rPr>
          <w:rStyle w:val="SubtleEmphasis"/>
          <w:b w:val="0"/>
          <w:color w:val="auto"/>
        </w:rPr>
        <w:t>Distribution of IPs from one site to the other</w:t>
      </w:r>
    </w:p>
    <w:p w14:paraId="43A66AF9" w14:textId="77777777" w:rsidR="00CB69B1" w:rsidRPr="00CB69B1" w:rsidRDefault="00CB69B1" w:rsidP="00CB69B1">
      <w:pPr>
        <w:spacing w:after="0"/>
      </w:pPr>
    </w:p>
    <w:p w14:paraId="39639BD4" w14:textId="651BA1F2" w:rsidR="3727ADF5" w:rsidRDefault="3727ADF5" w:rsidP="42FDBA3E">
      <w:pPr>
        <w:jc w:val="both"/>
      </w:pPr>
      <w:r w:rsidRPr="4270C733">
        <w:rPr>
          <w:rFonts w:eastAsia="Calibri"/>
          <w:color w:val="000000" w:themeColor="text1"/>
        </w:rPr>
        <w:t>When movement between</w:t>
      </w:r>
      <w:r w:rsidR="4161AFB4" w:rsidRPr="4270C733">
        <w:rPr>
          <w:rFonts w:eastAsia="Calibri"/>
          <w:color w:val="000000" w:themeColor="text1"/>
        </w:rPr>
        <w:t xml:space="preserve"> t</w:t>
      </w:r>
      <w:r w:rsidRPr="4270C733">
        <w:rPr>
          <w:rFonts w:eastAsia="Calibri"/>
          <w:color w:val="000000" w:themeColor="text1"/>
        </w:rPr>
        <w:t xml:space="preserve">wo sites is </w:t>
      </w:r>
      <w:r w:rsidR="00CB69B1" w:rsidRPr="4270C733">
        <w:rPr>
          <w:rFonts w:eastAsia="Calibri"/>
          <w:color w:val="000000" w:themeColor="text1"/>
        </w:rPr>
        <w:t xml:space="preserve">authorized and </w:t>
      </w:r>
      <w:r w:rsidRPr="4270C733">
        <w:rPr>
          <w:rFonts w:eastAsia="Calibri"/>
          <w:color w:val="000000" w:themeColor="text1"/>
        </w:rPr>
        <w:t xml:space="preserve">required, </w:t>
      </w:r>
      <w:r w:rsidR="004D596D">
        <w:rPr>
          <w:rFonts w:eastAsia="Calibri"/>
          <w:color w:val="000000" w:themeColor="text1"/>
        </w:rPr>
        <w:t>an IP Request and Supply Form (A</w:t>
      </w:r>
      <w:r w:rsidRPr="4270C733">
        <w:rPr>
          <w:rFonts w:eastAsia="Calibri"/>
          <w:color w:val="000000" w:themeColor="text1"/>
        </w:rPr>
        <w:t>ppendix A1) must be completed by the IPs ordering site</w:t>
      </w:r>
      <w:r w:rsidR="00CB69B1" w:rsidRPr="4270C733">
        <w:rPr>
          <w:rFonts w:eastAsia="Calibri"/>
          <w:color w:val="000000" w:themeColor="text1"/>
        </w:rPr>
        <w:t xml:space="preserve"> </w:t>
      </w:r>
      <w:r w:rsidRPr="4270C733">
        <w:rPr>
          <w:rFonts w:eastAsia="Calibri"/>
          <w:color w:val="000000" w:themeColor="text1"/>
        </w:rPr>
        <w:t xml:space="preserve">and sent to the IPs sending site. </w:t>
      </w:r>
    </w:p>
    <w:p w14:paraId="3EC784A6" w14:textId="0FF30F6A" w:rsidR="3727ADF5" w:rsidRDefault="3727ADF5" w:rsidP="42FDBA3E">
      <w:pPr>
        <w:jc w:val="both"/>
      </w:pPr>
      <w:r w:rsidRPr="42FDBA3E">
        <w:rPr>
          <w:rFonts w:eastAsia="Calibri"/>
          <w:b/>
          <w:bCs/>
          <w:color w:val="000000" w:themeColor="text1"/>
        </w:rPr>
        <w:t xml:space="preserve">Delegated study pharmacy personnel in charge of the </w:t>
      </w:r>
      <w:r w:rsidR="00503946">
        <w:rPr>
          <w:rFonts w:eastAsia="Calibri"/>
          <w:b/>
          <w:bCs/>
          <w:color w:val="000000" w:themeColor="text1"/>
        </w:rPr>
        <w:t>CMS</w:t>
      </w:r>
      <w:r w:rsidRPr="42FDBA3E">
        <w:rPr>
          <w:rFonts w:eastAsia="Calibri"/>
          <w:b/>
          <w:bCs/>
          <w:color w:val="000000" w:themeColor="text1"/>
        </w:rPr>
        <w:t xml:space="preserve"> of the IPs sending site </w:t>
      </w:r>
      <w:r w:rsidRPr="42FDBA3E">
        <w:rPr>
          <w:rFonts w:eastAsia="Calibri"/>
          <w:color w:val="000000" w:themeColor="text1"/>
        </w:rPr>
        <w:t xml:space="preserve">will pack the quantities in isothermal boxes with log tag or data logger to monitor temperature. Transport of the IPs will be organized in a temperature-maintained vehicle. This movement will be recorded in the Drug Global Accountability log of the </w:t>
      </w:r>
      <w:r w:rsidR="00503946">
        <w:rPr>
          <w:rFonts w:eastAsia="Calibri"/>
          <w:color w:val="000000" w:themeColor="text1"/>
        </w:rPr>
        <w:t>CMS</w:t>
      </w:r>
      <w:r w:rsidRPr="42FDBA3E">
        <w:rPr>
          <w:rFonts w:eastAsia="Calibri"/>
          <w:color w:val="000000" w:themeColor="text1"/>
        </w:rPr>
        <w:t xml:space="preserve"> as reported below.</w:t>
      </w:r>
    </w:p>
    <w:p w14:paraId="5C630140" w14:textId="011641C6" w:rsidR="3727ADF5" w:rsidRDefault="3727ADF5" w:rsidP="42FDBA3E">
      <w:pPr>
        <w:jc w:val="both"/>
      </w:pPr>
      <w:r w:rsidRPr="42FDBA3E">
        <w:rPr>
          <w:rFonts w:eastAsia="Calibri"/>
          <w:b/>
          <w:bCs/>
          <w:color w:val="000000" w:themeColor="text1"/>
        </w:rPr>
        <w:t xml:space="preserve">Delegated study pharmacy personnel in charge of the </w:t>
      </w:r>
      <w:r w:rsidR="004D596D">
        <w:rPr>
          <w:rFonts w:eastAsia="Calibri"/>
          <w:b/>
          <w:bCs/>
          <w:color w:val="000000" w:themeColor="text1"/>
        </w:rPr>
        <w:t>CMS</w:t>
      </w:r>
      <w:r w:rsidRPr="42FDBA3E">
        <w:rPr>
          <w:rFonts w:eastAsia="Calibri"/>
          <w:b/>
          <w:bCs/>
          <w:color w:val="000000" w:themeColor="text1"/>
        </w:rPr>
        <w:t xml:space="preserve"> of the receiving site</w:t>
      </w:r>
      <w:r w:rsidRPr="42FDBA3E">
        <w:rPr>
          <w:rFonts w:eastAsia="Calibri"/>
          <w:color w:val="000000" w:themeColor="text1"/>
        </w:rPr>
        <w:t xml:space="preserve"> must </w:t>
      </w:r>
      <w:r w:rsidRPr="42FDBA3E">
        <w:rPr>
          <w:rFonts w:eastAsia="Calibri"/>
          <w:color w:val="000000" w:themeColor="text1"/>
          <w:lang w:val="en-CA"/>
        </w:rPr>
        <w:t>verify the quantity of supplied study drugs against the quantity ordered on the IP Request and Supply Form</w:t>
      </w:r>
      <w:r w:rsidRPr="42FDBA3E">
        <w:rPr>
          <w:rFonts w:eastAsia="Calibri"/>
          <w:color w:val="000000" w:themeColor="text1"/>
        </w:rPr>
        <w:t xml:space="preserve">. In case of discrepancies, the IP Request and Supply Form must be corrected on-site with the responsible personnel’s initials and date (as detailed in </w:t>
      </w:r>
      <w:r w:rsidRPr="004D596D">
        <w:rPr>
          <w:rFonts w:eastAsia="Calibri"/>
          <w:bCs/>
          <w:iCs/>
          <w:color w:val="000000" w:themeColor="text1"/>
        </w:rPr>
        <w:t>SOP SM-002-CT Source Documentation</w:t>
      </w:r>
      <w:r w:rsidRPr="004D596D">
        <w:rPr>
          <w:rFonts w:eastAsia="Calibri"/>
          <w:bCs/>
          <w:color w:val="000000" w:themeColor="text1"/>
        </w:rPr>
        <w:t>)</w:t>
      </w:r>
      <w:r w:rsidRPr="42FDBA3E">
        <w:rPr>
          <w:rFonts w:eastAsia="Calibri"/>
          <w:b/>
          <w:bCs/>
          <w:color w:val="000000" w:themeColor="text1"/>
        </w:rPr>
        <w:t xml:space="preserve"> </w:t>
      </w:r>
      <w:r w:rsidRPr="42FDBA3E">
        <w:rPr>
          <w:rFonts w:eastAsia="Calibri"/>
          <w:color w:val="000000" w:themeColor="text1"/>
        </w:rPr>
        <w:t>and the sending facility should be informed of any changes.</w:t>
      </w:r>
      <w:r w:rsidRPr="42FDBA3E">
        <w:rPr>
          <w:rFonts w:eastAsia="Calibri"/>
          <w:b/>
          <w:bCs/>
          <w:color w:val="000000" w:themeColor="text1"/>
        </w:rPr>
        <w:t xml:space="preserve"> </w:t>
      </w:r>
      <w:r w:rsidRPr="42FDBA3E">
        <w:rPr>
          <w:rFonts w:eastAsia="Calibri"/>
          <w:color w:val="000000" w:themeColor="text1"/>
        </w:rPr>
        <w:t xml:space="preserve">The delegated study personnel of the pharmacy will also check the temperature records and in case of excursion will manage as per SOP IP-001-CT IP Storage. This movement will be recorded in the Drug Global Accountability log of the </w:t>
      </w:r>
      <w:r w:rsidR="004D596D">
        <w:rPr>
          <w:rFonts w:eastAsia="Calibri"/>
          <w:color w:val="000000" w:themeColor="text1"/>
        </w:rPr>
        <w:t>CMS</w:t>
      </w:r>
      <w:r w:rsidRPr="42FDBA3E">
        <w:rPr>
          <w:rFonts w:eastAsia="Calibri"/>
          <w:color w:val="000000" w:themeColor="text1"/>
        </w:rPr>
        <w:t xml:space="preserve"> as reported below.</w:t>
      </w:r>
    </w:p>
    <w:p w14:paraId="6AD0BEB8" w14:textId="46AD27CF" w:rsidR="3727ADF5" w:rsidRDefault="3727ADF5" w:rsidP="42FDBA3E">
      <w:pPr>
        <w:jc w:val="both"/>
      </w:pPr>
      <w:r w:rsidRPr="4270C733">
        <w:rPr>
          <w:rFonts w:eastAsia="Calibri"/>
          <w:color w:val="000000" w:themeColor="text1"/>
        </w:rPr>
        <w:t xml:space="preserve">The original IP request and Supply form will be kept in the ISF of the CMS of the ordering site and a copy in the ISF of the CMS of the IP sending site </w:t>
      </w:r>
    </w:p>
    <w:p w14:paraId="128CCEEE" w14:textId="504B9415" w:rsidR="3727ADF5" w:rsidRPr="00CB69B1" w:rsidRDefault="3727ADF5" w:rsidP="42FDBA3E">
      <w:pPr>
        <w:jc w:val="both"/>
        <w:rPr>
          <w:rFonts w:eastAsia="Calibri"/>
          <w:color w:val="000000" w:themeColor="text1"/>
        </w:rPr>
      </w:pPr>
      <w:r w:rsidRPr="42FDBA3E">
        <w:rPr>
          <w:rFonts w:eastAsia="Calibri"/>
          <w:color w:val="000000" w:themeColor="text1"/>
        </w:rPr>
        <w:t xml:space="preserve">Delegated study pharmacy personnel in charge of the </w:t>
      </w:r>
      <w:r w:rsidR="004D596D">
        <w:rPr>
          <w:rFonts w:eastAsia="Calibri"/>
          <w:color w:val="000000" w:themeColor="text1"/>
        </w:rPr>
        <w:t xml:space="preserve">CMS </w:t>
      </w:r>
      <w:r w:rsidRPr="42FDBA3E">
        <w:rPr>
          <w:rFonts w:eastAsia="Calibri"/>
          <w:color w:val="000000" w:themeColor="text1"/>
        </w:rPr>
        <w:t xml:space="preserve">should document the IP supply as below: </w:t>
      </w:r>
    </w:p>
    <w:p w14:paraId="6563EE66" w14:textId="2429B1FF" w:rsidR="3727ADF5" w:rsidRDefault="3727ADF5" w:rsidP="004D596D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 w:rsidRPr="00503946">
        <w:rPr>
          <w:rFonts w:eastAsia="Calibri"/>
        </w:rPr>
        <w:t xml:space="preserve">Responsible </w:t>
      </w:r>
      <w:r w:rsidR="004D596D" w:rsidRPr="00503946">
        <w:rPr>
          <w:rFonts w:eastAsia="Calibri"/>
        </w:rPr>
        <w:t>CMS</w:t>
      </w:r>
      <w:r w:rsidRPr="00503946">
        <w:rPr>
          <w:rFonts w:eastAsia="Calibri"/>
        </w:rPr>
        <w:t xml:space="preserve"> personnel of</w:t>
      </w:r>
      <w:r w:rsidRPr="42FDBA3E">
        <w:rPr>
          <w:rFonts w:eastAsia="Calibri"/>
        </w:rPr>
        <w:t xml:space="preserve"> the IPs sending site should record the quantities distributed in the “OUT” column on the “Drug Global Accountability Log” (appendix A2) of the </w:t>
      </w:r>
      <w:r w:rsidR="004D596D">
        <w:rPr>
          <w:rFonts w:eastAsia="Calibri"/>
        </w:rPr>
        <w:t>CMS</w:t>
      </w:r>
      <w:r w:rsidRPr="42FDBA3E">
        <w:rPr>
          <w:rFonts w:eastAsia="Calibri"/>
        </w:rPr>
        <w:t xml:space="preserve"> of the IPs sending site</w:t>
      </w:r>
      <w:r w:rsidR="004D596D">
        <w:rPr>
          <w:rFonts w:eastAsia="Calibri"/>
        </w:rPr>
        <w:t>.</w:t>
      </w:r>
    </w:p>
    <w:p w14:paraId="68E1B502" w14:textId="6E9E3802" w:rsidR="3727ADF5" w:rsidRDefault="3727ADF5" w:rsidP="004D596D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 w:rsidRPr="42FDBA3E">
        <w:rPr>
          <w:rFonts w:eastAsia="Calibri"/>
        </w:rPr>
        <w:lastRenderedPageBreak/>
        <w:t xml:space="preserve">Responsible </w:t>
      </w:r>
      <w:r w:rsidR="004D596D">
        <w:rPr>
          <w:rFonts w:eastAsia="Calibri"/>
        </w:rPr>
        <w:t>CMS</w:t>
      </w:r>
      <w:r w:rsidRPr="42FDBA3E">
        <w:rPr>
          <w:rFonts w:eastAsia="Calibri"/>
        </w:rPr>
        <w:t xml:space="preserve"> personnel of the IPs ordering site should record the quantities received in the “IN” column on the “Drug Global Accountability Log” of the </w:t>
      </w:r>
      <w:r w:rsidR="004D596D">
        <w:rPr>
          <w:rFonts w:eastAsia="Calibri"/>
        </w:rPr>
        <w:t>CMS</w:t>
      </w:r>
      <w:r w:rsidRPr="42FDBA3E">
        <w:rPr>
          <w:rFonts w:eastAsia="Calibri"/>
        </w:rPr>
        <w:t xml:space="preserve"> of the IPs ordering site</w:t>
      </w:r>
      <w:r w:rsidR="004D596D">
        <w:rPr>
          <w:rFonts w:eastAsia="Calibri"/>
        </w:rPr>
        <w:t>.</w:t>
      </w:r>
      <w:r w:rsidRPr="42FDBA3E">
        <w:rPr>
          <w:rFonts w:eastAsia="Calibri"/>
        </w:rPr>
        <w:t xml:space="preserve"> </w:t>
      </w:r>
    </w:p>
    <w:p w14:paraId="72CFCC42" w14:textId="34680A23" w:rsidR="3727ADF5" w:rsidRDefault="004D596D" w:rsidP="004D596D">
      <w:pPr>
        <w:pStyle w:val="ListParagraph"/>
        <w:numPr>
          <w:ilvl w:val="0"/>
          <w:numId w:val="1"/>
        </w:numPr>
        <w:rPr>
          <w:rFonts w:eastAsia="Calibri"/>
          <w:color w:val="000000" w:themeColor="text1"/>
        </w:rPr>
      </w:pPr>
      <w:r>
        <w:rPr>
          <w:rFonts w:eastAsia="Calibri"/>
        </w:rPr>
        <w:t>CMS</w:t>
      </w:r>
      <w:r w:rsidR="3727ADF5" w:rsidRPr="4270C733">
        <w:rPr>
          <w:rFonts w:eastAsia="Calibri"/>
        </w:rPr>
        <w:t xml:space="preserve"> should maintain their separate “Drug global Accountability Logs” in their own Pharmacy Site Files.</w:t>
      </w:r>
    </w:p>
    <w:p w14:paraId="7825E590" w14:textId="0FFF6FCF" w:rsidR="00F8446D" w:rsidRPr="00B20CED" w:rsidRDefault="00F8446D" w:rsidP="000E10F3">
      <w:pPr>
        <w:pStyle w:val="Heading3"/>
      </w:pPr>
      <w:bookmarkStart w:id="8" w:name="_Toc181293180"/>
      <w:r w:rsidRPr="00B20CED">
        <w:t xml:space="preserve">Prescribing IPs to </w:t>
      </w:r>
      <w:r w:rsidR="005E45FA" w:rsidRPr="00B20CED">
        <w:t>P</w:t>
      </w:r>
      <w:r w:rsidRPr="00B20CED">
        <w:t>a</w:t>
      </w:r>
      <w:r w:rsidR="005E45FA" w:rsidRPr="00B20CED">
        <w:t>rticipants</w:t>
      </w:r>
      <w:bookmarkEnd w:id="8"/>
    </w:p>
    <w:p w14:paraId="0546CC92" w14:textId="091E0E58" w:rsidR="007B79AA" w:rsidRDefault="00DD01EE" w:rsidP="000E10F3">
      <w:pPr>
        <w:jc w:val="both"/>
      </w:pPr>
      <w:r w:rsidRPr="00503946">
        <w:rPr>
          <w:b/>
        </w:rPr>
        <w:t>Delegated</w:t>
      </w:r>
      <w:r w:rsidR="00F8446D" w:rsidRPr="00503946">
        <w:rPr>
          <w:b/>
        </w:rPr>
        <w:t xml:space="preserve"> </w:t>
      </w:r>
      <w:r w:rsidRPr="00503946">
        <w:rPr>
          <w:b/>
        </w:rPr>
        <w:t>clinical staff</w:t>
      </w:r>
      <w:r w:rsidR="00F8446D">
        <w:t xml:space="preserve"> involved in endTB</w:t>
      </w:r>
      <w:r w:rsidR="00D136F7">
        <w:t xml:space="preserve"> </w:t>
      </w:r>
      <w:r>
        <w:t>C</w:t>
      </w:r>
      <w:r w:rsidR="00F8446D">
        <w:t xml:space="preserve">linical </w:t>
      </w:r>
      <w:r>
        <w:t>T</w:t>
      </w:r>
      <w:r w:rsidR="00F8446D">
        <w:t>rial</w:t>
      </w:r>
      <w:r w:rsidR="00D136F7">
        <w:t>s</w:t>
      </w:r>
      <w:r w:rsidR="00F8446D">
        <w:t xml:space="preserve"> </w:t>
      </w:r>
      <w:r w:rsidR="004C63BB">
        <w:t>should</w:t>
      </w:r>
      <w:r w:rsidR="00F8446D">
        <w:t xml:space="preserve"> use </w:t>
      </w:r>
      <w:r w:rsidR="004C63BB">
        <w:t>the existing</w:t>
      </w:r>
      <w:r w:rsidR="007B79AA">
        <w:t xml:space="preserve"> prescribing form</w:t>
      </w:r>
      <w:r w:rsidR="004C63BB">
        <w:t>(s)</w:t>
      </w:r>
      <w:r w:rsidR="00EE0E4B">
        <w:t xml:space="preserve"> provided by </w:t>
      </w:r>
      <w:r w:rsidR="004C63BB">
        <w:t>local</w:t>
      </w:r>
      <w:r w:rsidR="00EE0E4B">
        <w:t xml:space="preserve"> national program </w:t>
      </w:r>
      <w:r w:rsidR="00877B4F">
        <w:t>and/</w:t>
      </w:r>
      <w:r w:rsidR="00EE0E4B">
        <w:t xml:space="preserve">or </w:t>
      </w:r>
      <w:r w:rsidR="00877B4F">
        <w:t>institution</w:t>
      </w:r>
      <w:r w:rsidR="004C63BB">
        <w:t xml:space="preserve"> for IP prescription</w:t>
      </w:r>
      <w:r w:rsidR="00C665DB">
        <w:t xml:space="preserve"> or the endTB </w:t>
      </w:r>
      <w:r w:rsidR="00B92D04">
        <w:t xml:space="preserve">IP </w:t>
      </w:r>
      <w:r w:rsidR="00C665DB">
        <w:t>prescription form</w:t>
      </w:r>
      <w:r w:rsidR="00EE0E4B">
        <w:t>.</w:t>
      </w:r>
    </w:p>
    <w:p w14:paraId="209BA3E6" w14:textId="1AFB32ED" w:rsidR="00217C5E" w:rsidRPr="00B23BA7" w:rsidRDefault="00206C2B" w:rsidP="000E10F3">
      <w:pPr>
        <w:pStyle w:val="Heading3"/>
      </w:pPr>
      <w:bookmarkStart w:id="9" w:name="_Toc181293181"/>
      <w:r w:rsidRPr="00B20CED">
        <w:t xml:space="preserve">Dispensing IPs to </w:t>
      </w:r>
      <w:r w:rsidR="005E45FA" w:rsidRPr="00B20CED">
        <w:t>P</w:t>
      </w:r>
      <w:r w:rsidRPr="00B20CED">
        <w:t>a</w:t>
      </w:r>
      <w:r w:rsidR="005E45FA" w:rsidRPr="00B20CED">
        <w:t>rticipants</w:t>
      </w:r>
      <w:bookmarkEnd w:id="9"/>
    </w:p>
    <w:p w14:paraId="754468C4" w14:textId="06BCB19D" w:rsidR="00206C2B" w:rsidRDefault="00206C2B" w:rsidP="000E10F3">
      <w:pPr>
        <w:jc w:val="both"/>
      </w:pPr>
      <w:r>
        <w:t xml:space="preserve">Dispensing refers to </w:t>
      </w:r>
      <w:r w:rsidR="00B11F24">
        <w:t xml:space="preserve">delivering study </w:t>
      </w:r>
      <w:r>
        <w:t xml:space="preserve">drugs </w:t>
      </w:r>
      <w:r w:rsidR="00054481">
        <w:t>to the pa</w:t>
      </w:r>
      <w:r w:rsidR="00B11F24">
        <w:t>rticipants</w:t>
      </w:r>
      <w:r w:rsidR="00054481">
        <w:t xml:space="preserve"> </w:t>
      </w:r>
      <w:r w:rsidR="00B11F24">
        <w:t xml:space="preserve">for administration </w:t>
      </w:r>
      <w:r w:rsidR="00054481">
        <w:t>(DOT) either in a ward or at a DOT corner</w:t>
      </w:r>
      <w:r w:rsidR="00EE0E4B">
        <w:t xml:space="preserve"> (with exception </w:t>
      </w:r>
      <w:r w:rsidR="007D1625">
        <w:t>of sites</w:t>
      </w:r>
      <w:r w:rsidR="007D1625" w:rsidDel="007D1625">
        <w:t xml:space="preserve"> </w:t>
      </w:r>
      <w:r w:rsidR="00EE0E4B">
        <w:t xml:space="preserve">where the drugs are dispensed </w:t>
      </w:r>
      <w:r w:rsidR="00B92D04">
        <w:t xml:space="preserve">in </w:t>
      </w:r>
      <w:r w:rsidR="003666C2">
        <w:t xml:space="preserve">Blister Pack or </w:t>
      </w:r>
      <w:r w:rsidR="00B92D04">
        <w:t xml:space="preserve">IP Kits and then distributed to patients and administered </w:t>
      </w:r>
      <w:r w:rsidR="00EE0E4B">
        <w:t>at patient’s home)</w:t>
      </w:r>
      <w:r w:rsidR="00054481">
        <w:t>.</w:t>
      </w:r>
    </w:p>
    <w:p w14:paraId="4F5B9719" w14:textId="33AF3043" w:rsidR="00424B22" w:rsidRDefault="00206C2B" w:rsidP="000E10F3">
      <w:pPr>
        <w:jc w:val="both"/>
      </w:pPr>
      <w:r>
        <w:t>In the ward</w:t>
      </w:r>
      <w:r w:rsidR="002D12FE">
        <w:t>s</w:t>
      </w:r>
      <w:r>
        <w:t xml:space="preserve"> or at the DOT corner</w:t>
      </w:r>
      <w:r w:rsidR="002D12FE">
        <w:t>s</w:t>
      </w:r>
      <w:r w:rsidRPr="000F5F9F">
        <w:rPr>
          <w:b/>
        </w:rPr>
        <w:t xml:space="preserve">, </w:t>
      </w:r>
      <w:r w:rsidR="00686CC1">
        <w:rPr>
          <w:b/>
        </w:rPr>
        <w:t>r</w:t>
      </w:r>
      <w:r w:rsidR="009463FF" w:rsidRPr="000F5F9F">
        <w:rPr>
          <w:b/>
        </w:rPr>
        <w:t>esponsible nurses or study personnel in the ward and/or the DOT corners</w:t>
      </w:r>
      <w:r w:rsidR="00B11F24">
        <w:t xml:space="preserve"> should</w:t>
      </w:r>
      <w:r>
        <w:t xml:space="preserve"> dispense the </w:t>
      </w:r>
      <w:r w:rsidR="00B11F24">
        <w:t xml:space="preserve">study </w:t>
      </w:r>
      <w:r>
        <w:t xml:space="preserve">drugs to the </w:t>
      </w:r>
      <w:r w:rsidR="00B11F24">
        <w:t>participant</w:t>
      </w:r>
      <w:r w:rsidR="002D12FE">
        <w:t xml:space="preserve">s. </w:t>
      </w:r>
      <w:r w:rsidR="002D12FE" w:rsidRPr="000123A1">
        <w:t>The</w:t>
      </w:r>
      <w:r w:rsidR="002D12FE" w:rsidRPr="00F0621A">
        <w:rPr>
          <w:b/>
        </w:rPr>
        <w:t xml:space="preserve"> responsible nurse</w:t>
      </w:r>
      <w:r w:rsidR="00686CC1">
        <w:rPr>
          <w:b/>
        </w:rPr>
        <w:t>s</w:t>
      </w:r>
      <w:r w:rsidR="002D12FE" w:rsidRPr="00F0621A">
        <w:rPr>
          <w:b/>
        </w:rPr>
        <w:t xml:space="preserve"> or study personnel</w:t>
      </w:r>
      <w:r w:rsidRPr="00F0621A">
        <w:rPr>
          <w:b/>
        </w:rPr>
        <w:t xml:space="preserve"> </w:t>
      </w:r>
      <w:r w:rsidR="002D12FE">
        <w:t xml:space="preserve">should </w:t>
      </w:r>
      <w:r>
        <w:t>use the</w:t>
      </w:r>
      <w:r w:rsidR="002D12FE">
        <w:t xml:space="preserve"> existing treatment documentation</w:t>
      </w:r>
      <w:r w:rsidR="00B3377B">
        <w:t xml:space="preserve"> </w:t>
      </w:r>
      <w:r w:rsidR="002D12FE">
        <w:t xml:space="preserve">accepted by local authorities to track </w:t>
      </w:r>
      <w:r w:rsidR="00523BE2">
        <w:t>IPs taken by each participant</w:t>
      </w:r>
      <w:r w:rsidR="002D12FE">
        <w:t>. Such treatment documentation includes nationally approved treatment card(s) and/or treatment log(s)</w:t>
      </w:r>
      <w:r w:rsidR="00523BE2">
        <w:t xml:space="preserve">. The </w:t>
      </w:r>
      <w:r w:rsidR="00523BE2" w:rsidRPr="00F0621A">
        <w:rPr>
          <w:b/>
        </w:rPr>
        <w:t>responsible nurses or study personnel</w:t>
      </w:r>
      <w:r w:rsidR="00523BE2">
        <w:t xml:space="preserve"> must ensure the batch number and expiry dates of the dispensed IPs are documented on the treatment documentation.</w:t>
      </w:r>
    </w:p>
    <w:p w14:paraId="205DB2CF" w14:textId="403BC50D" w:rsidR="00054481" w:rsidRDefault="004A6DFD" w:rsidP="000E10F3">
      <w:pPr>
        <w:jc w:val="both"/>
      </w:pPr>
      <w:r w:rsidRPr="000F5F9F">
        <w:rPr>
          <w:b/>
        </w:rPr>
        <w:t>Responsible nurses or study personnel in the ward and/or the DOT corners</w:t>
      </w:r>
      <w:r>
        <w:t xml:space="preserve"> should consolidate all IP dispensing records each day and </w:t>
      </w:r>
      <w:r w:rsidR="00A31F91">
        <w:t xml:space="preserve">complete the IP Dispensation Log accordingly </w:t>
      </w:r>
      <w:r w:rsidR="00054481">
        <w:t>(see</w:t>
      </w:r>
      <w:r w:rsidR="00C6347F">
        <w:t xml:space="preserve"> </w:t>
      </w:r>
      <w:r w:rsidR="00C6347F">
        <w:fldChar w:fldCharType="begin"/>
      </w:r>
      <w:r w:rsidR="00C6347F">
        <w:instrText xml:space="preserve"> REF _Ref453664704 \r \h </w:instrText>
      </w:r>
      <w:r w:rsidR="00C6347F">
        <w:fldChar w:fldCharType="separate"/>
      </w:r>
      <w:r w:rsidR="00D02A07">
        <w:t>5.4.2</w:t>
      </w:r>
      <w:r w:rsidR="00C6347F">
        <w:fldChar w:fldCharType="end"/>
      </w:r>
      <w:r w:rsidR="00054481">
        <w:t>).</w:t>
      </w:r>
    </w:p>
    <w:p w14:paraId="7741C9D8" w14:textId="22D1D01E" w:rsidR="00DC4C6D" w:rsidRDefault="00E743CB" w:rsidP="000E10F3">
      <w:pPr>
        <w:pStyle w:val="Heading3"/>
      </w:pPr>
      <w:bookmarkStart w:id="10" w:name="_Toc181293182"/>
      <w:r w:rsidRPr="00B20CED">
        <w:t>IP</w:t>
      </w:r>
      <w:r w:rsidR="00663592" w:rsidRPr="00B20CED">
        <w:t>s</w:t>
      </w:r>
      <w:r w:rsidRPr="00B20CED">
        <w:t xml:space="preserve"> Accountability</w:t>
      </w:r>
      <w:bookmarkEnd w:id="10"/>
    </w:p>
    <w:p w14:paraId="2DE58FAA" w14:textId="77FD49AE" w:rsidR="00C665DB" w:rsidRDefault="00C665DB" w:rsidP="00C665DB">
      <w:r>
        <w:t xml:space="preserve">Each unit (tablet, pill, vial) of the IPs must be tracked from its reception at the CMS of the pharmacy to the dispensing to </w:t>
      </w:r>
      <w:r w:rsidR="00DF5BBC">
        <w:t>patients</w:t>
      </w:r>
      <w:sdt>
        <w:sdtPr>
          <w:tag w:val="goog_rdk_123"/>
          <w:id w:val="451758010"/>
        </w:sdtPr>
        <w:sdtEndPr/>
        <w:sdtContent/>
      </w:sdt>
      <w:r>
        <w:t xml:space="preserve"> including return of the empty or non-empty container</w:t>
      </w:r>
      <w:r w:rsidR="008817C0">
        <w:t>.</w:t>
      </w:r>
    </w:p>
    <w:p w14:paraId="67E1BA1C" w14:textId="5C70D2CA" w:rsidR="00484983" w:rsidRPr="00B20CED" w:rsidRDefault="00484983" w:rsidP="000E10F3">
      <w:pPr>
        <w:pStyle w:val="Heading4"/>
        <w:rPr>
          <w:rStyle w:val="SubtleEmphasis"/>
          <w:b w:val="0"/>
          <w:color w:val="auto"/>
        </w:rPr>
      </w:pPr>
      <w:r w:rsidRPr="00B20CED">
        <w:rPr>
          <w:rStyle w:val="SubtleEmphasis"/>
          <w:b w:val="0"/>
          <w:color w:val="auto"/>
        </w:rPr>
        <w:t>Drug Global Accountability L</w:t>
      </w:r>
      <w:r w:rsidR="00F458D4" w:rsidRPr="00B20CED">
        <w:rPr>
          <w:rStyle w:val="SubtleEmphasis"/>
          <w:b w:val="0"/>
          <w:color w:val="auto"/>
        </w:rPr>
        <w:t>og</w:t>
      </w:r>
    </w:p>
    <w:p w14:paraId="2F218F0B" w14:textId="1CBE3B6D" w:rsidR="00DF1AED" w:rsidRDefault="008817C0" w:rsidP="008817C0">
      <w:pPr>
        <w:pStyle w:val="NormalWeb"/>
        <w:spacing w:before="0" w:beforeAutospacing="0" w:after="20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Drug Global Accountability Log will be maintained at both </w:t>
      </w:r>
      <w:r w:rsidR="000123A1">
        <w:rPr>
          <w:rFonts w:ascii="Calibri" w:hAnsi="Calibri"/>
          <w:color w:val="000000"/>
          <w:sz w:val="22"/>
          <w:szCs w:val="22"/>
        </w:rPr>
        <w:t>CMS</w:t>
      </w:r>
      <w:r w:rsidR="00785AA8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and institution pharmacies to track the movements of study drugs (IN and OUT) at both levels.  </w:t>
      </w:r>
      <w:r w:rsidR="005316C3">
        <w:rPr>
          <w:rFonts w:ascii="Calibri" w:hAnsi="Calibri"/>
          <w:color w:val="000000"/>
          <w:sz w:val="22"/>
          <w:szCs w:val="22"/>
        </w:rPr>
        <w:t>O</w:t>
      </w:r>
      <w:r w:rsidR="00E743CB">
        <w:rPr>
          <w:rFonts w:ascii="Calibri" w:hAnsi="Calibri"/>
          <w:color w:val="000000"/>
          <w:sz w:val="22"/>
          <w:szCs w:val="22"/>
        </w:rPr>
        <w:t xml:space="preserve">ne </w:t>
      </w:r>
      <w:r w:rsidR="005316C3">
        <w:rPr>
          <w:rFonts w:ascii="Calibri" w:hAnsi="Calibri"/>
          <w:color w:val="000000"/>
          <w:sz w:val="22"/>
          <w:szCs w:val="22"/>
        </w:rPr>
        <w:t xml:space="preserve">Drug Global Accountability Log must be maintained for each type of </w:t>
      </w:r>
      <w:r w:rsidR="00647EB4">
        <w:rPr>
          <w:rFonts w:ascii="Calibri" w:hAnsi="Calibri"/>
          <w:color w:val="000000"/>
          <w:sz w:val="22"/>
          <w:szCs w:val="22"/>
        </w:rPr>
        <w:t>IP</w:t>
      </w:r>
      <w:r w:rsidR="005316C3">
        <w:rPr>
          <w:rFonts w:ascii="Calibri" w:hAnsi="Calibri"/>
          <w:color w:val="000000"/>
          <w:sz w:val="22"/>
          <w:szCs w:val="22"/>
        </w:rPr>
        <w:t>.</w:t>
      </w:r>
      <w:r w:rsidR="00647EB4">
        <w:rPr>
          <w:rFonts w:ascii="Calibri" w:hAnsi="Calibri"/>
          <w:color w:val="000000"/>
          <w:sz w:val="22"/>
          <w:szCs w:val="22"/>
        </w:rPr>
        <w:t xml:space="preserve"> </w:t>
      </w:r>
      <w:r w:rsidR="005316C3">
        <w:rPr>
          <w:rFonts w:ascii="Calibri" w:hAnsi="Calibri"/>
          <w:color w:val="000000"/>
          <w:sz w:val="22"/>
          <w:szCs w:val="22"/>
        </w:rPr>
        <w:t>A</w:t>
      </w:r>
      <w:r w:rsidR="00647EB4">
        <w:rPr>
          <w:rFonts w:ascii="Calibri" w:hAnsi="Calibri"/>
          <w:color w:val="000000"/>
          <w:sz w:val="22"/>
          <w:szCs w:val="22"/>
        </w:rPr>
        <w:t xml:space="preserve"> </w:t>
      </w:r>
      <w:r w:rsidR="005316C3">
        <w:rPr>
          <w:rFonts w:ascii="Calibri" w:hAnsi="Calibri"/>
          <w:color w:val="000000"/>
          <w:sz w:val="22"/>
          <w:szCs w:val="22"/>
        </w:rPr>
        <w:t xml:space="preserve">unique type of </w:t>
      </w:r>
      <w:r w:rsidR="00647EB4">
        <w:rPr>
          <w:rFonts w:ascii="Calibri" w:hAnsi="Calibri"/>
          <w:color w:val="000000"/>
          <w:sz w:val="22"/>
          <w:szCs w:val="22"/>
        </w:rPr>
        <w:t xml:space="preserve">IP </w:t>
      </w:r>
      <w:r w:rsidR="005316C3">
        <w:rPr>
          <w:rFonts w:ascii="Calibri" w:hAnsi="Calibri"/>
          <w:color w:val="000000"/>
          <w:sz w:val="22"/>
          <w:szCs w:val="22"/>
        </w:rPr>
        <w:t xml:space="preserve">is </w:t>
      </w:r>
      <w:r w:rsidR="00647EB4">
        <w:rPr>
          <w:rFonts w:ascii="Calibri" w:hAnsi="Calibri"/>
          <w:color w:val="000000"/>
          <w:sz w:val="22"/>
          <w:szCs w:val="22"/>
        </w:rPr>
        <w:t>defined by its designation, dosage, form, batch and expiry date</w:t>
      </w:r>
      <w:r w:rsidR="00785AA8">
        <w:rPr>
          <w:rFonts w:ascii="Calibri" w:hAnsi="Calibri"/>
          <w:color w:val="000000"/>
          <w:sz w:val="22"/>
          <w:szCs w:val="22"/>
        </w:rPr>
        <w:t xml:space="preserve"> </w:t>
      </w:r>
      <w:r w:rsidR="004C266E">
        <w:rPr>
          <w:rFonts w:ascii="Calibri" w:hAnsi="Calibri"/>
          <w:color w:val="000000"/>
          <w:sz w:val="22"/>
          <w:szCs w:val="22"/>
        </w:rPr>
        <w:t>(i.e. two different batches will be associated to two separate logs)</w:t>
      </w:r>
      <w:r w:rsidR="00647EB4">
        <w:rPr>
          <w:rFonts w:ascii="Calibri" w:hAnsi="Calibri"/>
          <w:color w:val="000000"/>
          <w:sz w:val="22"/>
          <w:szCs w:val="22"/>
        </w:rPr>
        <w:t>.</w:t>
      </w:r>
      <w:r w:rsidR="00851C81">
        <w:rPr>
          <w:rFonts w:ascii="Calibri" w:hAnsi="Calibri"/>
          <w:color w:val="000000"/>
          <w:sz w:val="22"/>
          <w:szCs w:val="22"/>
        </w:rPr>
        <w:t xml:space="preserve"> </w:t>
      </w:r>
      <w:r w:rsidR="00A020B5">
        <w:rPr>
          <w:rFonts w:ascii="Calibri" w:hAnsi="Calibri"/>
          <w:color w:val="000000"/>
          <w:sz w:val="22"/>
          <w:szCs w:val="22"/>
        </w:rPr>
        <w:t>Although</w:t>
      </w:r>
      <w:r w:rsidR="004F56E2">
        <w:rPr>
          <w:rFonts w:ascii="Calibri" w:hAnsi="Calibri"/>
          <w:color w:val="000000"/>
          <w:sz w:val="22"/>
          <w:szCs w:val="22"/>
        </w:rPr>
        <w:t xml:space="preserve"> the same </w:t>
      </w:r>
      <w:r w:rsidR="00A020B5">
        <w:rPr>
          <w:rFonts w:ascii="Calibri" w:hAnsi="Calibri"/>
          <w:color w:val="000000"/>
          <w:sz w:val="22"/>
          <w:szCs w:val="22"/>
        </w:rPr>
        <w:t>log</w:t>
      </w:r>
      <w:r w:rsidR="004F56E2">
        <w:rPr>
          <w:rFonts w:ascii="Calibri" w:hAnsi="Calibri"/>
          <w:color w:val="000000"/>
          <w:sz w:val="22"/>
          <w:szCs w:val="22"/>
        </w:rPr>
        <w:t xml:space="preserve"> template </w:t>
      </w:r>
      <w:r w:rsidR="00A020B5">
        <w:rPr>
          <w:rFonts w:ascii="Calibri" w:hAnsi="Calibri"/>
          <w:color w:val="000000"/>
          <w:sz w:val="22"/>
          <w:szCs w:val="22"/>
        </w:rPr>
        <w:t>will be utilized</w:t>
      </w:r>
      <w:r w:rsidR="008A49E5">
        <w:rPr>
          <w:rFonts w:ascii="Calibri" w:hAnsi="Calibri"/>
          <w:color w:val="000000"/>
          <w:sz w:val="22"/>
          <w:szCs w:val="22"/>
        </w:rPr>
        <w:t>,</w:t>
      </w:r>
      <w:r w:rsidR="00A020B5">
        <w:rPr>
          <w:rFonts w:ascii="Calibri" w:hAnsi="Calibri"/>
          <w:color w:val="000000"/>
          <w:sz w:val="22"/>
          <w:szCs w:val="22"/>
        </w:rPr>
        <w:t xml:space="preserve"> </w:t>
      </w:r>
      <w:r w:rsidR="000123A1">
        <w:rPr>
          <w:rFonts w:ascii="Calibri" w:hAnsi="Calibri"/>
          <w:color w:val="000000"/>
          <w:sz w:val="22"/>
          <w:szCs w:val="22"/>
        </w:rPr>
        <w:t>CMS</w:t>
      </w:r>
      <w:r w:rsidR="00785AA8">
        <w:rPr>
          <w:rFonts w:ascii="Calibri" w:hAnsi="Calibri"/>
          <w:color w:val="000000"/>
          <w:sz w:val="22"/>
          <w:szCs w:val="22"/>
        </w:rPr>
        <w:t xml:space="preserve"> </w:t>
      </w:r>
      <w:r w:rsidR="00A020B5">
        <w:rPr>
          <w:rFonts w:ascii="Calibri" w:hAnsi="Calibri"/>
          <w:color w:val="000000"/>
          <w:sz w:val="22"/>
          <w:szCs w:val="22"/>
        </w:rPr>
        <w:t>and institution pharmacies will maintain</w:t>
      </w:r>
      <w:r w:rsidR="004F56E2">
        <w:rPr>
          <w:rFonts w:ascii="Calibri" w:hAnsi="Calibri"/>
          <w:color w:val="000000"/>
          <w:sz w:val="22"/>
          <w:szCs w:val="22"/>
        </w:rPr>
        <w:t xml:space="preserve"> </w:t>
      </w:r>
      <w:r w:rsidR="00A020B5">
        <w:rPr>
          <w:rFonts w:ascii="Calibri" w:hAnsi="Calibri"/>
          <w:color w:val="000000"/>
          <w:sz w:val="22"/>
          <w:szCs w:val="22"/>
        </w:rPr>
        <w:t xml:space="preserve">their accountability </w:t>
      </w:r>
      <w:r w:rsidR="004F56E2">
        <w:rPr>
          <w:rFonts w:ascii="Calibri" w:hAnsi="Calibri"/>
          <w:color w:val="000000"/>
          <w:sz w:val="22"/>
          <w:szCs w:val="22"/>
        </w:rPr>
        <w:t xml:space="preserve">records </w:t>
      </w:r>
      <w:r w:rsidR="00A020B5">
        <w:rPr>
          <w:rFonts w:ascii="Calibri" w:hAnsi="Calibri"/>
          <w:color w:val="000000"/>
          <w:sz w:val="22"/>
          <w:szCs w:val="22"/>
        </w:rPr>
        <w:t xml:space="preserve">independently. </w:t>
      </w:r>
      <w:r w:rsidR="00F66C98">
        <w:rPr>
          <w:rFonts w:ascii="Calibri" w:hAnsi="Calibri"/>
          <w:color w:val="000000"/>
          <w:sz w:val="22"/>
          <w:szCs w:val="22"/>
        </w:rPr>
        <w:t xml:space="preserve">For instance, </w:t>
      </w:r>
      <w:r w:rsidR="004F56E2">
        <w:rPr>
          <w:rFonts w:ascii="Calibri" w:hAnsi="Calibri"/>
          <w:color w:val="000000"/>
          <w:sz w:val="22"/>
          <w:szCs w:val="22"/>
        </w:rPr>
        <w:t xml:space="preserve">there will be one </w:t>
      </w:r>
      <w:r w:rsidR="00F66C98">
        <w:rPr>
          <w:rFonts w:ascii="Calibri" w:hAnsi="Calibri"/>
          <w:color w:val="000000"/>
          <w:sz w:val="22"/>
          <w:szCs w:val="22"/>
        </w:rPr>
        <w:t>Drug Global Accountability Log</w:t>
      </w:r>
      <w:r w:rsidR="004F56E2">
        <w:rPr>
          <w:rFonts w:ascii="Calibri" w:hAnsi="Calibri"/>
          <w:color w:val="000000"/>
          <w:sz w:val="22"/>
          <w:szCs w:val="22"/>
        </w:rPr>
        <w:t xml:space="preserve"> filled</w:t>
      </w:r>
      <w:r w:rsidR="00F66C98">
        <w:rPr>
          <w:rFonts w:ascii="Calibri" w:hAnsi="Calibri"/>
          <w:color w:val="000000"/>
          <w:sz w:val="22"/>
          <w:szCs w:val="22"/>
        </w:rPr>
        <w:t xml:space="preserve"> out</w:t>
      </w:r>
      <w:r w:rsidR="004F56E2">
        <w:rPr>
          <w:rFonts w:ascii="Calibri" w:hAnsi="Calibri"/>
          <w:color w:val="000000"/>
          <w:sz w:val="22"/>
          <w:szCs w:val="22"/>
        </w:rPr>
        <w:t xml:space="preserve"> by the </w:t>
      </w:r>
      <w:r w:rsidR="000123A1">
        <w:rPr>
          <w:rFonts w:ascii="Calibri" w:hAnsi="Calibri"/>
          <w:color w:val="000000"/>
          <w:sz w:val="22"/>
          <w:szCs w:val="22"/>
        </w:rPr>
        <w:t>CMS</w:t>
      </w:r>
      <w:r w:rsidR="00F66C98">
        <w:rPr>
          <w:rFonts w:ascii="Calibri" w:hAnsi="Calibri"/>
          <w:color w:val="000000"/>
          <w:sz w:val="22"/>
          <w:szCs w:val="22"/>
        </w:rPr>
        <w:t>,</w:t>
      </w:r>
      <w:r w:rsidR="004F56E2">
        <w:rPr>
          <w:rFonts w:ascii="Calibri" w:hAnsi="Calibri"/>
          <w:color w:val="000000"/>
          <w:sz w:val="22"/>
          <w:szCs w:val="22"/>
        </w:rPr>
        <w:t xml:space="preserve"> and one</w:t>
      </w:r>
      <w:r w:rsidR="00F66C98">
        <w:rPr>
          <w:rFonts w:ascii="Calibri" w:hAnsi="Calibri"/>
          <w:color w:val="000000"/>
          <w:sz w:val="22"/>
          <w:szCs w:val="22"/>
        </w:rPr>
        <w:t xml:space="preserve"> other Drug Global Accountability</w:t>
      </w:r>
      <w:r w:rsidR="004F56E2">
        <w:rPr>
          <w:rFonts w:ascii="Calibri" w:hAnsi="Calibri"/>
          <w:color w:val="000000"/>
          <w:sz w:val="22"/>
          <w:szCs w:val="22"/>
        </w:rPr>
        <w:t xml:space="preserve"> L</w:t>
      </w:r>
      <w:r w:rsidR="00F66C98">
        <w:rPr>
          <w:rFonts w:ascii="Calibri" w:hAnsi="Calibri"/>
          <w:color w:val="000000"/>
          <w:sz w:val="22"/>
          <w:szCs w:val="22"/>
        </w:rPr>
        <w:t>og</w:t>
      </w:r>
      <w:r w:rsidR="004F56E2">
        <w:rPr>
          <w:rFonts w:ascii="Calibri" w:hAnsi="Calibri"/>
          <w:color w:val="000000"/>
          <w:sz w:val="22"/>
          <w:szCs w:val="22"/>
        </w:rPr>
        <w:t xml:space="preserve"> filled </w:t>
      </w:r>
      <w:r w:rsidR="00F66C98">
        <w:rPr>
          <w:rFonts w:ascii="Calibri" w:hAnsi="Calibri"/>
          <w:color w:val="000000"/>
          <w:sz w:val="22"/>
          <w:szCs w:val="22"/>
        </w:rPr>
        <w:t xml:space="preserve">out </w:t>
      </w:r>
      <w:r w:rsidR="004F56E2">
        <w:rPr>
          <w:rFonts w:ascii="Calibri" w:hAnsi="Calibri"/>
          <w:color w:val="000000"/>
          <w:sz w:val="22"/>
          <w:szCs w:val="22"/>
        </w:rPr>
        <w:t xml:space="preserve">by the </w:t>
      </w:r>
      <w:r w:rsidR="00F66C98">
        <w:rPr>
          <w:rFonts w:ascii="Calibri" w:hAnsi="Calibri"/>
          <w:color w:val="000000"/>
          <w:sz w:val="22"/>
          <w:szCs w:val="22"/>
        </w:rPr>
        <w:t>institution</w:t>
      </w:r>
      <w:r w:rsidR="004F56E2">
        <w:rPr>
          <w:rFonts w:ascii="Calibri" w:hAnsi="Calibri"/>
          <w:color w:val="000000"/>
          <w:sz w:val="22"/>
          <w:szCs w:val="22"/>
        </w:rPr>
        <w:t xml:space="preserve"> pharmacy. The data recorded </w:t>
      </w:r>
      <w:r w:rsidR="00035B05">
        <w:rPr>
          <w:rFonts w:ascii="Calibri" w:hAnsi="Calibri"/>
          <w:color w:val="000000"/>
          <w:sz w:val="22"/>
          <w:szCs w:val="22"/>
        </w:rPr>
        <w:t>on</w:t>
      </w:r>
      <w:r w:rsidR="004F56E2">
        <w:rPr>
          <w:rFonts w:ascii="Calibri" w:hAnsi="Calibri"/>
          <w:color w:val="000000"/>
          <w:sz w:val="22"/>
          <w:szCs w:val="22"/>
        </w:rPr>
        <w:t xml:space="preserve"> these 2 </w:t>
      </w:r>
      <w:r w:rsidR="00035B05">
        <w:rPr>
          <w:rFonts w:ascii="Calibri" w:hAnsi="Calibri"/>
          <w:color w:val="000000"/>
          <w:sz w:val="22"/>
          <w:szCs w:val="22"/>
        </w:rPr>
        <w:t>log</w:t>
      </w:r>
      <w:r w:rsidR="004F56E2">
        <w:rPr>
          <w:rFonts w:ascii="Calibri" w:hAnsi="Calibri"/>
          <w:color w:val="000000"/>
          <w:sz w:val="22"/>
          <w:szCs w:val="22"/>
        </w:rPr>
        <w:t>s must match (see below).</w:t>
      </w:r>
    </w:p>
    <w:p w14:paraId="0634B2E9" w14:textId="710EFDD0" w:rsidR="00484983" w:rsidRDefault="00484983" w:rsidP="000E10F3">
      <w:pPr>
        <w:rPr>
          <w:u w:val="single"/>
        </w:rPr>
      </w:pPr>
      <w:r w:rsidRPr="00752FCC">
        <w:rPr>
          <w:u w:val="single"/>
        </w:rPr>
        <w:t>The Drug Global Accountability L</w:t>
      </w:r>
      <w:r w:rsidR="00DD417F">
        <w:rPr>
          <w:u w:val="single"/>
        </w:rPr>
        <w:t>og</w:t>
      </w:r>
      <w:r w:rsidRPr="00752FCC">
        <w:rPr>
          <w:u w:val="single"/>
        </w:rPr>
        <w:t xml:space="preserve"> must match with:</w:t>
      </w:r>
    </w:p>
    <w:p w14:paraId="1662B5CB" w14:textId="76892B16" w:rsidR="00292B7F" w:rsidRDefault="00292B7F" w:rsidP="00884A11">
      <w:pPr>
        <w:pStyle w:val="NormalWeb"/>
        <w:numPr>
          <w:ilvl w:val="0"/>
          <w:numId w:val="2"/>
        </w:numPr>
        <w:spacing w:before="0" w:beforeAutospacing="0" w:after="200" w:afterAutospacing="0" w:line="276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At </w:t>
      </w:r>
      <w:r w:rsidR="000123A1">
        <w:rPr>
          <w:rFonts w:ascii="Calibri" w:hAnsi="Calibri"/>
          <w:color w:val="000000"/>
          <w:sz w:val="22"/>
          <w:szCs w:val="22"/>
        </w:rPr>
        <w:t>CMS</w:t>
      </w:r>
      <w:r>
        <w:rPr>
          <w:rFonts w:ascii="Calibri" w:hAnsi="Calibri"/>
          <w:color w:val="000000"/>
          <w:sz w:val="22"/>
          <w:szCs w:val="22"/>
        </w:rPr>
        <w:t>:</w:t>
      </w:r>
    </w:p>
    <w:p w14:paraId="4E9509D6" w14:textId="5B454642" w:rsidR="0083658D" w:rsidRPr="002A5D17" w:rsidRDefault="0083658D" w:rsidP="00884A11">
      <w:pPr>
        <w:pStyle w:val="NormalWeb"/>
        <w:numPr>
          <w:ilvl w:val="1"/>
          <w:numId w:val="2"/>
        </w:numPr>
        <w:spacing w:before="0" w:beforeAutospacing="0" w:after="200" w:afterAutospacing="0" w:line="276" w:lineRule="auto"/>
        <w:ind w:left="993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Total IP quantity recorded in the “IN” column of the Global Accountability Log</w:t>
      </w:r>
    </w:p>
    <w:p w14:paraId="5AEBCC01" w14:textId="46E85C74" w:rsidR="0083658D" w:rsidRDefault="0083658D" w:rsidP="00DF5BBC">
      <w:pPr>
        <w:pStyle w:val="NormalWeb"/>
        <w:spacing w:before="0" w:beforeAutospacing="0" w:after="200" w:afterAutospacing="0" w:line="276" w:lineRule="auto"/>
        <w:ind w:left="993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= Total IP quantity indicated on the packing list received from </w:t>
      </w:r>
      <w:r w:rsidR="00C96D55">
        <w:rPr>
          <w:rFonts w:asciiTheme="minorHAnsi" w:hAnsiTheme="minorHAnsi"/>
          <w:color w:val="000000"/>
          <w:sz w:val="22"/>
          <w:szCs w:val="22"/>
        </w:rPr>
        <w:t xml:space="preserve">MSF </w:t>
      </w:r>
      <w:proofErr w:type="spellStart"/>
      <w:r w:rsidR="00C96D55">
        <w:rPr>
          <w:rFonts w:asciiTheme="minorHAnsi" w:hAnsiTheme="minorHAnsi"/>
          <w:color w:val="000000"/>
          <w:sz w:val="22"/>
          <w:szCs w:val="22"/>
        </w:rPr>
        <w:t>Logistique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.</w:t>
      </w:r>
      <w:r w:rsidRPr="001556EE" w:rsidDel="009222D3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703A235" w14:textId="2485ED41" w:rsidR="00292B7F" w:rsidRPr="002A5D17" w:rsidRDefault="00292B7F" w:rsidP="00DF5BBC">
      <w:pPr>
        <w:pStyle w:val="NormalWeb"/>
        <w:spacing w:before="0" w:beforeAutospacing="0" w:after="200" w:afterAutospacing="0" w:line="276" w:lineRule="auto"/>
        <w:ind w:left="993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20C3EDD" w14:textId="77777777" w:rsidR="009222D3" w:rsidRPr="002A5D17" w:rsidRDefault="009222D3" w:rsidP="00884A11">
      <w:pPr>
        <w:pStyle w:val="NormalWeb"/>
        <w:numPr>
          <w:ilvl w:val="1"/>
          <w:numId w:val="2"/>
        </w:numPr>
        <w:spacing w:before="0" w:beforeAutospacing="0" w:after="200" w:afterAutospacing="0" w:line="276" w:lineRule="auto"/>
        <w:ind w:left="993"/>
        <w:contextualSpacing/>
        <w:jc w:val="both"/>
        <w:rPr>
          <w:rFonts w:ascii="Calibri" w:hAnsi="Calibri"/>
          <w:b/>
          <w:color w:val="000000"/>
          <w:sz w:val="22"/>
          <w:szCs w:val="22"/>
        </w:rPr>
      </w:pPr>
      <w:r w:rsidRPr="002A5D17">
        <w:rPr>
          <w:rFonts w:ascii="Calibri" w:hAnsi="Calibri"/>
          <w:b/>
          <w:color w:val="000000"/>
          <w:sz w:val="22"/>
          <w:szCs w:val="22"/>
        </w:rPr>
        <w:t>Total IP quantity recorded in the “OUT” column of the Global Accountability Log</w:t>
      </w:r>
    </w:p>
    <w:p w14:paraId="0CBA43F7" w14:textId="4A21F7FB" w:rsidR="0083658D" w:rsidRDefault="009222D3" w:rsidP="00D73A91">
      <w:pPr>
        <w:pStyle w:val="NormalWeb"/>
        <w:spacing w:before="0" w:beforeAutospacing="0" w:after="200" w:afterAutospacing="0" w:line="276" w:lineRule="auto"/>
        <w:ind w:left="993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= Total quantity of distributed IPs to institution pharmacy(</w:t>
      </w:r>
      <w:proofErr w:type="spellStart"/>
      <w:r>
        <w:rPr>
          <w:rFonts w:ascii="Calibri" w:hAnsi="Calibri"/>
          <w:color w:val="000000"/>
          <w:sz w:val="22"/>
          <w:szCs w:val="22"/>
        </w:rPr>
        <w:t>ies</w:t>
      </w:r>
      <w:proofErr w:type="spellEnd"/>
      <w:r>
        <w:rPr>
          <w:rFonts w:ascii="Calibri" w:hAnsi="Calibri"/>
          <w:color w:val="000000"/>
          <w:sz w:val="22"/>
          <w:szCs w:val="22"/>
        </w:rPr>
        <w:t>)</w:t>
      </w:r>
      <w:r w:rsidR="00503946">
        <w:rPr>
          <w:rFonts w:ascii="Calibri" w:hAnsi="Calibri"/>
          <w:color w:val="000000"/>
          <w:sz w:val="22"/>
          <w:szCs w:val="22"/>
        </w:rPr>
        <w:t>.</w:t>
      </w:r>
      <w:r w:rsidR="00D73A91">
        <w:rPr>
          <w:rFonts w:ascii="Calibri" w:hAnsi="Calibri"/>
          <w:color w:val="000000"/>
          <w:sz w:val="22"/>
          <w:szCs w:val="22"/>
        </w:rPr>
        <w:t xml:space="preserve"> </w:t>
      </w:r>
    </w:p>
    <w:p w14:paraId="43705694" w14:textId="0035D037" w:rsidR="0083658D" w:rsidRDefault="009222D3" w:rsidP="00DF5BBC">
      <w:pPr>
        <w:pStyle w:val="NormalWeb"/>
        <w:spacing w:before="0" w:beforeAutospacing="0" w:after="200" w:afterAutospacing="0" w:line="276" w:lineRule="auto"/>
        <w:ind w:left="993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as recorded on the Request and Supply Form</w:t>
      </w:r>
      <w:r w:rsidR="0083658D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16D48793" w14:textId="1407810E" w:rsidR="009222D3" w:rsidRDefault="0083658D" w:rsidP="00DF5BBC">
      <w:pPr>
        <w:pStyle w:val="NormalWeb"/>
        <w:spacing w:before="0" w:beforeAutospacing="0" w:after="200" w:afterAutospacing="0" w:line="276" w:lineRule="auto"/>
        <w:ind w:left="993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as recorded </w:t>
      </w:r>
      <w:r w:rsidR="009222D3">
        <w:rPr>
          <w:rFonts w:ascii="Calibri" w:hAnsi="Calibri"/>
          <w:color w:val="000000"/>
          <w:sz w:val="22"/>
          <w:szCs w:val="22"/>
        </w:rPr>
        <w:t>on the “IN” column of the Global Accountability Log at the institution pharmacy</w:t>
      </w:r>
    </w:p>
    <w:p w14:paraId="606C69E9" w14:textId="6B89FFA5" w:rsidR="0083658D" w:rsidRDefault="001556EE" w:rsidP="00DF5BBC">
      <w:pPr>
        <w:pStyle w:val="NormalWeb"/>
        <w:spacing w:before="0" w:beforeAutospacing="0" w:after="200" w:afterAutospacing="0" w:line="276" w:lineRule="auto"/>
        <w:ind w:left="993" w:firstLine="72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+</w:t>
      </w:r>
      <w:r w:rsidR="00BE1AA7">
        <w:rPr>
          <w:rFonts w:ascii="Calibri" w:hAnsi="Calibri"/>
          <w:color w:val="000000"/>
          <w:sz w:val="22"/>
          <w:szCs w:val="22"/>
        </w:rPr>
        <w:t xml:space="preserve"> </w:t>
      </w:r>
      <w:r w:rsidR="009222D3">
        <w:rPr>
          <w:rFonts w:ascii="Calibri" w:hAnsi="Calibri"/>
          <w:color w:val="000000"/>
          <w:sz w:val="22"/>
          <w:szCs w:val="22"/>
        </w:rPr>
        <w:t xml:space="preserve">Total quantity of </w:t>
      </w:r>
      <w:r w:rsidR="008817C0">
        <w:rPr>
          <w:rFonts w:ascii="Calibri" w:hAnsi="Calibri"/>
          <w:color w:val="000000"/>
          <w:sz w:val="22"/>
          <w:szCs w:val="22"/>
        </w:rPr>
        <w:t xml:space="preserve">expired or damaged </w:t>
      </w:r>
      <w:r w:rsidR="009222D3">
        <w:rPr>
          <w:rFonts w:ascii="Calibri" w:hAnsi="Calibri"/>
          <w:color w:val="000000"/>
          <w:sz w:val="22"/>
          <w:szCs w:val="22"/>
        </w:rPr>
        <w:t>IP</w:t>
      </w:r>
      <w:r w:rsidR="004C266E">
        <w:rPr>
          <w:rFonts w:ascii="Calibri" w:hAnsi="Calibri"/>
          <w:color w:val="000000"/>
          <w:sz w:val="22"/>
          <w:szCs w:val="22"/>
        </w:rPr>
        <w:t xml:space="preserve"> at CMS</w:t>
      </w:r>
      <w:r w:rsidR="009222D3">
        <w:rPr>
          <w:rFonts w:ascii="Calibri" w:hAnsi="Calibri"/>
          <w:color w:val="000000"/>
          <w:sz w:val="22"/>
          <w:szCs w:val="22"/>
        </w:rPr>
        <w:t xml:space="preserve"> </w:t>
      </w:r>
    </w:p>
    <w:p w14:paraId="218DC6D9" w14:textId="231129E7" w:rsidR="004C266E" w:rsidRPr="00E8038C" w:rsidRDefault="004C266E" w:rsidP="004C266E">
      <w:pPr>
        <w:pStyle w:val="NormalWeb"/>
        <w:spacing w:before="0" w:beforeAutospacing="0" w:after="200" w:afterAutospacing="0" w:line="276" w:lineRule="auto"/>
        <w:ind w:left="1080"/>
        <w:jc w:val="both"/>
        <w:rPr>
          <w:rFonts w:ascii="Calibri" w:hAnsi="Calibri"/>
          <w:color w:val="000000"/>
          <w:sz w:val="10"/>
          <w:szCs w:val="22"/>
        </w:rPr>
      </w:pPr>
    </w:p>
    <w:p w14:paraId="0B0420D4" w14:textId="2B817D7D" w:rsidR="00292B7F" w:rsidRDefault="00292B7F" w:rsidP="00884A11">
      <w:pPr>
        <w:pStyle w:val="NormalWeb"/>
        <w:numPr>
          <w:ilvl w:val="0"/>
          <w:numId w:val="2"/>
        </w:numPr>
        <w:spacing w:before="0" w:beforeAutospacing="0" w:after="200" w:afterAutospacing="0" w:line="276" w:lineRule="auto"/>
        <w:ind w:left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At </w:t>
      </w:r>
      <w:r w:rsidR="009222D3">
        <w:rPr>
          <w:rFonts w:ascii="Calibri" w:hAnsi="Calibri"/>
          <w:color w:val="000000"/>
          <w:sz w:val="22"/>
          <w:szCs w:val="22"/>
        </w:rPr>
        <w:t>institution</w:t>
      </w:r>
      <w:r>
        <w:rPr>
          <w:rFonts w:ascii="Calibri" w:hAnsi="Calibri"/>
          <w:color w:val="000000"/>
          <w:sz w:val="22"/>
          <w:szCs w:val="22"/>
        </w:rPr>
        <w:t xml:space="preserve"> pharmacy</w:t>
      </w:r>
      <w:r w:rsidR="00D73A91">
        <w:rPr>
          <w:rFonts w:ascii="Calibri" w:hAnsi="Calibri"/>
          <w:color w:val="000000"/>
          <w:sz w:val="22"/>
          <w:szCs w:val="22"/>
        </w:rPr>
        <w:t>:</w:t>
      </w:r>
    </w:p>
    <w:p w14:paraId="05728562" w14:textId="143344FC" w:rsidR="00DF5BBC" w:rsidRDefault="00484983" w:rsidP="0050394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ind w:left="992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</w:t>
      </w:r>
      <w:r w:rsidR="00292B7F">
        <w:rPr>
          <w:rFonts w:ascii="Calibri" w:hAnsi="Calibri"/>
          <w:color w:val="000000"/>
          <w:sz w:val="22"/>
          <w:szCs w:val="22"/>
        </w:rPr>
        <w:t xml:space="preserve">IN: </w:t>
      </w:r>
      <w:r w:rsidR="00752FCC">
        <w:rPr>
          <w:rFonts w:ascii="Calibri" w:hAnsi="Calibri"/>
          <w:color w:val="000000"/>
          <w:sz w:val="22"/>
          <w:szCs w:val="22"/>
        </w:rPr>
        <w:t xml:space="preserve">the quantities supplied to the </w:t>
      </w:r>
      <w:r w:rsidR="008817C0">
        <w:rPr>
          <w:rFonts w:ascii="Calibri" w:hAnsi="Calibri"/>
          <w:color w:val="000000"/>
          <w:sz w:val="22"/>
          <w:szCs w:val="22"/>
        </w:rPr>
        <w:t>institution</w:t>
      </w:r>
      <w:r w:rsidR="00752FCC">
        <w:rPr>
          <w:rFonts w:ascii="Calibri" w:hAnsi="Calibri"/>
          <w:color w:val="000000"/>
          <w:sz w:val="22"/>
          <w:szCs w:val="22"/>
        </w:rPr>
        <w:t xml:space="preserve"> pharmacy</w:t>
      </w:r>
      <w:r w:rsidR="00D73A91">
        <w:rPr>
          <w:rFonts w:ascii="Calibri" w:hAnsi="Calibri"/>
          <w:color w:val="000000"/>
          <w:sz w:val="22"/>
          <w:szCs w:val="22"/>
        </w:rPr>
        <w:t xml:space="preserve"> </w:t>
      </w:r>
      <w:r w:rsidR="008817C0">
        <w:rPr>
          <w:rFonts w:ascii="Calibri" w:hAnsi="Calibri"/>
          <w:color w:val="000000"/>
          <w:sz w:val="22"/>
          <w:szCs w:val="22"/>
        </w:rPr>
        <w:t>f</w:t>
      </w:r>
      <w:r w:rsidR="00FB3A2D">
        <w:rPr>
          <w:rFonts w:ascii="Calibri" w:hAnsi="Calibri"/>
          <w:color w:val="000000"/>
          <w:sz w:val="22"/>
          <w:szCs w:val="22"/>
        </w:rPr>
        <w:t>ro</w:t>
      </w:r>
      <w:r w:rsidR="008817C0">
        <w:rPr>
          <w:rFonts w:ascii="Calibri" w:hAnsi="Calibri"/>
          <w:color w:val="000000"/>
          <w:sz w:val="22"/>
          <w:szCs w:val="22"/>
        </w:rPr>
        <w:t xml:space="preserve">m the CMS as </w:t>
      </w:r>
      <w:r w:rsidR="00752FCC">
        <w:rPr>
          <w:rFonts w:ascii="Calibri" w:hAnsi="Calibri"/>
          <w:color w:val="000000"/>
          <w:sz w:val="22"/>
          <w:szCs w:val="22"/>
        </w:rPr>
        <w:t xml:space="preserve">recorded on the </w:t>
      </w:r>
      <w:r w:rsidR="00944B64">
        <w:rPr>
          <w:rFonts w:ascii="Calibri" w:hAnsi="Calibri"/>
          <w:color w:val="000000"/>
          <w:sz w:val="22"/>
          <w:szCs w:val="22"/>
        </w:rPr>
        <w:t xml:space="preserve">Request and Supply Form issued by the </w:t>
      </w:r>
      <w:r w:rsidR="008817C0">
        <w:rPr>
          <w:rFonts w:ascii="Calibri" w:hAnsi="Calibri"/>
          <w:color w:val="000000"/>
          <w:sz w:val="22"/>
          <w:szCs w:val="22"/>
        </w:rPr>
        <w:t xml:space="preserve">institution </w:t>
      </w:r>
      <w:r w:rsidR="00944B64">
        <w:rPr>
          <w:rFonts w:ascii="Calibri" w:hAnsi="Calibri"/>
          <w:color w:val="000000"/>
          <w:sz w:val="22"/>
          <w:szCs w:val="22"/>
        </w:rPr>
        <w:t>pharmacy</w:t>
      </w:r>
      <w:r w:rsidR="00503946">
        <w:rPr>
          <w:rFonts w:ascii="Calibri" w:hAnsi="Calibri"/>
          <w:color w:val="000000"/>
          <w:sz w:val="22"/>
          <w:szCs w:val="22"/>
        </w:rPr>
        <w:t>.</w:t>
      </w:r>
      <w:r w:rsidR="00D73A91">
        <w:rPr>
          <w:rFonts w:ascii="Calibri" w:hAnsi="Calibri"/>
          <w:color w:val="000000"/>
          <w:sz w:val="22"/>
          <w:szCs w:val="22"/>
        </w:rPr>
        <w:t xml:space="preserve"> </w:t>
      </w:r>
    </w:p>
    <w:p w14:paraId="5B60F021" w14:textId="1FAB42D1" w:rsidR="00FB3A2D" w:rsidRPr="00DF5BBC" w:rsidRDefault="00292B7F" w:rsidP="00503946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ind w:left="992" w:hanging="357"/>
        <w:jc w:val="both"/>
        <w:rPr>
          <w:rFonts w:ascii="Calibri" w:hAnsi="Calibri"/>
          <w:color w:val="000000"/>
          <w:sz w:val="22"/>
          <w:szCs w:val="22"/>
        </w:rPr>
      </w:pPr>
      <w:r w:rsidRPr="00DF5BBC">
        <w:rPr>
          <w:rFonts w:ascii="Calibri" w:hAnsi="Calibri"/>
          <w:color w:val="000000"/>
          <w:sz w:val="22"/>
          <w:szCs w:val="22"/>
        </w:rPr>
        <w:t xml:space="preserve">for </w:t>
      </w:r>
      <w:r w:rsidR="00484983" w:rsidRPr="00DF5BBC">
        <w:rPr>
          <w:rFonts w:ascii="Calibri" w:hAnsi="Calibri"/>
          <w:color w:val="000000"/>
          <w:sz w:val="22"/>
          <w:szCs w:val="22"/>
        </w:rPr>
        <w:t xml:space="preserve">OUT: </w:t>
      </w:r>
      <w:r w:rsidR="00944B64" w:rsidRPr="00DF5BBC">
        <w:rPr>
          <w:rFonts w:ascii="Calibri" w:hAnsi="Calibri"/>
          <w:color w:val="000000"/>
          <w:sz w:val="22"/>
          <w:szCs w:val="22"/>
        </w:rPr>
        <w:t xml:space="preserve">the quantities supplied to the ward/DOT corner recorded on the Request and Supply Form issued by the ward/DOT corner </w:t>
      </w:r>
      <w:r w:rsidR="00FB3A2D" w:rsidRPr="00DF5BBC">
        <w:rPr>
          <w:rFonts w:ascii="Calibri" w:hAnsi="Calibri"/>
          <w:color w:val="000000"/>
          <w:sz w:val="22"/>
          <w:szCs w:val="22"/>
        </w:rPr>
        <w:t>+ Total quantity of expired or damaged IP</w:t>
      </w:r>
      <w:r w:rsidR="004C266E" w:rsidRPr="00DF5BBC">
        <w:rPr>
          <w:rFonts w:ascii="Calibri" w:hAnsi="Calibri"/>
          <w:color w:val="000000"/>
          <w:sz w:val="22"/>
          <w:szCs w:val="22"/>
        </w:rPr>
        <w:t xml:space="preserve"> at the institution pharmacy</w:t>
      </w:r>
      <w:r w:rsidR="00D73A91">
        <w:rPr>
          <w:rFonts w:ascii="Calibri" w:hAnsi="Calibri"/>
          <w:color w:val="000000"/>
          <w:sz w:val="22"/>
          <w:szCs w:val="22"/>
        </w:rPr>
        <w:t>.</w:t>
      </w:r>
    </w:p>
    <w:p w14:paraId="2005512F" w14:textId="3C51358D" w:rsidR="00292B7F" w:rsidRPr="00B20CED" w:rsidRDefault="00292B7F" w:rsidP="000E10F3">
      <w:pPr>
        <w:pStyle w:val="Heading4"/>
        <w:rPr>
          <w:rStyle w:val="SubtleEmphasis"/>
          <w:b w:val="0"/>
          <w:color w:val="auto"/>
        </w:rPr>
      </w:pPr>
      <w:bookmarkStart w:id="11" w:name="_Ref453664704"/>
      <w:r w:rsidRPr="00B20CED">
        <w:rPr>
          <w:rStyle w:val="SubtleEmphasis"/>
          <w:b w:val="0"/>
          <w:color w:val="auto"/>
        </w:rPr>
        <w:t>IP Dispensation LOG</w:t>
      </w:r>
      <w:bookmarkEnd w:id="11"/>
    </w:p>
    <w:p w14:paraId="2DEEA82F" w14:textId="3055D50C" w:rsidR="00DE61D4" w:rsidRDefault="00DE61D4" w:rsidP="000E10F3">
      <w:pPr>
        <w:pStyle w:val="NormalWeb"/>
        <w:spacing w:before="0" w:beforeAutospacing="0" w:after="20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See </w:t>
      </w:r>
      <w:r w:rsidR="008A49E5">
        <w:rPr>
          <w:rFonts w:ascii="Calibri" w:hAnsi="Calibri"/>
          <w:color w:val="000000"/>
          <w:sz w:val="22"/>
          <w:szCs w:val="22"/>
        </w:rPr>
        <w:t xml:space="preserve">Appendix </w:t>
      </w:r>
      <w:r w:rsidR="00A46761">
        <w:rPr>
          <w:rFonts w:ascii="Calibri" w:hAnsi="Calibri"/>
          <w:color w:val="000000"/>
          <w:sz w:val="22"/>
          <w:szCs w:val="22"/>
        </w:rPr>
        <w:t>A</w:t>
      </w:r>
      <w:r w:rsidR="006B5A7B">
        <w:rPr>
          <w:rFonts w:ascii="Calibri" w:hAnsi="Calibri"/>
          <w:color w:val="000000"/>
          <w:sz w:val="22"/>
          <w:szCs w:val="22"/>
        </w:rPr>
        <w:t>3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662B81D5" w14:textId="27347E91" w:rsidR="00851673" w:rsidRDefault="00851673" w:rsidP="000E10F3">
      <w:pPr>
        <w:pStyle w:val="NormalWeb"/>
        <w:spacing w:before="0" w:beforeAutospacing="0" w:after="20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Each unit of </w:t>
      </w:r>
      <w:r w:rsidR="007927B5">
        <w:rPr>
          <w:rFonts w:ascii="Calibri" w:hAnsi="Calibri"/>
          <w:color w:val="000000"/>
          <w:sz w:val="22"/>
          <w:szCs w:val="22"/>
        </w:rPr>
        <w:t>the</w:t>
      </w:r>
      <w:r>
        <w:rPr>
          <w:rFonts w:ascii="Calibri" w:hAnsi="Calibri"/>
          <w:color w:val="000000"/>
          <w:sz w:val="22"/>
          <w:szCs w:val="22"/>
        </w:rPr>
        <w:t xml:space="preserve"> IP</w:t>
      </w:r>
      <w:r w:rsidR="007927B5">
        <w:rPr>
          <w:rFonts w:ascii="Calibri" w:hAnsi="Calibri"/>
          <w:color w:val="000000"/>
          <w:sz w:val="22"/>
          <w:szCs w:val="22"/>
        </w:rPr>
        <w:t>s</w:t>
      </w:r>
      <w:r>
        <w:rPr>
          <w:rFonts w:ascii="Calibri" w:hAnsi="Calibri"/>
          <w:color w:val="000000"/>
          <w:sz w:val="22"/>
          <w:szCs w:val="22"/>
        </w:rPr>
        <w:t xml:space="preserve"> dispensed to a patient</w:t>
      </w:r>
      <w:r w:rsidR="00861230">
        <w:rPr>
          <w:rFonts w:ascii="Calibri" w:hAnsi="Calibri"/>
          <w:color w:val="000000"/>
          <w:sz w:val="22"/>
          <w:szCs w:val="22"/>
        </w:rPr>
        <w:t xml:space="preserve"> must be precisely tracked. The IP Dispensation L</w:t>
      </w:r>
      <w:r w:rsidR="00533EEE">
        <w:rPr>
          <w:rFonts w:ascii="Calibri" w:hAnsi="Calibri"/>
          <w:color w:val="000000"/>
          <w:sz w:val="22"/>
          <w:szCs w:val="22"/>
        </w:rPr>
        <w:t>og</w:t>
      </w:r>
      <w:r w:rsidR="00861230">
        <w:rPr>
          <w:rFonts w:ascii="Calibri" w:hAnsi="Calibri"/>
          <w:color w:val="000000"/>
          <w:sz w:val="22"/>
          <w:szCs w:val="22"/>
        </w:rPr>
        <w:t xml:space="preserve"> </w:t>
      </w:r>
      <w:r w:rsidR="00533EEE">
        <w:rPr>
          <w:rFonts w:ascii="Calibri" w:hAnsi="Calibri"/>
          <w:color w:val="000000"/>
          <w:sz w:val="22"/>
          <w:szCs w:val="22"/>
        </w:rPr>
        <w:t>should</w:t>
      </w:r>
      <w:r w:rsidR="00861230">
        <w:rPr>
          <w:rFonts w:ascii="Calibri" w:hAnsi="Calibri"/>
          <w:color w:val="000000"/>
          <w:sz w:val="22"/>
          <w:szCs w:val="22"/>
        </w:rPr>
        <w:t xml:space="preserve"> be used for th</w:t>
      </w:r>
      <w:r w:rsidR="00533EEE">
        <w:rPr>
          <w:rFonts w:ascii="Calibri" w:hAnsi="Calibri"/>
          <w:color w:val="000000"/>
          <w:sz w:val="22"/>
          <w:szCs w:val="22"/>
        </w:rPr>
        <w:t>is</w:t>
      </w:r>
      <w:r w:rsidR="00861230">
        <w:rPr>
          <w:rFonts w:ascii="Calibri" w:hAnsi="Calibri"/>
          <w:color w:val="000000"/>
          <w:sz w:val="22"/>
          <w:szCs w:val="22"/>
        </w:rPr>
        <w:t xml:space="preserve"> purpose</w:t>
      </w:r>
      <w:r w:rsidR="00533EEE">
        <w:rPr>
          <w:rFonts w:ascii="Calibri" w:hAnsi="Calibri"/>
          <w:color w:val="000000"/>
          <w:sz w:val="22"/>
          <w:szCs w:val="22"/>
        </w:rPr>
        <w:t>;</w:t>
      </w:r>
      <w:r w:rsidR="00861230">
        <w:rPr>
          <w:rFonts w:ascii="Calibri" w:hAnsi="Calibri"/>
          <w:color w:val="000000"/>
          <w:sz w:val="22"/>
          <w:szCs w:val="22"/>
        </w:rPr>
        <w:t xml:space="preserve"> one </w:t>
      </w:r>
      <w:r w:rsidR="00533EEE">
        <w:rPr>
          <w:rFonts w:ascii="Calibri" w:hAnsi="Calibri"/>
          <w:color w:val="000000"/>
          <w:sz w:val="22"/>
          <w:szCs w:val="22"/>
        </w:rPr>
        <w:t>IP Dispensation Log should be maintained for each unique type of</w:t>
      </w:r>
      <w:r w:rsidR="00861230">
        <w:rPr>
          <w:rFonts w:ascii="Calibri" w:hAnsi="Calibri"/>
          <w:color w:val="000000"/>
          <w:sz w:val="22"/>
          <w:szCs w:val="22"/>
        </w:rPr>
        <w:t xml:space="preserve"> IP</w:t>
      </w:r>
      <w:r w:rsidR="00785AA8">
        <w:rPr>
          <w:rFonts w:ascii="Calibri" w:hAnsi="Calibri"/>
          <w:color w:val="000000"/>
          <w:sz w:val="22"/>
          <w:szCs w:val="22"/>
        </w:rPr>
        <w:t xml:space="preserve"> (i.e. two different batches will be associated to two separate logs)</w:t>
      </w:r>
      <w:r w:rsidR="00861230">
        <w:rPr>
          <w:rFonts w:ascii="Calibri" w:hAnsi="Calibri"/>
          <w:color w:val="000000"/>
          <w:sz w:val="22"/>
          <w:szCs w:val="22"/>
        </w:rPr>
        <w:t xml:space="preserve">. The </w:t>
      </w:r>
      <w:r w:rsidR="00533EEE">
        <w:rPr>
          <w:rFonts w:ascii="Calibri" w:hAnsi="Calibri"/>
          <w:color w:val="000000"/>
          <w:sz w:val="22"/>
          <w:szCs w:val="22"/>
        </w:rPr>
        <w:t>IP Dispensation Log</w:t>
      </w:r>
      <w:r w:rsidR="00861230">
        <w:rPr>
          <w:rFonts w:ascii="Calibri" w:hAnsi="Calibri"/>
          <w:color w:val="000000"/>
          <w:sz w:val="22"/>
          <w:szCs w:val="22"/>
        </w:rPr>
        <w:t xml:space="preserve"> will be used in the </w:t>
      </w:r>
      <w:r w:rsidR="00533EEE">
        <w:rPr>
          <w:rFonts w:ascii="Calibri" w:hAnsi="Calibri"/>
          <w:color w:val="000000"/>
          <w:sz w:val="22"/>
          <w:szCs w:val="22"/>
        </w:rPr>
        <w:t xml:space="preserve">designated </w:t>
      </w:r>
      <w:r w:rsidR="00861230">
        <w:rPr>
          <w:rFonts w:ascii="Calibri" w:hAnsi="Calibri"/>
          <w:color w:val="000000"/>
          <w:sz w:val="22"/>
          <w:szCs w:val="22"/>
        </w:rPr>
        <w:t>wards and</w:t>
      </w:r>
      <w:r w:rsidR="00533EEE">
        <w:rPr>
          <w:rFonts w:ascii="Calibri" w:hAnsi="Calibri"/>
          <w:color w:val="000000"/>
          <w:sz w:val="22"/>
          <w:szCs w:val="22"/>
        </w:rPr>
        <w:t>/or</w:t>
      </w:r>
      <w:r w:rsidR="00861230">
        <w:rPr>
          <w:rFonts w:ascii="Calibri" w:hAnsi="Calibri"/>
          <w:color w:val="000000"/>
          <w:sz w:val="22"/>
          <w:szCs w:val="22"/>
        </w:rPr>
        <w:t xml:space="preserve"> DOT corners </w:t>
      </w:r>
      <w:r w:rsidR="008126FF">
        <w:rPr>
          <w:rFonts w:ascii="Calibri" w:hAnsi="Calibri"/>
          <w:color w:val="000000"/>
          <w:sz w:val="22"/>
          <w:szCs w:val="22"/>
        </w:rPr>
        <w:t xml:space="preserve">or in the dispensary pharmacy (if existing) </w:t>
      </w:r>
      <w:r w:rsidR="00533EEE">
        <w:rPr>
          <w:rFonts w:ascii="Calibri" w:hAnsi="Calibri"/>
          <w:color w:val="000000"/>
          <w:sz w:val="22"/>
          <w:szCs w:val="22"/>
        </w:rPr>
        <w:t>where IPs are dispensed to participants.</w:t>
      </w:r>
    </w:p>
    <w:p w14:paraId="61F3AD05" w14:textId="469D85A7" w:rsidR="00A72E67" w:rsidRPr="005C1EF8" w:rsidRDefault="00686CC1" w:rsidP="000E10F3">
      <w:pPr>
        <w:pStyle w:val="NormalWeb"/>
        <w:spacing w:before="0" w:beforeAutospacing="0" w:after="200" w:afterAutospacing="0" w:line="276" w:lineRule="auto"/>
        <w:jc w:val="both"/>
        <w:rPr>
          <w:rFonts w:ascii="Calibri" w:eastAsia="PMingLiU" w:hAnsi="Calibri"/>
          <w:color w:val="000000"/>
          <w:sz w:val="22"/>
          <w:szCs w:val="22"/>
        </w:rPr>
      </w:pPr>
      <w:r w:rsidRPr="00686CC1">
        <w:rPr>
          <w:rFonts w:asciiTheme="minorHAnsi" w:hAnsiTheme="minorHAnsi"/>
          <w:b/>
          <w:sz w:val="22"/>
          <w:szCs w:val="22"/>
        </w:rPr>
        <w:t>Delegated Responsible nurses or study personnel in the ward and/or the DOT corners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126FF" w:rsidRPr="00686CC1">
        <w:rPr>
          <w:rFonts w:asciiTheme="minorHAnsi" w:hAnsiTheme="minorHAnsi"/>
          <w:sz w:val="22"/>
          <w:szCs w:val="22"/>
        </w:rPr>
        <w:t>and</w:t>
      </w:r>
      <w:r w:rsidR="008126FF">
        <w:rPr>
          <w:rFonts w:asciiTheme="minorHAnsi" w:hAnsiTheme="minorHAnsi"/>
          <w:b/>
          <w:sz w:val="22"/>
          <w:szCs w:val="22"/>
        </w:rPr>
        <w:t xml:space="preserve"> delegate </w:t>
      </w:r>
      <w:r>
        <w:rPr>
          <w:rFonts w:asciiTheme="minorHAnsi" w:hAnsiTheme="minorHAnsi"/>
          <w:b/>
          <w:sz w:val="22"/>
          <w:szCs w:val="22"/>
        </w:rPr>
        <w:t xml:space="preserve">Site Pharmacist </w:t>
      </w:r>
      <w:r w:rsidR="008126FF">
        <w:rPr>
          <w:rFonts w:asciiTheme="minorHAnsi" w:hAnsiTheme="minorHAnsi"/>
          <w:b/>
          <w:sz w:val="22"/>
          <w:szCs w:val="22"/>
        </w:rPr>
        <w:t>at the dispensary pharmacy (when existing)</w:t>
      </w:r>
      <w:r w:rsidR="00533EE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33EEE">
        <w:rPr>
          <w:rFonts w:ascii="Calibri" w:hAnsi="Calibri"/>
          <w:color w:val="000000"/>
          <w:sz w:val="22"/>
          <w:szCs w:val="22"/>
        </w:rPr>
        <w:t>should ensure</w:t>
      </w:r>
      <w:r w:rsidR="00C6347F">
        <w:rPr>
          <w:rFonts w:ascii="Calibri" w:hAnsi="Calibri"/>
          <w:color w:val="000000"/>
          <w:sz w:val="22"/>
          <w:szCs w:val="22"/>
        </w:rPr>
        <w:t xml:space="preserve"> that</w:t>
      </w:r>
      <w:r w:rsidR="002334DF">
        <w:rPr>
          <w:rFonts w:ascii="Calibri" w:hAnsi="Calibri"/>
          <w:color w:val="000000"/>
          <w:sz w:val="22"/>
          <w:szCs w:val="22"/>
        </w:rPr>
        <w:t xml:space="preserve"> data captured on the</w:t>
      </w:r>
      <w:r w:rsidR="00533EEE">
        <w:rPr>
          <w:rFonts w:ascii="Calibri" w:hAnsi="Calibri"/>
          <w:color w:val="000000"/>
          <w:sz w:val="22"/>
          <w:szCs w:val="22"/>
        </w:rPr>
        <w:t xml:space="preserve"> </w:t>
      </w:r>
      <w:r w:rsidR="00E74114">
        <w:rPr>
          <w:rFonts w:ascii="Calibri" w:hAnsi="Calibri"/>
          <w:color w:val="000000"/>
          <w:sz w:val="22"/>
          <w:szCs w:val="22"/>
        </w:rPr>
        <w:t>IP Dispensation L</w:t>
      </w:r>
      <w:r w:rsidR="002334DF">
        <w:rPr>
          <w:rFonts w:ascii="Calibri" w:hAnsi="Calibri"/>
          <w:color w:val="000000"/>
          <w:sz w:val="22"/>
          <w:szCs w:val="22"/>
        </w:rPr>
        <w:t>og</w:t>
      </w:r>
      <w:r w:rsidR="00E74114">
        <w:rPr>
          <w:rFonts w:ascii="Calibri" w:hAnsi="Calibri"/>
          <w:color w:val="000000"/>
          <w:sz w:val="22"/>
          <w:szCs w:val="22"/>
        </w:rPr>
        <w:t xml:space="preserve"> match with the </w:t>
      </w:r>
      <w:r w:rsidR="003B661D">
        <w:rPr>
          <w:rFonts w:ascii="Calibri" w:hAnsi="Calibri"/>
          <w:color w:val="000000"/>
          <w:sz w:val="22"/>
          <w:szCs w:val="22"/>
        </w:rPr>
        <w:t xml:space="preserve">records of participants’ treatment documentation </w:t>
      </w:r>
      <w:r w:rsidR="00E74114">
        <w:rPr>
          <w:rFonts w:ascii="Calibri" w:hAnsi="Calibri"/>
          <w:color w:val="000000"/>
          <w:sz w:val="22"/>
          <w:szCs w:val="22"/>
        </w:rPr>
        <w:t>(</w:t>
      </w:r>
      <w:r w:rsidR="00A72E67">
        <w:rPr>
          <w:rFonts w:ascii="Calibri" w:hAnsi="Calibri"/>
          <w:color w:val="000000"/>
          <w:sz w:val="22"/>
          <w:szCs w:val="22"/>
        </w:rPr>
        <w:t>units dispensed to pa</w:t>
      </w:r>
      <w:r w:rsidR="003B661D">
        <w:rPr>
          <w:rFonts w:ascii="Calibri" w:hAnsi="Calibri"/>
          <w:color w:val="000000"/>
          <w:sz w:val="22"/>
          <w:szCs w:val="22"/>
        </w:rPr>
        <w:t>rticipants</w:t>
      </w:r>
      <w:r w:rsidR="00FB3A2D">
        <w:rPr>
          <w:rFonts w:ascii="Calibri" w:hAnsi="Calibri"/>
          <w:color w:val="000000"/>
          <w:sz w:val="22"/>
          <w:szCs w:val="22"/>
        </w:rPr>
        <w:t>)</w:t>
      </w:r>
      <w:r w:rsidR="008126FF">
        <w:rPr>
          <w:rFonts w:ascii="Calibri" w:hAnsi="Calibri"/>
          <w:color w:val="000000"/>
          <w:sz w:val="22"/>
          <w:szCs w:val="22"/>
        </w:rPr>
        <w:t xml:space="preserve">. In case drugs are damaged or expired at the </w:t>
      </w:r>
      <w:r w:rsidR="008126FF" w:rsidRPr="00686CC1">
        <w:rPr>
          <w:rFonts w:asciiTheme="minorHAnsi" w:hAnsiTheme="minorHAnsi"/>
          <w:sz w:val="22"/>
          <w:szCs w:val="22"/>
        </w:rPr>
        <w:t xml:space="preserve">ward and/or the DOT corners or at the dispensary pharmacy, the quantities will be recorded in </w:t>
      </w:r>
      <w:r w:rsidR="008126FF">
        <w:rPr>
          <w:rFonts w:ascii="Calibri" w:hAnsi="Calibri"/>
          <w:color w:val="000000"/>
          <w:sz w:val="22"/>
          <w:szCs w:val="22"/>
        </w:rPr>
        <w:t xml:space="preserve">the </w:t>
      </w:r>
      <w:r w:rsidR="00A72E67" w:rsidRPr="001D12E2">
        <w:rPr>
          <w:rFonts w:ascii="Calibri" w:hAnsi="Calibri"/>
          <w:i/>
          <w:iCs/>
          <w:color w:val="000000"/>
          <w:sz w:val="22"/>
          <w:szCs w:val="22"/>
        </w:rPr>
        <w:t>unusable</w:t>
      </w:r>
      <w:r w:rsidR="00A72E67">
        <w:rPr>
          <w:rFonts w:ascii="Calibri" w:hAnsi="Calibri"/>
          <w:color w:val="000000"/>
          <w:sz w:val="22"/>
          <w:szCs w:val="22"/>
        </w:rPr>
        <w:t xml:space="preserve"> column</w:t>
      </w:r>
      <w:r w:rsidR="008126FF">
        <w:rPr>
          <w:rFonts w:ascii="Calibri" w:hAnsi="Calibri"/>
          <w:color w:val="000000"/>
          <w:sz w:val="22"/>
          <w:szCs w:val="22"/>
        </w:rPr>
        <w:t xml:space="preserve"> of the form</w:t>
      </w:r>
      <w:r w:rsidR="00A72E67">
        <w:rPr>
          <w:rFonts w:ascii="Calibri" w:hAnsi="Calibri"/>
          <w:color w:val="000000"/>
          <w:sz w:val="22"/>
          <w:szCs w:val="22"/>
        </w:rPr>
        <w:t>.</w:t>
      </w:r>
      <w:r w:rsidR="008126FF">
        <w:rPr>
          <w:rFonts w:ascii="Calibri" w:hAnsi="Calibri"/>
          <w:color w:val="000000"/>
          <w:sz w:val="22"/>
          <w:szCs w:val="22"/>
        </w:rPr>
        <w:t xml:space="preserve"> Returns from patients will never be recorded in the dispensation log. </w:t>
      </w:r>
    </w:p>
    <w:p w14:paraId="55908BEF" w14:textId="7687591F" w:rsidR="00A72E67" w:rsidRDefault="009463FF" w:rsidP="000E10F3">
      <w:pPr>
        <w:pStyle w:val="NormalWeb"/>
        <w:spacing w:before="0" w:beforeAutospacing="0" w:after="20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9463FF">
        <w:rPr>
          <w:rFonts w:ascii="Calibri" w:hAnsi="Calibri"/>
          <w:b/>
          <w:color w:val="000000"/>
          <w:sz w:val="22"/>
          <w:szCs w:val="22"/>
        </w:rPr>
        <w:t>Responsible nurses or study personnel in the ward and/or the DOT corners</w:t>
      </w:r>
      <w:r w:rsidRPr="009463FF" w:rsidDel="009463F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EA61B8" w:rsidRPr="00EA61B8">
        <w:rPr>
          <w:rFonts w:ascii="Calibri" w:hAnsi="Calibri"/>
          <w:color w:val="000000"/>
          <w:sz w:val="22"/>
          <w:szCs w:val="22"/>
        </w:rPr>
        <w:t>should consolidate all IP dispensing records each day and complete the IP Dispensation Log accordingly</w:t>
      </w:r>
    </w:p>
    <w:p w14:paraId="51FE08B8" w14:textId="128034F2" w:rsidR="00093C01" w:rsidRPr="00B20CED" w:rsidRDefault="00093C01" w:rsidP="000E10F3">
      <w:pPr>
        <w:pStyle w:val="Heading3"/>
      </w:pPr>
      <w:bookmarkStart w:id="12" w:name="_Toc181293183"/>
      <w:r w:rsidRPr="00B20CED">
        <w:t>Physical Inventory</w:t>
      </w:r>
      <w:r w:rsidR="00533EEE" w:rsidRPr="00B20CED">
        <w:t xml:space="preserve"> of IPs</w:t>
      </w:r>
      <w:bookmarkEnd w:id="12"/>
    </w:p>
    <w:p w14:paraId="718CFA42" w14:textId="2FF5692D" w:rsidR="00093C01" w:rsidRDefault="00093C01" w:rsidP="000E10F3">
      <w:pPr>
        <w:pStyle w:val="NormalWeb"/>
        <w:spacing w:before="0" w:beforeAutospacing="0" w:after="20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Whenever a Request and Supply Form is completed, a physical inventory must be done</w:t>
      </w:r>
      <w:r w:rsidR="00A72E67">
        <w:rPr>
          <w:rFonts w:ascii="Calibri" w:hAnsi="Calibri"/>
          <w:color w:val="000000"/>
          <w:sz w:val="22"/>
          <w:szCs w:val="22"/>
        </w:rPr>
        <w:t xml:space="preserve"> to complete the column “stock on hand”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6A7253C5" w14:textId="5B7F2BAA" w:rsidR="00093C01" w:rsidRDefault="00093C01" w:rsidP="000E10F3">
      <w:pPr>
        <w:pStyle w:val="NormalWeb"/>
        <w:spacing w:before="0" w:beforeAutospacing="0" w:after="20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For </w:t>
      </w:r>
      <w:r w:rsidR="000123A1">
        <w:rPr>
          <w:rFonts w:ascii="Calibri" w:hAnsi="Calibri"/>
          <w:color w:val="000000"/>
          <w:sz w:val="22"/>
          <w:szCs w:val="22"/>
        </w:rPr>
        <w:t>CMS</w:t>
      </w:r>
      <w:r w:rsidR="00944AEE">
        <w:rPr>
          <w:rFonts w:ascii="Calibri" w:hAnsi="Calibri"/>
          <w:color w:val="000000"/>
          <w:sz w:val="22"/>
          <w:szCs w:val="22"/>
        </w:rPr>
        <w:t>, dispensary pharmacy (when existing)</w:t>
      </w:r>
      <w:r w:rsidR="00D609F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and </w:t>
      </w:r>
      <w:r w:rsidR="00B96915">
        <w:rPr>
          <w:rFonts w:ascii="Calibri" w:hAnsi="Calibri"/>
          <w:color w:val="000000"/>
          <w:sz w:val="22"/>
          <w:szCs w:val="22"/>
        </w:rPr>
        <w:t>institution</w:t>
      </w:r>
      <w:r>
        <w:rPr>
          <w:rFonts w:ascii="Calibri" w:hAnsi="Calibri"/>
          <w:color w:val="000000"/>
          <w:sz w:val="22"/>
          <w:szCs w:val="22"/>
        </w:rPr>
        <w:t xml:space="preserve"> pharma</w:t>
      </w:r>
      <w:r w:rsidR="00B96915">
        <w:rPr>
          <w:rFonts w:ascii="Calibri" w:hAnsi="Calibri"/>
          <w:color w:val="000000"/>
          <w:sz w:val="22"/>
          <w:szCs w:val="22"/>
        </w:rPr>
        <w:t>cies</w:t>
      </w:r>
      <w:r>
        <w:rPr>
          <w:rFonts w:ascii="Calibri" w:hAnsi="Calibri"/>
          <w:color w:val="000000"/>
          <w:sz w:val="22"/>
          <w:szCs w:val="22"/>
        </w:rPr>
        <w:t xml:space="preserve">, it is mandatory </w:t>
      </w:r>
      <w:r w:rsidR="00B96915">
        <w:rPr>
          <w:rFonts w:ascii="Calibri" w:hAnsi="Calibri"/>
          <w:color w:val="000000"/>
          <w:sz w:val="22"/>
          <w:szCs w:val="22"/>
        </w:rPr>
        <w:t xml:space="preserve">for </w:t>
      </w:r>
      <w:r w:rsidR="00686CC1" w:rsidRPr="00686CC1">
        <w:rPr>
          <w:rFonts w:ascii="Calibri" w:hAnsi="Calibri"/>
          <w:b/>
          <w:color w:val="000000"/>
          <w:sz w:val="22"/>
          <w:szCs w:val="22"/>
        </w:rPr>
        <w:t xml:space="preserve">delegated Site Pharmacist </w:t>
      </w:r>
      <w:r w:rsidRPr="00686CC1">
        <w:rPr>
          <w:rFonts w:ascii="Calibri" w:hAnsi="Calibri"/>
          <w:color w:val="000000"/>
          <w:sz w:val="22"/>
          <w:szCs w:val="22"/>
        </w:rPr>
        <w:t>to</w:t>
      </w:r>
      <w:r>
        <w:rPr>
          <w:rFonts w:ascii="Calibri" w:hAnsi="Calibri"/>
          <w:color w:val="000000"/>
          <w:sz w:val="22"/>
          <w:szCs w:val="22"/>
        </w:rPr>
        <w:t xml:space="preserve"> do a physical </w:t>
      </w:r>
      <w:r w:rsidR="00B96915">
        <w:rPr>
          <w:rFonts w:ascii="Calibri" w:hAnsi="Calibri"/>
          <w:color w:val="000000"/>
          <w:sz w:val="22"/>
          <w:szCs w:val="22"/>
        </w:rPr>
        <w:t xml:space="preserve">stock </w:t>
      </w:r>
      <w:r>
        <w:rPr>
          <w:rFonts w:ascii="Calibri" w:hAnsi="Calibri"/>
          <w:color w:val="000000"/>
          <w:sz w:val="22"/>
          <w:szCs w:val="22"/>
        </w:rPr>
        <w:t>inventory every month</w:t>
      </w:r>
      <w:r w:rsidR="00B96915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686CC1">
        <w:rPr>
          <w:rFonts w:ascii="Calibri" w:hAnsi="Calibri"/>
          <w:b/>
          <w:color w:val="000000"/>
          <w:sz w:val="22"/>
          <w:szCs w:val="22"/>
        </w:rPr>
        <w:t>D</w:t>
      </w:r>
      <w:r w:rsidR="00686CC1" w:rsidRPr="00686CC1">
        <w:rPr>
          <w:rFonts w:ascii="Calibri" w:hAnsi="Calibri"/>
          <w:b/>
          <w:color w:val="000000"/>
          <w:sz w:val="22"/>
          <w:szCs w:val="22"/>
        </w:rPr>
        <w:t xml:space="preserve">elegated Site Pharmacist </w:t>
      </w:r>
      <w:r w:rsidR="00B96915">
        <w:rPr>
          <w:rFonts w:ascii="Calibri" w:hAnsi="Calibri"/>
          <w:b/>
          <w:color w:val="000000"/>
          <w:sz w:val="22"/>
          <w:szCs w:val="22"/>
        </w:rPr>
        <w:t xml:space="preserve">at designated pharmacies </w:t>
      </w:r>
      <w:r w:rsidR="00B96915">
        <w:rPr>
          <w:rFonts w:ascii="Calibri" w:hAnsi="Calibri"/>
          <w:color w:val="000000"/>
          <w:sz w:val="22"/>
          <w:szCs w:val="22"/>
        </w:rPr>
        <w:t xml:space="preserve">must </w:t>
      </w:r>
      <w:r>
        <w:rPr>
          <w:rFonts w:ascii="Calibri" w:hAnsi="Calibri"/>
          <w:color w:val="000000"/>
          <w:sz w:val="22"/>
          <w:szCs w:val="22"/>
        </w:rPr>
        <w:t xml:space="preserve">enter </w:t>
      </w:r>
      <w:r w:rsidR="00B96915">
        <w:rPr>
          <w:rFonts w:ascii="Calibri" w:hAnsi="Calibri"/>
          <w:color w:val="000000"/>
          <w:sz w:val="22"/>
          <w:szCs w:val="22"/>
        </w:rPr>
        <w:t>the</w:t>
      </w:r>
      <w:r w:rsidR="00082151">
        <w:rPr>
          <w:rFonts w:ascii="Calibri" w:hAnsi="Calibri"/>
          <w:color w:val="000000"/>
          <w:sz w:val="22"/>
          <w:szCs w:val="22"/>
        </w:rPr>
        <w:t xml:space="preserve"> inventory record</w:t>
      </w:r>
      <w:r>
        <w:rPr>
          <w:rFonts w:ascii="Calibri" w:hAnsi="Calibri"/>
          <w:color w:val="000000"/>
          <w:sz w:val="22"/>
          <w:szCs w:val="22"/>
        </w:rPr>
        <w:t xml:space="preserve"> on the Drug Global Accountability L</w:t>
      </w:r>
      <w:r w:rsidR="00082151">
        <w:rPr>
          <w:rFonts w:ascii="Calibri" w:hAnsi="Calibri"/>
          <w:color w:val="000000"/>
          <w:sz w:val="22"/>
          <w:szCs w:val="22"/>
        </w:rPr>
        <w:t>og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944AEE">
        <w:rPr>
          <w:rFonts w:ascii="Calibri" w:hAnsi="Calibri"/>
          <w:color w:val="000000"/>
          <w:sz w:val="22"/>
          <w:szCs w:val="22"/>
        </w:rPr>
        <w:t xml:space="preserve">(for CMS and institution pharmacies) and on the dispensation log (for dispensary pharmacy if existing) </w:t>
      </w:r>
      <w:r>
        <w:rPr>
          <w:rFonts w:ascii="Calibri" w:hAnsi="Calibri"/>
          <w:color w:val="000000"/>
          <w:sz w:val="22"/>
          <w:szCs w:val="22"/>
        </w:rPr>
        <w:t xml:space="preserve">and compare the physical quantity </w:t>
      </w:r>
      <w:r w:rsidR="00082151">
        <w:rPr>
          <w:rFonts w:ascii="Calibri" w:hAnsi="Calibri"/>
          <w:color w:val="000000"/>
          <w:sz w:val="22"/>
          <w:szCs w:val="22"/>
        </w:rPr>
        <w:t>against</w:t>
      </w:r>
      <w:r>
        <w:rPr>
          <w:rFonts w:ascii="Calibri" w:hAnsi="Calibri"/>
          <w:color w:val="000000"/>
          <w:sz w:val="22"/>
          <w:szCs w:val="22"/>
        </w:rPr>
        <w:t xml:space="preserve"> the theoretical quantity. In case of discrepancy, </w:t>
      </w:r>
      <w:r w:rsidR="00D609F5">
        <w:rPr>
          <w:rFonts w:ascii="Calibri" w:hAnsi="Calibri"/>
          <w:color w:val="000000"/>
          <w:sz w:val="22"/>
          <w:szCs w:val="22"/>
        </w:rPr>
        <w:t xml:space="preserve">the </w:t>
      </w:r>
      <w:r w:rsidR="00686CC1" w:rsidRPr="00686CC1">
        <w:rPr>
          <w:rFonts w:ascii="Calibri" w:hAnsi="Calibri"/>
          <w:b/>
          <w:color w:val="000000"/>
          <w:sz w:val="22"/>
          <w:szCs w:val="22"/>
        </w:rPr>
        <w:t>delegated Site Pharmacist</w:t>
      </w:r>
      <w:r w:rsidR="00082151" w:rsidRPr="005C1EF8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82151">
        <w:rPr>
          <w:rFonts w:ascii="Calibri" w:hAnsi="Calibri"/>
          <w:color w:val="000000"/>
          <w:sz w:val="22"/>
          <w:szCs w:val="22"/>
        </w:rPr>
        <w:t>must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082151">
        <w:rPr>
          <w:rFonts w:ascii="Calibri" w:hAnsi="Calibri"/>
          <w:color w:val="000000"/>
          <w:sz w:val="22"/>
          <w:szCs w:val="22"/>
        </w:rPr>
        <w:t xml:space="preserve">verify all </w:t>
      </w:r>
      <w:r>
        <w:rPr>
          <w:rFonts w:ascii="Calibri" w:hAnsi="Calibri"/>
          <w:color w:val="000000"/>
          <w:sz w:val="22"/>
          <w:szCs w:val="22"/>
        </w:rPr>
        <w:t xml:space="preserve">existing </w:t>
      </w:r>
      <w:r w:rsidR="00082151">
        <w:rPr>
          <w:rFonts w:ascii="Calibri" w:hAnsi="Calibri"/>
          <w:color w:val="000000"/>
          <w:sz w:val="22"/>
          <w:szCs w:val="22"/>
        </w:rPr>
        <w:t xml:space="preserve">IP </w:t>
      </w:r>
      <w:r>
        <w:rPr>
          <w:rFonts w:ascii="Calibri" w:hAnsi="Calibri"/>
          <w:color w:val="000000"/>
          <w:sz w:val="22"/>
          <w:szCs w:val="22"/>
        </w:rPr>
        <w:t>documents</w:t>
      </w:r>
      <w:r w:rsidR="00082151">
        <w:rPr>
          <w:rFonts w:ascii="Calibri" w:hAnsi="Calibri"/>
          <w:color w:val="000000"/>
          <w:sz w:val="22"/>
          <w:szCs w:val="22"/>
        </w:rPr>
        <w:t>, including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082151">
        <w:rPr>
          <w:rFonts w:ascii="Calibri" w:hAnsi="Calibri"/>
          <w:color w:val="000000"/>
          <w:sz w:val="22"/>
          <w:szCs w:val="22"/>
        </w:rPr>
        <w:t xml:space="preserve">shipment </w:t>
      </w:r>
      <w:r>
        <w:rPr>
          <w:rFonts w:ascii="Calibri" w:hAnsi="Calibri"/>
          <w:color w:val="000000"/>
          <w:sz w:val="22"/>
          <w:szCs w:val="22"/>
        </w:rPr>
        <w:t>packing list, Request and Supply Form</w:t>
      </w:r>
      <w:r w:rsidR="00082151">
        <w:rPr>
          <w:rFonts w:ascii="Calibri" w:hAnsi="Calibri"/>
          <w:color w:val="000000"/>
          <w:sz w:val="22"/>
          <w:szCs w:val="22"/>
        </w:rPr>
        <w:t>s</w:t>
      </w:r>
      <w:r w:rsidR="004C266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to </w:t>
      </w:r>
      <w:r w:rsidR="00EF68B6">
        <w:rPr>
          <w:rFonts w:ascii="Calibri" w:hAnsi="Calibri"/>
          <w:color w:val="000000"/>
          <w:sz w:val="22"/>
          <w:szCs w:val="22"/>
        </w:rPr>
        <w:t>detect documentation error(s) for</w:t>
      </w:r>
      <w:r>
        <w:rPr>
          <w:rFonts w:ascii="Calibri" w:hAnsi="Calibri"/>
          <w:color w:val="000000"/>
          <w:sz w:val="22"/>
          <w:szCs w:val="22"/>
        </w:rPr>
        <w:t xml:space="preserve"> correct</w:t>
      </w:r>
      <w:r w:rsidR="00EF68B6">
        <w:rPr>
          <w:rFonts w:ascii="Calibri" w:hAnsi="Calibri"/>
          <w:color w:val="000000"/>
          <w:sz w:val="22"/>
          <w:szCs w:val="22"/>
        </w:rPr>
        <w:t>ion</w:t>
      </w:r>
      <w:r>
        <w:rPr>
          <w:rFonts w:ascii="Calibri" w:hAnsi="Calibri"/>
          <w:color w:val="000000"/>
          <w:sz w:val="22"/>
          <w:szCs w:val="22"/>
        </w:rPr>
        <w:t>.</w:t>
      </w:r>
      <w:r w:rsidR="001A73ED">
        <w:rPr>
          <w:rFonts w:ascii="Calibri" w:hAnsi="Calibri"/>
          <w:color w:val="000000"/>
          <w:sz w:val="22"/>
          <w:szCs w:val="22"/>
        </w:rPr>
        <w:t xml:space="preserve"> To record the physical inventory on the “Drug Global Accountability LOG”</w:t>
      </w:r>
      <w:r w:rsidR="00944AEE">
        <w:rPr>
          <w:rFonts w:ascii="Calibri" w:hAnsi="Calibri"/>
          <w:color w:val="000000"/>
          <w:sz w:val="22"/>
          <w:szCs w:val="22"/>
        </w:rPr>
        <w:t xml:space="preserve"> or “dispensation log”</w:t>
      </w:r>
      <w:r w:rsidR="001A73ED">
        <w:rPr>
          <w:rFonts w:ascii="Calibri" w:hAnsi="Calibri"/>
          <w:color w:val="000000"/>
          <w:sz w:val="22"/>
          <w:szCs w:val="22"/>
        </w:rPr>
        <w:t xml:space="preserve">, </w:t>
      </w:r>
      <w:r w:rsidR="00686CC1" w:rsidRPr="00686CC1">
        <w:rPr>
          <w:rFonts w:ascii="Calibri" w:hAnsi="Calibri"/>
          <w:b/>
          <w:color w:val="000000"/>
          <w:sz w:val="22"/>
          <w:szCs w:val="22"/>
        </w:rPr>
        <w:t xml:space="preserve">delegated Site Pharmacist </w:t>
      </w:r>
      <w:r w:rsidR="005D1E08">
        <w:rPr>
          <w:rFonts w:ascii="Calibri" w:hAnsi="Calibri"/>
          <w:color w:val="000000"/>
          <w:sz w:val="22"/>
          <w:szCs w:val="22"/>
        </w:rPr>
        <w:t xml:space="preserve">should use </w:t>
      </w:r>
      <w:r w:rsidR="001A73ED">
        <w:rPr>
          <w:rFonts w:ascii="Calibri" w:hAnsi="Calibri"/>
          <w:color w:val="000000"/>
          <w:sz w:val="22"/>
          <w:szCs w:val="22"/>
        </w:rPr>
        <w:t>a new line</w:t>
      </w:r>
      <w:r w:rsidR="005D1E08">
        <w:rPr>
          <w:rFonts w:ascii="Calibri" w:hAnsi="Calibri"/>
          <w:color w:val="000000"/>
          <w:sz w:val="22"/>
          <w:szCs w:val="22"/>
        </w:rPr>
        <w:t>/row whenever a new entry is to be made</w:t>
      </w:r>
      <w:r w:rsidR="001A73ED">
        <w:rPr>
          <w:rFonts w:ascii="Calibri" w:hAnsi="Calibri"/>
          <w:color w:val="000000"/>
          <w:sz w:val="22"/>
          <w:szCs w:val="22"/>
        </w:rPr>
        <w:t>.</w:t>
      </w:r>
    </w:p>
    <w:p w14:paraId="6C25BA43" w14:textId="77777777" w:rsidR="00217C5E" w:rsidRPr="00B20CED" w:rsidRDefault="00217C5E" w:rsidP="000E10F3">
      <w:pPr>
        <w:pStyle w:val="Heading2"/>
      </w:pPr>
      <w:bookmarkStart w:id="13" w:name="_Toc181293184"/>
      <w:r w:rsidRPr="00B20CED">
        <w:t>REFERENCES</w:t>
      </w:r>
      <w:bookmarkEnd w:id="13"/>
    </w:p>
    <w:p w14:paraId="7B7E049C" w14:textId="1498516C" w:rsidR="00217C5E" w:rsidRDefault="00883B46" w:rsidP="00503946">
      <w:pPr>
        <w:pStyle w:val="NormalWeb"/>
        <w:spacing w:before="0" w:beforeAutospacing="0" w:after="120" w:afterAutospacing="0" w:line="276" w:lineRule="auto"/>
        <w:ind w:left="-284" w:firstLine="720"/>
        <w:jc w:val="both"/>
        <w:rPr>
          <w:rFonts w:ascii="Calibri" w:hAnsi="Calibri"/>
          <w:color w:val="000000"/>
          <w:sz w:val="22"/>
          <w:szCs w:val="22"/>
        </w:rPr>
      </w:pPr>
      <w:r w:rsidRPr="458ED869">
        <w:rPr>
          <w:rFonts w:ascii="Calibri" w:hAnsi="Calibri"/>
          <w:color w:val="000000" w:themeColor="text1"/>
          <w:sz w:val="22"/>
          <w:szCs w:val="22"/>
        </w:rPr>
        <w:t>None</w:t>
      </w:r>
    </w:p>
    <w:p w14:paraId="2C0D96EC" w14:textId="7F66B3ED" w:rsidR="002A1FF0" w:rsidRPr="00B20CED" w:rsidRDefault="002A1FF0" w:rsidP="00312A21">
      <w:pPr>
        <w:pStyle w:val="Heading2"/>
      </w:pPr>
      <w:bookmarkStart w:id="14" w:name="_Toc181293185"/>
      <w:r>
        <w:t>SUPPORTING DOCUMENTS</w:t>
      </w:r>
      <w:bookmarkEnd w:id="14"/>
    </w:p>
    <w:p w14:paraId="4BB2B63B" w14:textId="77777777" w:rsidR="00DD124B" w:rsidRPr="00E477FE" w:rsidRDefault="00DD124B" w:rsidP="00884A11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357" w:hanging="357"/>
        <w:jc w:val="both"/>
        <w:rPr>
          <w:rStyle w:val="eop"/>
          <w:rFonts w:ascii="Calibri" w:hAnsi="Calibri"/>
          <w:color w:val="000000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FF"/>
        </w:rPr>
        <w:t>endTB Pharmacy Manual (endTB Site Study Documents)</w:t>
      </w:r>
      <w:r>
        <w:rPr>
          <w:rStyle w:val="eop"/>
          <w:rFonts w:ascii="Calibri" w:eastAsiaTheme="majorEastAsia" w:hAnsi="Calibri" w:cs="Calibri"/>
          <w:sz w:val="22"/>
          <w:szCs w:val="22"/>
          <w:shd w:val="clear" w:color="auto" w:fill="FFFFFF"/>
        </w:rPr>
        <w:t> </w:t>
      </w:r>
    </w:p>
    <w:p w14:paraId="6EE9BC74" w14:textId="2205E3E1" w:rsidR="002A1FF0" w:rsidRDefault="002A1FF0" w:rsidP="00884A11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312A21">
        <w:rPr>
          <w:rFonts w:ascii="Calibri" w:hAnsi="Calibri"/>
          <w:color w:val="000000"/>
          <w:sz w:val="22"/>
          <w:szCs w:val="22"/>
        </w:rPr>
        <w:t>endTB Site Delegation and Signature Log</w:t>
      </w:r>
      <w:r w:rsidR="00883B46">
        <w:rPr>
          <w:rFonts w:ascii="Calibri" w:hAnsi="Calibri"/>
          <w:color w:val="000000"/>
          <w:sz w:val="22"/>
          <w:szCs w:val="22"/>
        </w:rPr>
        <w:t xml:space="preserve"> (endTB Site Study Documents)</w:t>
      </w:r>
    </w:p>
    <w:p w14:paraId="6E33767B" w14:textId="6CB56690" w:rsidR="004E5D4D" w:rsidRDefault="004E5D4D" w:rsidP="00884A11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SOP </w:t>
      </w:r>
      <w:r w:rsidR="00E41235">
        <w:rPr>
          <w:rFonts w:ascii="Calibri" w:hAnsi="Calibri"/>
          <w:color w:val="000000"/>
          <w:sz w:val="22"/>
          <w:szCs w:val="22"/>
        </w:rPr>
        <w:t>IP-</w:t>
      </w:r>
      <w:r w:rsidRPr="00E41235">
        <w:rPr>
          <w:rFonts w:ascii="Calibri" w:hAnsi="Calibri"/>
          <w:color w:val="000000"/>
          <w:sz w:val="22"/>
          <w:szCs w:val="22"/>
        </w:rPr>
        <w:t>001-CT IP Storage</w:t>
      </w:r>
      <w:r w:rsidR="009C6BF5">
        <w:rPr>
          <w:rFonts w:ascii="Calibri" w:hAnsi="Calibri"/>
          <w:color w:val="000000"/>
          <w:sz w:val="22"/>
          <w:szCs w:val="22"/>
        </w:rPr>
        <w:t xml:space="preserve"> (endTB Site Study Documents)</w:t>
      </w:r>
    </w:p>
    <w:p w14:paraId="395599FC" w14:textId="60AD5C44" w:rsidR="00E41235" w:rsidRPr="00E41235" w:rsidRDefault="00E41235" w:rsidP="00884A11">
      <w:pPr>
        <w:pStyle w:val="ListParagraph"/>
        <w:numPr>
          <w:ilvl w:val="0"/>
          <w:numId w:val="6"/>
        </w:numPr>
      </w:pPr>
      <w:r w:rsidRPr="00BA68E8">
        <w:t xml:space="preserve">SOP IP-005-CT IP Return </w:t>
      </w:r>
      <w:r w:rsidRPr="00BA68E8">
        <w:rPr>
          <w:spacing w:val="-1"/>
        </w:rPr>
        <w:t>(endTB Site Study Document</w:t>
      </w:r>
      <w:r w:rsidR="005D471C">
        <w:rPr>
          <w:spacing w:val="-1"/>
        </w:rPr>
        <w:t>s</w:t>
      </w:r>
      <w:r w:rsidRPr="00BA68E8">
        <w:rPr>
          <w:spacing w:val="-1"/>
        </w:rPr>
        <w:t>)</w:t>
      </w:r>
    </w:p>
    <w:p w14:paraId="070C4469" w14:textId="4161BA56" w:rsidR="00E41235" w:rsidRPr="00EA4C09" w:rsidRDefault="00E41235" w:rsidP="00884A11">
      <w:pPr>
        <w:pStyle w:val="ListParagraph"/>
        <w:numPr>
          <w:ilvl w:val="0"/>
          <w:numId w:val="6"/>
        </w:numPr>
        <w:spacing w:after="0"/>
      </w:pPr>
      <w:r w:rsidRPr="00BA68E8">
        <w:rPr>
          <w:color w:val="000000" w:themeColor="text1"/>
        </w:rPr>
        <w:t>SOP IP-006-CT IP</w:t>
      </w:r>
      <w:r>
        <w:rPr>
          <w:color w:val="000000" w:themeColor="text1"/>
        </w:rPr>
        <w:t xml:space="preserve"> Destruction </w:t>
      </w:r>
      <w:r>
        <w:rPr>
          <w:spacing w:val="-1"/>
        </w:rPr>
        <w:t>(endTB Site Study Document</w:t>
      </w:r>
      <w:r w:rsidR="005D471C">
        <w:rPr>
          <w:spacing w:val="-1"/>
        </w:rPr>
        <w:t>s</w:t>
      </w:r>
      <w:r>
        <w:rPr>
          <w:spacing w:val="-1"/>
        </w:rPr>
        <w:t>)</w:t>
      </w:r>
    </w:p>
    <w:p w14:paraId="35FD48EA" w14:textId="77777777" w:rsidR="00EA4C09" w:rsidRPr="00255AB4" w:rsidRDefault="00EA4C09" w:rsidP="00884A11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357" w:hanging="357"/>
        <w:jc w:val="both"/>
        <w:rPr>
          <w:rFonts w:ascii="Calibri" w:hAnsi="Calibri"/>
          <w:color w:val="000000"/>
          <w:sz w:val="22"/>
          <w:szCs w:val="22"/>
          <w:lang w:val="fr-FR"/>
        </w:rPr>
      </w:pPr>
      <w:r w:rsidRPr="00255AB4">
        <w:rPr>
          <w:rFonts w:ascii="Calibri" w:hAnsi="Calibri"/>
          <w:color w:val="000000"/>
          <w:sz w:val="22"/>
          <w:szCs w:val="22"/>
          <w:lang w:val="fr-FR"/>
        </w:rPr>
        <w:t xml:space="preserve">SOP SM-002-CT Source Documentation (endTB Site </w:t>
      </w:r>
      <w:proofErr w:type="spellStart"/>
      <w:r w:rsidRPr="00255AB4">
        <w:rPr>
          <w:rFonts w:ascii="Calibri" w:hAnsi="Calibri"/>
          <w:color w:val="000000"/>
          <w:sz w:val="22"/>
          <w:szCs w:val="22"/>
          <w:lang w:val="fr-FR"/>
        </w:rPr>
        <w:t>Study</w:t>
      </w:r>
      <w:proofErr w:type="spellEnd"/>
      <w:r w:rsidRPr="00255AB4">
        <w:rPr>
          <w:rFonts w:ascii="Calibri" w:hAnsi="Calibri"/>
          <w:color w:val="000000"/>
          <w:sz w:val="22"/>
          <w:szCs w:val="22"/>
          <w:lang w:val="fr-FR"/>
        </w:rPr>
        <w:t xml:space="preserve"> Documents)</w:t>
      </w:r>
    </w:p>
    <w:p w14:paraId="2C83C750" w14:textId="75BB5C98" w:rsidR="00217C5E" w:rsidRDefault="00217C5E" w:rsidP="000E10F3">
      <w:pPr>
        <w:pStyle w:val="Heading2"/>
      </w:pPr>
      <w:bookmarkStart w:id="15" w:name="_Toc181293186"/>
      <w:r w:rsidRPr="00B20CED">
        <w:t>APPENDIX</w:t>
      </w:r>
      <w:bookmarkEnd w:id="15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186"/>
      </w:tblGrid>
      <w:tr w:rsidR="00AF3E22" w14:paraId="10857344" w14:textId="77777777" w:rsidTr="00312A21">
        <w:tc>
          <w:tcPr>
            <w:tcW w:w="1384" w:type="dxa"/>
            <w:vAlign w:val="center"/>
          </w:tcPr>
          <w:p w14:paraId="3A7F77C4" w14:textId="77777777" w:rsidR="00AF3E22" w:rsidRDefault="00AF3E22" w:rsidP="00F07871">
            <w:pPr>
              <w:spacing w:before="120" w:after="120"/>
              <w:jc w:val="both"/>
            </w:pPr>
            <w:r>
              <w:rPr>
                <w:b/>
              </w:rPr>
              <w:t>Number</w:t>
            </w:r>
          </w:p>
        </w:tc>
        <w:tc>
          <w:tcPr>
            <w:tcW w:w="8186" w:type="dxa"/>
          </w:tcPr>
          <w:p w14:paraId="472278EA" w14:textId="77777777" w:rsidR="00AF3E22" w:rsidRDefault="00AF3E22" w:rsidP="00F07871">
            <w:pPr>
              <w:spacing w:before="120" w:after="120"/>
              <w:jc w:val="both"/>
            </w:pPr>
            <w:r>
              <w:rPr>
                <w:b/>
              </w:rPr>
              <w:t>Title</w:t>
            </w:r>
          </w:p>
        </w:tc>
      </w:tr>
      <w:tr w:rsidR="00AF3E22" w14:paraId="4DDC27AA" w14:textId="77777777" w:rsidTr="00312A21">
        <w:tc>
          <w:tcPr>
            <w:tcW w:w="1384" w:type="dxa"/>
            <w:vAlign w:val="center"/>
          </w:tcPr>
          <w:p w14:paraId="1EDE3583" w14:textId="67AD3242" w:rsidR="00AF3E22" w:rsidRDefault="00D136F7" w:rsidP="00F07871">
            <w:pPr>
              <w:spacing w:before="120" w:after="120"/>
              <w:jc w:val="both"/>
            </w:pPr>
            <w:r>
              <w:t xml:space="preserve">endTB </w:t>
            </w:r>
            <w:r w:rsidR="00AF3E22">
              <w:t>A1</w:t>
            </w:r>
          </w:p>
          <w:p w14:paraId="6AA3AB67" w14:textId="2F5EFB24" w:rsidR="00D136F7" w:rsidRDefault="00D136F7" w:rsidP="00F07871">
            <w:pPr>
              <w:spacing w:before="120" w:after="120"/>
              <w:jc w:val="both"/>
            </w:pPr>
            <w:r>
              <w:t>endTB-Q A1</w:t>
            </w:r>
          </w:p>
        </w:tc>
        <w:tc>
          <w:tcPr>
            <w:tcW w:w="8186" w:type="dxa"/>
          </w:tcPr>
          <w:p w14:paraId="0A39FA39" w14:textId="604B4F72" w:rsidR="00AF3E22" w:rsidRDefault="00AF3E22" w:rsidP="00F07871">
            <w:pPr>
              <w:spacing w:before="120" w:after="120"/>
              <w:jc w:val="both"/>
            </w:pPr>
            <w:r>
              <w:t>IP-004-CT</w:t>
            </w:r>
            <w:r w:rsidR="009C6BF5">
              <w:t>_</w:t>
            </w:r>
            <w:r w:rsidR="00D136F7">
              <w:t xml:space="preserve">endTB </w:t>
            </w:r>
            <w:r>
              <w:t>A1</w:t>
            </w:r>
            <w:r w:rsidR="009C6BF5">
              <w:t xml:space="preserve">- </w:t>
            </w:r>
            <w:r>
              <w:t>IP Request and Supply form</w:t>
            </w:r>
          </w:p>
          <w:p w14:paraId="23F374FF" w14:textId="4433BD9A" w:rsidR="00D136F7" w:rsidRDefault="00D136F7" w:rsidP="009C6BF5">
            <w:pPr>
              <w:spacing w:before="120" w:after="120"/>
              <w:jc w:val="both"/>
            </w:pPr>
            <w:r>
              <w:t>IP-004-CT</w:t>
            </w:r>
            <w:r w:rsidR="009C6BF5">
              <w:t>_</w:t>
            </w:r>
            <w:r>
              <w:t>endTB-Q A1</w:t>
            </w:r>
            <w:r w:rsidR="009C6BF5">
              <w:t>-</w:t>
            </w:r>
            <w:r>
              <w:t xml:space="preserve"> IP Request and Supply form</w:t>
            </w:r>
          </w:p>
        </w:tc>
      </w:tr>
      <w:tr w:rsidR="00AF3E22" w14:paraId="290DFF50" w14:textId="77777777" w:rsidTr="00312A21">
        <w:tc>
          <w:tcPr>
            <w:tcW w:w="1384" w:type="dxa"/>
            <w:vAlign w:val="center"/>
          </w:tcPr>
          <w:p w14:paraId="2DCD4F7C" w14:textId="7DA7B6EF" w:rsidR="00AF3E22" w:rsidRPr="001D12E2" w:rsidRDefault="00D136F7" w:rsidP="00F07871">
            <w:pPr>
              <w:spacing w:before="120" w:after="120"/>
              <w:jc w:val="both"/>
              <w:rPr>
                <w:lang w:val="en-GB"/>
              </w:rPr>
            </w:pPr>
            <w:r w:rsidRPr="001D12E2">
              <w:rPr>
                <w:lang w:val="en-GB"/>
              </w:rPr>
              <w:t xml:space="preserve">endTB </w:t>
            </w:r>
            <w:r w:rsidR="00AF3E22" w:rsidRPr="001D12E2">
              <w:rPr>
                <w:lang w:val="en-GB"/>
              </w:rPr>
              <w:t>A2</w:t>
            </w:r>
          </w:p>
          <w:p w14:paraId="11EA741C" w14:textId="4272FBAA" w:rsidR="00D136F7" w:rsidRPr="001D12E2" w:rsidRDefault="00D136F7" w:rsidP="00312A21">
            <w:pPr>
              <w:spacing w:before="120" w:after="120"/>
              <w:jc w:val="both"/>
              <w:rPr>
                <w:lang w:val="en-GB"/>
              </w:rPr>
            </w:pPr>
            <w:r w:rsidRPr="001D12E2">
              <w:rPr>
                <w:lang w:val="en-GB"/>
              </w:rPr>
              <w:t>endTB-Q A2</w:t>
            </w:r>
          </w:p>
        </w:tc>
        <w:tc>
          <w:tcPr>
            <w:tcW w:w="8186" w:type="dxa"/>
          </w:tcPr>
          <w:p w14:paraId="52FF9D61" w14:textId="6F4C4C07" w:rsidR="00AF3E22" w:rsidRDefault="00AF3E22" w:rsidP="007E1F48">
            <w:pPr>
              <w:spacing w:before="120" w:after="120"/>
              <w:jc w:val="both"/>
            </w:pPr>
            <w:r>
              <w:t>IP-004-CT</w:t>
            </w:r>
            <w:r w:rsidR="009C6BF5">
              <w:t>_</w:t>
            </w:r>
            <w:r w:rsidR="00D136F7">
              <w:t xml:space="preserve">endTB </w:t>
            </w:r>
            <w:r>
              <w:t>A2</w:t>
            </w:r>
            <w:r w:rsidR="009C6BF5">
              <w:t>-</w:t>
            </w:r>
            <w:r>
              <w:t xml:space="preserve"> Drug Global Accountability LOG (bin card)</w:t>
            </w:r>
          </w:p>
          <w:p w14:paraId="6A75175B" w14:textId="677D0B40" w:rsidR="00D136F7" w:rsidRDefault="00D136F7" w:rsidP="007E1F48">
            <w:pPr>
              <w:spacing w:before="120" w:after="120"/>
              <w:jc w:val="both"/>
            </w:pPr>
            <w:r>
              <w:t>IP-004-CT</w:t>
            </w:r>
            <w:r w:rsidR="009C6BF5">
              <w:t>_</w:t>
            </w:r>
            <w:r>
              <w:t>endTB-Q A2</w:t>
            </w:r>
            <w:r w:rsidR="009C6BF5">
              <w:t>-</w:t>
            </w:r>
            <w:r>
              <w:t xml:space="preserve"> Drug Global Accountability LOG (bin card)</w:t>
            </w:r>
          </w:p>
        </w:tc>
      </w:tr>
      <w:tr w:rsidR="00AF3E22" w14:paraId="757CEDBF" w14:textId="77777777" w:rsidTr="00312A21">
        <w:tc>
          <w:tcPr>
            <w:tcW w:w="1384" w:type="dxa"/>
            <w:vAlign w:val="center"/>
          </w:tcPr>
          <w:p w14:paraId="759842F6" w14:textId="485B3E33" w:rsidR="00AF3E22" w:rsidRDefault="00D136F7" w:rsidP="00F07871">
            <w:pPr>
              <w:spacing w:before="120" w:after="120"/>
              <w:jc w:val="both"/>
            </w:pPr>
            <w:r>
              <w:t xml:space="preserve">endTB </w:t>
            </w:r>
            <w:r w:rsidR="00AF3E22">
              <w:t>A3</w:t>
            </w:r>
          </w:p>
          <w:p w14:paraId="19086034" w14:textId="469F97AF" w:rsidR="00D136F7" w:rsidRDefault="00D136F7" w:rsidP="00312A21">
            <w:pPr>
              <w:spacing w:before="120" w:after="120"/>
              <w:jc w:val="both"/>
            </w:pPr>
            <w:r>
              <w:t>endTB-Q A3</w:t>
            </w:r>
          </w:p>
        </w:tc>
        <w:tc>
          <w:tcPr>
            <w:tcW w:w="8186" w:type="dxa"/>
          </w:tcPr>
          <w:p w14:paraId="0F751BA1" w14:textId="7EC0BD10" w:rsidR="00AF3E22" w:rsidRDefault="00AF3E22" w:rsidP="00F07871">
            <w:pPr>
              <w:spacing w:before="120" w:after="120"/>
              <w:jc w:val="both"/>
            </w:pPr>
            <w:r>
              <w:t>IP-004-CT</w:t>
            </w:r>
            <w:r w:rsidR="009C6BF5">
              <w:t>_</w:t>
            </w:r>
            <w:r w:rsidR="00D136F7">
              <w:t xml:space="preserve">endTB </w:t>
            </w:r>
            <w:r>
              <w:t>A3</w:t>
            </w:r>
            <w:r w:rsidR="009C6BF5">
              <w:t>-</w:t>
            </w:r>
            <w:r>
              <w:t xml:space="preserve"> IP Dispensation LOG</w:t>
            </w:r>
          </w:p>
          <w:p w14:paraId="715F70F2" w14:textId="356C9D99" w:rsidR="00D136F7" w:rsidRDefault="00D136F7" w:rsidP="009C6BF5">
            <w:pPr>
              <w:spacing w:before="120" w:after="120"/>
              <w:jc w:val="both"/>
            </w:pPr>
            <w:r>
              <w:t>IP-004-CT</w:t>
            </w:r>
            <w:r w:rsidR="009C6BF5">
              <w:t>_</w:t>
            </w:r>
            <w:r>
              <w:t>endTB-Q A3 IP</w:t>
            </w:r>
            <w:r w:rsidR="009C6BF5">
              <w:t>-</w:t>
            </w:r>
            <w:r>
              <w:t xml:space="preserve"> Dispensation LOG</w:t>
            </w:r>
          </w:p>
        </w:tc>
      </w:tr>
    </w:tbl>
    <w:p w14:paraId="48A41ECF" w14:textId="77777777" w:rsidR="003246CD" w:rsidRDefault="003246CD">
      <w:pPr>
        <w:spacing w:after="0" w:line="240" w:lineRule="auto"/>
      </w:pPr>
    </w:p>
    <w:sectPr w:rsidR="003246CD" w:rsidSect="00131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692A0" w14:textId="77777777" w:rsidR="00884A11" w:rsidRDefault="00884A11">
      <w:pPr>
        <w:spacing w:after="0" w:line="240" w:lineRule="auto"/>
      </w:pPr>
      <w:r>
        <w:separator/>
      </w:r>
    </w:p>
  </w:endnote>
  <w:endnote w:type="continuationSeparator" w:id="0">
    <w:p w14:paraId="379B228B" w14:textId="77777777" w:rsidR="00884A11" w:rsidRDefault="00884A11">
      <w:pPr>
        <w:spacing w:after="0" w:line="240" w:lineRule="auto"/>
      </w:pPr>
      <w:r>
        <w:continuationSeparator/>
      </w:r>
    </w:p>
  </w:endnote>
  <w:endnote w:type="continuationNotice" w:id="1">
    <w:p w14:paraId="01C499F1" w14:textId="77777777" w:rsidR="00884A11" w:rsidRDefault="00884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8B75B" w14:textId="77777777" w:rsidR="00F83372" w:rsidRDefault="00F8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>
      <w:rPr>
        <w:b/>
      </w:rPr>
    </w:sdtEndPr>
    <w:sdtContent>
      <w:p w14:paraId="38300479" w14:textId="77777777" w:rsidR="00F83372" w:rsidRPr="00F83372" w:rsidRDefault="00F83372" w:rsidP="00F83372">
        <w:pPr>
          <w:pStyle w:val="Footer"/>
          <w:jc w:val="both"/>
          <w:rPr>
            <w:sz w:val="18"/>
            <w:szCs w:val="18"/>
          </w:rPr>
        </w:pPr>
        <w:r w:rsidRPr="00F83372">
          <w:rPr>
            <w:b/>
            <w:bCs/>
            <w:i/>
            <w:iCs/>
            <w:sz w:val="18"/>
            <w:szCs w:val="18"/>
          </w:rPr>
          <w:t>NOTE:</w:t>
        </w:r>
        <w:r w:rsidRPr="00F83372">
          <w:rPr>
            <w:i/>
            <w:iCs/>
            <w:sz w:val="18"/>
            <w:szCs w:val="18"/>
          </w:rPr>
          <w:t> This work is licensed under the Creative Commons CC BY-SA by the endTB Research Partners. To view a copy of this license, visit: </w:t>
        </w:r>
        <w:hyperlink r:id="rId1" w:tgtFrame="_blank" w:history="1">
          <w:r w:rsidRPr="00F83372">
            <w:rPr>
              <w:rStyle w:val="Hyperlink"/>
              <w:rFonts w:cs="Calibri"/>
              <w:i/>
              <w:iCs/>
              <w:sz w:val="18"/>
              <w:szCs w:val="18"/>
            </w:rPr>
            <w:t>https://creativecommons.org/licenses/by-sa/4.0/</w:t>
          </w:r>
        </w:hyperlink>
        <w:r w:rsidRPr="00F83372">
          <w:rPr>
            <w:i/>
            <w:iCs/>
            <w:sz w:val="18"/>
            <w:szCs w:val="18"/>
          </w:rPr>
          <w:t>. More information about this copyright is available in the endTB website:</w:t>
        </w:r>
        <w:r w:rsidRPr="00F83372">
          <w:rPr>
            <w:sz w:val="18"/>
            <w:szCs w:val="18"/>
          </w:rPr>
          <w:t> </w:t>
        </w:r>
        <w:hyperlink r:id="rId2" w:tgtFrame="_blank" w:history="1">
          <w:r w:rsidRPr="00F83372">
            <w:rPr>
              <w:rStyle w:val="Hyperlink"/>
              <w:rFonts w:cs="Calibri"/>
              <w:i/>
              <w:iCs/>
              <w:sz w:val="18"/>
              <w:szCs w:val="18"/>
            </w:rPr>
            <w:t>https://endtb.org/</w:t>
          </w:r>
        </w:hyperlink>
        <w:r w:rsidRPr="00F83372">
          <w:rPr>
            <w:i/>
            <w:iCs/>
            <w:sz w:val="18"/>
            <w:szCs w:val="18"/>
          </w:rPr>
          <w:t> in the “Toolkit” section.</w:t>
        </w:r>
        <w:r w:rsidRPr="00F83372">
          <w:rPr>
            <w:sz w:val="18"/>
            <w:szCs w:val="18"/>
          </w:rPr>
          <w:t> </w:t>
        </w:r>
      </w:p>
      <w:p w14:paraId="0DCC33C2" w14:textId="77777777" w:rsidR="00F83372" w:rsidRPr="00F83372" w:rsidRDefault="00F83372" w:rsidP="0006492A">
        <w:pPr>
          <w:pStyle w:val="Footer"/>
          <w:jc w:val="center"/>
        </w:pPr>
      </w:p>
      <w:p w14:paraId="39C7CCE9" w14:textId="5D8D38E3" w:rsidR="0006492A" w:rsidRDefault="0006492A" w:rsidP="0006492A">
        <w:pPr>
          <w:pStyle w:val="Footer"/>
          <w:jc w:val="center"/>
        </w:pPr>
        <w:r>
          <w:rPr>
            <w:lang w:val="fr-FR"/>
          </w:rPr>
          <w:t>Page</w:t>
        </w:r>
        <w:r w:rsidRPr="009F776E">
          <w:rPr>
            <w:lang w:val="fr-FR"/>
          </w:rPr>
          <w:t xml:space="preserve"> </w:t>
        </w:r>
        <w:r w:rsidRPr="00D554C1">
          <w:rPr>
            <w:b/>
            <w:bCs/>
            <w:sz w:val="24"/>
            <w:szCs w:val="24"/>
          </w:rPr>
          <w:fldChar w:fldCharType="begin"/>
        </w:r>
        <w:r w:rsidRPr="00D554C1">
          <w:rPr>
            <w:b/>
            <w:bCs/>
          </w:rPr>
          <w:instrText>PAGE</w:instrText>
        </w:r>
        <w:r w:rsidRPr="00D554C1">
          <w:rPr>
            <w:b/>
            <w:bCs/>
            <w:sz w:val="24"/>
            <w:szCs w:val="24"/>
          </w:rPr>
          <w:fldChar w:fldCharType="separate"/>
        </w:r>
        <w:r w:rsidR="00503946">
          <w:rPr>
            <w:b/>
            <w:bCs/>
            <w:noProof/>
          </w:rPr>
          <w:t>8</w:t>
        </w:r>
        <w:r w:rsidRPr="00D554C1">
          <w:rPr>
            <w:b/>
            <w:bCs/>
            <w:sz w:val="24"/>
            <w:szCs w:val="24"/>
          </w:rPr>
          <w:fldChar w:fldCharType="end"/>
        </w:r>
        <w:r w:rsidRPr="009F776E">
          <w:rPr>
            <w:bCs/>
            <w:sz w:val="24"/>
            <w:szCs w:val="24"/>
          </w:rPr>
          <w:t xml:space="preserve"> of</w:t>
        </w:r>
        <w:r w:rsidRPr="009F776E">
          <w:rPr>
            <w:lang w:val="fr-FR"/>
          </w:rPr>
          <w:t xml:space="preserve"> </w:t>
        </w:r>
        <w:r w:rsidRPr="00D554C1">
          <w:rPr>
            <w:b/>
            <w:bCs/>
            <w:sz w:val="24"/>
            <w:szCs w:val="24"/>
          </w:rPr>
          <w:fldChar w:fldCharType="begin"/>
        </w:r>
        <w:r w:rsidRPr="00D554C1">
          <w:rPr>
            <w:b/>
            <w:bCs/>
          </w:rPr>
          <w:instrText>NUMPAGES</w:instrText>
        </w:r>
        <w:r w:rsidRPr="00D554C1">
          <w:rPr>
            <w:b/>
            <w:bCs/>
            <w:sz w:val="24"/>
            <w:szCs w:val="24"/>
          </w:rPr>
          <w:fldChar w:fldCharType="separate"/>
        </w:r>
        <w:r w:rsidR="00503946">
          <w:rPr>
            <w:b/>
            <w:bCs/>
            <w:noProof/>
          </w:rPr>
          <w:t>8</w:t>
        </w:r>
        <w:r w:rsidRPr="00D554C1">
          <w:rPr>
            <w:b/>
            <w:bCs/>
            <w:sz w:val="24"/>
            <w:szCs w:val="24"/>
          </w:rPr>
          <w:fldChar w:fldCharType="end"/>
        </w:r>
      </w:p>
    </w:sdtContent>
  </w:sdt>
  <w:p w14:paraId="21F03989" w14:textId="6B3E22F3" w:rsidR="00F00FF6" w:rsidRPr="00F00FF6" w:rsidRDefault="00F00FF6" w:rsidP="00D554C1">
    <w:pPr>
      <w:tabs>
        <w:tab w:val="center" w:pos="4680"/>
        <w:tab w:val="right" w:pos="9360"/>
      </w:tabs>
      <w:spacing w:after="720" w:line="240" w:lineRule="auto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9B05" w14:textId="77777777" w:rsidR="00F83372" w:rsidRDefault="00F8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36C34" w14:textId="77777777" w:rsidR="00884A11" w:rsidRDefault="00884A11">
      <w:pPr>
        <w:spacing w:after="0" w:line="240" w:lineRule="auto"/>
      </w:pPr>
      <w:r>
        <w:separator/>
      </w:r>
    </w:p>
  </w:footnote>
  <w:footnote w:type="continuationSeparator" w:id="0">
    <w:p w14:paraId="525077CF" w14:textId="77777777" w:rsidR="00884A11" w:rsidRDefault="00884A11">
      <w:pPr>
        <w:spacing w:after="0" w:line="240" w:lineRule="auto"/>
      </w:pPr>
      <w:r>
        <w:continuationSeparator/>
      </w:r>
    </w:p>
  </w:footnote>
  <w:footnote w:type="continuationNotice" w:id="1">
    <w:p w14:paraId="4D9F94A2" w14:textId="77777777" w:rsidR="00884A11" w:rsidRDefault="00884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8076" w14:textId="77777777" w:rsidR="00F83372" w:rsidRDefault="00F8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3C54" w14:textId="7255B4CB" w:rsidR="00F85721" w:rsidRPr="00F00FF6" w:rsidRDefault="00F00FF6" w:rsidP="00F00FF6">
    <w:pPr>
      <w:tabs>
        <w:tab w:val="center" w:pos="4680"/>
        <w:tab w:val="right" w:pos="9360"/>
      </w:tabs>
      <w:spacing w:before="720" w:after="0" w:line="240" w:lineRule="auto"/>
      <w:jc w:val="center"/>
      <w:rPr>
        <w:rFonts w:eastAsia="Calibri"/>
        <w:b/>
      </w:rPr>
    </w:pPr>
    <w:r w:rsidRPr="00F00FF6">
      <w:rPr>
        <w:rFonts w:eastAsia="Calibri"/>
        <w:b/>
      </w:rPr>
      <w:t>endTB Clinical Trial</w:t>
    </w:r>
    <w:r w:rsidR="00862776">
      <w:rPr>
        <w:rFonts w:eastAsia="Calibri"/>
        <w:b/>
      </w:rPr>
      <w:t>s</w:t>
    </w:r>
    <w:r w:rsidRPr="00F00FF6">
      <w:rPr>
        <w:rFonts w:eastAsia="Calibri"/>
        <w:b/>
      </w:rPr>
      <w:tab/>
    </w:r>
    <w:r w:rsidRPr="00F00FF6">
      <w:rPr>
        <w:rFonts w:eastAsia="Calibri"/>
        <w:b/>
      </w:rPr>
      <w:tab/>
      <w:t>SOP IP-00</w:t>
    </w:r>
    <w:r>
      <w:rPr>
        <w:rFonts w:eastAsia="Calibri"/>
        <w:b/>
      </w:rPr>
      <w:t>4</w:t>
    </w:r>
    <w:r w:rsidRPr="00F00FF6">
      <w:rPr>
        <w:rFonts w:eastAsia="Calibri"/>
        <w:b/>
      </w:rPr>
      <w:t xml:space="preserve">-CT Version </w:t>
    </w:r>
    <w:r w:rsidR="00E85068">
      <w:rPr>
        <w:rFonts w:eastAsia="Calibri"/>
        <w:b/>
      </w:rPr>
      <w:t>5</w:t>
    </w:r>
    <w:r w:rsidRPr="00F00FF6">
      <w:rPr>
        <w:rFonts w:eastAsia="Calibri"/>
        <w:b/>
      </w:rPr>
      <w:t xml:space="preserve">.0, Date </w:t>
    </w:r>
    <w:r w:rsidR="00E85068">
      <w:rPr>
        <w:rFonts w:eastAsia="Calibri"/>
        <w:b/>
      </w:rPr>
      <w:t>01</w:t>
    </w:r>
    <w:r w:rsidRPr="00F00FF6">
      <w:rPr>
        <w:rFonts w:eastAsia="Calibri"/>
        <w:b/>
      </w:rPr>
      <w:t>-</w:t>
    </w:r>
    <w:r w:rsidR="00E85068">
      <w:rPr>
        <w:rFonts w:eastAsia="Calibri"/>
        <w:b/>
      </w:rPr>
      <w:t>Jun</w:t>
    </w:r>
    <w:r w:rsidRPr="00F00FF6">
      <w:rPr>
        <w:rFonts w:eastAsia="Calibri"/>
        <w:b/>
      </w:rPr>
      <w:t>-20</w:t>
    </w:r>
    <w:r w:rsidR="00E85068">
      <w:rPr>
        <w:rFonts w:eastAsia="Calibri"/>
        <w:b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EEB4" w14:textId="77777777" w:rsidR="00F83372" w:rsidRDefault="00F8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7465"/>
    <w:multiLevelType w:val="hybridMultilevel"/>
    <w:tmpl w:val="DF78AD52"/>
    <w:lvl w:ilvl="0" w:tplc="55783782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3D99"/>
    <w:multiLevelType w:val="multilevel"/>
    <w:tmpl w:val="3FC8251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Heading3"/>
      <w:lvlText w:val="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suff w:val="space"/>
      <w:lvlText w:val="%2.%3.%4"/>
      <w:lvlJc w:val="left"/>
      <w:pPr>
        <w:ind w:left="1636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3C704B"/>
    <w:multiLevelType w:val="hybridMultilevel"/>
    <w:tmpl w:val="6A70CF3C"/>
    <w:lvl w:ilvl="0" w:tplc="DC14A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66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6E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04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A9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4E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C7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05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CC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533F"/>
    <w:multiLevelType w:val="hybridMultilevel"/>
    <w:tmpl w:val="5F780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B1435"/>
    <w:multiLevelType w:val="hybridMultilevel"/>
    <w:tmpl w:val="5EFC5F6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2A207B"/>
    <w:multiLevelType w:val="multilevel"/>
    <w:tmpl w:val="F468EFD4"/>
    <w:styleLink w:val="SOPForm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2.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5104901"/>
    <w:multiLevelType w:val="hybridMultilevel"/>
    <w:tmpl w:val="EA2C51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67364">
    <w:abstractNumId w:val="2"/>
  </w:num>
  <w:num w:numId="2" w16cid:durableId="665402314">
    <w:abstractNumId w:val="4"/>
  </w:num>
  <w:num w:numId="3" w16cid:durableId="107243058">
    <w:abstractNumId w:val="6"/>
  </w:num>
  <w:num w:numId="4" w16cid:durableId="1029989780">
    <w:abstractNumId w:val="5"/>
  </w:num>
  <w:num w:numId="5" w16cid:durableId="2126119106">
    <w:abstractNumId w:val="1"/>
  </w:num>
  <w:num w:numId="6" w16cid:durableId="97481905">
    <w:abstractNumId w:val="3"/>
  </w:num>
  <w:num w:numId="7" w16cid:durableId="77202046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D1"/>
    <w:rsid w:val="00007185"/>
    <w:rsid w:val="00011A75"/>
    <w:rsid w:val="000123A1"/>
    <w:rsid w:val="0001663D"/>
    <w:rsid w:val="00016BFF"/>
    <w:rsid w:val="0003165D"/>
    <w:rsid w:val="0003588D"/>
    <w:rsid w:val="00035B05"/>
    <w:rsid w:val="0003670C"/>
    <w:rsid w:val="00041A91"/>
    <w:rsid w:val="00042065"/>
    <w:rsid w:val="0004634E"/>
    <w:rsid w:val="0004660B"/>
    <w:rsid w:val="00046619"/>
    <w:rsid w:val="00047942"/>
    <w:rsid w:val="00050DC7"/>
    <w:rsid w:val="00051569"/>
    <w:rsid w:val="000523AF"/>
    <w:rsid w:val="00054481"/>
    <w:rsid w:val="000630D1"/>
    <w:rsid w:val="0006365E"/>
    <w:rsid w:val="00064650"/>
    <w:rsid w:val="0006492A"/>
    <w:rsid w:val="00065679"/>
    <w:rsid w:val="00077AAB"/>
    <w:rsid w:val="00082151"/>
    <w:rsid w:val="000837F8"/>
    <w:rsid w:val="00086A32"/>
    <w:rsid w:val="00093C01"/>
    <w:rsid w:val="00095578"/>
    <w:rsid w:val="000B2C99"/>
    <w:rsid w:val="000D7F45"/>
    <w:rsid w:val="000E10F3"/>
    <w:rsid w:val="000E4902"/>
    <w:rsid w:val="000F5F9F"/>
    <w:rsid w:val="00101AD4"/>
    <w:rsid w:val="00106EEF"/>
    <w:rsid w:val="001214ED"/>
    <w:rsid w:val="00124A9E"/>
    <w:rsid w:val="00127849"/>
    <w:rsid w:val="001312B6"/>
    <w:rsid w:val="00141148"/>
    <w:rsid w:val="00141CC4"/>
    <w:rsid w:val="00144B67"/>
    <w:rsid w:val="00147548"/>
    <w:rsid w:val="001556EE"/>
    <w:rsid w:val="00172EA8"/>
    <w:rsid w:val="001741CF"/>
    <w:rsid w:val="00180BD0"/>
    <w:rsid w:val="0018260D"/>
    <w:rsid w:val="00183FEA"/>
    <w:rsid w:val="0018586A"/>
    <w:rsid w:val="00195513"/>
    <w:rsid w:val="00196200"/>
    <w:rsid w:val="001A421C"/>
    <w:rsid w:val="001A5EDA"/>
    <w:rsid w:val="001A73ED"/>
    <w:rsid w:val="001B5851"/>
    <w:rsid w:val="001B72F9"/>
    <w:rsid w:val="001C0955"/>
    <w:rsid w:val="001D04E8"/>
    <w:rsid w:val="001D12E2"/>
    <w:rsid w:val="001E4EC3"/>
    <w:rsid w:val="001F22B1"/>
    <w:rsid w:val="00200578"/>
    <w:rsid w:val="0020202B"/>
    <w:rsid w:val="00204DCD"/>
    <w:rsid w:val="00206C2B"/>
    <w:rsid w:val="00217C5E"/>
    <w:rsid w:val="00225EE1"/>
    <w:rsid w:val="002334DF"/>
    <w:rsid w:val="00242217"/>
    <w:rsid w:val="0024268F"/>
    <w:rsid w:val="00246109"/>
    <w:rsid w:val="002533F7"/>
    <w:rsid w:val="002537B6"/>
    <w:rsid w:val="00255AB4"/>
    <w:rsid w:val="0025613C"/>
    <w:rsid w:val="00263BB6"/>
    <w:rsid w:val="00267581"/>
    <w:rsid w:val="00267EFE"/>
    <w:rsid w:val="00270CF5"/>
    <w:rsid w:val="00286121"/>
    <w:rsid w:val="00287AFC"/>
    <w:rsid w:val="002924C5"/>
    <w:rsid w:val="00292B7F"/>
    <w:rsid w:val="0029398D"/>
    <w:rsid w:val="002A06CC"/>
    <w:rsid w:val="002A1FF0"/>
    <w:rsid w:val="002A2906"/>
    <w:rsid w:val="002A410B"/>
    <w:rsid w:val="002A4BD3"/>
    <w:rsid w:val="002A5D17"/>
    <w:rsid w:val="002B2462"/>
    <w:rsid w:val="002B36A4"/>
    <w:rsid w:val="002C696F"/>
    <w:rsid w:val="002D12FE"/>
    <w:rsid w:val="002D236A"/>
    <w:rsid w:val="002D2EC5"/>
    <w:rsid w:val="002D4334"/>
    <w:rsid w:val="002E1028"/>
    <w:rsid w:val="002E4F0F"/>
    <w:rsid w:val="002E5796"/>
    <w:rsid w:val="00301533"/>
    <w:rsid w:val="00304977"/>
    <w:rsid w:val="00312A21"/>
    <w:rsid w:val="00323845"/>
    <w:rsid w:val="003246CD"/>
    <w:rsid w:val="00332889"/>
    <w:rsid w:val="00340E5B"/>
    <w:rsid w:val="003524A7"/>
    <w:rsid w:val="00354FA2"/>
    <w:rsid w:val="00361B2C"/>
    <w:rsid w:val="00365ED7"/>
    <w:rsid w:val="003666C2"/>
    <w:rsid w:val="003776A0"/>
    <w:rsid w:val="00377C26"/>
    <w:rsid w:val="003A5955"/>
    <w:rsid w:val="003A6237"/>
    <w:rsid w:val="003B661D"/>
    <w:rsid w:val="003C4AA3"/>
    <w:rsid w:val="003D1C35"/>
    <w:rsid w:val="003D78E4"/>
    <w:rsid w:val="003E42EE"/>
    <w:rsid w:val="003E767E"/>
    <w:rsid w:val="003F13A7"/>
    <w:rsid w:val="00407050"/>
    <w:rsid w:val="004224AF"/>
    <w:rsid w:val="00424B22"/>
    <w:rsid w:val="0042685A"/>
    <w:rsid w:val="00437C24"/>
    <w:rsid w:val="00443652"/>
    <w:rsid w:val="004442C3"/>
    <w:rsid w:val="00447FBB"/>
    <w:rsid w:val="00456662"/>
    <w:rsid w:val="00456E64"/>
    <w:rsid w:val="00477A77"/>
    <w:rsid w:val="004807FC"/>
    <w:rsid w:val="00480878"/>
    <w:rsid w:val="004813AD"/>
    <w:rsid w:val="00482FEB"/>
    <w:rsid w:val="00484983"/>
    <w:rsid w:val="00494501"/>
    <w:rsid w:val="00497896"/>
    <w:rsid w:val="004A3194"/>
    <w:rsid w:val="004A4901"/>
    <w:rsid w:val="004A6014"/>
    <w:rsid w:val="004A6DFD"/>
    <w:rsid w:val="004B34F6"/>
    <w:rsid w:val="004B42B1"/>
    <w:rsid w:val="004C266E"/>
    <w:rsid w:val="004C3730"/>
    <w:rsid w:val="004C63BB"/>
    <w:rsid w:val="004D1E70"/>
    <w:rsid w:val="004D596D"/>
    <w:rsid w:val="004E5D4D"/>
    <w:rsid w:val="004E609F"/>
    <w:rsid w:val="004F322F"/>
    <w:rsid w:val="004F4E4C"/>
    <w:rsid w:val="004F56E2"/>
    <w:rsid w:val="00503946"/>
    <w:rsid w:val="00507B77"/>
    <w:rsid w:val="0051069B"/>
    <w:rsid w:val="0051293D"/>
    <w:rsid w:val="005132C0"/>
    <w:rsid w:val="00523BE2"/>
    <w:rsid w:val="0053010C"/>
    <w:rsid w:val="00530CAA"/>
    <w:rsid w:val="005316C3"/>
    <w:rsid w:val="00533EEE"/>
    <w:rsid w:val="00553BCC"/>
    <w:rsid w:val="00556B8F"/>
    <w:rsid w:val="0056247A"/>
    <w:rsid w:val="00564EB0"/>
    <w:rsid w:val="005664C4"/>
    <w:rsid w:val="00566C6F"/>
    <w:rsid w:val="005757B3"/>
    <w:rsid w:val="00584390"/>
    <w:rsid w:val="005902D7"/>
    <w:rsid w:val="005910D4"/>
    <w:rsid w:val="0059279B"/>
    <w:rsid w:val="00594465"/>
    <w:rsid w:val="00597B75"/>
    <w:rsid w:val="005A238E"/>
    <w:rsid w:val="005A3AC2"/>
    <w:rsid w:val="005C1EF8"/>
    <w:rsid w:val="005D1E08"/>
    <w:rsid w:val="005D471C"/>
    <w:rsid w:val="005E32A3"/>
    <w:rsid w:val="005E45FA"/>
    <w:rsid w:val="005E4FD8"/>
    <w:rsid w:val="005F31B0"/>
    <w:rsid w:val="00602A65"/>
    <w:rsid w:val="006038BA"/>
    <w:rsid w:val="00610B18"/>
    <w:rsid w:val="006121D5"/>
    <w:rsid w:val="006122E4"/>
    <w:rsid w:val="00614ED2"/>
    <w:rsid w:val="00614EFD"/>
    <w:rsid w:val="00627F4C"/>
    <w:rsid w:val="00633218"/>
    <w:rsid w:val="00633BE4"/>
    <w:rsid w:val="00645A38"/>
    <w:rsid w:val="00647EB4"/>
    <w:rsid w:val="00656A4D"/>
    <w:rsid w:val="00660BF9"/>
    <w:rsid w:val="00663592"/>
    <w:rsid w:val="00672DC0"/>
    <w:rsid w:val="00675B05"/>
    <w:rsid w:val="0067664F"/>
    <w:rsid w:val="00686CC1"/>
    <w:rsid w:val="006910A4"/>
    <w:rsid w:val="00693557"/>
    <w:rsid w:val="00695A6B"/>
    <w:rsid w:val="006A0D42"/>
    <w:rsid w:val="006A1975"/>
    <w:rsid w:val="006A27B7"/>
    <w:rsid w:val="006B01CF"/>
    <w:rsid w:val="006B2F84"/>
    <w:rsid w:val="006B3F88"/>
    <w:rsid w:val="006B5918"/>
    <w:rsid w:val="006B5A7B"/>
    <w:rsid w:val="006B66A6"/>
    <w:rsid w:val="006C0AE0"/>
    <w:rsid w:val="006C3D9D"/>
    <w:rsid w:val="006D56E7"/>
    <w:rsid w:val="006E52C6"/>
    <w:rsid w:val="006F18FF"/>
    <w:rsid w:val="006F43AC"/>
    <w:rsid w:val="006F6BA1"/>
    <w:rsid w:val="006F6EAC"/>
    <w:rsid w:val="007018F9"/>
    <w:rsid w:val="007120D3"/>
    <w:rsid w:val="00712819"/>
    <w:rsid w:val="00722938"/>
    <w:rsid w:val="007340CD"/>
    <w:rsid w:val="00750D0D"/>
    <w:rsid w:val="00752FCC"/>
    <w:rsid w:val="007569A6"/>
    <w:rsid w:val="00772439"/>
    <w:rsid w:val="0077321A"/>
    <w:rsid w:val="00774730"/>
    <w:rsid w:val="00777815"/>
    <w:rsid w:val="0078382B"/>
    <w:rsid w:val="00785AA8"/>
    <w:rsid w:val="0078696D"/>
    <w:rsid w:val="007927B5"/>
    <w:rsid w:val="00793CB6"/>
    <w:rsid w:val="00794DED"/>
    <w:rsid w:val="00795BC5"/>
    <w:rsid w:val="007A0B49"/>
    <w:rsid w:val="007B0906"/>
    <w:rsid w:val="007B09C3"/>
    <w:rsid w:val="007B12D1"/>
    <w:rsid w:val="007B79AA"/>
    <w:rsid w:val="007C7C43"/>
    <w:rsid w:val="007D1625"/>
    <w:rsid w:val="007D401D"/>
    <w:rsid w:val="007E1628"/>
    <w:rsid w:val="007E1F48"/>
    <w:rsid w:val="007E46F2"/>
    <w:rsid w:val="007E7BDF"/>
    <w:rsid w:val="007F107B"/>
    <w:rsid w:val="007F36C4"/>
    <w:rsid w:val="007F5DAC"/>
    <w:rsid w:val="008019E2"/>
    <w:rsid w:val="0080331D"/>
    <w:rsid w:val="008035BF"/>
    <w:rsid w:val="0081019E"/>
    <w:rsid w:val="008126FF"/>
    <w:rsid w:val="00813998"/>
    <w:rsid w:val="00815245"/>
    <w:rsid w:val="00820D45"/>
    <w:rsid w:val="008227CD"/>
    <w:rsid w:val="0082720E"/>
    <w:rsid w:val="0083658D"/>
    <w:rsid w:val="00846372"/>
    <w:rsid w:val="00851673"/>
    <w:rsid w:val="00851C81"/>
    <w:rsid w:val="00861230"/>
    <w:rsid w:val="008615BC"/>
    <w:rsid w:val="00862776"/>
    <w:rsid w:val="00864F80"/>
    <w:rsid w:val="008651D2"/>
    <w:rsid w:val="008678C1"/>
    <w:rsid w:val="0087221F"/>
    <w:rsid w:val="00872A9B"/>
    <w:rsid w:val="008764EF"/>
    <w:rsid w:val="00877B4F"/>
    <w:rsid w:val="008817C0"/>
    <w:rsid w:val="00883B46"/>
    <w:rsid w:val="00884629"/>
    <w:rsid w:val="00884A11"/>
    <w:rsid w:val="00887A5B"/>
    <w:rsid w:val="00892EF7"/>
    <w:rsid w:val="008A04D0"/>
    <w:rsid w:val="008A49E5"/>
    <w:rsid w:val="008B16CA"/>
    <w:rsid w:val="008B5BFD"/>
    <w:rsid w:val="008C6C58"/>
    <w:rsid w:val="008D1235"/>
    <w:rsid w:val="008D5486"/>
    <w:rsid w:val="008E41C5"/>
    <w:rsid w:val="008F5A57"/>
    <w:rsid w:val="008F6470"/>
    <w:rsid w:val="00900210"/>
    <w:rsid w:val="00903938"/>
    <w:rsid w:val="0091479C"/>
    <w:rsid w:val="009222D3"/>
    <w:rsid w:val="00924A90"/>
    <w:rsid w:val="009257C0"/>
    <w:rsid w:val="00932037"/>
    <w:rsid w:val="00936727"/>
    <w:rsid w:val="009375F2"/>
    <w:rsid w:val="00944AEE"/>
    <w:rsid w:val="00944B64"/>
    <w:rsid w:val="00946175"/>
    <w:rsid w:val="009463FF"/>
    <w:rsid w:val="00960379"/>
    <w:rsid w:val="0097418D"/>
    <w:rsid w:val="00974C8F"/>
    <w:rsid w:val="00977452"/>
    <w:rsid w:val="009844AF"/>
    <w:rsid w:val="00986C79"/>
    <w:rsid w:val="00987472"/>
    <w:rsid w:val="009979E5"/>
    <w:rsid w:val="009A313A"/>
    <w:rsid w:val="009A6EC5"/>
    <w:rsid w:val="009B5E4D"/>
    <w:rsid w:val="009B7992"/>
    <w:rsid w:val="009C302F"/>
    <w:rsid w:val="009C6BF5"/>
    <w:rsid w:val="009E03B0"/>
    <w:rsid w:val="009E5C0D"/>
    <w:rsid w:val="009F0F3B"/>
    <w:rsid w:val="009F271F"/>
    <w:rsid w:val="00A01651"/>
    <w:rsid w:val="00A020B5"/>
    <w:rsid w:val="00A0464B"/>
    <w:rsid w:val="00A060E2"/>
    <w:rsid w:val="00A12C9F"/>
    <w:rsid w:val="00A12DD1"/>
    <w:rsid w:val="00A13813"/>
    <w:rsid w:val="00A14473"/>
    <w:rsid w:val="00A26470"/>
    <w:rsid w:val="00A26855"/>
    <w:rsid w:val="00A26AFD"/>
    <w:rsid w:val="00A31513"/>
    <w:rsid w:val="00A31F91"/>
    <w:rsid w:val="00A321C4"/>
    <w:rsid w:val="00A45D42"/>
    <w:rsid w:val="00A46761"/>
    <w:rsid w:val="00A532D4"/>
    <w:rsid w:val="00A66443"/>
    <w:rsid w:val="00A672A5"/>
    <w:rsid w:val="00A72E67"/>
    <w:rsid w:val="00A7345D"/>
    <w:rsid w:val="00A741CB"/>
    <w:rsid w:val="00A90040"/>
    <w:rsid w:val="00AA1011"/>
    <w:rsid w:val="00AA75E6"/>
    <w:rsid w:val="00AB3A55"/>
    <w:rsid w:val="00AB4037"/>
    <w:rsid w:val="00AC22C4"/>
    <w:rsid w:val="00AC68A1"/>
    <w:rsid w:val="00AD25B0"/>
    <w:rsid w:val="00AE1D42"/>
    <w:rsid w:val="00AE52D1"/>
    <w:rsid w:val="00AE5A44"/>
    <w:rsid w:val="00AE7817"/>
    <w:rsid w:val="00AF0B91"/>
    <w:rsid w:val="00AF19FB"/>
    <w:rsid w:val="00AF1B61"/>
    <w:rsid w:val="00AF3E22"/>
    <w:rsid w:val="00B11F24"/>
    <w:rsid w:val="00B1723F"/>
    <w:rsid w:val="00B17435"/>
    <w:rsid w:val="00B20CED"/>
    <w:rsid w:val="00B20E02"/>
    <w:rsid w:val="00B23BA7"/>
    <w:rsid w:val="00B268E2"/>
    <w:rsid w:val="00B3256A"/>
    <w:rsid w:val="00B3377B"/>
    <w:rsid w:val="00B35C48"/>
    <w:rsid w:val="00B4276C"/>
    <w:rsid w:val="00B4417E"/>
    <w:rsid w:val="00B57FF8"/>
    <w:rsid w:val="00B64A04"/>
    <w:rsid w:val="00B66166"/>
    <w:rsid w:val="00B66942"/>
    <w:rsid w:val="00B83526"/>
    <w:rsid w:val="00B8427D"/>
    <w:rsid w:val="00B8586A"/>
    <w:rsid w:val="00B9018F"/>
    <w:rsid w:val="00B92D04"/>
    <w:rsid w:val="00B967AF"/>
    <w:rsid w:val="00B96915"/>
    <w:rsid w:val="00BA1A78"/>
    <w:rsid w:val="00BA1BB2"/>
    <w:rsid w:val="00BA4BA6"/>
    <w:rsid w:val="00BB250C"/>
    <w:rsid w:val="00BC35EC"/>
    <w:rsid w:val="00BC5252"/>
    <w:rsid w:val="00BD20A5"/>
    <w:rsid w:val="00BD51DA"/>
    <w:rsid w:val="00BD729C"/>
    <w:rsid w:val="00BE0285"/>
    <w:rsid w:val="00BE1AA7"/>
    <w:rsid w:val="00BE2E0D"/>
    <w:rsid w:val="00BF0915"/>
    <w:rsid w:val="00C02FF5"/>
    <w:rsid w:val="00C041CA"/>
    <w:rsid w:val="00C13EEA"/>
    <w:rsid w:val="00C228E1"/>
    <w:rsid w:val="00C25F4F"/>
    <w:rsid w:val="00C42273"/>
    <w:rsid w:val="00C44AD0"/>
    <w:rsid w:val="00C45BBD"/>
    <w:rsid w:val="00C47DBB"/>
    <w:rsid w:val="00C5345A"/>
    <w:rsid w:val="00C540ED"/>
    <w:rsid w:val="00C6347F"/>
    <w:rsid w:val="00C63D01"/>
    <w:rsid w:val="00C665DB"/>
    <w:rsid w:val="00C716BC"/>
    <w:rsid w:val="00C777F0"/>
    <w:rsid w:val="00C83E5E"/>
    <w:rsid w:val="00C85584"/>
    <w:rsid w:val="00C96D55"/>
    <w:rsid w:val="00CA0D3C"/>
    <w:rsid w:val="00CA36A2"/>
    <w:rsid w:val="00CA5979"/>
    <w:rsid w:val="00CB3138"/>
    <w:rsid w:val="00CB3C1E"/>
    <w:rsid w:val="00CB40EE"/>
    <w:rsid w:val="00CB69B1"/>
    <w:rsid w:val="00CB7A87"/>
    <w:rsid w:val="00CC35FA"/>
    <w:rsid w:val="00CD6A94"/>
    <w:rsid w:val="00CE2DC7"/>
    <w:rsid w:val="00CF13CE"/>
    <w:rsid w:val="00CF73EC"/>
    <w:rsid w:val="00CF7F14"/>
    <w:rsid w:val="00D02A07"/>
    <w:rsid w:val="00D06CF2"/>
    <w:rsid w:val="00D10EDB"/>
    <w:rsid w:val="00D136F7"/>
    <w:rsid w:val="00D1560B"/>
    <w:rsid w:val="00D16D06"/>
    <w:rsid w:val="00D22AC3"/>
    <w:rsid w:val="00D31057"/>
    <w:rsid w:val="00D31CE2"/>
    <w:rsid w:val="00D34214"/>
    <w:rsid w:val="00D554C1"/>
    <w:rsid w:val="00D5632D"/>
    <w:rsid w:val="00D609F5"/>
    <w:rsid w:val="00D62696"/>
    <w:rsid w:val="00D649E4"/>
    <w:rsid w:val="00D719D8"/>
    <w:rsid w:val="00D719DF"/>
    <w:rsid w:val="00D7334D"/>
    <w:rsid w:val="00D73A91"/>
    <w:rsid w:val="00D85272"/>
    <w:rsid w:val="00D855B6"/>
    <w:rsid w:val="00D87F80"/>
    <w:rsid w:val="00D9482D"/>
    <w:rsid w:val="00DA6A1D"/>
    <w:rsid w:val="00DA6ACC"/>
    <w:rsid w:val="00DB30D3"/>
    <w:rsid w:val="00DB401C"/>
    <w:rsid w:val="00DB7799"/>
    <w:rsid w:val="00DC435B"/>
    <w:rsid w:val="00DC4C6D"/>
    <w:rsid w:val="00DC64C9"/>
    <w:rsid w:val="00DC7155"/>
    <w:rsid w:val="00DD01EE"/>
    <w:rsid w:val="00DD124B"/>
    <w:rsid w:val="00DD3CC5"/>
    <w:rsid w:val="00DD417F"/>
    <w:rsid w:val="00DD68DD"/>
    <w:rsid w:val="00DD6964"/>
    <w:rsid w:val="00DE2D55"/>
    <w:rsid w:val="00DE3D87"/>
    <w:rsid w:val="00DE5CC0"/>
    <w:rsid w:val="00DE61D4"/>
    <w:rsid w:val="00DF1AED"/>
    <w:rsid w:val="00DF5BBC"/>
    <w:rsid w:val="00DF7834"/>
    <w:rsid w:val="00E0036C"/>
    <w:rsid w:val="00E01404"/>
    <w:rsid w:val="00E0224F"/>
    <w:rsid w:val="00E14074"/>
    <w:rsid w:val="00E26DF3"/>
    <w:rsid w:val="00E350DF"/>
    <w:rsid w:val="00E41235"/>
    <w:rsid w:val="00E4270C"/>
    <w:rsid w:val="00E43F28"/>
    <w:rsid w:val="00E477FE"/>
    <w:rsid w:val="00E56F30"/>
    <w:rsid w:val="00E609D9"/>
    <w:rsid w:val="00E62B91"/>
    <w:rsid w:val="00E70600"/>
    <w:rsid w:val="00E70D60"/>
    <w:rsid w:val="00E74114"/>
    <w:rsid w:val="00E743CB"/>
    <w:rsid w:val="00E8038C"/>
    <w:rsid w:val="00E81499"/>
    <w:rsid w:val="00E85068"/>
    <w:rsid w:val="00E9327C"/>
    <w:rsid w:val="00E939C1"/>
    <w:rsid w:val="00EA07EA"/>
    <w:rsid w:val="00EA3BF5"/>
    <w:rsid w:val="00EA46C2"/>
    <w:rsid w:val="00EA4C09"/>
    <w:rsid w:val="00EA61B8"/>
    <w:rsid w:val="00EB10F9"/>
    <w:rsid w:val="00EC3242"/>
    <w:rsid w:val="00EC622F"/>
    <w:rsid w:val="00ED04F5"/>
    <w:rsid w:val="00ED342B"/>
    <w:rsid w:val="00ED4D50"/>
    <w:rsid w:val="00EE0E4B"/>
    <w:rsid w:val="00EF1035"/>
    <w:rsid w:val="00EF1DFC"/>
    <w:rsid w:val="00EF2983"/>
    <w:rsid w:val="00EF54F5"/>
    <w:rsid w:val="00EF68B6"/>
    <w:rsid w:val="00F006D3"/>
    <w:rsid w:val="00F00FF6"/>
    <w:rsid w:val="00F0621A"/>
    <w:rsid w:val="00F17893"/>
    <w:rsid w:val="00F20194"/>
    <w:rsid w:val="00F24840"/>
    <w:rsid w:val="00F25363"/>
    <w:rsid w:val="00F2702F"/>
    <w:rsid w:val="00F36C81"/>
    <w:rsid w:val="00F37F62"/>
    <w:rsid w:val="00F44010"/>
    <w:rsid w:val="00F44D51"/>
    <w:rsid w:val="00F458D4"/>
    <w:rsid w:val="00F5118C"/>
    <w:rsid w:val="00F638A9"/>
    <w:rsid w:val="00F66C98"/>
    <w:rsid w:val="00F67650"/>
    <w:rsid w:val="00F7372C"/>
    <w:rsid w:val="00F73FD5"/>
    <w:rsid w:val="00F80ED5"/>
    <w:rsid w:val="00F819B0"/>
    <w:rsid w:val="00F83372"/>
    <w:rsid w:val="00F8446D"/>
    <w:rsid w:val="00F85721"/>
    <w:rsid w:val="00F917D6"/>
    <w:rsid w:val="00F94DE6"/>
    <w:rsid w:val="00FA1311"/>
    <w:rsid w:val="00FA3BC9"/>
    <w:rsid w:val="00FB3A2D"/>
    <w:rsid w:val="00FB56E1"/>
    <w:rsid w:val="00FB5A9F"/>
    <w:rsid w:val="00FB7ACD"/>
    <w:rsid w:val="00FC6F7C"/>
    <w:rsid w:val="00FC7AFA"/>
    <w:rsid w:val="00FD4A56"/>
    <w:rsid w:val="00FD7909"/>
    <w:rsid w:val="00FE1695"/>
    <w:rsid w:val="00FE2687"/>
    <w:rsid w:val="00FE2D20"/>
    <w:rsid w:val="1BA071CB"/>
    <w:rsid w:val="1CA0DC5A"/>
    <w:rsid w:val="2042A7C7"/>
    <w:rsid w:val="301D8E53"/>
    <w:rsid w:val="3727ADF5"/>
    <w:rsid w:val="40E0AF9B"/>
    <w:rsid w:val="4161AFB4"/>
    <w:rsid w:val="4270C733"/>
    <w:rsid w:val="42FDBA3E"/>
    <w:rsid w:val="458ED869"/>
    <w:rsid w:val="518AA6BC"/>
    <w:rsid w:val="5CCF5164"/>
    <w:rsid w:val="6060F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74A81A"/>
  <w15:docId w15:val="{2348F71A-8A04-446C-BC3C-C006BC6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4C1"/>
    <w:pPr>
      <w:spacing w:after="200" w:line="276" w:lineRule="auto"/>
    </w:pPr>
    <w:rPr>
      <w:color w:val="000000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78E4"/>
    <w:pPr>
      <w:keepNext/>
      <w:keepLines/>
      <w:numPr>
        <w:numId w:val="5"/>
      </w:numPr>
      <w:spacing w:before="120" w:after="120" w:line="240" w:lineRule="auto"/>
      <w:contextualSpacing/>
      <w:jc w:val="center"/>
      <w:outlineLvl w:val="0"/>
    </w:pPr>
    <w:rPr>
      <w:b/>
      <w:sz w:val="36"/>
      <w:szCs w:val="24"/>
    </w:rPr>
  </w:style>
  <w:style w:type="paragraph" w:styleId="Heading2">
    <w:name w:val="heading 2"/>
    <w:basedOn w:val="ListNumber"/>
    <w:next w:val="Normal"/>
    <w:link w:val="Heading2Char"/>
    <w:uiPriority w:val="99"/>
    <w:qFormat/>
    <w:rsid w:val="00594465"/>
    <w:pPr>
      <w:keepNext/>
      <w:keepLines/>
      <w:numPr>
        <w:ilvl w:val="1"/>
        <w:numId w:val="5"/>
      </w:numPr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0915"/>
    <w:pPr>
      <w:keepNext/>
      <w:keepLines/>
      <w:numPr>
        <w:ilvl w:val="2"/>
        <w:numId w:val="5"/>
      </w:numPr>
      <w:spacing w:before="120" w:after="80"/>
      <w:contextualSpacing/>
      <w:outlineLvl w:val="2"/>
    </w:pPr>
    <w:rPr>
      <w:b/>
      <w:i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EF7"/>
    <w:pPr>
      <w:keepNext/>
      <w:keepLines/>
      <w:numPr>
        <w:ilvl w:val="3"/>
        <w:numId w:val="5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EF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2EF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D78E4"/>
    <w:rPr>
      <w:b/>
      <w:color w:val="000000"/>
      <w:sz w:val="36"/>
      <w:szCs w:val="24"/>
      <w:lang w:val="en-US" w:eastAsia="zh-TW"/>
    </w:rPr>
  </w:style>
  <w:style w:type="character" w:customStyle="1" w:styleId="Heading2Char">
    <w:name w:val="Heading 2 Char"/>
    <w:basedOn w:val="DefaultParagraphFont"/>
    <w:link w:val="Heading2"/>
    <w:uiPriority w:val="99"/>
    <w:rsid w:val="00C760E2"/>
    <w:rPr>
      <w:b/>
      <w:color w:val="000000"/>
      <w:sz w:val="24"/>
      <w:szCs w:val="3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C760E2"/>
    <w:rPr>
      <w:b/>
      <w:i/>
      <w:color w:val="000000"/>
      <w:sz w:val="24"/>
      <w:szCs w:val="28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9"/>
    <w:rsid w:val="00C760E2"/>
    <w:rPr>
      <w:b/>
      <w:color w:val="000000"/>
      <w:sz w:val="24"/>
      <w:szCs w:val="24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0E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0E2"/>
    <w:rPr>
      <w:rFonts w:asciiTheme="minorHAnsi" w:eastAsiaTheme="minorEastAsia" w:hAnsiTheme="minorHAnsi" w:cstheme="minorBidi"/>
      <w:b/>
      <w:bCs/>
      <w:color w:val="00000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892EF7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760E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2EF7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760E2"/>
    <w:rPr>
      <w:rFonts w:asciiTheme="majorHAnsi" w:eastAsiaTheme="majorEastAsia" w:hAnsiTheme="majorHAnsi" w:cstheme="majorBidi"/>
      <w:color w:val="000000"/>
      <w:sz w:val="24"/>
      <w:szCs w:val="24"/>
      <w:lang w:val="en-US" w:eastAsia="zh-TW"/>
    </w:rPr>
  </w:style>
  <w:style w:type="table" w:customStyle="1" w:styleId="Style">
    <w:name w:val="Style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Style13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Style12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Style11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0">
    <w:name w:val="Style10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9">
    <w:name w:val="Style9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">
    <w:name w:val="Style8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">
    <w:name w:val="Style7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">
    <w:name w:val="Style6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5">
    <w:name w:val="Style5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">
    <w:name w:val="Style4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">
    <w:name w:val="Style3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0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0ED"/>
    <w:rPr>
      <w:rFonts w:cs="Times New Roman"/>
    </w:rPr>
  </w:style>
  <w:style w:type="paragraph" w:styleId="ListNumber">
    <w:name w:val="List Number"/>
    <w:basedOn w:val="Normal"/>
    <w:uiPriority w:val="99"/>
    <w:rsid w:val="00594465"/>
    <w:pPr>
      <w:tabs>
        <w:tab w:val="num" w:pos="360"/>
      </w:tabs>
      <w:ind w:left="360" w:hanging="360"/>
      <w:contextualSpacing/>
    </w:pPr>
  </w:style>
  <w:style w:type="paragraph" w:styleId="ListParagraph">
    <w:name w:val="List Paragraph"/>
    <w:basedOn w:val="Normal"/>
    <w:uiPriority w:val="1"/>
    <w:qFormat/>
    <w:rsid w:val="00BF0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8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47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2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2EF7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92EF7"/>
    <w:rPr>
      <w:rFonts w:cs="Times New Roman"/>
      <w:sz w:val="16"/>
      <w:szCs w:val="16"/>
    </w:rPr>
  </w:style>
  <w:style w:type="table" w:customStyle="1" w:styleId="1">
    <w:name w:val="1"/>
    <w:uiPriority w:val="99"/>
    <w:rsid w:val="00932037"/>
    <w:rPr>
      <w:sz w:val="20"/>
      <w:szCs w:val="20"/>
      <w:lang w:val="en-CA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styleId="Emphasis">
    <w:name w:val="Emphasis"/>
    <w:basedOn w:val="DefaultParagraphFont"/>
    <w:uiPriority w:val="99"/>
    <w:qFormat/>
    <w:rsid w:val="00CA36A2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FE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sid w:val="006B3F88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49E4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0E2"/>
    <w:rPr>
      <w:rFonts w:cs="Times New Roman"/>
      <w:b/>
      <w:bCs/>
      <w:color w:val="000000"/>
      <w:sz w:val="20"/>
      <w:szCs w:val="20"/>
      <w:lang w:val="en-US" w:eastAsia="zh-TW"/>
    </w:rPr>
  </w:style>
  <w:style w:type="table" w:styleId="TableGrid">
    <w:name w:val="Table Grid"/>
    <w:basedOn w:val="TableNormal"/>
    <w:locked/>
    <w:rsid w:val="0098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E10F3"/>
    <w:rPr>
      <w:i/>
      <w:iCs/>
      <w:color w:val="808080" w:themeColor="text1" w:themeTint="7F"/>
      <w:u w:val="single"/>
    </w:rPr>
  </w:style>
  <w:style w:type="character" w:styleId="PlaceholderText">
    <w:name w:val="Placeholder Text"/>
    <w:basedOn w:val="DefaultParagraphFont"/>
    <w:uiPriority w:val="99"/>
    <w:semiHidden/>
    <w:rsid w:val="001556EE"/>
    <w:rPr>
      <w:color w:val="808080"/>
    </w:rPr>
  </w:style>
  <w:style w:type="numbering" w:customStyle="1" w:styleId="SOPFormat">
    <w:name w:val="SOP Format"/>
    <w:basedOn w:val="NoList"/>
    <w:uiPriority w:val="99"/>
    <w:rsid w:val="00A532D4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1"/>
    <w:qFormat/>
    <w:rsid w:val="00E939C1"/>
    <w:pPr>
      <w:widowControl w:val="0"/>
      <w:spacing w:after="0" w:line="240" w:lineRule="auto"/>
      <w:ind w:left="1060"/>
    </w:pPr>
    <w:rPr>
      <w:rFonts w:eastAsia="Calibri" w:cstheme="minorBidi"/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39C1"/>
    <w:rPr>
      <w:rFonts w:eastAsia="Calibri" w:cstheme="minorBidi"/>
      <w:lang w:val="en-US" w:eastAsia="en-US"/>
    </w:rPr>
  </w:style>
  <w:style w:type="paragraph" w:styleId="Revision">
    <w:name w:val="Revision"/>
    <w:hidden/>
    <w:uiPriority w:val="99"/>
    <w:semiHidden/>
    <w:rsid w:val="00D554C1"/>
    <w:rPr>
      <w:color w:val="000000"/>
      <w:lang w:val="en-US" w:eastAsia="zh-TW"/>
    </w:rPr>
  </w:style>
  <w:style w:type="character" w:customStyle="1" w:styleId="normaltextrun">
    <w:name w:val="normaltextrun"/>
    <w:basedOn w:val="DefaultParagraphFont"/>
    <w:rsid w:val="005D471C"/>
  </w:style>
  <w:style w:type="character" w:customStyle="1" w:styleId="eop">
    <w:name w:val="eop"/>
    <w:basedOn w:val="DefaultParagraphFont"/>
    <w:rsid w:val="005D471C"/>
  </w:style>
  <w:style w:type="paragraph" w:customStyle="1" w:styleId="paragraph">
    <w:name w:val="paragraph"/>
    <w:basedOn w:val="Normal"/>
    <w:rsid w:val="00D7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537B6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37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2537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2537B6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F8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19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8CDB8A7-3C59-4A9D-838E-A18BD0F69072}">
  <ds:schemaRefs>
    <ds:schemaRef ds:uri="57d60e0b-bbcc-4e8c-ae17-1bc07bf7b2a6"/>
    <ds:schemaRef ds:uri="http://purl.org/dc/elements/1.1/"/>
    <ds:schemaRef ds:uri="http://schemas.microsoft.com/office/infopath/2007/PartnerControls"/>
    <ds:schemaRef ds:uri="20c1abfa-485b-41c9-a329-38772ca1fd48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1dc8e9d-c2d7-4f1e-a8b8-6d152e0fdc8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71CEFF-074A-4338-801A-8C00D3502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D8C18-A3E5-41E4-97CB-C296D8BBF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BD364-9BFF-46CB-9646-B2882D19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2554</Words>
  <Characters>14558</Characters>
  <Application>Microsoft Office Word</Application>
  <DocSecurity>0</DocSecurity>
  <Lines>121</Lines>
  <Paragraphs>34</Paragraphs>
  <ScaleCrop>false</ScaleCrop>
  <Company>Microsoft</Company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Procedures for</dc:title>
  <dc:creator>Chang, Eva</dc:creator>
  <cp:lastModifiedBy>Marhaba Chaudhry</cp:lastModifiedBy>
  <cp:revision>8</cp:revision>
  <cp:lastPrinted>2020-07-02T14:04:00Z</cp:lastPrinted>
  <dcterms:created xsi:type="dcterms:W3CDTF">2020-07-03T14:12:00Z</dcterms:created>
  <dcterms:modified xsi:type="dcterms:W3CDTF">2024-10-31T13:53:00Z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endTBStructureCentral">
    <vt:lpwstr>8;#N/A|603d074b-cb2d-4568-af2a-4cd630184ab0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AuthorIds_UIVersion_1024">
    <vt:lpwstr>17</vt:lpwstr>
  </property>
  <property fmtid="{D5CDD505-2E9C-101B-9397-08002B2CF9AE}" pid="6" name="AuthorIds_UIVersion_1536">
    <vt:lpwstr>17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SharedWithUsers">
    <vt:lpwstr/>
  </property>
  <property fmtid="{D5CDD505-2E9C-101B-9397-08002B2CF9AE}" pid="12" name="Order">
    <vt:r8>714000</vt:r8>
  </property>
  <property fmtid="{D5CDD505-2E9C-101B-9397-08002B2CF9AE}" pid="13" name="endTBClinicalTrial">
    <vt:lpwstr>endTB</vt:lpwstr>
  </property>
  <property fmtid="{D5CDD505-2E9C-101B-9397-08002B2CF9AE}" pid="14" name="endTBCountry">
    <vt:lpwstr>Central team</vt:lpwstr>
  </property>
  <property fmtid="{D5CDD505-2E9C-101B-9397-08002B2CF9AE}" pid="15" name="endTBStatusDocument">
    <vt:lpwstr>Final</vt:lpwstr>
  </property>
  <property fmtid="{D5CDD505-2E9C-101B-9397-08002B2CF9AE}" pid="16" name="_ExtendedDescription">
    <vt:lpwstr/>
  </property>
  <property fmtid="{D5CDD505-2E9C-101B-9397-08002B2CF9AE}" pid="17" name="b133059517bd4b6ba2826fe941cfd2cb">
    <vt:lpwstr>N/A|7a4f8743-7bab-4f6a-8a0d-b24596741886</vt:lpwstr>
  </property>
  <property fmtid="{D5CDD505-2E9C-101B-9397-08002B2CF9AE}" pid="18" name="ie6fc752e8314f23b9add3aacdf734e2">
    <vt:lpwstr>N/A|603d074b-cb2d-4568-af2a-4cd630184ab0</vt:lpwstr>
  </property>
  <property fmtid="{D5CDD505-2E9C-101B-9397-08002B2CF9AE}" pid="19" name="TriggerFlowInfo">
    <vt:lpwstr/>
  </property>
  <property fmtid="{D5CDD505-2E9C-101B-9397-08002B2CF9AE}" pid="20" name="MediaServiceImageTags">
    <vt:lpwstr/>
  </property>
</Properties>
</file>