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FEADAF4" w14:textId="50F7953C" w:rsidR="00E920EF" w:rsidRDefault="00C5345A" w:rsidP="00A33BCE">
      <w:pPr>
        <w:spacing w:after="0"/>
        <w:jc w:val="center"/>
        <w:rPr>
          <w:rStyle w:val="Heading1Char"/>
          <w:rFonts w:asciiTheme="minorHAnsi" w:hAnsiTheme="minorHAnsi"/>
          <w:sz w:val="36"/>
        </w:rPr>
      </w:pPr>
      <w:bookmarkStart w:id="0" w:name="_Toc181293421"/>
      <w:r w:rsidRPr="00604B4E">
        <w:rPr>
          <w:rStyle w:val="Heading1Char"/>
          <w:rFonts w:asciiTheme="minorHAnsi" w:hAnsiTheme="minorHAnsi"/>
          <w:sz w:val="36"/>
        </w:rPr>
        <w:t>Standard Operating Procedures f</w:t>
      </w:r>
      <w:r w:rsidR="00E920EF" w:rsidRPr="00604B4E">
        <w:rPr>
          <w:rStyle w:val="Heading1Char"/>
          <w:rFonts w:asciiTheme="minorHAnsi" w:hAnsiTheme="minorHAnsi"/>
          <w:sz w:val="36"/>
        </w:rPr>
        <w:t>or</w:t>
      </w:r>
      <w:bookmarkEnd w:id="0"/>
    </w:p>
    <w:p w14:paraId="48A916A0" w14:textId="1BCEC040" w:rsidR="006F6BA1" w:rsidRPr="00BA7FA5" w:rsidRDefault="00E920EF" w:rsidP="00A33BCE">
      <w:pPr>
        <w:spacing w:after="0"/>
        <w:jc w:val="center"/>
      </w:pPr>
      <w:bookmarkStart w:id="1" w:name="_Toc181293422"/>
      <w:r w:rsidRPr="57D0FD51">
        <w:rPr>
          <w:rStyle w:val="Heading1Char"/>
          <w:rFonts w:asciiTheme="minorHAnsi" w:hAnsiTheme="minorHAnsi"/>
          <w:sz w:val="36"/>
          <w:szCs w:val="36"/>
        </w:rPr>
        <w:t>I</w:t>
      </w:r>
      <w:r w:rsidR="00604B4E" w:rsidRPr="57D0FD51">
        <w:rPr>
          <w:rStyle w:val="Heading1Char"/>
          <w:rFonts w:asciiTheme="minorHAnsi" w:hAnsiTheme="minorHAnsi"/>
          <w:sz w:val="36"/>
          <w:szCs w:val="36"/>
        </w:rPr>
        <w:t xml:space="preserve">nvestigational </w:t>
      </w:r>
      <w:r w:rsidRPr="57D0FD51">
        <w:rPr>
          <w:rStyle w:val="Heading1Char"/>
          <w:rFonts w:asciiTheme="minorHAnsi" w:hAnsiTheme="minorHAnsi"/>
          <w:sz w:val="36"/>
          <w:szCs w:val="36"/>
        </w:rPr>
        <w:t>P</w:t>
      </w:r>
      <w:r w:rsidR="00604B4E" w:rsidRPr="57D0FD51">
        <w:rPr>
          <w:rStyle w:val="Heading1Char"/>
          <w:rFonts w:asciiTheme="minorHAnsi" w:hAnsiTheme="minorHAnsi"/>
          <w:sz w:val="36"/>
          <w:szCs w:val="36"/>
        </w:rPr>
        <w:t>roduct</w:t>
      </w:r>
      <w:r w:rsidRPr="57D0FD51">
        <w:rPr>
          <w:rStyle w:val="Heading1Char"/>
          <w:rFonts w:asciiTheme="minorHAnsi" w:hAnsiTheme="minorHAnsi"/>
          <w:sz w:val="36"/>
          <w:szCs w:val="36"/>
        </w:rPr>
        <w:t xml:space="preserve"> Return</w:t>
      </w:r>
      <w:bookmarkEnd w:id="1"/>
    </w:p>
    <w:p w14:paraId="0FD8CA37" w14:textId="1A7F8881" w:rsidR="00217C5E" w:rsidRDefault="00217C5E" w:rsidP="00BA6D1B">
      <w:pPr>
        <w:tabs>
          <w:tab w:val="center" w:pos="4680"/>
          <w:tab w:val="right" w:pos="9360"/>
        </w:tabs>
        <w:spacing w:after="0" w:line="240" w:lineRule="auto"/>
        <w:jc w:val="both"/>
      </w:pPr>
    </w:p>
    <w:p w14:paraId="0AD2599B" w14:textId="77777777" w:rsidR="00217C5E" w:rsidRDefault="00217C5E" w:rsidP="00BA6D1B">
      <w:pPr>
        <w:spacing w:after="0"/>
        <w:jc w:val="both"/>
      </w:pPr>
    </w:p>
    <w:tbl>
      <w:tblPr>
        <w:tblW w:w="934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088"/>
        <w:gridCol w:w="3258"/>
      </w:tblGrid>
      <w:tr w:rsidR="00217C5E" w:rsidRPr="00B95ED8" w14:paraId="315CF583" w14:textId="77777777" w:rsidTr="0078696D">
        <w:tc>
          <w:tcPr>
            <w:tcW w:w="6088" w:type="dxa"/>
            <w:shd w:val="clear" w:color="auto" w:fill="F2F2F2"/>
          </w:tcPr>
          <w:p w14:paraId="42C43692" w14:textId="19E94F76" w:rsidR="00217C5E" w:rsidRDefault="00217C5E" w:rsidP="00BA6D1B">
            <w:pPr>
              <w:spacing w:after="0" w:line="240" w:lineRule="auto"/>
              <w:jc w:val="both"/>
            </w:pPr>
            <w:r w:rsidRPr="0078696D">
              <w:rPr>
                <w:b/>
                <w:sz w:val="24"/>
                <w:szCs w:val="24"/>
              </w:rPr>
              <w:t>SOP Number</w:t>
            </w:r>
            <w:r w:rsidR="00AA58B1">
              <w:rPr>
                <w:sz w:val="24"/>
                <w:szCs w:val="24"/>
              </w:rPr>
              <w:t>: IP-005</w:t>
            </w:r>
            <w:r w:rsidRPr="0078696D">
              <w:rPr>
                <w:sz w:val="24"/>
                <w:szCs w:val="24"/>
              </w:rPr>
              <w:t>-</w:t>
            </w:r>
            <w:r w:rsidR="00AF0B91">
              <w:rPr>
                <w:sz w:val="24"/>
                <w:szCs w:val="24"/>
              </w:rPr>
              <w:t>CT</w:t>
            </w:r>
          </w:p>
        </w:tc>
        <w:tc>
          <w:tcPr>
            <w:tcW w:w="3258" w:type="dxa"/>
            <w:shd w:val="clear" w:color="auto" w:fill="F2F2F2"/>
          </w:tcPr>
          <w:p w14:paraId="7C6E5FC5" w14:textId="690176DC" w:rsidR="00217C5E" w:rsidRPr="008B1177" w:rsidRDefault="00217C5E" w:rsidP="00A33BCE">
            <w:pPr>
              <w:spacing w:after="0" w:line="240" w:lineRule="auto"/>
              <w:jc w:val="both"/>
              <w:rPr>
                <w:lang w:val="fr-FR"/>
              </w:rPr>
            </w:pPr>
            <w:r w:rsidRPr="008B1177">
              <w:rPr>
                <w:b/>
                <w:sz w:val="24"/>
                <w:lang w:val="fr-FR"/>
              </w:rPr>
              <w:t xml:space="preserve">Effective </w:t>
            </w:r>
            <w:proofErr w:type="gramStart"/>
            <w:r w:rsidRPr="008B1177">
              <w:rPr>
                <w:b/>
                <w:sz w:val="24"/>
                <w:lang w:val="fr-FR"/>
              </w:rPr>
              <w:t>Date</w:t>
            </w:r>
            <w:r w:rsidR="00CA3B99" w:rsidRPr="008B1177">
              <w:rPr>
                <w:sz w:val="24"/>
                <w:lang w:val="fr-FR"/>
              </w:rPr>
              <w:t>:</w:t>
            </w:r>
            <w:proofErr w:type="gramEnd"/>
            <w:r w:rsidR="00CA3B99" w:rsidRPr="008B1177">
              <w:rPr>
                <w:sz w:val="24"/>
                <w:lang w:val="fr-FR"/>
              </w:rPr>
              <w:t xml:space="preserve"> </w:t>
            </w:r>
          </w:p>
        </w:tc>
      </w:tr>
      <w:tr w:rsidR="0024268F" w14:paraId="7F279F1D" w14:textId="77777777" w:rsidTr="003C0AF8">
        <w:tc>
          <w:tcPr>
            <w:tcW w:w="9346" w:type="dxa"/>
            <w:gridSpan w:val="2"/>
            <w:shd w:val="clear" w:color="auto" w:fill="F2F2F2"/>
          </w:tcPr>
          <w:p w14:paraId="76AA5263" w14:textId="6C0CBEA1" w:rsidR="0024268F" w:rsidRDefault="0024268F" w:rsidP="000A4A98">
            <w:pPr>
              <w:spacing w:after="0" w:line="240" w:lineRule="auto"/>
              <w:jc w:val="both"/>
            </w:pPr>
            <w:r w:rsidRPr="0078696D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 xml:space="preserve">ersion Number and </w:t>
            </w:r>
            <w:r w:rsidRPr="0078696D">
              <w:rPr>
                <w:b/>
                <w:sz w:val="24"/>
                <w:szCs w:val="24"/>
              </w:rPr>
              <w:t>Date</w:t>
            </w:r>
            <w:r w:rsidR="00CA3B99">
              <w:rPr>
                <w:sz w:val="24"/>
                <w:szCs w:val="24"/>
              </w:rPr>
              <w:t xml:space="preserve">: </w:t>
            </w:r>
            <w:r w:rsidR="00634303">
              <w:rPr>
                <w:sz w:val="24"/>
                <w:szCs w:val="24"/>
              </w:rPr>
              <w:t>5</w:t>
            </w:r>
            <w:r w:rsidR="00CA3B99">
              <w:rPr>
                <w:sz w:val="24"/>
                <w:szCs w:val="24"/>
              </w:rPr>
              <w:t xml:space="preserve">.0, </w:t>
            </w:r>
            <w:r w:rsidR="00634303">
              <w:rPr>
                <w:sz w:val="24"/>
                <w:szCs w:val="24"/>
              </w:rPr>
              <w:t>01</w:t>
            </w:r>
            <w:r w:rsidR="00A31B42">
              <w:rPr>
                <w:sz w:val="24"/>
                <w:szCs w:val="24"/>
              </w:rPr>
              <w:t>-</w:t>
            </w:r>
            <w:r w:rsidR="00634303">
              <w:rPr>
                <w:sz w:val="24"/>
                <w:szCs w:val="24"/>
              </w:rPr>
              <w:t>Jun</w:t>
            </w:r>
            <w:r w:rsidR="00A31B42">
              <w:rPr>
                <w:sz w:val="24"/>
                <w:szCs w:val="24"/>
              </w:rPr>
              <w:t>-</w:t>
            </w:r>
            <w:r w:rsidR="00AF0B91">
              <w:rPr>
                <w:sz w:val="24"/>
                <w:szCs w:val="24"/>
              </w:rPr>
              <w:t>20</w:t>
            </w:r>
            <w:r w:rsidR="00634303">
              <w:rPr>
                <w:sz w:val="24"/>
                <w:szCs w:val="24"/>
              </w:rPr>
              <w:t>20</w:t>
            </w:r>
          </w:p>
        </w:tc>
      </w:tr>
    </w:tbl>
    <w:p w14:paraId="2E10252E" w14:textId="77777777" w:rsidR="00217C5E" w:rsidRDefault="00217C5E" w:rsidP="00BA6D1B">
      <w:pPr>
        <w:spacing w:after="0"/>
        <w:jc w:val="both"/>
      </w:pPr>
    </w:p>
    <w:p w14:paraId="23BD2413" w14:textId="77777777" w:rsidR="00217C5E" w:rsidRDefault="00217C5E" w:rsidP="00BA6D1B">
      <w:pPr>
        <w:spacing w:after="0"/>
        <w:jc w:val="both"/>
      </w:pPr>
    </w:p>
    <w:sdt>
      <w:sdtPr>
        <w:id w:val="1524890477"/>
        <w:docPartObj>
          <w:docPartGallery w:val="Table of Contents"/>
          <w:docPartUnique/>
        </w:docPartObj>
      </w:sdtPr>
      <w:sdtEndPr>
        <w:rPr>
          <w:rFonts w:ascii="Calibri" w:eastAsia="Calibri" w:hAnsi="Calibri" w:cs="Calibri"/>
          <w:b/>
          <w:bCs/>
          <w:noProof/>
          <w:color w:val="000000"/>
          <w:sz w:val="22"/>
          <w:szCs w:val="22"/>
          <w:lang w:eastAsia="zh-TW"/>
        </w:rPr>
      </w:sdtEndPr>
      <w:sdtContent>
        <w:p w14:paraId="532C579A" w14:textId="2BEFE6B0" w:rsidR="009A765D" w:rsidRPr="009A765D" w:rsidRDefault="009A765D">
          <w:pPr>
            <w:pStyle w:val="TOCHeading"/>
            <w:rPr>
              <w:rFonts w:ascii="Calibri" w:hAnsi="Calibri" w:cs="Calibri"/>
              <w:b/>
              <w:bCs/>
              <w:color w:val="auto"/>
              <w:sz w:val="24"/>
              <w:szCs w:val="24"/>
            </w:rPr>
          </w:pPr>
          <w:r w:rsidRPr="009A765D">
            <w:rPr>
              <w:rFonts w:ascii="Calibri" w:hAnsi="Calibri" w:cs="Calibri"/>
              <w:b/>
              <w:bCs/>
              <w:color w:val="auto"/>
              <w:sz w:val="24"/>
              <w:szCs w:val="24"/>
            </w:rPr>
            <w:t>Table of Contents</w:t>
          </w:r>
        </w:p>
        <w:p w14:paraId="4DBA5B4C" w14:textId="33F5B6B2" w:rsidR="009A765D" w:rsidRDefault="009A765D" w:rsidP="009A765D">
          <w:pPr>
            <w:pStyle w:val="TOC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014D50F3" w14:textId="5D88BBE1" w:rsidR="009A765D" w:rsidRDefault="009A765D">
          <w:pPr>
            <w:pStyle w:val="TOC2"/>
            <w:tabs>
              <w:tab w:val="left" w:pos="720"/>
              <w:tab w:val="right" w:leader="dot" w:pos="9345"/>
            </w:tabs>
            <w:rPr>
              <w:noProof/>
            </w:rPr>
          </w:pPr>
          <w:hyperlink w:anchor="_Toc181293425" w:history="1">
            <w:r w:rsidRPr="00917930">
              <w:rPr>
                <w:rStyle w:val="Hyperlink"/>
                <w:noProof/>
              </w:rPr>
              <w:t>1.</w:t>
            </w:r>
            <w:r>
              <w:rPr>
                <w:noProof/>
              </w:rPr>
              <w:tab/>
            </w:r>
            <w:r w:rsidRPr="00917930">
              <w:rPr>
                <w:rStyle w:val="Hyperlink"/>
                <w:noProof/>
              </w:rPr>
              <w:t>PURPOSE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_Toc181293425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2721B1" w14:textId="0E418894" w:rsidR="009A765D" w:rsidRDefault="009A765D">
          <w:pPr>
            <w:pStyle w:val="TOC2"/>
            <w:tabs>
              <w:tab w:val="left" w:pos="720"/>
              <w:tab w:val="right" w:leader="dot" w:pos="9345"/>
            </w:tabs>
            <w:rPr>
              <w:noProof/>
            </w:rPr>
          </w:pPr>
          <w:hyperlink w:anchor="_Toc181293426" w:history="1">
            <w:r w:rsidRPr="00917930">
              <w:rPr>
                <w:rStyle w:val="Hyperlink"/>
                <w:noProof/>
              </w:rPr>
              <w:t>2.</w:t>
            </w:r>
            <w:r>
              <w:rPr>
                <w:noProof/>
              </w:rPr>
              <w:tab/>
            </w:r>
            <w:r w:rsidRPr="00917930">
              <w:rPr>
                <w:rStyle w:val="Hyperlink"/>
                <w:noProof/>
              </w:rPr>
              <w:t>SCOPE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_Toc181293426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444B9C" w14:textId="157B5105" w:rsidR="009A765D" w:rsidRDefault="009A765D">
          <w:pPr>
            <w:pStyle w:val="TOC2"/>
            <w:tabs>
              <w:tab w:val="left" w:pos="720"/>
              <w:tab w:val="right" w:leader="dot" w:pos="9345"/>
            </w:tabs>
            <w:rPr>
              <w:noProof/>
            </w:rPr>
          </w:pPr>
          <w:hyperlink w:anchor="_Toc181293427" w:history="1">
            <w:r w:rsidRPr="00917930">
              <w:rPr>
                <w:rStyle w:val="Hyperlink"/>
                <w:noProof/>
              </w:rPr>
              <w:t>3.</w:t>
            </w:r>
            <w:r>
              <w:rPr>
                <w:noProof/>
              </w:rPr>
              <w:tab/>
            </w:r>
            <w:r w:rsidRPr="00917930">
              <w:rPr>
                <w:rStyle w:val="Hyperlink"/>
                <w:noProof/>
              </w:rPr>
              <w:t>RESPONSIBLE FUNCTIONS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_Toc181293427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156983" w14:textId="303CC468" w:rsidR="009A765D" w:rsidRDefault="009A765D">
          <w:pPr>
            <w:pStyle w:val="TOC2"/>
            <w:tabs>
              <w:tab w:val="left" w:pos="720"/>
              <w:tab w:val="right" w:leader="dot" w:pos="9345"/>
            </w:tabs>
            <w:rPr>
              <w:noProof/>
            </w:rPr>
          </w:pPr>
          <w:hyperlink w:anchor="_Toc181293428" w:history="1">
            <w:r w:rsidRPr="00917930">
              <w:rPr>
                <w:rStyle w:val="Hyperlink"/>
                <w:noProof/>
              </w:rPr>
              <w:t>4.</w:t>
            </w:r>
            <w:r>
              <w:rPr>
                <w:noProof/>
              </w:rPr>
              <w:tab/>
            </w:r>
            <w:r w:rsidRPr="00917930">
              <w:rPr>
                <w:rStyle w:val="Hyperlink"/>
                <w:noProof/>
              </w:rPr>
              <w:t>DEFINITIONS and ABBREVIATIONS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_Toc181293428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7DB3DF" w14:textId="067336DF" w:rsidR="009A765D" w:rsidRDefault="009A765D">
          <w:pPr>
            <w:pStyle w:val="TOC2"/>
            <w:tabs>
              <w:tab w:val="left" w:pos="720"/>
              <w:tab w:val="right" w:leader="dot" w:pos="9345"/>
            </w:tabs>
            <w:rPr>
              <w:noProof/>
            </w:rPr>
          </w:pPr>
          <w:hyperlink w:anchor="_Toc181293429" w:history="1">
            <w:r w:rsidRPr="00917930">
              <w:rPr>
                <w:rStyle w:val="Hyperlink"/>
                <w:noProof/>
              </w:rPr>
              <w:t>5.</w:t>
            </w:r>
            <w:r>
              <w:rPr>
                <w:noProof/>
              </w:rPr>
              <w:tab/>
            </w:r>
            <w:r w:rsidRPr="00917930">
              <w:rPr>
                <w:rStyle w:val="Hyperlink"/>
                <w:noProof/>
              </w:rPr>
              <w:t>PROCEDURE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_Toc181293429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6A5C30" w14:textId="262A8AC0" w:rsidR="009A765D" w:rsidRDefault="009A765D">
          <w:pPr>
            <w:pStyle w:val="TOC2"/>
            <w:tabs>
              <w:tab w:val="left" w:pos="720"/>
              <w:tab w:val="right" w:leader="dot" w:pos="9345"/>
            </w:tabs>
            <w:rPr>
              <w:noProof/>
            </w:rPr>
          </w:pPr>
          <w:hyperlink w:anchor="_Toc181293430" w:history="1">
            <w:r w:rsidRPr="00917930">
              <w:rPr>
                <w:rStyle w:val="Hyperlink"/>
                <w:noProof/>
              </w:rPr>
              <w:t>6.</w:t>
            </w:r>
            <w:r>
              <w:rPr>
                <w:noProof/>
              </w:rPr>
              <w:tab/>
            </w:r>
            <w:r w:rsidRPr="00917930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_Toc181293430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5F5FAE" w14:textId="616A440A" w:rsidR="009A765D" w:rsidRDefault="009A765D">
          <w:pPr>
            <w:pStyle w:val="TOC2"/>
            <w:tabs>
              <w:tab w:val="left" w:pos="720"/>
              <w:tab w:val="right" w:leader="dot" w:pos="9345"/>
            </w:tabs>
            <w:rPr>
              <w:noProof/>
            </w:rPr>
          </w:pPr>
          <w:hyperlink w:anchor="_Toc181293431" w:history="1">
            <w:r w:rsidRPr="00917930">
              <w:rPr>
                <w:rStyle w:val="Hyperlink"/>
                <w:noProof/>
              </w:rPr>
              <w:t>7.</w:t>
            </w:r>
            <w:r>
              <w:rPr>
                <w:noProof/>
              </w:rPr>
              <w:tab/>
            </w:r>
            <w:r w:rsidRPr="00917930">
              <w:rPr>
                <w:rStyle w:val="Hyperlink"/>
                <w:noProof/>
              </w:rPr>
              <w:t>SUPPORTING DOCUMENTS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_Toc181293431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E63934" w14:textId="6B4CD9DC" w:rsidR="009A765D" w:rsidRDefault="009A765D">
          <w:pPr>
            <w:pStyle w:val="TOC2"/>
            <w:tabs>
              <w:tab w:val="left" w:pos="720"/>
              <w:tab w:val="right" w:leader="dot" w:pos="9345"/>
            </w:tabs>
            <w:rPr>
              <w:noProof/>
            </w:rPr>
          </w:pPr>
          <w:hyperlink w:anchor="_Toc181293432" w:history="1">
            <w:r w:rsidRPr="00917930">
              <w:rPr>
                <w:rStyle w:val="Hyperlink"/>
                <w:noProof/>
              </w:rPr>
              <w:t>8.</w:t>
            </w:r>
            <w:r>
              <w:rPr>
                <w:noProof/>
              </w:rPr>
              <w:tab/>
            </w:r>
            <w:r w:rsidRPr="00917930">
              <w:rPr>
                <w:rStyle w:val="Hyperlink"/>
                <w:noProof/>
              </w:rPr>
              <w:t>APPENDIX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_Toc181293432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29918D" w14:textId="7E4EB12C" w:rsidR="009A765D" w:rsidRDefault="009A765D">
          <w:r>
            <w:rPr>
              <w:b/>
              <w:bCs/>
              <w:noProof/>
            </w:rPr>
            <w:fldChar w:fldCharType="end"/>
          </w:r>
        </w:p>
      </w:sdtContent>
    </w:sdt>
    <w:p w14:paraId="052DCA53" w14:textId="77777777" w:rsidR="00217C5E" w:rsidRDefault="00217C5E" w:rsidP="00BA6D1B">
      <w:pPr>
        <w:spacing w:after="0"/>
        <w:jc w:val="both"/>
      </w:pPr>
    </w:p>
    <w:p w14:paraId="48B7961D" w14:textId="77777777" w:rsidR="00217C5E" w:rsidRDefault="00217C5E" w:rsidP="00BA6D1B">
      <w:pPr>
        <w:ind w:right="146"/>
        <w:jc w:val="both"/>
      </w:pPr>
      <w:r>
        <w:br w:type="page"/>
      </w:r>
    </w:p>
    <w:p w14:paraId="67E4E8EB" w14:textId="60CA5486" w:rsidR="00E920EF" w:rsidRDefault="00C5345A" w:rsidP="007D0AA5">
      <w:pPr>
        <w:spacing w:after="0"/>
        <w:jc w:val="center"/>
        <w:rPr>
          <w:rStyle w:val="Heading1Char"/>
          <w:rFonts w:asciiTheme="minorHAnsi" w:hAnsiTheme="minorHAnsi"/>
          <w:sz w:val="36"/>
          <w:szCs w:val="36"/>
        </w:rPr>
      </w:pPr>
      <w:bookmarkStart w:id="2" w:name="_Toc181293423"/>
      <w:r w:rsidRPr="00604B4E">
        <w:rPr>
          <w:rStyle w:val="Heading1Char"/>
          <w:rFonts w:asciiTheme="minorHAnsi" w:hAnsiTheme="minorHAnsi"/>
          <w:sz w:val="36"/>
          <w:szCs w:val="36"/>
        </w:rPr>
        <w:lastRenderedPageBreak/>
        <w:t>Standard Operating Procedures for</w:t>
      </w:r>
      <w:bookmarkEnd w:id="2"/>
    </w:p>
    <w:p w14:paraId="6AF5AECD" w14:textId="72F68EA3" w:rsidR="00AA58B1" w:rsidRPr="00AA58B1" w:rsidRDefault="00E920EF" w:rsidP="007D0AA5">
      <w:pPr>
        <w:spacing w:after="0"/>
        <w:jc w:val="center"/>
        <w:rPr>
          <w:b/>
          <w:bCs/>
          <w:sz w:val="36"/>
          <w:szCs w:val="36"/>
        </w:rPr>
      </w:pPr>
      <w:bookmarkStart w:id="3" w:name="_Toc181293424"/>
      <w:r w:rsidRPr="57D0FD51">
        <w:rPr>
          <w:rStyle w:val="Heading1Char"/>
          <w:rFonts w:asciiTheme="minorHAnsi" w:hAnsiTheme="minorHAnsi"/>
          <w:sz w:val="36"/>
          <w:szCs w:val="36"/>
        </w:rPr>
        <w:t>I</w:t>
      </w:r>
      <w:r w:rsidR="00604B4E" w:rsidRPr="57D0FD51">
        <w:rPr>
          <w:rStyle w:val="Heading1Char"/>
          <w:rFonts w:asciiTheme="minorHAnsi" w:hAnsiTheme="minorHAnsi"/>
          <w:sz w:val="36"/>
          <w:szCs w:val="36"/>
        </w:rPr>
        <w:t xml:space="preserve">nvestigational </w:t>
      </w:r>
      <w:r w:rsidRPr="57D0FD51">
        <w:rPr>
          <w:rStyle w:val="Heading1Char"/>
          <w:rFonts w:asciiTheme="minorHAnsi" w:hAnsiTheme="minorHAnsi"/>
          <w:sz w:val="36"/>
          <w:szCs w:val="36"/>
        </w:rPr>
        <w:t>P</w:t>
      </w:r>
      <w:r w:rsidR="00604B4E" w:rsidRPr="57D0FD51">
        <w:rPr>
          <w:rStyle w:val="Heading1Char"/>
          <w:rFonts w:asciiTheme="minorHAnsi" w:hAnsiTheme="minorHAnsi"/>
          <w:sz w:val="36"/>
          <w:szCs w:val="36"/>
        </w:rPr>
        <w:t>roduct</w:t>
      </w:r>
      <w:r w:rsidRPr="57D0FD51">
        <w:rPr>
          <w:rStyle w:val="Heading1Char"/>
          <w:rFonts w:asciiTheme="minorHAnsi" w:hAnsiTheme="minorHAnsi"/>
          <w:sz w:val="36"/>
          <w:szCs w:val="36"/>
        </w:rPr>
        <w:t xml:space="preserve"> Return</w:t>
      </w:r>
      <w:bookmarkEnd w:id="3"/>
    </w:p>
    <w:p w14:paraId="61B46678" w14:textId="77777777" w:rsidR="00217C5E" w:rsidRPr="00BA7FA5" w:rsidRDefault="00217C5E" w:rsidP="00BA6D1B">
      <w:pPr>
        <w:pStyle w:val="Heading2"/>
        <w:jc w:val="both"/>
      </w:pPr>
      <w:bookmarkStart w:id="4" w:name="_Toc181293425"/>
      <w:r w:rsidRPr="00BA7FA5">
        <w:t>PURPOSE</w:t>
      </w:r>
      <w:bookmarkEnd w:id="4"/>
      <w:r w:rsidRPr="00BA7FA5">
        <w:t xml:space="preserve"> </w:t>
      </w:r>
    </w:p>
    <w:tbl>
      <w:tblPr>
        <w:tblW w:w="934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46"/>
      </w:tblGrid>
      <w:tr w:rsidR="00217C5E" w14:paraId="66042233" w14:textId="77777777" w:rsidTr="0078696D">
        <w:tc>
          <w:tcPr>
            <w:tcW w:w="9346" w:type="dxa"/>
          </w:tcPr>
          <w:p w14:paraId="0E336DB3" w14:textId="5BC3FBED" w:rsidR="00217C5E" w:rsidRDefault="00217C5E" w:rsidP="007D0AA5">
            <w:pPr>
              <w:pStyle w:val="ListNumber"/>
              <w:tabs>
                <w:tab w:val="clear" w:pos="360"/>
              </w:tabs>
              <w:spacing w:before="120" w:line="240" w:lineRule="auto"/>
              <w:ind w:left="0" w:firstLine="0"/>
              <w:contextualSpacing w:val="0"/>
              <w:jc w:val="both"/>
            </w:pPr>
            <w:r w:rsidRPr="00FE2D20">
              <w:t xml:space="preserve">The purpose of this </w:t>
            </w:r>
            <w:r w:rsidR="00E82132">
              <w:t>standard operating procedure (</w:t>
            </w:r>
            <w:r w:rsidRPr="00FE2D20">
              <w:t>SOP</w:t>
            </w:r>
            <w:r w:rsidR="00E82132">
              <w:t>)</w:t>
            </w:r>
            <w:r w:rsidRPr="00FE2D20">
              <w:t xml:space="preserve"> is to ensure </w:t>
            </w:r>
            <w:r w:rsidR="00DC5D44">
              <w:t xml:space="preserve">that </w:t>
            </w:r>
            <w:r w:rsidR="002335D9">
              <w:t xml:space="preserve">all </w:t>
            </w:r>
            <w:r w:rsidR="001C5AA2">
              <w:t>I</w:t>
            </w:r>
            <w:r w:rsidR="00E82132">
              <w:t xml:space="preserve">nvestigational </w:t>
            </w:r>
            <w:r w:rsidR="001C5AA2">
              <w:t>P</w:t>
            </w:r>
            <w:r w:rsidR="00E82132">
              <w:t>roduct</w:t>
            </w:r>
            <w:r w:rsidR="001C5AA2">
              <w:t>s</w:t>
            </w:r>
            <w:r w:rsidR="00E82132">
              <w:t xml:space="preserve"> (IPs)</w:t>
            </w:r>
            <w:r w:rsidR="001C5AA2">
              <w:t xml:space="preserve"> distributed</w:t>
            </w:r>
            <w:r w:rsidR="00E82132">
              <w:t xml:space="preserve"> to </w:t>
            </w:r>
            <w:r w:rsidR="00DC5D44">
              <w:t xml:space="preserve">the </w:t>
            </w:r>
            <w:r w:rsidR="00E82132">
              <w:t>endTB Clinical Trial sites</w:t>
            </w:r>
            <w:r w:rsidR="007A1B62">
              <w:t xml:space="preserve"> that</w:t>
            </w:r>
            <w:r w:rsidR="00DC5D44">
              <w:t xml:space="preserve"> </w:t>
            </w:r>
            <w:r w:rsidR="001C5AA2">
              <w:t xml:space="preserve">are damaged </w:t>
            </w:r>
            <w:r w:rsidR="00092C38">
              <w:t>or not used</w:t>
            </w:r>
            <w:r w:rsidR="00DC5D44">
              <w:t>,</w:t>
            </w:r>
            <w:r w:rsidR="00092C38">
              <w:t xml:space="preserve"> </w:t>
            </w:r>
            <w:r w:rsidR="002335D9">
              <w:t xml:space="preserve">are returned to the </w:t>
            </w:r>
            <w:r w:rsidR="005D73BC">
              <w:t xml:space="preserve">Central Medical Store </w:t>
            </w:r>
            <w:r w:rsidR="007D0AA5">
              <w:t xml:space="preserve">(CMS) </w:t>
            </w:r>
            <w:r w:rsidR="00E82132">
              <w:t>of each participating country</w:t>
            </w:r>
            <w:r w:rsidR="005F4630">
              <w:t>/Site (as applicable)</w:t>
            </w:r>
            <w:r w:rsidR="00634303">
              <w:t xml:space="preserve"> and store</w:t>
            </w:r>
            <w:r w:rsidR="005F4630">
              <w:t>d</w:t>
            </w:r>
            <w:r w:rsidR="00634303">
              <w:t xml:space="preserve"> in </w:t>
            </w:r>
            <w:r w:rsidR="005F4630">
              <w:t xml:space="preserve">a designated </w:t>
            </w:r>
            <w:r w:rsidR="00634303">
              <w:t xml:space="preserve">area </w:t>
            </w:r>
            <w:r w:rsidR="005F4630">
              <w:t xml:space="preserve">of the </w:t>
            </w:r>
            <w:r w:rsidR="007D0AA5">
              <w:t>CMS</w:t>
            </w:r>
            <w:r w:rsidR="005F4630">
              <w:t xml:space="preserve"> </w:t>
            </w:r>
            <w:r w:rsidR="00634303">
              <w:t>pending for destruction</w:t>
            </w:r>
            <w:r w:rsidR="00E82132">
              <w:t>.</w:t>
            </w:r>
          </w:p>
        </w:tc>
      </w:tr>
    </w:tbl>
    <w:p w14:paraId="47A0E4E1" w14:textId="77777777" w:rsidR="00217C5E" w:rsidRPr="00BA7FA5" w:rsidRDefault="00217C5E" w:rsidP="00BA6D1B">
      <w:pPr>
        <w:pStyle w:val="Heading2"/>
        <w:jc w:val="both"/>
      </w:pPr>
      <w:bookmarkStart w:id="5" w:name="_Toc181293426"/>
      <w:r w:rsidRPr="00BA7FA5">
        <w:t>SCOPE</w:t>
      </w:r>
      <w:bookmarkEnd w:id="5"/>
    </w:p>
    <w:tbl>
      <w:tblPr>
        <w:tblW w:w="934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46"/>
      </w:tblGrid>
      <w:tr w:rsidR="00217C5E" w14:paraId="06ECE86C" w14:textId="77777777" w:rsidTr="0078696D">
        <w:tc>
          <w:tcPr>
            <w:tcW w:w="9346" w:type="dxa"/>
          </w:tcPr>
          <w:p w14:paraId="44DDF2BE" w14:textId="7A945FC0" w:rsidR="00217C5E" w:rsidRDefault="00217C5E" w:rsidP="00BA6D1B">
            <w:pPr>
              <w:spacing w:before="120" w:line="240" w:lineRule="auto"/>
              <w:jc w:val="both"/>
            </w:pPr>
            <w:r>
              <w:t xml:space="preserve">This </w:t>
            </w:r>
            <w:r w:rsidR="002F2C35">
              <w:t xml:space="preserve">procedure applies to all </w:t>
            </w:r>
            <w:r w:rsidR="00E82132">
              <w:t xml:space="preserve">designated </w:t>
            </w:r>
            <w:r w:rsidR="002F2C35">
              <w:t>drugs storage locations</w:t>
            </w:r>
            <w:r w:rsidR="00E82132">
              <w:t xml:space="preserve"> in </w:t>
            </w:r>
            <w:r w:rsidR="00DC5D44">
              <w:t xml:space="preserve">the </w:t>
            </w:r>
            <w:r w:rsidR="00E82132">
              <w:t>endTB</w:t>
            </w:r>
            <w:r w:rsidR="00C760E8">
              <w:t xml:space="preserve"> </w:t>
            </w:r>
            <w:r w:rsidR="00E82132">
              <w:t>Clinical Trial</w:t>
            </w:r>
            <w:r w:rsidR="00C760E8">
              <w:t>s</w:t>
            </w:r>
            <w:r w:rsidR="00634303">
              <w:t>.</w:t>
            </w:r>
          </w:p>
          <w:p w14:paraId="02796A3A" w14:textId="292A54B8" w:rsidR="000E170C" w:rsidRPr="00FE2D20" w:rsidRDefault="000E170C" w:rsidP="00C760E8">
            <w:pPr>
              <w:spacing w:before="120" w:line="240" w:lineRule="auto"/>
              <w:jc w:val="both"/>
            </w:pPr>
            <w:r>
              <w:t xml:space="preserve">The procedures described in this SOP are valid for both endTB and endTB-Q trials. However, trial specific forms and logs (see appendices listed in section 8) </w:t>
            </w:r>
            <w:proofErr w:type="gramStart"/>
            <w:r>
              <w:t>have to</w:t>
            </w:r>
            <w:proofErr w:type="gramEnd"/>
            <w:r>
              <w:t xml:space="preserve"> be completed separately for each trial.</w:t>
            </w:r>
          </w:p>
        </w:tc>
      </w:tr>
    </w:tbl>
    <w:p w14:paraId="499D374D" w14:textId="77777777" w:rsidR="00217C5E" w:rsidRPr="00BA7FA5" w:rsidRDefault="00217C5E" w:rsidP="00BA6D1B">
      <w:pPr>
        <w:pStyle w:val="Heading2"/>
        <w:jc w:val="both"/>
      </w:pPr>
      <w:bookmarkStart w:id="6" w:name="_Toc181293427"/>
      <w:r w:rsidRPr="00BA7FA5">
        <w:t>RESPONSIBLE FUNCTIONS</w:t>
      </w:r>
      <w:bookmarkEnd w:id="6"/>
    </w:p>
    <w:tbl>
      <w:tblPr>
        <w:tblW w:w="935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217C5E" w14:paraId="265AFE78" w14:textId="77777777" w:rsidTr="1EE5B4CC">
        <w:trPr>
          <w:trHeight w:val="60"/>
        </w:trPr>
        <w:tc>
          <w:tcPr>
            <w:tcW w:w="2694" w:type="dxa"/>
            <w:shd w:val="clear" w:color="auto" w:fill="F2F2F2" w:themeFill="background1" w:themeFillShade="F2"/>
          </w:tcPr>
          <w:p w14:paraId="2F5F5B0F" w14:textId="77777777" w:rsidR="00217C5E" w:rsidRDefault="00217C5E" w:rsidP="00BA6D1B">
            <w:pPr>
              <w:spacing w:before="80" w:after="80"/>
              <w:jc w:val="both"/>
            </w:pPr>
            <w:r w:rsidRPr="0078696D">
              <w:rPr>
                <w:b/>
              </w:rPr>
              <w:t>Function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78350DB0" w14:textId="77777777" w:rsidR="00217C5E" w:rsidRDefault="00217C5E" w:rsidP="00BA6D1B">
            <w:pPr>
              <w:spacing w:before="80" w:after="80"/>
              <w:jc w:val="both"/>
            </w:pPr>
            <w:r w:rsidRPr="0078696D">
              <w:rPr>
                <w:b/>
              </w:rPr>
              <w:t>Activities</w:t>
            </w:r>
          </w:p>
        </w:tc>
      </w:tr>
      <w:tr w:rsidR="00C118E8" w14:paraId="347891BB" w14:textId="77777777" w:rsidTr="1EE5B4CC">
        <w:tc>
          <w:tcPr>
            <w:tcW w:w="2694" w:type="dxa"/>
            <w:shd w:val="clear" w:color="auto" w:fill="FFFFFF" w:themeFill="background1"/>
          </w:tcPr>
          <w:p w14:paraId="613E81A1" w14:textId="5DAADB9C" w:rsidR="00C118E8" w:rsidRPr="008B1177" w:rsidRDefault="00C118E8" w:rsidP="00BA6D1B">
            <w:pPr>
              <w:spacing w:before="80" w:after="80"/>
              <w:jc w:val="both"/>
              <w:rPr>
                <w:b/>
              </w:rPr>
            </w:pPr>
            <w:r>
              <w:rPr>
                <w:rStyle w:val="normaltextrun"/>
                <w:b/>
                <w:bCs/>
                <w:shd w:val="clear" w:color="auto" w:fill="FFFFFF"/>
              </w:rPr>
              <w:t>Site Principal Investigator</w:t>
            </w:r>
            <w:r>
              <w:rPr>
                <w:rStyle w:val="normaltextrun"/>
                <w:shd w:val="clear" w:color="auto" w:fill="FFFFFF"/>
              </w:rPr>
              <w:t> </w:t>
            </w:r>
            <w:r>
              <w:rPr>
                <w:rStyle w:val="eop"/>
                <w:shd w:val="clear" w:color="auto" w:fill="FFFFFF"/>
              </w:rPr>
              <w:t> 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35FFE172" w14:textId="5C4496B9" w:rsidR="00C118E8" w:rsidRDefault="00C118E8" w:rsidP="008B1177">
            <w:pPr>
              <w:pStyle w:val="ListParagraph"/>
              <w:numPr>
                <w:ilvl w:val="0"/>
                <w:numId w:val="32"/>
              </w:numPr>
              <w:spacing w:before="80" w:after="80" w:line="240" w:lineRule="auto"/>
              <w:ind w:left="311"/>
              <w:jc w:val="both"/>
            </w:pPr>
            <w:r>
              <w:rPr>
                <w:rStyle w:val="normaltextrun"/>
                <w:shd w:val="clear" w:color="auto" w:fill="FFFFFF"/>
              </w:rPr>
              <w:t>Accountable for the overall IP Management at the Site</w:t>
            </w:r>
            <w:r>
              <w:rPr>
                <w:rStyle w:val="eop"/>
                <w:shd w:val="clear" w:color="auto" w:fill="FFFFFF"/>
              </w:rPr>
              <w:t> </w:t>
            </w:r>
          </w:p>
        </w:tc>
      </w:tr>
      <w:tr w:rsidR="00217C5E" w14:paraId="4E64DFAF" w14:textId="77777777" w:rsidTr="1EE5B4CC">
        <w:tc>
          <w:tcPr>
            <w:tcW w:w="2694" w:type="dxa"/>
            <w:shd w:val="clear" w:color="auto" w:fill="FFFFFF" w:themeFill="background1"/>
          </w:tcPr>
          <w:p w14:paraId="0BE0F9DE" w14:textId="563DD93F" w:rsidR="00217C5E" w:rsidRPr="008B1177" w:rsidRDefault="00C118E8" w:rsidP="1EE5B4CC">
            <w:pPr>
              <w:spacing w:before="80" w:after="80"/>
              <w:jc w:val="both"/>
              <w:rPr>
                <w:b/>
                <w:bCs/>
              </w:rPr>
            </w:pPr>
            <w:r>
              <w:rPr>
                <w:rStyle w:val="normaltextrun"/>
                <w:b/>
                <w:bCs/>
                <w:shd w:val="clear" w:color="auto" w:fill="FFFFFF"/>
              </w:rPr>
              <w:t>Delegated Site Pharmacist </w:t>
            </w:r>
            <w:r>
              <w:rPr>
                <w:rStyle w:val="eop"/>
                <w:shd w:val="clear" w:color="auto" w:fill="FFFFFF"/>
              </w:rPr>
              <w:t> 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520BF1CF" w14:textId="683A8333" w:rsidR="00217C5E" w:rsidRDefault="00E82132" w:rsidP="008B1177">
            <w:pPr>
              <w:pStyle w:val="ListParagraph"/>
              <w:numPr>
                <w:ilvl w:val="0"/>
                <w:numId w:val="32"/>
              </w:numPr>
              <w:spacing w:before="80" w:after="80" w:line="240" w:lineRule="auto"/>
              <w:ind w:left="311"/>
              <w:jc w:val="both"/>
            </w:pPr>
            <w:r>
              <w:t>E</w:t>
            </w:r>
            <w:r w:rsidR="00B967AF">
              <w:t>nsure th</w:t>
            </w:r>
            <w:r w:rsidR="00D206FA">
              <w:t>at all IP</w:t>
            </w:r>
            <w:r w:rsidR="00DC5D44">
              <w:t>s</w:t>
            </w:r>
            <w:r w:rsidR="00D206FA">
              <w:t xml:space="preserve"> are returned to the </w:t>
            </w:r>
            <w:r w:rsidR="007D0AA5">
              <w:t>CMS</w:t>
            </w:r>
            <w:r w:rsidR="005F4630">
              <w:t xml:space="preserve"> </w:t>
            </w:r>
            <w:r w:rsidR="00634303">
              <w:t>and store</w:t>
            </w:r>
            <w:r w:rsidR="005F4630">
              <w:t>d</w:t>
            </w:r>
            <w:r w:rsidR="00634303">
              <w:t xml:space="preserve"> in a </w:t>
            </w:r>
            <w:r w:rsidR="005F4630">
              <w:t xml:space="preserve">designated </w:t>
            </w:r>
            <w:r w:rsidR="00634303">
              <w:t>separate area pending for destruction</w:t>
            </w:r>
            <w:r w:rsidR="008B1177">
              <w:t>.</w:t>
            </w:r>
          </w:p>
          <w:p w14:paraId="5FC7FBE9" w14:textId="77777777" w:rsidR="008B1177" w:rsidRDefault="008B1177" w:rsidP="000C6BDD">
            <w:pPr>
              <w:pStyle w:val="ListParagraph"/>
              <w:numPr>
                <w:ilvl w:val="0"/>
                <w:numId w:val="32"/>
              </w:numPr>
              <w:spacing w:before="80" w:after="80" w:line="240" w:lineRule="auto"/>
              <w:ind w:left="311"/>
              <w:jc w:val="both"/>
            </w:pPr>
            <w:r>
              <w:t>Ensure returned IP accountability.</w:t>
            </w:r>
          </w:p>
          <w:p w14:paraId="19D84F29" w14:textId="6B3D1FA6" w:rsidR="00032D60" w:rsidRDefault="00032D60" w:rsidP="00302EAA">
            <w:pPr>
              <w:pStyle w:val="ListParagraph"/>
              <w:numPr>
                <w:ilvl w:val="0"/>
                <w:numId w:val="32"/>
              </w:numPr>
              <w:spacing w:before="80" w:after="80" w:line="240" w:lineRule="auto"/>
              <w:ind w:left="311"/>
              <w:jc w:val="both"/>
            </w:pPr>
            <w:r>
              <w:t xml:space="preserve">Complete the </w:t>
            </w:r>
            <w:r w:rsidRPr="004E0385">
              <w:t>blister pack preparation form</w:t>
            </w:r>
            <w:r>
              <w:t>s (when applicable)</w:t>
            </w:r>
          </w:p>
          <w:p w14:paraId="590C7803" w14:textId="2A0251E0" w:rsidR="00032D60" w:rsidRDefault="00032D60" w:rsidP="00DF6868">
            <w:pPr>
              <w:pStyle w:val="ListParagraph"/>
              <w:numPr>
                <w:ilvl w:val="0"/>
                <w:numId w:val="32"/>
              </w:numPr>
              <w:spacing w:before="80" w:after="80" w:line="240" w:lineRule="auto"/>
              <w:ind w:left="311"/>
              <w:jc w:val="both"/>
            </w:pPr>
            <w:r>
              <w:t xml:space="preserve">Complete the </w:t>
            </w:r>
            <w:r w:rsidRPr="006148D3">
              <w:t>Drugs G</w:t>
            </w:r>
            <w:r>
              <w:t xml:space="preserve">lobal </w:t>
            </w:r>
            <w:r w:rsidR="00DF6868">
              <w:t>Return</w:t>
            </w:r>
            <w:r>
              <w:t xml:space="preserve"> logs (Appendix A2)</w:t>
            </w:r>
          </w:p>
        </w:tc>
      </w:tr>
      <w:tr w:rsidR="007D0AA5" w14:paraId="2589763F" w14:textId="77777777" w:rsidTr="1EE5B4CC">
        <w:tc>
          <w:tcPr>
            <w:tcW w:w="2694" w:type="dxa"/>
            <w:shd w:val="clear" w:color="auto" w:fill="FFFFFF" w:themeFill="background1"/>
          </w:tcPr>
          <w:p w14:paraId="25211E25" w14:textId="22C8CBD8" w:rsidR="007D0AA5" w:rsidRPr="008B1177" w:rsidRDefault="007D0AA5" w:rsidP="005D73BC">
            <w:pPr>
              <w:spacing w:before="80" w:after="80"/>
              <w:rPr>
                <w:b/>
              </w:rPr>
            </w:pPr>
            <w:r>
              <w:rPr>
                <w:b/>
              </w:rPr>
              <w:t xml:space="preserve">Responsible nurse or study personnel 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0414AA6D" w14:textId="706252D5" w:rsidR="007D0AA5" w:rsidRDefault="007D0AA5" w:rsidP="008B1177">
            <w:pPr>
              <w:pStyle w:val="ListParagraph"/>
              <w:numPr>
                <w:ilvl w:val="0"/>
                <w:numId w:val="32"/>
              </w:numPr>
              <w:spacing w:before="80" w:after="80" w:line="240" w:lineRule="auto"/>
              <w:ind w:left="311"/>
              <w:jc w:val="both"/>
            </w:pPr>
            <w:r>
              <w:t xml:space="preserve">Perform the reconciliation between actual patients </w:t>
            </w:r>
            <w:r w:rsidRPr="00E85A44">
              <w:t xml:space="preserve">returns and </w:t>
            </w:r>
            <w:r w:rsidRPr="00F25363">
              <w:rPr>
                <w:bCs/>
                <w:spacing w:val="-1"/>
              </w:rPr>
              <w:t>Directly Observed Treatment</w:t>
            </w:r>
            <w:r w:rsidRPr="00F25363">
              <w:t xml:space="preserve"> </w:t>
            </w:r>
            <w:r>
              <w:t>(</w:t>
            </w:r>
            <w:r w:rsidRPr="00E85A44">
              <w:t>DOT</w:t>
            </w:r>
            <w:r>
              <w:t>)</w:t>
            </w:r>
            <w:r w:rsidRPr="00E85A44">
              <w:t xml:space="preserve"> cards</w:t>
            </w:r>
          </w:p>
          <w:p w14:paraId="028E3B66" w14:textId="385F8D61" w:rsidR="00302EAA" w:rsidRDefault="00302EAA" w:rsidP="00E1632D">
            <w:pPr>
              <w:pStyle w:val="ListParagraph"/>
              <w:numPr>
                <w:ilvl w:val="0"/>
                <w:numId w:val="32"/>
              </w:numPr>
              <w:spacing w:before="80" w:after="80" w:line="240" w:lineRule="auto"/>
              <w:ind w:left="311"/>
              <w:jc w:val="both"/>
            </w:pPr>
            <w:r>
              <w:t xml:space="preserve">Complete the </w:t>
            </w:r>
            <w:r w:rsidRPr="006148D3">
              <w:t>IP Return Form</w:t>
            </w:r>
            <w:r>
              <w:t xml:space="preserve"> (Appendix A1)</w:t>
            </w:r>
            <w:r w:rsidR="00032D60">
              <w:t xml:space="preserve"> (when </w:t>
            </w:r>
            <w:r w:rsidR="00E1632D">
              <w:t>blister pack not used</w:t>
            </w:r>
            <w:r w:rsidR="00032D60">
              <w:t>)</w:t>
            </w:r>
          </w:p>
        </w:tc>
      </w:tr>
    </w:tbl>
    <w:p w14:paraId="0EE61930" w14:textId="77777777" w:rsidR="00217C5E" w:rsidRPr="00BA7FA5" w:rsidRDefault="00217C5E" w:rsidP="00BA6D1B">
      <w:pPr>
        <w:pStyle w:val="Heading2"/>
        <w:jc w:val="both"/>
      </w:pPr>
      <w:bookmarkStart w:id="7" w:name="_Toc181293428"/>
      <w:r w:rsidRPr="00BA7FA5">
        <w:t>DEFINITIONS and ABBREVIATIONS</w:t>
      </w:r>
      <w:bookmarkEnd w:id="7"/>
    </w:p>
    <w:p w14:paraId="6DAB5F11" w14:textId="77777777" w:rsidR="00C760E8" w:rsidRDefault="00C760E8" w:rsidP="00B97CB2">
      <w:pPr>
        <w:pStyle w:val="ListNumber"/>
        <w:tabs>
          <w:tab w:val="clear" w:pos="360"/>
          <w:tab w:val="left" w:pos="708"/>
        </w:tabs>
        <w:spacing w:after="0"/>
        <w:jc w:val="both"/>
      </w:pPr>
    </w:p>
    <w:p w14:paraId="36DF3A50" w14:textId="2B487F2B" w:rsidR="008B1177" w:rsidRPr="009A17A8" w:rsidRDefault="008B1177" w:rsidP="001A4863">
      <w:pPr>
        <w:pStyle w:val="ListNumber"/>
        <w:tabs>
          <w:tab w:val="clear" w:pos="360"/>
        </w:tabs>
        <w:ind w:left="0" w:firstLine="0"/>
        <w:contextualSpacing w:val="0"/>
        <w:jc w:val="both"/>
        <w:rPr>
          <w:bCs/>
        </w:rPr>
      </w:pPr>
      <w:r w:rsidRPr="009A17A8">
        <w:rPr>
          <w:bCs/>
          <w:i/>
          <w:iCs/>
        </w:rPr>
        <w:t>See endTB Pharmacy Manual, paragraph 1 definitions and abbreviations</w:t>
      </w:r>
      <w:r>
        <w:rPr>
          <w:bCs/>
          <w:i/>
          <w:iCs/>
        </w:rPr>
        <w:t>.</w:t>
      </w:r>
    </w:p>
    <w:p w14:paraId="15EF83B0" w14:textId="17434C72" w:rsidR="00217C5E" w:rsidRPr="00BA7FA5" w:rsidRDefault="00217C5E" w:rsidP="00BA6D1B">
      <w:pPr>
        <w:pStyle w:val="Heading2"/>
        <w:jc w:val="both"/>
      </w:pPr>
      <w:bookmarkStart w:id="8" w:name="_Toc181293429"/>
      <w:r w:rsidRPr="00BA7FA5">
        <w:lastRenderedPageBreak/>
        <w:t>PROCEDURE</w:t>
      </w:r>
      <w:bookmarkEnd w:id="8"/>
    </w:p>
    <w:p w14:paraId="7F6064CC" w14:textId="6AEA0E3C" w:rsidR="00242CAF" w:rsidRDefault="00D206FA" w:rsidP="001A4863">
      <w:pPr>
        <w:pStyle w:val="NormalWeb"/>
        <w:spacing w:before="0" w:beforeAutospacing="0" w:after="12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All IPs </w:t>
      </w:r>
      <w:r w:rsidR="005628CA">
        <w:rPr>
          <w:rFonts w:ascii="Calibri" w:hAnsi="Calibri"/>
          <w:color w:val="000000"/>
          <w:sz w:val="22"/>
          <w:szCs w:val="22"/>
        </w:rPr>
        <w:t>which are returned from the patient</w:t>
      </w:r>
      <w:r w:rsidR="00EC4ECF">
        <w:rPr>
          <w:rFonts w:ascii="Calibri" w:hAnsi="Calibri"/>
          <w:color w:val="000000"/>
          <w:sz w:val="22"/>
          <w:szCs w:val="22"/>
        </w:rPr>
        <w:t>s</w:t>
      </w:r>
      <w:r w:rsidR="005628CA">
        <w:rPr>
          <w:rFonts w:ascii="Calibri" w:hAnsi="Calibri"/>
          <w:color w:val="000000"/>
          <w:sz w:val="22"/>
          <w:szCs w:val="22"/>
        </w:rPr>
        <w:t xml:space="preserve"> or </w:t>
      </w:r>
      <w:r w:rsidR="00EC4ECF">
        <w:rPr>
          <w:rFonts w:ascii="Calibri" w:hAnsi="Calibri"/>
          <w:color w:val="000000"/>
          <w:sz w:val="22"/>
          <w:szCs w:val="22"/>
        </w:rPr>
        <w:t xml:space="preserve">damaged/expired IPs returned </w:t>
      </w:r>
      <w:r w:rsidR="005628CA">
        <w:rPr>
          <w:rFonts w:ascii="Calibri" w:hAnsi="Calibri"/>
          <w:color w:val="000000"/>
          <w:sz w:val="22"/>
          <w:szCs w:val="22"/>
        </w:rPr>
        <w:t>from any storage location</w:t>
      </w:r>
      <w:r w:rsidR="00242CAF">
        <w:rPr>
          <w:rFonts w:ascii="Calibri" w:hAnsi="Calibri"/>
          <w:color w:val="000000"/>
          <w:sz w:val="22"/>
          <w:szCs w:val="22"/>
        </w:rPr>
        <w:t>s</w:t>
      </w:r>
      <w:r w:rsidR="005628CA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must be tracked until </w:t>
      </w:r>
      <w:r w:rsidR="00C444C0">
        <w:rPr>
          <w:rFonts w:ascii="Calibri" w:hAnsi="Calibri"/>
          <w:color w:val="000000"/>
          <w:sz w:val="22"/>
          <w:szCs w:val="22"/>
        </w:rPr>
        <w:t>destruction</w:t>
      </w:r>
      <w:r w:rsidR="00713CCD">
        <w:rPr>
          <w:rFonts w:ascii="Calibri" w:hAnsi="Calibri"/>
          <w:color w:val="000000"/>
          <w:sz w:val="22"/>
          <w:szCs w:val="22"/>
        </w:rPr>
        <w:t>.</w:t>
      </w:r>
      <w:r>
        <w:rPr>
          <w:rFonts w:ascii="Calibri" w:hAnsi="Calibri"/>
          <w:color w:val="000000"/>
          <w:sz w:val="22"/>
          <w:szCs w:val="22"/>
        </w:rPr>
        <w:t xml:space="preserve"> </w:t>
      </w:r>
    </w:p>
    <w:p w14:paraId="10260323" w14:textId="08655282" w:rsidR="00E85A44" w:rsidRDefault="00560E5D" w:rsidP="1EE5B4CC">
      <w:pPr>
        <w:pStyle w:val="NormalWeb"/>
        <w:spacing w:before="0" w:beforeAutospacing="0" w:after="12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1EE5B4CC">
        <w:rPr>
          <w:rFonts w:ascii="Calibri" w:hAnsi="Calibri"/>
          <w:color w:val="000000" w:themeColor="text1"/>
          <w:sz w:val="22"/>
          <w:szCs w:val="22"/>
        </w:rPr>
        <w:t xml:space="preserve">To enable the accurate </w:t>
      </w:r>
      <w:r w:rsidR="00634303" w:rsidRPr="1EE5B4CC">
        <w:rPr>
          <w:rFonts w:ascii="Calibri" w:hAnsi="Calibri"/>
          <w:color w:val="000000" w:themeColor="text1"/>
          <w:sz w:val="22"/>
          <w:szCs w:val="22"/>
        </w:rPr>
        <w:t>track</w:t>
      </w:r>
      <w:r w:rsidRPr="1EE5B4CC">
        <w:rPr>
          <w:rFonts w:ascii="Calibri" w:hAnsi="Calibri"/>
          <w:color w:val="000000" w:themeColor="text1"/>
          <w:sz w:val="22"/>
          <w:szCs w:val="22"/>
        </w:rPr>
        <w:t>ing of</w:t>
      </w:r>
      <w:r w:rsidR="00634303" w:rsidRPr="1EE5B4CC">
        <w:rPr>
          <w:rFonts w:ascii="Calibri" w:hAnsi="Calibri"/>
          <w:color w:val="000000" w:themeColor="text1"/>
          <w:sz w:val="22"/>
          <w:szCs w:val="22"/>
        </w:rPr>
        <w:t xml:space="preserve"> the returned IPs</w:t>
      </w:r>
      <w:r w:rsidRPr="1EE5B4CC">
        <w:rPr>
          <w:rFonts w:ascii="Calibri" w:hAnsi="Calibri"/>
          <w:color w:val="000000" w:themeColor="text1"/>
          <w:sz w:val="22"/>
          <w:szCs w:val="22"/>
        </w:rPr>
        <w:t xml:space="preserve"> by the </w:t>
      </w:r>
      <w:r w:rsidR="00F17C5C" w:rsidRPr="1EE5B4CC">
        <w:rPr>
          <w:rFonts w:ascii="Calibri" w:hAnsi="Calibri"/>
          <w:b/>
          <w:bCs/>
          <w:color w:val="000000" w:themeColor="text1"/>
          <w:sz w:val="22"/>
          <w:szCs w:val="22"/>
        </w:rPr>
        <w:t>delegated Site Pharmacist</w:t>
      </w:r>
      <w:r w:rsidR="00E85A44" w:rsidRPr="1EE5B4CC">
        <w:rPr>
          <w:rFonts w:ascii="Calibri" w:hAnsi="Calibri"/>
          <w:color w:val="000000" w:themeColor="text1"/>
          <w:sz w:val="22"/>
          <w:szCs w:val="22"/>
        </w:rPr>
        <w:t>,</w:t>
      </w:r>
      <w:r w:rsidR="00634303" w:rsidRPr="1EE5B4CC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8B1177" w:rsidRPr="1EE5B4CC">
        <w:rPr>
          <w:rFonts w:ascii="Calibri" w:hAnsi="Calibri"/>
          <w:color w:val="000000" w:themeColor="text1"/>
          <w:sz w:val="22"/>
          <w:szCs w:val="22"/>
        </w:rPr>
        <w:t>all</w:t>
      </w:r>
      <w:r w:rsidR="00C565A5" w:rsidRPr="1EE5B4CC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C444C0" w:rsidRPr="1EE5B4CC">
        <w:rPr>
          <w:rFonts w:ascii="Calibri" w:hAnsi="Calibri"/>
          <w:color w:val="000000" w:themeColor="text1"/>
          <w:sz w:val="22"/>
          <w:szCs w:val="22"/>
        </w:rPr>
        <w:t xml:space="preserve">used IP </w:t>
      </w:r>
      <w:r w:rsidR="00242CAF" w:rsidRPr="1EE5B4CC">
        <w:rPr>
          <w:rFonts w:ascii="Calibri" w:hAnsi="Calibri"/>
          <w:color w:val="000000" w:themeColor="text1"/>
          <w:sz w:val="22"/>
          <w:szCs w:val="22"/>
        </w:rPr>
        <w:t>containers</w:t>
      </w:r>
      <w:r w:rsidRPr="1EE5B4CC">
        <w:rPr>
          <w:rFonts w:ascii="Calibri" w:hAnsi="Calibri"/>
          <w:color w:val="000000" w:themeColor="text1"/>
          <w:sz w:val="22"/>
          <w:szCs w:val="22"/>
        </w:rPr>
        <w:t>/Kits provided to the patients</w:t>
      </w:r>
      <w:r w:rsidR="008B1177" w:rsidRPr="1EE5B4CC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5628CA" w:rsidRPr="1EE5B4CC">
        <w:rPr>
          <w:rFonts w:ascii="Calibri" w:hAnsi="Calibri"/>
          <w:color w:val="000000" w:themeColor="text1"/>
          <w:sz w:val="22"/>
          <w:szCs w:val="22"/>
        </w:rPr>
        <w:t>(</w:t>
      </w:r>
      <w:r w:rsidRPr="1EE5B4CC">
        <w:rPr>
          <w:rFonts w:ascii="Calibri" w:hAnsi="Calibri"/>
          <w:color w:val="000000" w:themeColor="text1"/>
          <w:sz w:val="22"/>
          <w:szCs w:val="22"/>
        </w:rPr>
        <w:t xml:space="preserve">e.g. </w:t>
      </w:r>
      <w:r w:rsidR="005628CA" w:rsidRPr="1EE5B4CC">
        <w:rPr>
          <w:rFonts w:ascii="Calibri" w:hAnsi="Calibri"/>
          <w:color w:val="000000" w:themeColor="text1"/>
          <w:sz w:val="22"/>
          <w:szCs w:val="22"/>
        </w:rPr>
        <w:t>blister pack</w:t>
      </w:r>
      <w:r w:rsidR="006C5A21" w:rsidRPr="1EE5B4CC">
        <w:rPr>
          <w:rFonts w:ascii="Calibri" w:hAnsi="Calibri"/>
          <w:color w:val="000000" w:themeColor="text1"/>
          <w:sz w:val="22"/>
          <w:szCs w:val="22"/>
        </w:rPr>
        <w:t xml:space="preserve"> (LS, PK, IN, ZA)</w:t>
      </w:r>
      <w:r w:rsidR="005628CA" w:rsidRPr="1EE5B4CC">
        <w:rPr>
          <w:rFonts w:ascii="Calibri" w:hAnsi="Calibri"/>
          <w:color w:val="000000" w:themeColor="text1"/>
          <w:sz w:val="22"/>
          <w:szCs w:val="22"/>
        </w:rPr>
        <w:t xml:space="preserve">, small </w:t>
      </w:r>
      <w:r w:rsidR="00242CAF" w:rsidRPr="1EE5B4CC">
        <w:rPr>
          <w:rFonts w:ascii="Calibri" w:hAnsi="Calibri"/>
          <w:color w:val="000000" w:themeColor="text1"/>
          <w:sz w:val="22"/>
          <w:szCs w:val="22"/>
        </w:rPr>
        <w:t xml:space="preserve">dispensing </w:t>
      </w:r>
      <w:r w:rsidR="005628CA" w:rsidRPr="1EE5B4CC">
        <w:rPr>
          <w:rFonts w:ascii="Calibri" w:hAnsi="Calibri"/>
          <w:color w:val="000000" w:themeColor="text1"/>
          <w:sz w:val="22"/>
          <w:szCs w:val="22"/>
        </w:rPr>
        <w:t>container</w:t>
      </w:r>
      <w:r w:rsidR="00242CAF" w:rsidRPr="1EE5B4CC">
        <w:rPr>
          <w:rFonts w:ascii="Calibri" w:hAnsi="Calibri"/>
          <w:color w:val="000000" w:themeColor="text1"/>
          <w:sz w:val="22"/>
          <w:szCs w:val="22"/>
        </w:rPr>
        <w:t>s</w:t>
      </w:r>
      <w:r w:rsidR="006C5A21" w:rsidRPr="1EE5B4CC">
        <w:rPr>
          <w:rFonts w:ascii="Calibri" w:hAnsi="Calibri"/>
          <w:color w:val="000000" w:themeColor="text1"/>
          <w:sz w:val="22"/>
          <w:szCs w:val="22"/>
        </w:rPr>
        <w:t xml:space="preserve"> (PE)</w:t>
      </w:r>
      <w:r w:rsidR="00242CAF" w:rsidRPr="1EE5B4CC">
        <w:rPr>
          <w:rFonts w:ascii="Calibri" w:hAnsi="Calibri"/>
          <w:color w:val="000000" w:themeColor="text1"/>
          <w:sz w:val="22"/>
          <w:szCs w:val="22"/>
        </w:rPr>
        <w:t>, pill planner boxes</w:t>
      </w:r>
      <w:r w:rsidR="006C5A21" w:rsidRPr="1EE5B4CC">
        <w:rPr>
          <w:rFonts w:ascii="Calibri" w:hAnsi="Calibri"/>
          <w:color w:val="000000" w:themeColor="text1"/>
          <w:sz w:val="22"/>
          <w:szCs w:val="22"/>
        </w:rPr>
        <w:t xml:space="preserve"> (</w:t>
      </w:r>
      <w:r w:rsidR="00E85A44" w:rsidRPr="1EE5B4CC">
        <w:rPr>
          <w:rFonts w:ascii="Calibri" w:hAnsi="Calibri"/>
          <w:color w:val="000000" w:themeColor="text1"/>
          <w:sz w:val="22"/>
          <w:szCs w:val="22"/>
        </w:rPr>
        <w:t xml:space="preserve">video DOT patients in </w:t>
      </w:r>
      <w:r w:rsidR="006C5A21" w:rsidRPr="1EE5B4CC">
        <w:rPr>
          <w:rFonts w:ascii="Calibri" w:hAnsi="Calibri"/>
          <w:color w:val="000000" w:themeColor="text1"/>
          <w:sz w:val="22"/>
          <w:szCs w:val="22"/>
        </w:rPr>
        <w:t>KZ)</w:t>
      </w:r>
      <w:r w:rsidR="00242CAF" w:rsidRPr="1EE5B4CC">
        <w:rPr>
          <w:rFonts w:ascii="Calibri" w:hAnsi="Calibri"/>
          <w:color w:val="000000" w:themeColor="text1"/>
          <w:sz w:val="22"/>
          <w:szCs w:val="22"/>
        </w:rPr>
        <w:t>, plastic bags</w:t>
      </w:r>
      <w:r w:rsidR="006C5A21" w:rsidRPr="1EE5B4CC">
        <w:rPr>
          <w:rFonts w:ascii="Calibri" w:hAnsi="Calibri"/>
          <w:color w:val="000000" w:themeColor="text1"/>
          <w:sz w:val="22"/>
          <w:szCs w:val="22"/>
        </w:rPr>
        <w:t xml:space="preserve"> for extra doses</w:t>
      </w:r>
      <w:r w:rsidR="005628CA" w:rsidRPr="1EE5B4CC">
        <w:rPr>
          <w:rFonts w:ascii="Calibri" w:hAnsi="Calibri"/>
          <w:color w:val="000000" w:themeColor="text1"/>
          <w:sz w:val="22"/>
          <w:szCs w:val="22"/>
        </w:rPr>
        <w:t>)</w:t>
      </w:r>
      <w:r w:rsidR="00242CAF" w:rsidRPr="1EE5B4CC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C444C0" w:rsidRPr="1EE5B4CC">
        <w:rPr>
          <w:rFonts w:ascii="Calibri" w:hAnsi="Calibri"/>
          <w:color w:val="000000" w:themeColor="text1"/>
          <w:sz w:val="22"/>
          <w:szCs w:val="22"/>
        </w:rPr>
        <w:t xml:space="preserve">must be returned </w:t>
      </w:r>
      <w:r w:rsidR="00242CAF" w:rsidRPr="1EE5B4CC">
        <w:rPr>
          <w:rFonts w:ascii="Calibri" w:hAnsi="Calibri"/>
          <w:color w:val="000000" w:themeColor="text1"/>
          <w:sz w:val="22"/>
          <w:szCs w:val="22"/>
        </w:rPr>
        <w:t xml:space="preserve">by the patients to the </w:t>
      </w:r>
      <w:r w:rsidRPr="1EE5B4CC">
        <w:rPr>
          <w:rFonts w:ascii="Calibri" w:hAnsi="Calibri"/>
          <w:color w:val="000000" w:themeColor="text1"/>
          <w:sz w:val="22"/>
          <w:szCs w:val="22"/>
        </w:rPr>
        <w:t>IPs</w:t>
      </w:r>
      <w:r w:rsidR="008B1177" w:rsidRPr="1EE5B4CC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5628CA" w:rsidRPr="1EE5B4CC">
        <w:rPr>
          <w:rFonts w:ascii="Calibri" w:hAnsi="Calibri"/>
          <w:color w:val="000000" w:themeColor="text1"/>
          <w:sz w:val="22"/>
          <w:szCs w:val="22"/>
        </w:rPr>
        <w:t>distribution point</w:t>
      </w:r>
      <w:r w:rsidR="000B5B1F" w:rsidRPr="1EE5B4CC">
        <w:rPr>
          <w:rFonts w:ascii="Calibri" w:hAnsi="Calibri"/>
          <w:color w:val="000000" w:themeColor="text1"/>
          <w:sz w:val="22"/>
          <w:szCs w:val="22"/>
        </w:rPr>
        <w:t>s</w:t>
      </w:r>
      <w:r w:rsidR="00242CAF" w:rsidRPr="1EE5B4CC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0B5B1F" w:rsidRPr="1EE5B4CC">
        <w:rPr>
          <w:rFonts w:ascii="Calibri" w:hAnsi="Calibri"/>
          <w:color w:val="000000" w:themeColor="text1"/>
          <w:sz w:val="22"/>
          <w:szCs w:val="22"/>
        </w:rPr>
        <w:t xml:space="preserve">(mostly blister packs) </w:t>
      </w:r>
      <w:r w:rsidR="00242CAF" w:rsidRPr="1EE5B4CC">
        <w:rPr>
          <w:rFonts w:ascii="Calibri" w:hAnsi="Calibri"/>
          <w:color w:val="000000" w:themeColor="text1"/>
          <w:sz w:val="22"/>
          <w:szCs w:val="22"/>
        </w:rPr>
        <w:t>or to the DOT corner</w:t>
      </w:r>
      <w:r w:rsidR="000B5B1F" w:rsidRPr="1EE5B4CC">
        <w:rPr>
          <w:rFonts w:ascii="Calibri" w:hAnsi="Calibri"/>
          <w:color w:val="000000" w:themeColor="text1"/>
          <w:sz w:val="22"/>
          <w:szCs w:val="22"/>
        </w:rPr>
        <w:t>s (mostly small dispensing containers and pill planner boxes)</w:t>
      </w:r>
      <w:r w:rsidR="00242CAF" w:rsidRPr="1EE5B4CC">
        <w:rPr>
          <w:rFonts w:ascii="Calibri" w:hAnsi="Calibri"/>
          <w:color w:val="000000" w:themeColor="text1"/>
          <w:sz w:val="22"/>
          <w:szCs w:val="22"/>
        </w:rPr>
        <w:t xml:space="preserve">. </w:t>
      </w:r>
    </w:p>
    <w:p w14:paraId="6F993AB4" w14:textId="5DE68DF0" w:rsidR="00E85A44" w:rsidRDefault="00E85A44" w:rsidP="1EE5B4CC">
      <w:pPr>
        <w:pStyle w:val="NormalWeb"/>
        <w:spacing w:before="0" w:beforeAutospacing="0" w:after="12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1EE5B4CC">
        <w:rPr>
          <w:rFonts w:ascii="Calibri" w:hAnsi="Calibri"/>
          <w:b/>
          <w:bCs/>
          <w:color w:val="000000" w:themeColor="text1"/>
          <w:sz w:val="22"/>
          <w:szCs w:val="22"/>
        </w:rPr>
        <w:t>Responsible nurses or study personnel</w:t>
      </w:r>
      <w:r w:rsidRPr="1EE5B4CC">
        <w:rPr>
          <w:rFonts w:ascii="Calibri" w:hAnsi="Calibri"/>
          <w:color w:val="000000" w:themeColor="text1"/>
          <w:sz w:val="22"/>
          <w:szCs w:val="22"/>
        </w:rPr>
        <w:t xml:space="preserve"> will check coherence between actual patients returns and DOT cards</w:t>
      </w:r>
      <w:r w:rsidR="00DF6868" w:rsidRPr="1EE5B4CC">
        <w:rPr>
          <w:rFonts w:ascii="Calibri" w:hAnsi="Calibri"/>
          <w:color w:val="000000" w:themeColor="text1"/>
          <w:sz w:val="22"/>
          <w:szCs w:val="22"/>
        </w:rPr>
        <w:t xml:space="preserve">. The </w:t>
      </w:r>
      <w:r w:rsidR="00DF6868" w:rsidRPr="1EE5B4CC">
        <w:rPr>
          <w:rFonts w:ascii="Calibri" w:hAnsi="Calibri"/>
          <w:b/>
          <w:bCs/>
          <w:color w:val="000000" w:themeColor="text1"/>
          <w:sz w:val="22"/>
          <w:szCs w:val="22"/>
        </w:rPr>
        <w:t>responsible nurses or study personnel</w:t>
      </w:r>
      <w:r w:rsidR="00DF6868" w:rsidRPr="1EE5B4CC">
        <w:rPr>
          <w:rFonts w:ascii="Calibri" w:hAnsi="Calibri"/>
          <w:color w:val="000000" w:themeColor="text1"/>
          <w:sz w:val="22"/>
          <w:szCs w:val="22"/>
        </w:rPr>
        <w:t xml:space="preserve"> will sign and date the DOT card to document the review</w:t>
      </w:r>
      <w:r w:rsidRPr="1EE5B4CC">
        <w:rPr>
          <w:rFonts w:ascii="Calibri" w:hAnsi="Calibri"/>
          <w:color w:val="000000" w:themeColor="text1"/>
          <w:sz w:val="22"/>
          <w:szCs w:val="22"/>
        </w:rPr>
        <w:t xml:space="preserve"> and </w:t>
      </w:r>
      <w:r w:rsidR="00DF6868" w:rsidRPr="1EE5B4CC">
        <w:rPr>
          <w:rFonts w:ascii="Calibri" w:hAnsi="Calibri"/>
          <w:color w:val="000000" w:themeColor="text1"/>
          <w:sz w:val="22"/>
          <w:szCs w:val="22"/>
        </w:rPr>
        <w:t>if changes are required</w:t>
      </w:r>
      <w:r w:rsidR="68AC28A6" w:rsidRPr="1EE5B4CC">
        <w:rPr>
          <w:rFonts w:ascii="Calibri" w:hAnsi="Calibri"/>
          <w:color w:val="000000" w:themeColor="text1"/>
          <w:sz w:val="22"/>
          <w:szCs w:val="22"/>
        </w:rPr>
        <w:t>,</w:t>
      </w:r>
      <w:r w:rsidR="00DF6868" w:rsidRPr="1EE5B4CC">
        <w:rPr>
          <w:rFonts w:ascii="Calibri" w:hAnsi="Calibri"/>
          <w:color w:val="000000" w:themeColor="text1"/>
          <w:sz w:val="22"/>
          <w:szCs w:val="22"/>
        </w:rPr>
        <w:t xml:space="preserve"> she/he </w:t>
      </w:r>
      <w:r w:rsidRPr="1EE5B4CC">
        <w:rPr>
          <w:rFonts w:ascii="Calibri" w:hAnsi="Calibri"/>
          <w:color w:val="000000" w:themeColor="text1"/>
          <w:sz w:val="22"/>
          <w:szCs w:val="22"/>
        </w:rPr>
        <w:t xml:space="preserve">will annotate the DOT card. </w:t>
      </w:r>
    </w:p>
    <w:p w14:paraId="302627DA" w14:textId="4F36D52C" w:rsidR="008B1177" w:rsidRDefault="008679F4" w:rsidP="001A4863">
      <w:pPr>
        <w:pStyle w:val="ListParagraph"/>
        <w:spacing w:before="80" w:after="80" w:line="240" w:lineRule="auto"/>
        <w:ind w:left="0"/>
        <w:jc w:val="both"/>
      </w:pPr>
      <w:r>
        <w:t xml:space="preserve">IPs </w:t>
      </w:r>
      <w:r w:rsidR="00560E5D">
        <w:t xml:space="preserve">returned from the patient </w:t>
      </w:r>
      <w:r w:rsidR="00C565A5">
        <w:t>(</w:t>
      </w:r>
      <w:r>
        <w:t>with or without the container</w:t>
      </w:r>
      <w:r w:rsidR="00560E5D">
        <w:t>/kit</w:t>
      </w:r>
      <w:r w:rsidR="00C565A5">
        <w:t>)</w:t>
      </w:r>
      <w:r>
        <w:t xml:space="preserve"> will be </w:t>
      </w:r>
      <w:r w:rsidR="008B1177">
        <w:t>subsequently</w:t>
      </w:r>
      <w:r>
        <w:t xml:space="preserve"> returned to the </w:t>
      </w:r>
      <w:r w:rsidR="007D0AA5">
        <w:t>CMS</w:t>
      </w:r>
      <w:r w:rsidR="008B1177">
        <w:t xml:space="preserve"> and stored in a designated separate area pending for destruction.</w:t>
      </w:r>
    </w:p>
    <w:p w14:paraId="4E9C405D" w14:textId="77777777" w:rsidR="008B1177" w:rsidRDefault="008B1177" w:rsidP="001A4863">
      <w:pPr>
        <w:pStyle w:val="ListParagraph"/>
        <w:spacing w:before="80" w:after="80" w:line="240" w:lineRule="auto"/>
        <w:ind w:left="0"/>
        <w:jc w:val="both"/>
      </w:pPr>
    </w:p>
    <w:p w14:paraId="183BC289" w14:textId="35B4A41A" w:rsidR="008B1177" w:rsidRDefault="008679F4" w:rsidP="001A4863">
      <w:pPr>
        <w:pStyle w:val="ListParagraph"/>
        <w:spacing w:before="80" w:after="80" w:line="240" w:lineRule="auto"/>
        <w:ind w:left="0"/>
        <w:jc w:val="both"/>
      </w:pPr>
      <w:r>
        <w:t xml:space="preserve">Returned IPs from storage locations (expired or damaged) will be also returned to the </w:t>
      </w:r>
      <w:r w:rsidR="007D0AA5">
        <w:t>CMS</w:t>
      </w:r>
      <w:r w:rsidR="00560E5D">
        <w:t xml:space="preserve"> </w:t>
      </w:r>
      <w:r>
        <w:t>inside original manufacturer box or plastic bag</w:t>
      </w:r>
      <w:r w:rsidR="008B1177">
        <w:t xml:space="preserve"> and stored in a designated separate area pending for destruction.</w:t>
      </w:r>
    </w:p>
    <w:p w14:paraId="51FA3AF2" w14:textId="1226CDF7" w:rsidR="00E80254" w:rsidRPr="006148D3" w:rsidRDefault="00C565A5" w:rsidP="001A4863">
      <w:pPr>
        <w:pStyle w:val="NormalWeb"/>
        <w:numPr>
          <w:ilvl w:val="0"/>
          <w:numId w:val="33"/>
        </w:numPr>
        <w:spacing w:before="0" w:beforeAutospacing="0" w:after="120" w:afterAutospacing="0"/>
        <w:ind w:left="56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148D3">
        <w:rPr>
          <w:rFonts w:ascii="Calibri" w:eastAsia="Calibri" w:hAnsi="Calibri" w:cs="Calibri"/>
          <w:color w:val="000000"/>
          <w:sz w:val="22"/>
          <w:szCs w:val="22"/>
        </w:rPr>
        <w:t>R</w:t>
      </w:r>
      <w:r w:rsidR="00E85A44" w:rsidRPr="006148D3">
        <w:rPr>
          <w:rFonts w:ascii="Calibri" w:eastAsia="Calibri" w:hAnsi="Calibri" w:cs="Calibri"/>
          <w:color w:val="000000"/>
          <w:sz w:val="22"/>
          <w:szCs w:val="22"/>
        </w:rPr>
        <w:t xml:space="preserve">eturns </w:t>
      </w:r>
      <w:r w:rsidRPr="006148D3">
        <w:rPr>
          <w:rFonts w:ascii="Calibri" w:eastAsia="Calibri" w:hAnsi="Calibri" w:cs="Calibri"/>
          <w:color w:val="000000"/>
          <w:sz w:val="22"/>
          <w:szCs w:val="22"/>
        </w:rPr>
        <w:t>from</w:t>
      </w:r>
      <w:r w:rsidR="00E85A44" w:rsidRPr="006148D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560E5D" w:rsidRPr="006148D3">
        <w:rPr>
          <w:rFonts w:ascii="Calibri" w:eastAsia="Calibri" w:hAnsi="Calibri" w:cs="Calibri"/>
          <w:color w:val="000000"/>
          <w:sz w:val="22"/>
          <w:szCs w:val="22"/>
        </w:rPr>
        <w:t>the</w:t>
      </w:r>
      <w:r w:rsidRPr="006148D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E85A44" w:rsidRPr="006148D3">
        <w:rPr>
          <w:rFonts w:ascii="Calibri" w:eastAsia="Calibri" w:hAnsi="Calibri" w:cs="Calibri"/>
          <w:color w:val="000000"/>
          <w:sz w:val="22"/>
          <w:szCs w:val="22"/>
        </w:rPr>
        <w:t>DOT corner</w:t>
      </w:r>
      <w:r w:rsidRPr="006148D3">
        <w:rPr>
          <w:rFonts w:ascii="Calibri" w:eastAsia="Calibri" w:hAnsi="Calibri" w:cs="Calibri"/>
          <w:color w:val="000000"/>
          <w:sz w:val="22"/>
          <w:szCs w:val="22"/>
        </w:rPr>
        <w:t>s</w:t>
      </w:r>
      <w:r w:rsidR="00E85A44" w:rsidRPr="006148D3"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r w:rsidRPr="006148D3">
        <w:rPr>
          <w:rFonts w:ascii="Calibri" w:eastAsia="Calibri" w:hAnsi="Calibri" w:cs="Calibri"/>
          <w:color w:val="000000"/>
          <w:sz w:val="22"/>
          <w:szCs w:val="22"/>
        </w:rPr>
        <w:t xml:space="preserve">e.g. </w:t>
      </w:r>
      <w:r w:rsidR="00E85A44" w:rsidRPr="006148D3">
        <w:rPr>
          <w:rFonts w:ascii="Calibri" w:eastAsia="Calibri" w:hAnsi="Calibri" w:cs="Calibri"/>
          <w:color w:val="000000"/>
          <w:sz w:val="22"/>
          <w:szCs w:val="22"/>
        </w:rPr>
        <w:t>KZ and PE)</w:t>
      </w:r>
      <w:r w:rsidRPr="006148D3">
        <w:rPr>
          <w:rFonts w:ascii="Calibri" w:eastAsia="Calibri" w:hAnsi="Calibri" w:cs="Calibri"/>
          <w:color w:val="000000"/>
          <w:sz w:val="22"/>
          <w:szCs w:val="22"/>
        </w:rPr>
        <w:t>:</w:t>
      </w:r>
      <w:r w:rsidR="00E85A44" w:rsidRPr="006148D3">
        <w:rPr>
          <w:rFonts w:ascii="Calibri" w:eastAsia="Calibri" w:hAnsi="Calibri" w:cs="Calibri"/>
          <w:color w:val="000000"/>
          <w:sz w:val="22"/>
          <w:szCs w:val="22"/>
        </w:rPr>
        <w:t xml:space="preserve"> the </w:t>
      </w:r>
      <w:r w:rsidR="003F0F06">
        <w:rPr>
          <w:rFonts w:ascii="Calibri" w:eastAsia="Calibri" w:hAnsi="Calibri" w:cs="Calibri"/>
          <w:b/>
          <w:bCs/>
          <w:color w:val="000000"/>
          <w:sz w:val="22"/>
          <w:szCs w:val="22"/>
        </w:rPr>
        <w:t>r</w:t>
      </w:r>
      <w:r w:rsidR="00E85A44" w:rsidRPr="006148D3">
        <w:rPr>
          <w:rFonts w:ascii="Calibri" w:eastAsia="Calibri" w:hAnsi="Calibri" w:cs="Calibri"/>
          <w:b/>
          <w:bCs/>
          <w:color w:val="000000"/>
          <w:sz w:val="22"/>
          <w:szCs w:val="22"/>
        </w:rPr>
        <w:t>esponsible nurses or study personnel in the ward and/or the DOT corners</w:t>
      </w:r>
      <w:r w:rsidR="00E85A44" w:rsidRPr="006148D3">
        <w:rPr>
          <w:rFonts w:ascii="Calibri" w:eastAsia="Calibri" w:hAnsi="Calibri" w:cs="Calibri"/>
          <w:color w:val="000000"/>
          <w:sz w:val="22"/>
          <w:szCs w:val="22"/>
        </w:rPr>
        <w:t xml:space="preserve"> should complete an IP Return Form (see </w:t>
      </w:r>
      <w:r w:rsidR="00302EAA">
        <w:rPr>
          <w:rFonts w:ascii="Calibri" w:eastAsia="Calibri" w:hAnsi="Calibri" w:cs="Calibri"/>
          <w:color w:val="000000"/>
          <w:sz w:val="22"/>
          <w:szCs w:val="22"/>
        </w:rPr>
        <w:t>A</w:t>
      </w:r>
      <w:r w:rsidR="00E85A44" w:rsidRPr="006148D3">
        <w:rPr>
          <w:rFonts w:ascii="Calibri" w:eastAsia="Calibri" w:hAnsi="Calibri" w:cs="Calibri"/>
          <w:color w:val="000000"/>
          <w:sz w:val="22"/>
          <w:szCs w:val="22"/>
        </w:rPr>
        <w:t>ppendix A1) for each patient and a</w:t>
      </w:r>
      <w:r w:rsidRPr="006148D3">
        <w:rPr>
          <w:rFonts w:ascii="Calibri" w:eastAsia="Calibri" w:hAnsi="Calibri" w:cs="Calibri"/>
          <w:color w:val="000000"/>
          <w:sz w:val="22"/>
          <w:szCs w:val="22"/>
        </w:rPr>
        <w:t>n</w:t>
      </w:r>
      <w:r w:rsidR="00302EAA">
        <w:rPr>
          <w:rFonts w:ascii="Calibri" w:eastAsia="Calibri" w:hAnsi="Calibri" w:cs="Calibri"/>
          <w:color w:val="000000"/>
          <w:sz w:val="22"/>
          <w:szCs w:val="22"/>
        </w:rPr>
        <w:t xml:space="preserve"> IP Return F</w:t>
      </w:r>
      <w:r w:rsidR="00E85A44" w:rsidRPr="006148D3">
        <w:rPr>
          <w:rFonts w:ascii="Calibri" w:eastAsia="Calibri" w:hAnsi="Calibri" w:cs="Calibri"/>
          <w:color w:val="000000"/>
          <w:sz w:val="22"/>
          <w:szCs w:val="22"/>
        </w:rPr>
        <w:t>orm in case of non-patient specific return</w:t>
      </w:r>
      <w:r w:rsidRPr="006148D3">
        <w:rPr>
          <w:rFonts w:ascii="Calibri" w:eastAsia="Calibri" w:hAnsi="Calibri" w:cs="Calibri"/>
          <w:color w:val="000000"/>
          <w:sz w:val="22"/>
          <w:szCs w:val="22"/>
        </w:rPr>
        <w:t>s</w:t>
      </w:r>
      <w:r w:rsidR="00E85A44" w:rsidRPr="006148D3">
        <w:rPr>
          <w:rFonts w:ascii="Calibri" w:eastAsia="Calibri" w:hAnsi="Calibri" w:cs="Calibri"/>
          <w:color w:val="000000"/>
          <w:sz w:val="22"/>
          <w:szCs w:val="22"/>
        </w:rPr>
        <w:t xml:space="preserve"> (expired or damage IPs). These forms will be sent back with the returned IPs to the institution pharmacy or directly to the </w:t>
      </w:r>
      <w:r w:rsidR="007D0AA5">
        <w:rPr>
          <w:rFonts w:ascii="Calibri" w:eastAsia="Calibri" w:hAnsi="Calibri" w:cs="Calibri"/>
          <w:color w:val="000000"/>
          <w:sz w:val="22"/>
          <w:szCs w:val="22"/>
        </w:rPr>
        <w:t>CMS</w:t>
      </w:r>
      <w:r w:rsidR="000C6BDD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6148D3">
        <w:rPr>
          <w:rFonts w:ascii="Calibri" w:eastAsia="Calibri" w:hAnsi="Calibri" w:cs="Calibri"/>
          <w:color w:val="000000"/>
          <w:sz w:val="22"/>
          <w:szCs w:val="22"/>
        </w:rPr>
        <w:t xml:space="preserve"> Returns </w:t>
      </w:r>
      <w:r w:rsidR="006148D3" w:rsidRPr="006148D3">
        <w:rPr>
          <w:rFonts w:ascii="Calibri" w:eastAsia="Calibri" w:hAnsi="Calibri" w:cs="Calibri"/>
          <w:color w:val="000000"/>
          <w:sz w:val="22"/>
          <w:szCs w:val="22"/>
        </w:rPr>
        <w:t>will be stored in a separated</w:t>
      </w:r>
      <w:r w:rsidR="007D0AA5">
        <w:rPr>
          <w:rFonts w:ascii="Calibri" w:eastAsia="Calibri" w:hAnsi="Calibri" w:cs="Calibri"/>
          <w:color w:val="000000"/>
          <w:sz w:val="22"/>
          <w:szCs w:val="22"/>
        </w:rPr>
        <w:t>, secured</w:t>
      </w:r>
      <w:r w:rsidR="006148D3" w:rsidRPr="006148D3">
        <w:rPr>
          <w:rFonts w:ascii="Calibri" w:eastAsia="Calibri" w:hAnsi="Calibri" w:cs="Calibri"/>
          <w:color w:val="000000"/>
          <w:sz w:val="22"/>
          <w:szCs w:val="22"/>
        </w:rPr>
        <w:t xml:space="preserve"> and designated area of the </w:t>
      </w:r>
      <w:r w:rsidR="007D0AA5">
        <w:rPr>
          <w:rFonts w:ascii="Calibri" w:eastAsia="Calibri" w:hAnsi="Calibri" w:cs="Calibri"/>
          <w:color w:val="000000"/>
          <w:sz w:val="22"/>
          <w:szCs w:val="22"/>
        </w:rPr>
        <w:t>CMS</w:t>
      </w:r>
      <w:r w:rsidR="006148D3" w:rsidRPr="006148D3">
        <w:rPr>
          <w:rFonts w:ascii="Calibri" w:eastAsia="Calibri" w:hAnsi="Calibri" w:cs="Calibri"/>
          <w:color w:val="000000"/>
          <w:sz w:val="22"/>
          <w:szCs w:val="22"/>
        </w:rPr>
        <w:t xml:space="preserve"> labelled as “returns pending destruction”.</w:t>
      </w:r>
      <w:r w:rsidR="006148D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E80254" w:rsidRPr="006148D3">
        <w:rPr>
          <w:rFonts w:ascii="Calibri" w:eastAsia="Calibri" w:hAnsi="Calibri" w:cs="Calibri"/>
          <w:color w:val="000000"/>
          <w:sz w:val="22"/>
          <w:szCs w:val="22"/>
        </w:rPr>
        <w:t xml:space="preserve">The </w:t>
      </w:r>
      <w:r w:rsidR="00E80254" w:rsidRPr="006148D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delegated site pharmacy personnel </w:t>
      </w:r>
      <w:r w:rsidR="00E80254" w:rsidRPr="006148D3">
        <w:rPr>
          <w:rFonts w:ascii="Calibri" w:eastAsia="Calibri" w:hAnsi="Calibri" w:cs="Calibri"/>
          <w:color w:val="000000"/>
          <w:sz w:val="22"/>
          <w:szCs w:val="22"/>
        </w:rPr>
        <w:t>should record the returns on the Drugs G</w:t>
      </w:r>
      <w:r w:rsidR="00302EAA">
        <w:rPr>
          <w:rFonts w:ascii="Calibri" w:eastAsia="Calibri" w:hAnsi="Calibri" w:cs="Calibri"/>
          <w:color w:val="000000"/>
          <w:sz w:val="22"/>
          <w:szCs w:val="22"/>
        </w:rPr>
        <w:t xml:space="preserve">lobal </w:t>
      </w:r>
      <w:r w:rsidR="00DF6868">
        <w:rPr>
          <w:rFonts w:ascii="Calibri" w:eastAsia="Calibri" w:hAnsi="Calibri" w:cs="Calibri"/>
          <w:color w:val="000000"/>
          <w:sz w:val="22"/>
          <w:szCs w:val="22"/>
        </w:rPr>
        <w:t>Return</w:t>
      </w:r>
      <w:r w:rsidR="00302EA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DF6868">
        <w:rPr>
          <w:rFonts w:ascii="Calibri" w:eastAsia="Calibri" w:hAnsi="Calibri" w:cs="Calibri"/>
          <w:color w:val="000000"/>
          <w:sz w:val="22"/>
          <w:szCs w:val="22"/>
        </w:rPr>
        <w:t>Log</w:t>
      </w:r>
      <w:r w:rsidR="00302EAA">
        <w:rPr>
          <w:rFonts w:ascii="Calibri" w:eastAsia="Calibri" w:hAnsi="Calibri" w:cs="Calibri"/>
          <w:color w:val="000000"/>
          <w:sz w:val="22"/>
          <w:szCs w:val="22"/>
        </w:rPr>
        <w:t xml:space="preserve"> (see A</w:t>
      </w:r>
      <w:r w:rsidR="00E80254" w:rsidRPr="006148D3">
        <w:rPr>
          <w:rFonts w:ascii="Calibri" w:eastAsia="Calibri" w:hAnsi="Calibri" w:cs="Calibri"/>
          <w:color w:val="000000"/>
          <w:sz w:val="22"/>
          <w:szCs w:val="22"/>
        </w:rPr>
        <w:t>ppendix A2).</w:t>
      </w:r>
    </w:p>
    <w:p w14:paraId="7CC3A427" w14:textId="77777777" w:rsidR="008679F4" w:rsidRDefault="008679F4" w:rsidP="001A4863">
      <w:pPr>
        <w:pStyle w:val="ListParagraph"/>
        <w:spacing w:before="80" w:after="80" w:line="240" w:lineRule="auto"/>
        <w:ind w:left="567"/>
        <w:jc w:val="both"/>
      </w:pPr>
    </w:p>
    <w:p w14:paraId="14246E85" w14:textId="10B781BA" w:rsidR="006148D3" w:rsidRDefault="00C565A5" w:rsidP="001A4863">
      <w:pPr>
        <w:pStyle w:val="ListParagraph"/>
        <w:numPr>
          <w:ilvl w:val="0"/>
          <w:numId w:val="31"/>
        </w:numPr>
        <w:spacing w:before="80" w:after="80" w:line="240" w:lineRule="auto"/>
        <w:ind w:left="567"/>
        <w:jc w:val="both"/>
      </w:pPr>
      <w:r>
        <w:t>R</w:t>
      </w:r>
      <w:r w:rsidR="008679F4">
        <w:t xml:space="preserve">eturns </w:t>
      </w:r>
      <w:r>
        <w:t>from</w:t>
      </w:r>
      <w:r w:rsidR="008679F4">
        <w:t xml:space="preserve"> the</w:t>
      </w:r>
      <w:r w:rsidR="008679F4" w:rsidRPr="008679F4">
        <w:t xml:space="preserve"> “</w:t>
      </w:r>
      <w:r>
        <w:t>IPs</w:t>
      </w:r>
      <w:r w:rsidR="008679F4" w:rsidRPr="008679F4">
        <w:t xml:space="preserve"> distribution point</w:t>
      </w:r>
      <w:r>
        <w:t>s</w:t>
      </w:r>
      <w:r w:rsidR="008679F4" w:rsidRPr="008679F4">
        <w:t>”</w:t>
      </w:r>
      <w:r w:rsidR="008679F4">
        <w:t xml:space="preserve"> (</w:t>
      </w:r>
      <w:r>
        <w:t xml:space="preserve">e.g. </w:t>
      </w:r>
      <w:r w:rsidR="008679F4">
        <w:t>LS, PK, IN, ZA)</w:t>
      </w:r>
      <w:r>
        <w:t>:</w:t>
      </w:r>
      <w:r w:rsidR="008679F4">
        <w:t xml:space="preserve"> after checking coherence between actual returns and DOT cards, </w:t>
      </w:r>
      <w:r>
        <w:t xml:space="preserve">the </w:t>
      </w:r>
      <w:r w:rsidR="003F0F06">
        <w:rPr>
          <w:b/>
          <w:bCs/>
        </w:rPr>
        <w:t>r</w:t>
      </w:r>
      <w:r w:rsidR="008679F4" w:rsidRPr="008679F4">
        <w:rPr>
          <w:b/>
          <w:bCs/>
        </w:rPr>
        <w:t>esponsible nurses or study personnel</w:t>
      </w:r>
      <w:r w:rsidR="008679F4" w:rsidRPr="008679F4">
        <w:t xml:space="preserve"> will return the </w:t>
      </w:r>
      <w:r>
        <w:t>containers/Kits (</w:t>
      </w:r>
      <w:r w:rsidR="000B5B1F">
        <w:t>mostly</w:t>
      </w:r>
      <w:r>
        <w:t xml:space="preserve"> blister packs</w:t>
      </w:r>
      <w:r w:rsidR="000B5B1F">
        <w:t>)</w:t>
      </w:r>
      <w:r w:rsidR="008679F4" w:rsidRPr="008679F4">
        <w:t xml:space="preserve"> to the </w:t>
      </w:r>
      <w:r w:rsidR="007D0AA5">
        <w:t>CMS</w:t>
      </w:r>
      <w:r w:rsidR="008679F4">
        <w:t xml:space="preserve">. The </w:t>
      </w:r>
      <w:r w:rsidR="008679F4" w:rsidRPr="006148D3">
        <w:rPr>
          <w:b/>
          <w:bCs/>
        </w:rPr>
        <w:t>de</w:t>
      </w:r>
      <w:r w:rsidR="008679F4" w:rsidRPr="008679F4">
        <w:rPr>
          <w:b/>
        </w:rPr>
        <w:t>legated</w:t>
      </w:r>
      <w:r w:rsidR="008679F4" w:rsidRPr="004E0385">
        <w:rPr>
          <w:b/>
        </w:rPr>
        <w:t xml:space="preserve"> site pharmacy personnel</w:t>
      </w:r>
      <w:r w:rsidR="008679F4" w:rsidRPr="004E0385">
        <w:t xml:space="preserve"> should </w:t>
      </w:r>
      <w:r w:rsidR="000B5B1F">
        <w:t>record the returns</w:t>
      </w:r>
      <w:r w:rsidR="000B5B1F" w:rsidRPr="004E0385">
        <w:t xml:space="preserve"> </w:t>
      </w:r>
      <w:r w:rsidR="000B5B1F">
        <w:t xml:space="preserve">on </w:t>
      </w:r>
      <w:r w:rsidR="008679F4" w:rsidRPr="004E0385">
        <w:t>the blister pack preparation form</w:t>
      </w:r>
      <w:r w:rsidR="000B5B1F">
        <w:t>s</w:t>
      </w:r>
      <w:r w:rsidR="008679F4" w:rsidRPr="004E0385">
        <w:t xml:space="preserve"> (see SOP IP-004-CT adapted version for LS, </w:t>
      </w:r>
      <w:r w:rsidR="008679F4">
        <w:t xml:space="preserve">IN, </w:t>
      </w:r>
      <w:r w:rsidR="008679F4" w:rsidRPr="004E0385">
        <w:t>PK and ZA</w:t>
      </w:r>
      <w:r w:rsidR="008679F4">
        <w:t>) and</w:t>
      </w:r>
      <w:r w:rsidR="008679F4" w:rsidRPr="004E0385">
        <w:t xml:space="preserve"> the </w:t>
      </w:r>
      <w:r w:rsidR="008679F4">
        <w:t xml:space="preserve">Drugs Global </w:t>
      </w:r>
      <w:r w:rsidR="00DF6868">
        <w:t>Return</w:t>
      </w:r>
      <w:r w:rsidR="008679F4">
        <w:t xml:space="preserve"> </w:t>
      </w:r>
      <w:r w:rsidR="00DF6868">
        <w:t>Log</w:t>
      </w:r>
      <w:r w:rsidR="008679F4">
        <w:t xml:space="preserve"> (see </w:t>
      </w:r>
      <w:r w:rsidR="00302EAA">
        <w:t>A</w:t>
      </w:r>
      <w:r w:rsidR="008679F4">
        <w:t>ppendix A2).</w:t>
      </w:r>
    </w:p>
    <w:p w14:paraId="7F0DC302" w14:textId="5425C272" w:rsidR="006C5A21" w:rsidRDefault="008679F4" w:rsidP="001A4863">
      <w:pPr>
        <w:spacing w:before="80" w:after="80" w:line="240" w:lineRule="auto"/>
        <w:ind w:left="567"/>
        <w:jc w:val="both"/>
      </w:pPr>
      <w:r w:rsidRPr="006148D3">
        <w:t xml:space="preserve">Once returned at the </w:t>
      </w:r>
      <w:r w:rsidR="007D0AA5">
        <w:t>CMS</w:t>
      </w:r>
      <w:r w:rsidRPr="006148D3">
        <w:t xml:space="preserve">, </w:t>
      </w:r>
      <w:r w:rsidR="000B5B1F" w:rsidRPr="006148D3">
        <w:t xml:space="preserve">and following </w:t>
      </w:r>
      <w:r w:rsidR="006C5A21" w:rsidRPr="006148D3">
        <w:t>accountability check</w:t>
      </w:r>
      <w:r w:rsidR="000B5B1F" w:rsidRPr="006148D3">
        <w:t>s</w:t>
      </w:r>
      <w:r w:rsidR="00E85A44" w:rsidRPr="006148D3">
        <w:t xml:space="preserve"> and </w:t>
      </w:r>
      <w:r w:rsidR="007D0AA5">
        <w:t xml:space="preserve">internal </w:t>
      </w:r>
      <w:r w:rsidR="00E85A44" w:rsidRPr="006148D3">
        <w:t>monitoring</w:t>
      </w:r>
      <w:r w:rsidRPr="006148D3">
        <w:t xml:space="preserve"> (as per the working instruction for Internal monitoring of the pharmacy)</w:t>
      </w:r>
      <w:r w:rsidR="006C5A21" w:rsidRPr="006148D3">
        <w:t>, IPs will be removed from the container</w:t>
      </w:r>
      <w:r w:rsidR="00E85A44" w:rsidRPr="006148D3">
        <w:t>s</w:t>
      </w:r>
      <w:r w:rsidR="000B5B1F" w:rsidRPr="006148D3">
        <w:t>/kits</w:t>
      </w:r>
      <w:r w:rsidR="006C5A21" w:rsidRPr="006148D3">
        <w:t xml:space="preserve"> and will be </w:t>
      </w:r>
      <w:r w:rsidR="005628CA" w:rsidRPr="006148D3">
        <w:t>store</w:t>
      </w:r>
      <w:r w:rsidR="006C5A21" w:rsidRPr="006148D3">
        <w:t xml:space="preserve">d in a separated and designated area of the </w:t>
      </w:r>
      <w:r w:rsidR="007D0AA5">
        <w:t>CMS</w:t>
      </w:r>
      <w:r w:rsidR="000B5B1F" w:rsidRPr="006148D3">
        <w:t xml:space="preserve"> </w:t>
      </w:r>
      <w:r w:rsidR="00E85A44" w:rsidRPr="006148D3">
        <w:t>labe</w:t>
      </w:r>
      <w:r w:rsidR="006C5A21" w:rsidRPr="006148D3">
        <w:t>lled as “returns pending destruction”</w:t>
      </w:r>
      <w:r w:rsidR="00042FDA" w:rsidRPr="006148D3">
        <w:t>.</w:t>
      </w:r>
    </w:p>
    <w:p w14:paraId="20222A3C" w14:textId="59BB124B" w:rsidR="006148D3" w:rsidRDefault="006148D3" w:rsidP="006148D3">
      <w:pPr>
        <w:pStyle w:val="ListParagraph"/>
        <w:spacing w:before="80" w:after="80" w:line="240" w:lineRule="auto"/>
        <w:ind w:left="1080"/>
        <w:jc w:val="both"/>
      </w:pPr>
    </w:p>
    <w:p w14:paraId="0E54DD09" w14:textId="776B060B" w:rsidR="00E80254" w:rsidRDefault="00E80254" w:rsidP="001A4863">
      <w:pPr>
        <w:pStyle w:val="NormalWeb"/>
        <w:spacing w:before="0" w:beforeAutospacing="0" w:after="12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Empty IP manufacturer’s containers returned form storage location to CMS can be discarded on site immediately. </w:t>
      </w:r>
    </w:p>
    <w:p w14:paraId="500DECF8" w14:textId="2E980C9C" w:rsidR="003042DC" w:rsidRDefault="00E80254" w:rsidP="001A4863">
      <w:pPr>
        <w:pStyle w:val="NormalWeb"/>
        <w:spacing w:before="0" w:beforeAutospacing="0" w:after="12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Empty </w:t>
      </w:r>
      <w:r w:rsidR="00E56132">
        <w:rPr>
          <w:rFonts w:ascii="Calibri" w:hAnsi="Calibri"/>
          <w:color w:val="000000"/>
          <w:sz w:val="22"/>
          <w:szCs w:val="22"/>
        </w:rPr>
        <w:t>container</w:t>
      </w:r>
      <w:r w:rsidR="000B5B1F">
        <w:rPr>
          <w:rFonts w:ascii="Calibri" w:hAnsi="Calibri"/>
          <w:color w:val="000000"/>
          <w:sz w:val="22"/>
          <w:szCs w:val="22"/>
        </w:rPr>
        <w:t>s/kits</w:t>
      </w:r>
      <w:r w:rsidR="00E56132">
        <w:rPr>
          <w:rFonts w:ascii="Calibri" w:hAnsi="Calibri"/>
          <w:color w:val="000000"/>
          <w:sz w:val="22"/>
          <w:szCs w:val="22"/>
        </w:rPr>
        <w:t xml:space="preserve"> (as </w:t>
      </w:r>
      <w:r w:rsidR="00F038FC">
        <w:rPr>
          <w:rFonts w:ascii="Calibri" w:hAnsi="Calibri"/>
          <w:color w:val="000000"/>
          <w:sz w:val="22"/>
          <w:szCs w:val="22"/>
        </w:rPr>
        <w:t>blister pack</w:t>
      </w:r>
      <w:r w:rsidR="00E56132">
        <w:rPr>
          <w:rFonts w:ascii="Calibri" w:hAnsi="Calibri"/>
          <w:color w:val="000000"/>
          <w:sz w:val="22"/>
          <w:szCs w:val="22"/>
        </w:rPr>
        <w:t xml:space="preserve">) </w:t>
      </w:r>
      <w:r w:rsidR="00042FDA">
        <w:rPr>
          <w:rFonts w:ascii="Calibri" w:hAnsi="Calibri"/>
          <w:color w:val="000000"/>
          <w:sz w:val="22"/>
          <w:szCs w:val="22"/>
        </w:rPr>
        <w:t>returned from the patients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3042DC">
        <w:rPr>
          <w:rFonts w:ascii="Calibri" w:hAnsi="Calibri"/>
          <w:color w:val="000000"/>
          <w:sz w:val="22"/>
          <w:szCs w:val="22"/>
        </w:rPr>
        <w:t xml:space="preserve">that do not contain </w:t>
      </w:r>
      <w:r>
        <w:rPr>
          <w:rFonts w:ascii="Calibri" w:hAnsi="Calibri"/>
          <w:color w:val="000000"/>
          <w:sz w:val="22"/>
          <w:szCs w:val="22"/>
        </w:rPr>
        <w:t>any more</w:t>
      </w:r>
      <w:r w:rsidR="00042FDA">
        <w:rPr>
          <w:rFonts w:ascii="Calibri" w:hAnsi="Calibri"/>
          <w:color w:val="000000"/>
          <w:sz w:val="22"/>
          <w:szCs w:val="22"/>
        </w:rPr>
        <w:t xml:space="preserve"> </w:t>
      </w:r>
      <w:r w:rsidR="003042DC">
        <w:rPr>
          <w:rFonts w:ascii="Calibri" w:hAnsi="Calibri"/>
          <w:color w:val="000000"/>
          <w:sz w:val="22"/>
          <w:szCs w:val="22"/>
        </w:rPr>
        <w:t>returned IP pills/tablets inside can be discarded on site</w:t>
      </w:r>
      <w:r w:rsidR="008679F4">
        <w:rPr>
          <w:rFonts w:ascii="Calibri" w:hAnsi="Calibri"/>
          <w:color w:val="000000"/>
          <w:sz w:val="22"/>
          <w:szCs w:val="22"/>
        </w:rPr>
        <w:t xml:space="preserve"> </w:t>
      </w:r>
      <w:r w:rsidR="00042FDA">
        <w:rPr>
          <w:rFonts w:ascii="Calibri" w:hAnsi="Calibri"/>
          <w:color w:val="000000"/>
          <w:sz w:val="22"/>
          <w:szCs w:val="22"/>
        </w:rPr>
        <w:t>i</w:t>
      </w:r>
      <w:r w:rsidR="00E56132">
        <w:rPr>
          <w:rFonts w:ascii="Calibri" w:hAnsi="Calibri"/>
          <w:color w:val="000000"/>
          <w:sz w:val="22"/>
          <w:szCs w:val="22"/>
        </w:rPr>
        <w:t>mmediately</w:t>
      </w:r>
      <w:r w:rsidR="00042FDA">
        <w:rPr>
          <w:rFonts w:ascii="Calibri" w:hAnsi="Calibri"/>
          <w:color w:val="000000"/>
          <w:sz w:val="22"/>
          <w:szCs w:val="22"/>
        </w:rPr>
        <w:t xml:space="preserve"> after any foreseen check has been performed</w:t>
      </w:r>
      <w:r w:rsidR="003042DC">
        <w:rPr>
          <w:rFonts w:ascii="Calibri" w:hAnsi="Calibri"/>
          <w:color w:val="000000"/>
          <w:sz w:val="22"/>
          <w:szCs w:val="22"/>
        </w:rPr>
        <w:t>.</w:t>
      </w:r>
    </w:p>
    <w:p w14:paraId="39CB6B4D" w14:textId="15EEF0BD" w:rsidR="00D206FA" w:rsidRDefault="000C6BDD" w:rsidP="1EE5B4CC">
      <w:pPr>
        <w:pStyle w:val="NormalWeb"/>
        <w:spacing w:before="0" w:beforeAutospacing="0" w:after="12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 w:rsidRPr="1EE5B4CC">
        <w:rPr>
          <w:rFonts w:ascii="Calibri" w:hAnsi="Calibri"/>
          <w:color w:val="000000" w:themeColor="text1"/>
          <w:sz w:val="22"/>
          <w:szCs w:val="22"/>
        </w:rPr>
        <w:lastRenderedPageBreak/>
        <w:t>As a general rule</w:t>
      </w:r>
      <w:proofErr w:type="gramEnd"/>
      <w:r w:rsidRPr="1EE5B4CC">
        <w:rPr>
          <w:rFonts w:ascii="Calibri" w:hAnsi="Calibri"/>
          <w:color w:val="000000" w:themeColor="text1"/>
          <w:sz w:val="22"/>
          <w:szCs w:val="22"/>
        </w:rPr>
        <w:t>, i</w:t>
      </w:r>
      <w:r w:rsidR="00D206FA" w:rsidRPr="1EE5B4CC">
        <w:rPr>
          <w:rFonts w:ascii="Calibri" w:hAnsi="Calibri"/>
          <w:color w:val="000000" w:themeColor="text1"/>
          <w:sz w:val="22"/>
          <w:szCs w:val="22"/>
        </w:rPr>
        <w:t xml:space="preserve">n case </w:t>
      </w:r>
      <w:r w:rsidR="00D17BB7" w:rsidRPr="1EE5B4CC">
        <w:rPr>
          <w:rFonts w:ascii="Calibri" w:hAnsi="Calibri"/>
          <w:color w:val="000000" w:themeColor="text1"/>
          <w:sz w:val="22"/>
          <w:szCs w:val="22"/>
        </w:rPr>
        <w:t xml:space="preserve">that </w:t>
      </w:r>
      <w:r w:rsidR="00D206FA" w:rsidRPr="1EE5B4CC">
        <w:rPr>
          <w:rFonts w:ascii="Calibri" w:hAnsi="Calibri"/>
          <w:color w:val="000000" w:themeColor="text1"/>
          <w:sz w:val="22"/>
          <w:szCs w:val="22"/>
        </w:rPr>
        <w:t xml:space="preserve">the </w:t>
      </w:r>
      <w:r w:rsidR="00B55E52" w:rsidRPr="1EE5B4CC">
        <w:rPr>
          <w:rFonts w:ascii="Calibri" w:hAnsi="Calibri"/>
          <w:color w:val="000000" w:themeColor="text1"/>
          <w:sz w:val="22"/>
          <w:szCs w:val="22"/>
        </w:rPr>
        <w:t xml:space="preserve">IP </w:t>
      </w:r>
      <w:r w:rsidR="008679F4" w:rsidRPr="1EE5B4CC">
        <w:rPr>
          <w:rFonts w:ascii="Calibri" w:hAnsi="Calibri"/>
          <w:color w:val="000000" w:themeColor="text1"/>
          <w:sz w:val="22"/>
          <w:szCs w:val="22"/>
        </w:rPr>
        <w:t>containers</w:t>
      </w:r>
      <w:r w:rsidR="00D206FA" w:rsidRPr="1EE5B4CC">
        <w:rPr>
          <w:rFonts w:ascii="Calibri" w:hAnsi="Calibri"/>
          <w:color w:val="000000" w:themeColor="text1"/>
          <w:sz w:val="22"/>
          <w:szCs w:val="22"/>
        </w:rPr>
        <w:t xml:space="preserve"> are not empt</w:t>
      </w:r>
      <w:r w:rsidR="003042DC" w:rsidRPr="1EE5B4CC">
        <w:rPr>
          <w:rFonts w:ascii="Calibri" w:hAnsi="Calibri"/>
          <w:color w:val="000000" w:themeColor="text1"/>
          <w:sz w:val="22"/>
          <w:szCs w:val="22"/>
        </w:rPr>
        <w:t>y</w:t>
      </w:r>
      <w:r w:rsidR="00D206FA" w:rsidRPr="1EE5B4CC">
        <w:rPr>
          <w:rFonts w:ascii="Calibri" w:hAnsi="Calibri"/>
          <w:color w:val="000000" w:themeColor="text1"/>
          <w:sz w:val="22"/>
          <w:szCs w:val="22"/>
        </w:rPr>
        <w:t xml:space="preserve"> when returned</w:t>
      </w:r>
      <w:r w:rsidR="00E80254" w:rsidRPr="1EE5B4CC">
        <w:rPr>
          <w:rFonts w:ascii="Calibri" w:hAnsi="Calibri"/>
          <w:color w:val="000000" w:themeColor="text1"/>
          <w:sz w:val="22"/>
          <w:szCs w:val="22"/>
        </w:rPr>
        <w:t xml:space="preserve"> from the patients</w:t>
      </w:r>
      <w:r w:rsidR="00D206FA" w:rsidRPr="1EE5B4CC">
        <w:rPr>
          <w:rFonts w:ascii="Calibri" w:hAnsi="Calibri"/>
          <w:color w:val="000000" w:themeColor="text1"/>
          <w:sz w:val="22"/>
          <w:szCs w:val="22"/>
        </w:rPr>
        <w:t>, it is forbidden to use the remaining quantities</w:t>
      </w:r>
      <w:r w:rsidR="00D17BB7" w:rsidRPr="1EE5B4CC">
        <w:rPr>
          <w:rFonts w:ascii="Calibri" w:hAnsi="Calibri"/>
          <w:color w:val="000000" w:themeColor="text1"/>
          <w:sz w:val="22"/>
          <w:szCs w:val="22"/>
        </w:rPr>
        <w:t xml:space="preserve"> of IPs left in the containers</w:t>
      </w:r>
      <w:r w:rsidR="00D206FA" w:rsidRPr="1EE5B4CC">
        <w:rPr>
          <w:rFonts w:ascii="Calibri" w:hAnsi="Calibri"/>
          <w:color w:val="000000" w:themeColor="text1"/>
          <w:sz w:val="22"/>
          <w:szCs w:val="22"/>
        </w:rPr>
        <w:t xml:space="preserve">. All </w:t>
      </w:r>
      <w:r w:rsidR="003042DC" w:rsidRPr="1EE5B4CC">
        <w:rPr>
          <w:rFonts w:ascii="Calibri" w:hAnsi="Calibri"/>
          <w:color w:val="000000" w:themeColor="text1"/>
          <w:sz w:val="22"/>
          <w:szCs w:val="22"/>
        </w:rPr>
        <w:t xml:space="preserve">non-empty </w:t>
      </w:r>
      <w:r w:rsidR="00D17BB7" w:rsidRPr="1EE5B4CC">
        <w:rPr>
          <w:rFonts w:ascii="Calibri" w:hAnsi="Calibri"/>
          <w:color w:val="000000" w:themeColor="text1"/>
          <w:sz w:val="22"/>
          <w:szCs w:val="22"/>
        </w:rPr>
        <w:t xml:space="preserve">IP </w:t>
      </w:r>
      <w:r w:rsidR="008679F4" w:rsidRPr="1EE5B4CC">
        <w:rPr>
          <w:rFonts w:ascii="Calibri" w:hAnsi="Calibri"/>
          <w:color w:val="000000" w:themeColor="text1"/>
          <w:sz w:val="22"/>
          <w:szCs w:val="22"/>
        </w:rPr>
        <w:t>containers</w:t>
      </w:r>
      <w:r w:rsidR="00E80254" w:rsidRPr="1EE5B4CC">
        <w:rPr>
          <w:rFonts w:ascii="Calibri" w:hAnsi="Calibri"/>
          <w:color w:val="000000" w:themeColor="text1"/>
          <w:sz w:val="22"/>
          <w:szCs w:val="22"/>
        </w:rPr>
        <w:t xml:space="preserve"> returned f</w:t>
      </w:r>
      <w:r w:rsidR="3047210A" w:rsidRPr="1EE5B4CC">
        <w:rPr>
          <w:rFonts w:ascii="Calibri" w:hAnsi="Calibri"/>
          <w:color w:val="000000" w:themeColor="text1"/>
          <w:sz w:val="22"/>
          <w:szCs w:val="22"/>
        </w:rPr>
        <w:t>ro</w:t>
      </w:r>
      <w:r w:rsidR="00E80254" w:rsidRPr="1EE5B4CC">
        <w:rPr>
          <w:rFonts w:ascii="Calibri" w:hAnsi="Calibri"/>
          <w:color w:val="000000" w:themeColor="text1"/>
          <w:sz w:val="22"/>
          <w:szCs w:val="22"/>
        </w:rPr>
        <w:t>m the patients and</w:t>
      </w:r>
      <w:r w:rsidR="003042DC" w:rsidRPr="1EE5B4CC">
        <w:rPr>
          <w:rFonts w:ascii="Calibri" w:hAnsi="Calibri"/>
          <w:color w:val="000000" w:themeColor="text1"/>
          <w:sz w:val="22"/>
          <w:szCs w:val="22"/>
        </w:rPr>
        <w:t xml:space="preserve"> containing any returned IP pills/tablets inside</w:t>
      </w:r>
      <w:r w:rsidR="00F71477" w:rsidRPr="1EE5B4CC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D17BB7" w:rsidRPr="1EE5B4CC">
        <w:rPr>
          <w:rFonts w:ascii="Calibri" w:hAnsi="Calibri"/>
          <w:color w:val="000000" w:themeColor="text1"/>
          <w:sz w:val="22"/>
          <w:szCs w:val="22"/>
        </w:rPr>
        <w:t>should</w:t>
      </w:r>
      <w:r w:rsidR="00D206FA" w:rsidRPr="1EE5B4CC">
        <w:rPr>
          <w:rFonts w:ascii="Calibri" w:hAnsi="Calibri"/>
          <w:color w:val="000000" w:themeColor="text1"/>
          <w:sz w:val="22"/>
          <w:szCs w:val="22"/>
        </w:rPr>
        <w:t xml:space="preserve"> be stored separately in the </w:t>
      </w:r>
      <w:r w:rsidR="007D0AA5" w:rsidRPr="1EE5B4CC">
        <w:rPr>
          <w:rFonts w:ascii="Calibri" w:hAnsi="Calibri"/>
          <w:color w:val="000000" w:themeColor="text1"/>
          <w:sz w:val="22"/>
          <w:szCs w:val="22"/>
        </w:rPr>
        <w:t>CMS</w:t>
      </w:r>
      <w:r w:rsidR="00D206FA" w:rsidRPr="1EE5B4CC">
        <w:rPr>
          <w:rFonts w:ascii="Calibri" w:hAnsi="Calibri"/>
          <w:color w:val="000000" w:themeColor="text1"/>
          <w:sz w:val="22"/>
          <w:szCs w:val="22"/>
        </w:rPr>
        <w:t xml:space="preserve">, waiting for their destruction </w:t>
      </w:r>
      <w:r w:rsidR="003042DC" w:rsidRPr="1EE5B4CC">
        <w:rPr>
          <w:rFonts w:ascii="Calibri" w:hAnsi="Calibri"/>
          <w:color w:val="000000" w:themeColor="text1"/>
          <w:sz w:val="22"/>
          <w:szCs w:val="22"/>
        </w:rPr>
        <w:t xml:space="preserve">according to the national destruction guidelines </w:t>
      </w:r>
      <w:r w:rsidR="00D206FA" w:rsidRPr="1EE5B4CC">
        <w:rPr>
          <w:rFonts w:ascii="Calibri" w:hAnsi="Calibri"/>
          <w:color w:val="000000" w:themeColor="text1"/>
          <w:sz w:val="22"/>
          <w:szCs w:val="22"/>
        </w:rPr>
        <w:t>(see SOP IP-006-CT</w:t>
      </w:r>
      <w:r w:rsidR="00032D60" w:rsidRPr="1EE5B4CC">
        <w:rPr>
          <w:rFonts w:ascii="Calibri" w:hAnsi="Calibri"/>
          <w:color w:val="000000" w:themeColor="text1"/>
          <w:sz w:val="22"/>
          <w:szCs w:val="22"/>
        </w:rPr>
        <w:t xml:space="preserve"> IP Destruction</w:t>
      </w:r>
      <w:r w:rsidR="00D206FA" w:rsidRPr="1EE5B4CC">
        <w:rPr>
          <w:rFonts w:ascii="Calibri" w:hAnsi="Calibri"/>
          <w:color w:val="000000" w:themeColor="text1"/>
          <w:sz w:val="22"/>
          <w:szCs w:val="22"/>
        </w:rPr>
        <w:t>).</w:t>
      </w:r>
      <w:r w:rsidR="003042DC" w:rsidRPr="1EE5B4CC">
        <w:rPr>
          <w:rFonts w:ascii="Calibri" w:hAnsi="Calibri"/>
          <w:color w:val="000000" w:themeColor="text1"/>
          <w:sz w:val="22"/>
          <w:szCs w:val="22"/>
        </w:rPr>
        <w:t xml:space="preserve"> Returned, unused IP pills/tablets must be labeled with the notice “do not use, to be destroyed”, and they must be stored separately from the on-use stock. </w:t>
      </w:r>
    </w:p>
    <w:p w14:paraId="0E819FF1" w14:textId="698DE8D4" w:rsidR="00E80254" w:rsidRDefault="00F1335B" w:rsidP="1EE5B4CC">
      <w:pPr>
        <w:pStyle w:val="NormalWeb"/>
        <w:spacing w:before="0" w:beforeAutospacing="0" w:after="200" w:afterAutospacing="0"/>
        <w:jc w:val="both"/>
        <w:rPr>
          <w:rFonts w:ascii="Calibri" w:hAnsi="Calibri"/>
          <w:color w:val="000000"/>
          <w:sz w:val="22"/>
          <w:szCs w:val="22"/>
          <w:lang w:val="en-GB"/>
        </w:rPr>
      </w:pPr>
      <w:bookmarkStart w:id="9" w:name="_Hlk43042133"/>
      <w:r w:rsidRPr="1EE5B4CC">
        <w:rPr>
          <w:rFonts w:ascii="Calibri" w:hAnsi="Calibri"/>
          <w:color w:val="000000" w:themeColor="text1"/>
          <w:sz w:val="22"/>
          <w:szCs w:val="22"/>
        </w:rPr>
        <w:t xml:space="preserve">Drugs </w:t>
      </w:r>
      <w:r w:rsidR="00FB40A9" w:rsidRPr="1EE5B4CC">
        <w:rPr>
          <w:rFonts w:ascii="Calibri" w:hAnsi="Calibri"/>
          <w:color w:val="000000" w:themeColor="text1"/>
          <w:sz w:val="22"/>
          <w:szCs w:val="22"/>
        </w:rPr>
        <w:t xml:space="preserve">which have been distributed outside institution or dispensary pharmacy and that are </w:t>
      </w:r>
      <w:r w:rsidRPr="1EE5B4CC">
        <w:rPr>
          <w:rFonts w:ascii="Calibri" w:hAnsi="Calibri"/>
          <w:color w:val="000000" w:themeColor="text1"/>
          <w:sz w:val="22"/>
          <w:szCs w:val="22"/>
        </w:rPr>
        <w:t xml:space="preserve">returned to the </w:t>
      </w:r>
      <w:r w:rsidR="007D0AA5" w:rsidRPr="1EE5B4CC">
        <w:rPr>
          <w:rFonts w:ascii="Calibri" w:hAnsi="Calibri"/>
          <w:color w:val="000000" w:themeColor="text1"/>
          <w:sz w:val="22"/>
          <w:szCs w:val="22"/>
        </w:rPr>
        <w:t>CMS</w:t>
      </w:r>
      <w:r w:rsidR="00042FDA" w:rsidRPr="1EE5B4CC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7B233DEF" w:rsidRPr="1EE5B4CC">
        <w:rPr>
          <w:rFonts w:ascii="Calibri" w:hAnsi="Calibri"/>
          <w:color w:val="000000" w:themeColor="text1"/>
          <w:sz w:val="22"/>
          <w:szCs w:val="22"/>
        </w:rPr>
        <w:t>or institution pharmacy (</w:t>
      </w:r>
      <w:proofErr w:type="spellStart"/>
      <w:r w:rsidR="7B233DEF" w:rsidRPr="1EE5B4CC">
        <w:rPr>
          <w:rFonts w:ascii="Calibri" w:hAnsi="Calibri"/>
          <w:color w:val="000000" w:themeColor="text1"/>
          <w:sz w:val="22"/>
          <w:szCs w:val="22"/>
        </w:rPr>
        <w:t>ies</w:t>
      </w:r>
      <w:proofErr w:type="spellEnd"/>
      <w:r w:rsidR="7B233DEF" w:rsidRPr="1EE5B4CC">
        <w:rPr>
          <w:rFonts w:ascii="Calibri" w:hAnsi="Calibri"/>
          <w:color w:val="000000" w:themeColor="text1"/>
          <w:sz w:val="22"/>
          <w:szCs w:val="22"/>
        </w:rPr>
        <w:t xml:space="preserve">) </w:t>
      </w:r>
      <w:r w:rsidRPr="1EE5B4CC">
        <w:rPr>
          <w:rFonts w:ascii="Calibri" w:hAnsi="Calibri"/>
          <w:color w:val="000000" w:themeColor="text1"/>
          <w:sz w:val="22"/>
          <w:szCs w:val="22"/>
        </w:rPr>
        <w:t>can</w:t>
      </w:r>
      <w:r w:rsidR="004678D2" w:rsidRPr="1EE5B4CC">
        <w:rPr>
          <w:rFonts w:ascii="Calibri" w:hAnsi="Calibri"/>
          <w:color w:val="000000" w:themeColor="text1"/>
          <w:sz w:val="22"/>
          <w:szCs w:val="22"/>
        </w:rPr>
        <w:t xml:space="preserve">not </w:t>
      </w:r>
      <w:r w:rsidRPr="1EE5B4CC">
        <w:rPr>
          <w:rFonts w:ascii="Calibri" w:hAnsi="Calibri"/>
          <w:color w:val="000000" w:themeColor="text1"/>
          <w:sz w:val="22"/>
          <w:szCs w:val="22"/>
        </w:rPr>
        <w:t>be re</w:t>
      </w:r>
      <w:r w:rsidR="00092C38" w:rsidRPr="1EE5B4CC">
        <w:rPr>
          <w:rFonts w:ascii="Calibri" w:hAnsi="Calibri"/>
          <w:color w:val="000000" w:themeColor="text1"/>
          <w:sz w:val="22"/>
          <w:szCs w:val="22"/>
        </w:rPr>
        <w:t>-</w:t>
      </w:r>
      <w:r w:rsidRPr="1EE5B4CC">
        <w:rPr>
          <w:rFonts w:ascii="Calibri" w:hAnsi="Calibri"/>
          <w:color w:val="000000" w:themeColor="text1"/>
          <w:sz w:val="22"/>
          <w:szCs w:val="22"/>
        </w:rPr>
        <w:t>used.</w:t>
      </w:r>
      <w:r w:rsidR="00FB40A9" w:rsidRPr="1EE5B4CC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1EE5B4CC">
        <w:rPr>
          <w:rFonts w:ascii="Calibri" w:hAnsi="Calibri"/>
          <w:color w:val="000000" w:themeColor="text1"/>
          <w:sz w:val="22"/>
          <w:szCs w:val="22"/>
        </w:rPr>
        <w:t>The returned drugs</w:t>
      </w:r>
      <w:r w:rsidR="00E80254" w:rsidRPr="1EE5B4CC">
        <w:rPr>
          <w:rFonts w:ascii="Calibri" w:hAnsi="Calibri"/>
          <w:color w:val="000000" w:themeColor="text1"/>
          <w:sz w:val="22"/>
          <w:szCs w:val="22"/>
        </w:rPr>
        <w:t xml:space="preserve"> f</w:t>
      </w:r>
      <w:r w:rsidR="23B4EA7C" w:rsidRPr="1EE5B4CC">
        <w:rPr>
          <w:rFonts w:ascii="Calibri" w:hAnsi="Calibri"/>
          <w:color w:val="000000" w:themeColor="text1"/>
          <w:sz w:val="22"/>
          <w:szCs w:val="22"/>
        </w:rPr>
        <w:t>ro</w:t>
      </w:r>
      <w:r w:rsidR="00E80254" w:rsidRPr="1EE5B4CC">
        <w:rPr>
          <w:rFonts w:ascii="Calibri" w:hAnsi="Calibri"/>
          <w:color w:val="000000" w:themeColor="text1"/>
          <w:sz w:val="22"/>
          <w:szCs w:val="22"/>
        </w:rPr>
        <w:t>m patients</w:t>
      </w:r>
      <w:r w:rsidRPr="1EE5B4CC">
        <w:rPr>
          <w:rFonts w:ascii="Calibri" w:hAnsi="Calibri"/>
          <w:color w:val="000000" w:themeColor="text1"/>
          <w:sz w:val="22"/>
          <w:szCs w:val="22"/>
        </w:rPr>
        <w:t xml:space="preserve"> will never be registered as “IN” on the Drugs Global Accountability LOG</w:t>
      </w:r>
      <w:r w:rsidR="004678D2" w:rsidRPr="1EE5B4CC">
        <w:rPr>
          <w:rFonts w:ascii="Calibri" w:hAnsi="Calibri"/>
          <w:color w:val="000000" w:themeColor="text1"/>
          <w:sz w:val="22"/>
          <w:szCs w:val="22"/>
        </w:rPr>
        <w:t xml:space="preserve"> of the C</w:t>
      </w:r>
      <w:r w:rsidR="004678D2" w:rsidRPr="1EE5B4CC">
        <w:rPr>
          <w:rFonts w:ascii="Calibri" w:hAnsi="Calibri"/>
          <w:color w:val="000000" w:themeColor="text1"/>
          <w:sz w:val="22"/>
          <w:szCs w:val="22"/>
          <w:lang w:val="en-GB"/>
        </w:rPr>
        <w:t>MS</w:t>
      </w:r>
      <w:r w:rsidR="52E45691" w:rsidRPr="1EE5B4CC">
        <w:rPr>
          <w:rFonts w:ascii="Calibri" w:hAnsi="Calibri"/>
          <w:color w:val="000000" w:themeColor="text1"/>
          <w:sz w:val="22"/>
          <w:szCs w:val="22"/>
          <w:lang w:val="en-GB"/>
        </w:rPr>
        <w:t xml:space="preserve"> or institution </w:t>
      </w:r>
      <w:r w:rsidR="106620D5" w:rsidRPr="1EE5B4CC">
        <w:rPr>
          <w:rFonts w:ascii="Calibri" w:hAnsi="Calibri"/>
          <w:color w:val="000000" w:themeColor="text1"/>
          <w:sz w:val="22"/>
          <w:szCs w:val="22"/>
          <w:lang w:val="en-GB"/>
        </w:rPr>
        <w:t>pharmacy</w:t>
      </w:r>
      <w:r w:rsidR="52E45691" w:rsidRPr="1EE5B4CC">
        <w:rPr>
          <w:rFonts w:ascii="Calibri" w:hAnsi="Calibri"/>
          <w:color w:val="000000" w:themeColor="text1"/>
          <w:sz w:val="22"/>
          <w:szCs w:val="22"/>
          <w:lang w:val="en-GB"/>
        </w:rPr>
        <w:t xml:space="preserve"> (</w:t>
      </w:r>
      <w:proofErr w:type="spellStart"/>
      <w:r w:rsidR="52E45691" w:rsidRPr="1EE5B4CC">
        <w:rPr>
          <w:rFonts w:ascii="Calibri" w:hAnsi="Calibri"/>
          <w:color w:val="000000" w:themeColor="text1"/>
          <w:sz w:val="22"/>
          <w:szCs w:val="22"/>
          <w:lang w:val="en-GB"/>
        </w:rPr>
        <w:t>ies</w:t>
      </w:r>
      <w:proofErr w:type="spellEnd"/>
      <w:r w:rsidR="52E45691" w:rsidRPr="1EE5B4CC">
        <w:rPr>
          <w:rFonts w:ascii="Calibri" w:hAnsi="Calibri"/>
          <w:color w:val="000000" w:themeColor="text1"/>
          <w:sz w:val="22"/>
          <w:szCs w:val="22"/>
          <w:lang w:val="en-GB"/>
        </w:rPr>
        <w:t>)</w:t>
      </w:r>
      <w:r w:rsidR="004678D2" w:rsidRPr="1EE5B4CC">
        <w:rPr>
          <w:rFonts w:ascii="Calibri" w:hAnsi="Calibri"/>
          <w:color w:val="000000" w:themeColor="text1"/>
          <w:sz w:val="22"/>
          <w:szCs w:val="22"/>
          <w:lang w:val="en-GB"/>
        </w:rPr>
        <w:t>.</w:t>
      </w:r>
    </w:p>
    <w:p w14:paraId="5BF2FD9D" w14:textId="3CFF5505" w:rsidR="000C6BDD" w:rsidRDefault="000C6BDD" w:rsidP="1EE5B4CC">
      <w:pPr>
        <w:pStyle w:val="NormalWeb"/>
        <w:spacing w:before="0" w:beforeAutospacing="0" w:after="20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1EE5B4CC">
        <w:rPr>
          <w:rFonts w:ascii="Calibri" w:hAnsi="Calibri"/>
          <w:color w:val="000000" w:themeColor="text1"/>
          <w:sz w:val="22"/>
          <w:szCs w:val="22"/>
        </w:rPr>
        <w:t xml:space="preserve">Note: </w:t>
      </w:r>
      <w:r w:rsidR="00E80254" w:rsidRPr="1EE5B4CC">
        <w:rPr>
          <w:rFonts w:ascii="Calibri" w:hAnsi="Calibri"/>
          <w:color w:val="000000" w:themeColor="text1"/>
          <w:sz w:val="22"/>
          <w:szCs w:val="22"/>
        </w:rPr>
        <w:t>Some non</w:t>
      </w:r>
      <w:r w:rsidRPr="1EE5B4CC">
        <w:rPr>
          <w:rFonts w:ascii="Calibri" w:hAnsi="Calibri"/>
          <w:color w:val="000000" w:themeColor="text1"/>
          <w:sz w:val="22"/>
          <w:szCs w:val="22"/>
        </w:rPr>
        <w:t>-</w:t>
      </w:r>
      <w:r w:rsidR="00E80254" w:rsidRPr="1EE5B4CC">
        <w:rPr>
          <w:rFonts w:ascii="Calibri" w:hAnsi="Calibri"/>
          <w:color w:val="000000" w:themeColor="text1"/>
          <w:sz w:val="22"/>
          <w:szCs w:val="22"/>
        </w:rPr>
        <w:t>empty IP manufacturer’s container</w:t>
      </w:r>
      <w:r w:rsidRPr="1EE5B4CC">
        <w:rPr>
          <w:rFonts w:ascii="Calibri" w:hAnsi="Calibri"/>
          <w:color w:val="000000" w:themeColor="text1"/>
          <w:sz w:val="22"/>
          <w:szCs w:val="22"/>
        </w:rPr>
        <w:t>s</w:t>
      </w:r>
      <w:r w:rsidR="00E80254" w:rsidRPr="1EE5B4CC">
        <w:rPr>
          <w:rFonts w:ascii="Calibri" w:hAnsi="Calibri"/>
          <w:color w:val="000000" w:themeColor="text1"/>
          <w:sz w:val="22"/>
          <w:szCs w:val="22"/>
        </w:rPr>
        <w:t xml:space="preserve"> can be transferred from on</w:t>
      </w:r>
      <w:r w:rsidR="00E8124E" w:rsidRPr="1EE5B4CC">
        <w:rPr>
          <w:rFonts w:ascii="Calibri" w:hAnsi="Calibri"/>
          <w:color w:val="000000" w:themeColor="text1"/>
          <w:sz w:val="22"/>
          <w:szCs w:val="22"/>
        </w:rPr>
        <w:t>e</w:t>
      </w:r>
      <w:r w:rsidR="00E80254" w:rsidRPr="1EE5B4CC">
        <w:rPr>
          <w:rFonts w:ascii="Calibri" w:hAnsi="Calibri"/>
          <w:color w:val="000000" w:themeColor="text1"/>
          <w:sz w:val="22"/>
          <w:szCs w:val="22"/>
        </w:rPr>
        <w:t xml:space="preserve"> institution pharmacy to another</w:t>
      </w:r>
      <w:r w:rsidR="00E8124E" w:rsidRPr="1EE5B4CC">
        <w:rPr>
          <w:rFonts w:ascii="Calibri" w:hAnsi="Calibri"/>
          <w:color w:val="000000" w:themeColor="text1"/>
          <w:sz w:val="22"/>
          <w:szCs w:val="22"/>
        </w:rPr>
        <w:t xml:space="preserve"> (in case of early closure of one site for instance) or from CMS of different sites (in case of risk of shortage in one of the </w:t>
      </w:r>
      <w:proofErr w:type="gramStart"/>
      <w:r w:rsidR="00E8124E" w:rsidRPr="1EE5B4CC">
        <w:rPr>
          <w:rFonts w:ascii="Calibri" w:hAnsi="Calibri"/>
          <w:color w:val="000000" w:themeColor="text1"/>
          <w:sz w:val="22"/>
          <w:szCs w:val="22"/>
        </w:rPr>
        <w:t>site</w:t>
      </w:r>
      <w:proofErr w:type="gramEnd"/>
      <w:r w:rsidR="4121EA0E" w:rsidRPr="1EE5B4CC">
        <w:rPr>
          <w:rFonts w:ascii="Calibri" w:hAnsi="Calibri"/>
          <w:color w:val="000000" w:themeColor="text1"/>
          <w:sz w:val="22"/>
          <w:szCs w:val="22"/>
        </w:rPr>
        <w:t>,</w:t>
      </w:r>
      <w:r w:rsidR="00E8124E" w:rsidRPr="1EE5B4CC">
        <w:rPr>
          <w:rFonts w:ascii="Calibri" w:hAnsi="Calibri"/>
          <w:color w:val="000000" w:themeColor="text1"/>
          <w:sz w:val="22"/>
          <w:szCs w:val="22"/>
        </w:rPr>
        <w:t xml:space="preserve"> for instance). These IPs are no</w:t>
      </w:r>
      <w:r w:rsidRPr="1EE5B4CC">
        <w:rPr>
          <w:rFonts w:ascii="Calibri" w:hAnsi="Calibri"/>
          <w:color w:val="000000" w:themeColor="text1"/>
          <w:sz w:val="22"/>
          <w:szCs w:val="22"/>
        </w:rPr>
        <w:t xml:space="preserve">t </w:t>
      </w:r>
      <w:r w:rsidR="00E8124E" w:rsidRPr="1EE5B4CC">
        <w:rPr>
          <w:rFonts w:ascii="Calibri" w:hAnsi="Calibri"/>
          <w:color w:val="000000" w:themeColor="text1"/>
          <w:sz w:val="22"/>
          <w:szCs w:val="22"/>
        </w:rPr>
        <w:t>considered as return</w:t>
      </w:r>
      <w:r w:rsidRPr="1EE5B4CC">
        <w:rPr>
          <w:rFonts w:ascii="Calibri" w:hAnsi="Calibri"/>
          <w:color w:val="000000" w:themeColor="text1"/>
          <w:sz w:val="22"/>
          <w:szCs w:val="22"/>
        </w:rPr>
        <w:t>s</w:t>
      </w:r>
      <w:r w:rsidR="00E8124E" w:rsidRPr="1EE5B4CC">
        <w:rPr>
          <w:rFonts w:ascii="Calibri" w:hAnsi="Calibri"/>
          <w:color w:val="000000" w:themeColor="text1"/>
          <w:sz w:val="22"/>
          <w:szCs w:val="22"/>
        </w:rPr>
        <w:t xml:space="preserve"> but as transferred IPs. In this case </w:t>
      </w:r>
      <w:r w:rsidR="08579BA2" w:rsidRPr="1EE5B4CC">
        <w:rPr>
          <w:rFonts w:ascii="Calibri" w:hAnsi="Calibri"/>
          <w:color w:val="000000" w:themeColor="text1"/>
          <w:sz w:val="22"/>
          <w:szCs w:val="22"/>
        </w:rPr>
        <w:t xml:space="preserve">transfer procedure must be followed </w:t>
      </w:r>
      <w:r w:rsidR="69FA0F42" w:rsidRPr="1EE5B4CC">
        <w:rPr>
          <w:rFonts w:ascii="Calibri" w:eastAsia="Calibri" w:hAnsi="Calibri" w:cs="Calibri"/>
          <w:sz w:val="22"/>
          <w:szCs w:val="22"/>
        </w:rPr>
        <w:t>as per SOP IP-004-CT IP Distributing, Dispensing, and Accountability.</w:t>
      </w:r>
    </w:p>
    <w:bookmarkEnd w:id="9"/>
    <w:p w14:paraId="1042742A" w14:textId="41C1B8D1" w:rsidR="00C760E8" w:rsidRPr="008B1177" w:rsidRDefault="003F0F06" w:rsidP="09B6BD05">
      <w:pPr>
        <w:pStyle w:val="NormalWeb"/>
        <w:spacing w:before="0" w:beforeAutospacing="0" w:after="20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3F0F06">
        <w:rPr>
          <w:rFonts w:ascii="Calibri" w:hAnsi="Calibri"/>
          <w:b/>
          <w:color w:val="000000" w:themeColor="text1"/>
          <w:sz w:val="22"/>
          <w:szCs w:val="22"/>
        </w:rPr>
        <w:t>Delegated Site Pharmacist or designee</w:t>
      </w:r>
      <w:r w:rsidRPr="003F0F06">
        <w:rPr>
          <w:rFonts w:ascii="Calibri" w:hAnsi="Calibri"/>
          <w:color w:val="000000" w:themeColor="text1"/>
          <w:sz w:val="22"/>
          <w:szCs w:val="22"/>
        </w:rPr>
        <w:t> </w:t>
      </w:r>
      <w:r w:rsidR="00855269" w:rsidRPr="09B6BD05">
        <w:rPr>
          <w:rFonts w:ascii="Calibri" w:hAnsi="Calibri"/>
          <w:color w:val="000000" w:themeColor="text1"/>
          <w:sz w:val="22"/>
          <w:szCs w:val="22"/>
        </w:rPr>
        <w:t>will compile a</w:t>
      </w:r>
      <w:r w:rsidR="00C760E8" w:rsidRPr="09B6BD05">
        <w:rPr>
          <w:rFonts w:ascii="Calibri" w:hAnsi="Calibri"/>
          <w:color w:val="000000" w:themeColor="text1"/>
          <w:sz w:val="22"/>
          <w:szCs w:val="22"/>
        </w:rPr>
        <w:t>ll return drugs in the “</w:t>
      </w:r>
      <w:r w:rsidR="008C650F" w:rsidRPr="09B6BD05">
        <w:rPr>
          <w:rFonts w:ascii="Calibri" w:hAnsi="Calibri"/>
          <w:color w:val="000000" w:themeColor="text1"/>
          <w:sz w:val="22"/>
          <w:szCs w:val="22"/>
        </w:rPr>
        <w:t>Drugs Global Return Log</w:t>
      </w:r>
      <w:r w:rsidR="00C760E8" w:rsidRPr="09B6BD05">
        <w:rPr>
          <w:rFonts w:ascii="Calibri" w:hAnsi="Calibri"/>
          <w:color w:val="000000" w:themeColor="text1"/>
          <w:sz w:val="22"/>
          <w:szCs w:val="22"/>
        </w:rPr>
        <w:t xml:space="preserve">” (Appendix A2) or equivalent system. </w:t>
      </w:r>
    </w:p>
    <w:p w14:paraId="6C25BA43" w14:textId="77777777" w:rsidR="00217C5E" w:rsidRPr="00BA7FA5" w:rsidRDefault="00217C5E" w:rsidP="00BA6D1B">
      <w:pPr>
        <w:pStyle w:val="Heading2"/>
        <w:jc w:val="both"/>
      </w:pPr>
      <w:bookmarkStart w:id="10" w:name="_Toc181293430"/>
      <w:r w:rsidRPr="00BA7FA5">
        <w:t>REFERENCES</w:t>
      </w:r>
      <w:bookmarkEnd w:id="10"/>
    </w:p>
    <w:p w14:paraId="7B7E049C" w14:textId="60E37D95" w:rsidR="00217C5E" w:rsidRDefault="001E2E3B" w:rsidP="00BA6D1B">
      <w:pPr>
        <w:pStyle w:val="NormalWeb"/>
        <w:spacing w:before="0" w:beforeAutospacing="0" w:after="120" w:afterAutospacing="0"/>
        <w:ind w:left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None</w:t>
      </w:r>
    </w:p>
    <w:p w14:paraId="33BABC42" w14:textId="4B69CAA4" w:rsidR="008C650F" w:rsidRPr="00BA7FA5" w:rsidRDefault="008C650F" w:rsidP="008C650F">
      <w:pPr>
        <w:pStyle w:val="Heading2"/>
        <w:jc w:val="both"/>
      </w:pPr>
      <w:bookmarkStart w:id="11" w:name="_Toc181293431"/>
      <w:r>
        <w:t>SUPPORTING DOCUMENTS</w:t>
      </w:r>
      <w:bookmarkEnd w:id="11"/>
    </w:p>
    <w:p w14:paraId="390DCA29" w14:textId="0439C45F" w:rsidR="001A4863" w:rsidRPr="001A4863" w:rsidRDefault="001A4863" w:rsidP="001A4863">
      <w:pPr>
        <w:pStyle w:val="NormalWeb"/>
        <w:numPr>
          <w:ilvl w:val="0"/>
          <w:numId w:val="30"/>
        </w:numPr>
        <w:spacing w:before="0" w:beforeAutospacing="0" w:after="0" w:afterAutospacing="0"/>
        <w:ind w:left="426" w:hanging="357"/>
        <w:jc w:val="both"/>
        <w:rPr>
          <w:rFonts w:eastAsiaTheme="majorEastAsia"/>
        </w:rPr>
      </w:pPr>
      <w:r w:rsidRPr="001A4863">
        <w:rPr>
          <w:rFonts w:ascii="Calibri" w:hAnsi="Calibri"/>
          <w:color w:val="000000"/>
          <w:sz w:val="22"/>
          <w:szCs w:val="22"/>
        </w:rPr>
        <w:t xml:space="preserve">SOP IP-004-CT </w:t>
      </w:r>
      <w:r>
        <w:rPr>
          <w:rFonts w:ascii="Calibri" w:hAnsi="Calibri"/>
          <w:color w:val="000000"/>
          <w:sz w:val="22"/>
          <w:szCs w:val="22"/>
        </w:rPr>
        <w:t>IP</w:t>
      </w:r>
      <w:r w:rsidRPr="001A4863">
        <w:rPr>
          <w:rFonts w:ascii="Calibri" w:hAnsi="Calibri"/>
          <w:color w:val="000000"/>
          <w:sz w:val="22"/>
          <w:szCs w:val="22"/>
        </w:rPr>
        <w:t xml:space="preserve"> Distributing, Dispensing, and Accountability</w:t>
      </w:r>
      <w:r>
        <w:rPr>
          <w:rFonts w:ascii="Calibri" w:hAnsi="Calibri"/>
          <w:color w:val="000000"/>
          <w:sz w:val="22"/>
          <w:szCs w:val="22"/>
        </w:rPr>
        <w:t xml:space="preserve"> (endTB Site Study Documents)</w:t>
      </w:r>
    </w:p>
    <w:p w14:paraId="223D408E" w14:textId="2B21C60D" w:rsidR="001A4863" w:rsidRPr="00C118E8" w:rsidRDefault="00C118E8" w:rsidP="001A4863">
      <w:pPr>
        <w:pStyle w:val="NormalWeb"/>
        <w:numPr>
          <w:ilvl w:val="0"/>
          <w:numId w:val="30"/>
        </w:numPr>
        <w:spacing w:before="0" w:beforeAutospacing="0" w:after="0" w:afterAutospacing="0"/>
        <w:ind w:left="426" w:hanging="357"/>
        <w:jc w:val="both"/>
        <w:rPr>
          <w:rFonts w:eastAsiaTheme="majorEastAsia"/>
        </w:rPr>
      </w:pPr>
      <w:r>
        <w:rPr>
          <w:rFonts w:ascii="Calibri" w:hAnsi="Calibri"/>
          <w:color w:val="000000"/>
          <w:sz w:val="22"/>
          <w:szCs w:val="22"/>
        </w:rPr>
        <w:t xml:space="preserve">SOP </w:t>
      </w:r>
      <w:r w:rsidR="001A4863" w:rsidRPr="001A4863">
        <w:rPr>
          <w:rFonts w:ascii="Calibri" w:hAnsi="Calibri"/>
          <w:color w:val="000000"/>
          <w:sz w:val="22"/>
          <w:szCs w:val="22"/>
        </w:rPr>
        <w:t xml:space="preserve">IP-004-CT </w:t>
      </w:r>
      <w:r w:rsidR="001A4863">
        <w:rPr>
          <w:rFonts w:ascii="Calibri" w:hAnsi="Calibri"/>
          <w:color w:val="000000"/>
          <w:sz w:val="22"/>
          <w:szCs w:val="22"/>
        </w:rPr>
        <w:t>IP</w:t>
      </w:r>
      <w:r w:rsidR="001A4863" w:rsidRPr="001A4863">
        <w:rPr>
          <w:rFonts w:ascii="Calibri" w:hAnsi="Calibri"/>
          <w:color w:val="000000"/>
          <w:sz w:val="22"/>
          <w:szCs w:val="22"/>
        </w:rPr>
        <w:t xml:space="preserve"> Distributing, Dispensing, and Accountability</w:t>
      </w:r>
      <w:r w:rsidR="001A4863">
        <w:rPr>
          <w:rFonts w:ascii="Calibri" w:hAnsi="Calibri"/>
          <w:color w:val="000000"/>
          <w:sz w:val="22"/>
          <w:szCs w:val="22"/>
        </w:rPr>
        <w:t xml:space="preserve"> </w:t>
      </w:r>
      <w:r w:rsidR="002C4372">
        <w:rPr>
          <w:rFonts w:ascii="Calibri" w:hAnsi="Calibri"/>
          <w:color w:val="000000"/>
          <w:sz w:val="22"/>
          <w:szCs w:val="22"/>
        </w:rPr>
        <w:t>adapted by country</w:t>
      </w:r>
      <w:r w:rsidR="001A4863">
        <w:rPr>
          <w:rFonts w:ascii="Calibri" w:hAnsi="Calibri"/>
          <w:color w:val="000000"/>
          <w:sz w:val="22"/>
          <w:szCs w:val="22"/>
        </w:rPr>
        <w:t xml:space="preserve"> (Central Investigator File)</w:t>
      </w:r>
    </w:p>
    <w:p w14:paraId="0C82089A" w14:textId="77777777" w:rsidR="00C118E8" w:rsidRPr="00C118E8" w:rsidRDefault="00C118E8" w:rsidP="00C118E8">
      <w:pPr>
        <w:pStyle w:val="NormalWeb"/>
        <w:numPr>
          <w:ilvl w:val="0"/>
          <w:numId w:val="30"/>
        </w:numPr>
        <w:spacing w:before="0" w:beforeAutospacing="0" w:after="0" w:afterAutospacing="0"/>
        <w:ind w:left="426" w:hanging="3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SOP IP-006-CT IP Destruction </w:t>
      </w:r>
      <w:r w:rsidRPr="001A4863">
        <w:rPr>
          <w:rFonts w:ascii="Calibri" w:hAnsi="Calibri"/>
          <w:color w:val="000000"/>
          <w:sz w:val="22"/>
          <w:szCs w:val="22"/>
        </w:rPr>
        <w:t>(endTB Site Study Documents) </w:t>
      </w:r>
    </w:p>
    <w:p w14:paraId="26DF08CA" w14:textId="53D79136" w:rsidR="008C650F" w:rsidRPr="000C6BDD" w:rsidRDefault="008C650F" w:rsidP="001A4863">
      <w:pPr>
        <w:pStyle w:val="NormalWeb"/>
        <w:numPr>
          <w:ilvl w:val="0"/>
          <w:numId w:val="30"/>
        </w:numPr>
        <w:spacing w:before="0" w:beforeAutospacing="0" w:after="0" w:afterAutospacing="0"/>
        <w:ind w:left="426" w:hanging="357"/>
        <w:jc w:val="both"/>
      </w:pPr>
      <w:r>
        <w:rPr>
          <w:rFonts w:ascii="Calibri" w:hAnsi="Calibri"/>
          <w:color w:val="000000"/>
          <w:sz w:val="22"/>
          <w:szCs w:val="22"/>
        </w:rPr>
        <w:t>Blister pack preparation form</w:t>
      </w:r>
      <w:r w:rsidR="001E2E3B">
        <w:rPr>
          <w:rFonts w:ascii="Calibri" w:hAnsi="Calibri"/>
          <w:color w:val="000000"/>
          <w:sz w:val="22"/>
          <w:szCs w:val="22"/>
        </w:rPr>
        <w:t xml:space="preserve"> (Appendix 2 to IP-004-CT adapted by country,</w:t>
      </w:r>
      <w:r w:rsidR="000C6BDD">
        <w:rPr>
          <w:rFonts w:ascii="Calibri" w:hAnsi="Calibri"/>
          <w:color w:val="000000"/>
          <w:sz w:val="22"/>
          <w:szCs w:val="22"/>
        </w:rPr>
        <w:t xml:space="preserve"> </w:t>
      </w:r>
      <w:r w:rsidR="001E2E3B">
        <w:rPr>
          <w:rFonts w:ascii="Calibri" w:hAnsi="Calibri"/>
          <w:color w:val="000000"/>
          <w:sz w:val="22"/>
          <w:szCs w:val="22"/>
        </w:rPr>
        <w:t>Central Investigator</w:t>
      </w:r>
      <w:r w:rsidR="00813FA3">
        <w:rPr>
          <w:rFonts w:ascii="Calibri" w:hAnsi="Calibri"/>
          <w:color w:val="000000"/>
          <w:sz w:val="22"/>
          <w:szCs w:val="22"/>
        </w:rPr>
        <w:t xml:space="preserve"> File</w:t>
      </w:r>
      <w:r w:rsidR="001E2E3B">
        <w:rPr>
          <w:rFonts w:ascii="Calibri" w:hAnsi="Calibri"/>
          <w:color w:val="000000"/>
          <w:sz w:val="22"/>
          <w:szCs w:val="22"/>
        </w:rPr>
        <w:t>)</w:t>
      </w:r>
    </w:p>
    <w:p w14:paraId="7460598D" w14:textId="34032F48" w:rsidR="000C6BDD" w:rsidRPr="00B95ED8" w:rsidRDefault="000C6BDD" w:rsidP="007D0AA5">
      <w:pPr>
        <w:pStyle w:val="NormalWeb"/>
        <w:numPr>
          <w:ilvl w:val="0"/>
          <w:numId w:val="30"/>
        </w:numPr>
        <w:spacing w:before="0" w:beforeAutospacing="0" w:after="0" w:afterAutospacing="0"/>
        <w:ind w:left="426" w:hanging="357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Supply and request form (Appendix </w:t>
      </w:r>
      <w:r w:rsidR="00C118E8">
        <w:rPr>
          <w:rFonts w:ascii="Calibri" w:hAnsi="Calibri"/>
          <w:color w:val="000000"/>
          <w:sz w:val="22"/>
          <w:szCs w:val="22"/>
        </w:rPr>
        <w:t>A</w:t>
      </w:r>
      <w:r>
        <w:rPr>
          <w:rFonts w:ascii="Calibri" w:hAnsi="Calibri"/>
          <w:color w:val="000000"/>
          <w:sz w:val="22"/>
          <w:szCs w:val="22"/>
        </w:rPr>
        <w:t>1 to IP-004-CT</w:t>
      </w:r>
      <w:r w:rsidR="00C118E8">
        <w:rPr>
          <w:rFonts w:ascii="Calibri" w:hAnsi="Calibri"/>
          <w:color w:val="000000"/>
          <w:sz w:val="22"/>
          <w:szCs w:val="22"/>
        </w:rPr>
        <w:t xml:space="preserve"> IP</w:t>
      </w:r>
      <w:r w:rsidR="00C118E8" w:rsidRPr="001A4863">
        <w:rPr>
          <w:rFonts w:ascii="Calibri" w:hAnsi="Calibri"/>
          <w:color w:val="000000"/>
          <w:sz w:val="22"/>
          <w:szCs w:val="22"/>
        </w:rPr>
        <w:t xml:space="preserve"> Distributing, Dispensing, and Accountability</w:t>
      </w:r>
      <w:r>
        <w:rPr>
          <w:rFonts w:ascii="Calibri" w:hAnsi="Calibri"/>
          <w:color w:val="000000"/>
          <w:sz w:val="22"/>
          <w:szCs w:val="22"/>
        </w:rPr>
        <w:t>)</w:t>
      </w:r>
    </w:p>
    <w:p w14:paraId="26ADA84F" w14:textId="045D9ADD" w:rsidR="000C6BDD" w:rsidRPr="007D0AA5" w:rsidRDefault="009F1455" w:rsidP="007D0AA5">
      <w:pPr>
        <w:pStyle w:val="NormalWeb"/>
        <w:numPr>
          <w:ilvl w:val="0"/>
          <w:numId w:val="30"/>
        </w:numPr>
        <w:spacing w:before="0" w:beforeAutospacing="0" w:after="0" w:afterAutospacing="0"/>
        <w:ind w:left="426" w:hanging="357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Working instruction for Internal Monitoring of the </w:t>
      </w:r>
      <w:r w:rsidR="00E56132">
        <w:rPr>
          <w:rFonts w:ascii="Calibri" w:hAnsi="Calibri"/>
          <w:color w:val="000000"/>
          <w:sz w:val="22"/>
          <w:szCs w:val="22"/>
        </w:rPr>
        <w:t>pharmacy</w:t>
      </w:r>
      <w:r w:rsidR="000C6BDD">
        <w:rPr>
          <w:rFonts w:ascii="Calibri" w:hAnsi="Calibri"/>
          <w:color w:val="000000"/>
          <w:sz w:val="22"/>
          <w:szCs w:val="22"/>
        </w:rPr>
        <w:t xml:space="preserve"> adapted by country</w:t>
      </w:r>
      <w:r w:rsidR="002C4372">
        <w:rPr>
          <w:rFonts w:ascii="Calibri" w:hAnsi="Calibri"/>
          <w:color w:val="000000"/>
          <w:sz w:val="22"/>
          <w:szCs w:val="22"/>
        </w:rPr>
        <w:t xml:space="preserve"> (</w:t>
      </w:r>
      <w:r w:rsidR="000C6BDD">
        <w:rPr>
          <w:rFonts w:ascii="Calibri" w:hAnsi="Calibri"/>
          <w:color w:val="000000"/>
          <w:sz w:val="22"/>
          <w:szCs w:val="22"/>
        </w:rPr>
        <w:t>Central Investigator File</w:t>
      </w:r>
      <w:r w:rsidR="002C4372">
        <w:rPr>
          <w:rFonts w:ascii="Calibri" w:hAnsi="Calibri"/>
          <w:color w:val="000000"/>
          <w:sz w:val="22"/>
          <w:szCs w:val="22"/>
        </w:rPr>
        <w:t>)</w:t>
      </w:r>
    </w:p>
    <w:p w14:paraId="78943353" w14:textId="77777777" w:rsidR="001A4863" w:rsidRPr="001D5F85" w:rsidRDefault="007D0AA5" w:rsidP="001A4863">
      <w:pPr>
        <w:pStyle w:val="NormalWeb"/>
        <w:numPr>
          <w:ilvl w:val="0"/>
          <w:numId w:val="30"/>
        </w:numPr>
        <w:spacing w:before="0" w:beforeAutospacing="0" w:after="0" w:afterAutospacing="0"/>
        <w:ind w:left="426" w:hanging="357"/>
        <w:jc w:val="both"/>
        <w:rPr>
          <w:rFonts w:eastAsiaTheme="majorEastAsia"/>
        </w:rPr>
      </w:pPr>
      <w:r w:rsidRPr="001A4863">
        <w:rPr>
          <w:rFonts w:ascii="Calibri" w:hAnsi="Calibri"/>
          <w:color w:val="000000"/>
          <w:sz w:val="22"/>
          <w:szCs w:val="22"/>
        </w:rPr>
        <w:t>endTB Pharmacy Manual (endTB Site Study Documents) </w:t>
      </w:r>
    </w:p>
    <w:p w14:paraId="2C83C750" w14:textId="77777777" w:rsidR="00217C5E" w:rsidRPr="00BA7FA5" w:rsidRDefault="00217C5E" w:rsidP="00BA6D1B">
      <w:pPr>
        <w:pStyle w:val="Heading2"/>
        <w:jc w:val="both"/>
      </w:pPr>
      <w:bookmarkStart w:id="12" w:name="_Toc181293432"/>
      <w:r w:rsidRPr="00BA7FA5">
        <w:t>APPENDIX</w:t>
      </w:r>
      <w:bookmarkEnd w:id="12"/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7655"/>
      </w:tblGrid>
      <w:tr w:rsidR="00217C5E" w14:paraId="50F0E90D" w14:textId="77777777" w:rsidTr="00511317">
        <w:tc>
          <w:tcPr>
            <w:tcW w:w="1559" w:type="dxa"/>
            <w:vAlign w:val="center"/>
          </w:tcPr>
          <w:p w14:paraId="2F47830F" w14:textId="77777777" w:rsidR="00217C5E" w:rsidRDefault="00217C5E" w:rsidP="00BA6D1B">
            <w:pPr>
              <w:spacing w:before="120" w:after="120"/>
              <w:jc w:val="both"/>
            </w:pPr>
            <w:r>
              <w:rPr>
                <w:b/>
              </w:rPr>
              <w:t>Number</w:t>
            </w:r>
          </w:p>
        </w:tc>
        <w:tc>
          <w:tcPr>
            <w:tcW w:w="7655" w:type="dxa"/>
          </w:tcPr>
          <w:p w14:paraId="657B9430" w14:textId="77777777" w:rsidR="00217C5E" w:rsidRDefault="00217C5E" w:rsidP="00BA6D1B">
            <w:pPr>
              <w:spacing w:before="120" w:after="120"/>
              <w:jc w:val="both"/>
            </w:pPr>
            <w:r>
              <w:rPr>
                <w:b/>
              </w:rPr>
              <w:t>Title</w:t>
            </w:r>
          </w:p>
        </w:tc>
      </w:tr>
      <w:tr w:rsidR="00217C5E" w14:paraId="26E185BE" w14:textId="77777777" w:rsidTr="00511317">
        <w:tc>
          <w:tcPr>
            <w:tcW w:w="1559" w:type="dxa"/>
            <w:vAlign w:val="center"/>
          </w:tcPr>
          <w:p w14:paraId="5B6F3CD6" w14:textId="7D1839EF" w:rsidR="00217C5E" w:rsidRDefault="00C760E8" w:rsidP="00BA6D1B">
            <w:pPr>
              <w:spacing w:before="120" w:after="120"/>
              <w:jc w:val="both"/>
            </w:pPr>
            <w:r>
              <w:t xml:space="preserve">endTB </w:t>
            </w:r>
            <w:r w:rsidR="00092C38">
              <w:t>A1</w:t>
            </w:r>
          </w:p>
          <w:p w14:paraId="45297BFA" w14:textId="75AF1B88" w:rsidR="00C760E8" w:rsidRDefault="00C760E8" w:rsidP="00BA6D1B">
            <w:pPr>
              <w:spacing w:before="120" w:after="120"/>
              <w:jc w:val="both"/>
            </w:pPr>
            <w:r>
              <w:t>endTB-Q A1</w:t>
            </w:r>
          </w:p>
        </w:tc>
        <w:tc>
          <w:tcPr>
            <w:tcW w:w="7655" w:type="dxa"/>
          </w:tcPr>
          <w:p w14:paraId="7E378570" w14:textId="1B5FE446" w:rsidR="00C760E8" w:rsidRDefault="00D206FA" w:rsidP="00C760E8">
            <w:pPr>
              <w:tabs>
                <w:tab w:val="left" w:pos="2320"/>
              </w:tabs>
              <w:spacing w:before="120" w:after="120"/>
              <w:jc w:val="both"/>
            </w:pPr>
            <w:r>
              <w:t>IP</w:t>
            </w:r>
            <w:r w:rsidR="002C4372">
              <w:t>-005-CT_</w:t>
            </w:r>
            <w:r w:rsidR="00C760E8">
              <w:t>endTB A1</w:t>
            </w:r>
            <w:r w:rsidR="002C4372">
              <w:t>-</w:t>
            </w:r>
            <w:r>
              <w:t xml:space="preserve"> </w:t>
            </w:r>
            <w:r w:rsidR="00831900">
              <w:t>R</w:t>
            </w:r>
            <w:r>
              <w:t xml:space="preserve">eturn </w:t>
            </w:r>
            <w:r w:rsidR="00831900">
              <w:t>F</w:t>
            </w:r>
            <w:r>
              <w:t>orm</w:t>
            </w:r>
          </w:p>
          <w:p w14:paraId="63860102" w14:textId="14932EE8" w:rsidR="00217C5E" w:rsidRDefault="00C760E8" w:rsidP="002C4372">
            <w:pPr>
              <w:tabs>
                <w:tab w:val="left" w:pos="2320"/>
              </w:tabs>
              <w:spacing w:before="120" w:after="120"/>
              <w:jc w:val="both"/>
            </w:pPr>
            <w:r>
              <w:t>IP-005-CT</w:t>
            </w:r>
            <w:r w:rsidR="002C4372">
              <w:t>_</w:t>
            </w:r>
            <w:r>
              <w:t>endTB-Q A1</w:t>
            </w:r>
            <w:r w:rsidR="002C4372">
              <w:t>-</w:t>
            </w:r>
            <w:r>
              <w:t xml:space="preserve"> Return Form</w:t>
            </w:r>
            <w:r>
              <w:tab/>
            </w:r>
          </w:p>
        </w:tc>
      </w:tr>
      <w:tr w:rsidR="008C650F" w14:paraId="4472B673" w14:textId="77777777" w:rsidTr="00511317">
        <w:tc>
          <w:tcPr>
            <w:tcW w:w="1559" w:type="dxa"/>
            <w:vAlign w:val="center"/>
          </w:tcPr>
          <w:p w14:paraId="6558138D" w14:textId="77777777" w:rsidR="008C650F" w:rsidRDefault="008C650F" w:rsidP="008C650F">
            <w:pPr>
              <w:spacing w:before="120" w:after="120"/>
              <w:jc w:val="both"/>
            </w:pPr>
            <w:r>
              <w:lastRenderedPageBreak/>
              <w:t>endTB A2</w:t>
            </w:r>
          </w:p>
          <w:p w14:paraId="16D7D02C" w14:textId="7DA0C4A9" w:rsidR="008C650F" w:rsidRDefault="008C650F" w:rsidP="008C650F">
            <w:pPr>
              <w:spacing w:before="120" w:after="120"/>
              <w:jc w:val="both"/>
            </w:pPr>
            <w:r>
              <w:t>endTB-Q A2</w:t>
            </w:r>
          </w:p>
        </w:tc>
        <w:tc>
          <w:tcPr>
            <w:tcW w:w="7655" w:type="dxa"/>
          </w:tcPr>
          <w:p w14:paraId="3BCB7A3E" w14:textId="684AD1F1" w:rsidR="008C650F" w:rsidRDefault="002C4372" w:rsidP="008C650F">
            <w:pPr>
              <w:tabs>
                <w:tab w:val="left" w:pos="2320"/>
              </w:tabs>
              <w:spacing w:before="120" w:after="120"/>
              <w:jc w:val="both"/>
            </w:pPr>
            <w:r>
              <w:t>IP-005-CT_</w:t>
            </w:r>
            <w:r w:rsidR="008C650F">
              <w:t>endTB A2</w:t>
            </w:r>
            <w:r>
              <w:t>-</w:t>
            </w:r>
            <w:r w:rsidR="008C650F">
              <w:t xml:space="preserve"> Drugs Global Return Log</w:t>
            </w:r>
          </w:p>
          <w:p w14:paraId="7059E9FE" w14:textId="7C139A85" w:rsidR="008C650F" w:rsidRDefault="002C4372" w:rsidP="008C650F">
            <w:pPr>
              <w:tabs>
                <w:tab w:val="left" w:pos="2320"/>
              </w:tabs>
              <w:spacing w:before="120" w:after="120"/>
              <w:jc w:val="both"/>
            </w:pPr>
            <w:r>
              <w:t>IP-005-CT_</w:t>
            </w:r>
            <w:r w:rsidR="008C650F">
              <w:t>endTB-Q A2</w:t>
            </w:r>
            <w:r>
              <w:t>-</w:t>
            </w:r>
            <w:r w:rsidR="008C650F">
              <w:t xml:space="preserve"> Drugs Global Return Log</w:t>
            </w:r>
            <w:r w:rsidR="008C650F">
              <w:tab/>
            </w:r>
          </w:p>
        </w:tc>
      </w:tr>
    </w:tbl>
    <w:p w14:paraId="2D3F48AA" w14:textId="672170E1" w:rsidR="00C774F4" w:rsidRDefault="00C774F4" w:rsidP="00FC67EF">
      <w:pPr>
        <w:ind w:left="426"/>
        <w:jc w:val="both"/>
      </w:pPr>
    </w:p>
    <w:sectPr w:rsidR="00C774F4" w:rsidSect="00080D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276" w:right="1467" w:bottom="720" w:left="1418" w:header="68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53A78" w14:textId="77777777" w:rsidR="00C87B07" w:rsidRDefault="00C87B07">
      <w:pPr>
        <w:spacing w:after="0" w:line="240" w:lineRule="auto"/>
      </w:pPr>
      <w:r>
        <w:separator/>
      </w:r>
    </w:p>
  </w:endnote>
  <w:endnote w:type="continuationSeparator" w:id="0">
    <w:p w14:paraId="2FFDD932" w14:textId="77777777" w:rsidR="00C87B07" w:rsidRDefault="00C87B07">
      <w:pPr>
        <w:spacing w:after="0" w:line="240" w:lineRule="auto"/>
      </w:pPr>
      <w:r>
        <w:continuationSeparator/>
      </w:r>
    </w:p>
  </w:endnote>
  <w:endnote w:type="continuationNotice" w:id="1">
    <w:p w14:paraId="71287D85" w14:textId="77777777" w:rsidR="00C87B07" w:rsidRDefault="00C87B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B753B" w14:textId="77777777" w:rsidR="00FB6101" w:rsidRDefault="00FB61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6EC44" w14:textId="77777777" w:rsidR="00FB6101" w:rsidRPr="00FB6101" w:rsidRDefault="00FB6101" w:rsidP="00FB6101">
    <w:pPr>
      <w:pStyle w:val="Footer"/>
      <w:jc w:val="both"/>
      <w:rPr>
        <w:sz w:val="18"/>
        <w:szCs w:val="18"/>
      </w:rPr>
    </w:pPr>
    <w:r w:rsidRPr="00FB6101">
      <w:rPr>
        <w:b/>
        <w:bCs/>
        <w:i/>
        <w:iCs/>
        <w:sz w:val="18"/>
        <w:szCs w:val="18"/>
      </w:rPr>
      <w:t>NOTE:</w:t>
    </w:r>
    <w:r w:rsidRPr="00FB6101">
      <w:rPr>
        <w:i/>
        <w:iCs/>
        <w:sz w:val="18"/>
        <w:szCs w:val="18"/>
      </w:rPr>
      <w:t> This work is licensed under the Creative Commons CC BY-SA by the endTB Research Partners. To view a copy of this license, visit: </w:t>
    </w:r>
    <w:hyperlink r:id="rId1" w:tgtFrame="_blank" w:history="1">
      <w:r w:rsidRPr="00FB6101">
        <w:rPr>
          <w:rStyle w:val="Hyperlink"/>
          <w:rFonts w:cs="Calibri"/>
          <w:i/>
          <w:iCs/>
          <w:sz w:val="18"/>
          <w:szCs w:val="18"/>
        </w:rPr>
        <w:t>https://creativecommons.org/licenses/by-sa/4.0/</w:t>
      </w:r>
    </w:hyperlink>
    <w:r w:rsidRPr="00FB6101">
      <w:rPr>
        <w:i/>
        <w:iCs/>
        <w:sz w:val="18"/>
        <w:szCs w:val="18"/>
      </w:rPr>
      <w:t>. More information about this copyright is available in the endTB website:</w:t>
    </w:r>
    <w:r w:rsidRPr="00FB6101">
      <w:rPr>
        <w:sz w:val="18"/>
        <w:szCs w:val="18"/>
      </w:rPr>
      <w:t> </w:t>
    </w:r>
    <w:hyperlink r:id="rId2" w:tgtFrame="_blank" w:history="1">
      <w:r w:rsidRPr="00FB6101">
        <w:rPr>
          <w:rStyle w:val="Hyperlink"/>
          <w:rFonts w:cs="Calibri"/>
          <w:i/>
          <w:iCs/>
          <w:sz w:val="18"/>
          <w:szCs w:val="18"/>
        </w:rPr>
        <w:t>https://endtb.org/</w:t>
      </w:r>
    </w:hyperlink>
    <w:r w:rsidRPr="00FB6101">
      <w:rPr>
        <w:i/>
        <w:iCs/>
        <w:sz w:val="18"/>
        <w:szCs w:val="18"/>
      </w:rPr>
      <w:t> in the “Toolkit” section.</w:t>
    </w:r>
    <w:r w:rsidRPr="00FB6101">
      <w:rPr>
        <w:sz w:val="18"/>
        <w:szCs w:val="18"/>
      </w:rPr>
      <w:t> </w:t>
    </w:r>
  </w:p>
  <w:p w14:paraId="738DEFB7" w14:textId="77777777" w:rsidR="00FC67EF" w:rsidRDefault="00FC67EF">
    <w:pPr>
      <w:pStyle w:val="Footer"/>
      <w:jc w:val="center"/>
    </w:pPr>
  </w:p>
  <w:sdt>
    <w:sdtPr>
      <w:id w:val="98381352"/>
      <w:docPartObj>
        <w:docPartGallery w:val="Page Numbers (Top of Page)"/>
        <w:docPartUnique/>
      </w:docPartObj>
    </w:sdtPr>
    <w:sdtEndPr/>
    <w:sdtContent>
      <w:p w14:paraId="5D3CF116" w14:textId="77777777" w:rsidR="009502F1" w:rsidRDefault="009502F1" w:rsidP="009502F1">
        <w:pPr>
          <w:pStyle w:val="Footer"/>
          <w:jc w:val="center"/>
        </w:pPr>
        <w:r>
          <w:rPr>
            <w:lang w:val="fr-FR"/>
          </w:rPr>
          <w:t>Page</w:t>
        </w:r>
        <w:r w:rsidRPr="009F776E">
          <w:rPr>
            <w:lang w:val="fr-FR"/>
          </w:rPr>
          <w:t xml:space="preserve"> </w:t>
        </w:r>
        <w:r w:rsidRPr="00CB74DF">
          <w:rPr>
            <w:b/>
            <w:bCs/>
            <w:sz w:val="24"/>
            <w:szCs w:val="24"/>
          </w:rPr>
          <w:fldChar w:fldCharType="begin"/>
        </w:r>
        <w:r w:rsidRPr="00CB74DF">
          <w:rPr>
            <w:b/>
            <w:bCs/>
          </w:rPr>
          <w:instrText>PAGE</w:instrText>
        </w:r>
        <w:r w:rsidRPr="00CB74DF">
          <w:rPr>
            <w:b/>
            <w:bCs/>
            <w:sz w:val="24"/>
            <w:szCs w:val="24"/>
          </w:rPr>
          <w:fldChar w:fldCharType="separate"/>
        </w:r>
        <w:r w:rsidR="005D73BC">
          <w:rPr>
            <w:b/>
            <w:bCs/>
            <w:noProof/>
          </w:rPr>
          <w:t>3</w:t>
        </w:r>
        <w:r w:rsidRPr="00CB74DF">
          <w:rPr>
            <w:b/>
            <w:bCs/>
            <w:sz w:val="24"/>
            <w:szCs w:val="24"/>
          </w:rPr>
          <w:fldChar w:fldCharType="end"/>
        </w:r>
        <w:r w:rsidRPr="009F776E">
          <w:rPr>
            <w:bCs/>
            <w:sz w:val="24"/>
            <w:szCs w:val="24"/>
          </w:rPr>
          <w:t xml:space="preserve"> of</w:t>
        </w:r>
        <w:r w:rsidRPr="009F776E">
          <w:rPr>
            <w:lang w:val="fr-FR"/>
          </w:rPr>
          <w:t xml:space="preserve"> </w:t>
        </w:r>
        <w:r w:rsidRPr="00CB74DF">
          <w:rPr>
            <w:b/>
            <w:bCs/>
            <w:sz w:val="24"/>
            <w:szCs w:val="24"/>
          </w:rPr>
          <w:fldChar w:fldCharType="begin"/>
        </w:r>
        <w:r w:rsidRPr="00CB74DF">
          <w:rPr>
            <w:b/>
            <w:bCs/>
          </w:rPr>
          <w:instrText>NUMPAGES</w:instrText>
        </w:r>
        <w:r w:rsidRPr="00CB74DF">
          <w:rPr>
            <w:b/>
            <w:bCs/>
            <w:sz w:val="24"/>
            <w:szCs w:val="24"/>
          </w:rPr>
          <w:fldChar w:fldCharType="separate"/>
        </w:r>
        <w:r w:rsidR="005D73BC">
          <w:rPr>
            <w:b/>
            <w:bCs/>
            <w:noProof/>
          </w:rPr>
          <w:t>4</w:t>
        </w:r>
        <w:r w:rsidRPr="00CB74DF">
          <w:rPr>
            <w:b/>
            <w:bCs/>
            <w:sz w:val="24"/>
            <w:szCs w:val="24"/>
          </w:rPr>
          <w:fldChar w:fldCharType="end"/>
        </w:r>
      </w:p>
    </w:sdtContent>
  </w:sdt>
  <w:p w14:paraId="0E714CB1" w14:textId="303B5B2E" w:rsidR="00EE107B" w:rsidRDefault="009502F1" w:rsidP="00FC67EF">
    <w:pPr>
      <w:tabs>
        <w:tab w:val="center" w:pos="4680"/>
        <w:tab w:val="right" w:pos="9360"/>
      </w:tabs>
      <w:spacing w:after="720" w:line="240" w:lineRule="auto"/>
      <w:jc w:val="center"/>
    </w:pPr>
    <w:r w:rsidDel="009502F1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348E7" w14:textId="77777777" w:rsidR="00FB6101" w:rsidRDefault="00FB61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84961" w14:textId="77777777" w:rsidR="00C87B07" w:rsidRDefault="00C87B07">
      <w:pPr>
        <w:spacing w:after="0" w:line="240" w:lineRule="auto"/>
      </w:pPr>
      <w:r>
        <w:separator/>
      </w:r>
    </w:p>
  </w:footnote>
  <w:footnote w:type="continuationSeparator" w:id="0">
    <w:p w14:paraId="406F3E2F" w14:textId="77777777" w:rsidR="00C87B07" w:rsidRDefault="00C87B07">
      <w:pPr>
        <w:spacing w:after="0" w:line="240" w:lineRule="auto"/>
      </w:pPr>
      <w:r>
        <w:continuationSeparator/>
      </w:r>
    </w:p>
  </w:footnote>
  <w:footnote w:type="continuationNotice" w:id="1">
    <w:p w14:paraId="5EF22998" w14:textId="77777777" w:rsidR="00C87B07" w:rsidRDefault="00C87B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49EC8" w14:textId="77777777" w:rsidR="00FB6101" w:rsidRDefault="00FB61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EF666" w14:textId="4E948F35" w:rsidR="00FC67EF" w:rsidRPr="00616E5B" w:rsidRDefault="00FC67EF">
    <w:pPr>
      <w:pStyle w:val="Header"/>
      <w:rPr>
        <w:b/>
      </w:rPr>
    </w:pPr>
    <w:r w:rsidRPr="00616E5B">
      <w:rPr>
        <w:b/>
      </w:rPr>
      <w:t>endTB Clinical Trial</w:t>
    </w:r>
    <w:r w:rsidR="001E2E3B">
      <w:rPr>
        <w:b/>
      </w:rPr>
      <w:t>s</w:t>
    </w:r>
    <w:r w:rsidRPr="00616E5B">
      <w:rPr>
        <w:b/>
      </w:rPr>
      <w:t xml:space="preserve"> </w:t>
    </w:r>
    <w:r w:rsidRPr="00616E5B">
      <w:rPr>
        <w:b/>
      </w:rPr>
      <w:tab/>
    </w:r>
    <w:r w:rsidRPr="00616E5B">
      <w:rPr>
        <w:b/>
      </w:rPr>
      <w:tab/>
      <w:t xml:space="preserve">SOP IP-005-CT Version </w:t>
    </w:r>
    <w:r w:rsidR="00634303">
      <w:rPr>
        <w:b/>
      </w:rPr>
      <w:t>5</w:t>
    </w:r>
    <w:r w:rsidRPr="00616E5B">
      <w:rPr>
        <w:b/>
      </w:rPr>
      <w:t xml:space="preserve">.0 Date </w:t>
    </w:r>
    <w:r w:rsidR="00634303">
      <w:rPr>
        <w:b/>
      </w:rPr>
      <w:t>01</w:t>
    </w:r>
    <w:r w:rsidRPr="00616E5B">
      <w:rPr>
        <w:b/>
      </w:rPr>
      <w:t>-</w:t>
    </w:r>
    <w:r w:rsidR="00634303">
      <w:rPr>
        <w:b/>
      </w:rPr>
      <w:t>Jun</w:t>
    </w:r>
    <w:r w:rsidRPr="00616E5B">
      <w:rPr>
        <w:b/>
      </w:rPr>
      <w:t>-20</w:t>
    </w:r>
    <w:r w:rsidR="00634303">
      <w:rPr>
        <w:b/>
      </w:rPr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BCAE4" w14:textId="77777777" w:rsidR="00FB6101" w:rsidRDefault="00FB61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multilevel"/>
    <w:tmpl w:val="5344E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" w15:restartNumberingAfterBreak="0">
    <w:nsid w:val="00AA2C80"/>
    <w:multiLevelType w:val="hybridMultilevel"/>
    <w:tmpl w:val="7B1A35EC"/>
    <w:lvl w:ilvl="0" w:tplc="15BE7BF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B3F0F"/>
    <w:multiLevelType w:val="hybridMultilevel"/>
    <w:tmpl w:val="BB6215D4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CAE21F8"/>
    <w:multiLevelType w:val="multilevel"/>
    <w:tmpl w:val="82EE7C98"/>
    <w:styleLink w:val="SOPFormat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36"/>
      </w:rPr>
    </w:lvl>
    <w:lvl w:ilvl="1">
      <w:start w:val="1"/>
      <w:numFmt w:val="decimal"/>
      <w:pStyle w:val="Heading2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pStyle w:val="Heading3"/>
      <w:isLgl/>
      <w:lvlText w:val="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2.%3.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175F6F"/>
    <w:multiLevelType w:val="hybridMultilevel"/>
    <w:tmpl w:val="D38AE4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7A3639"/>
    <w:multiLevelType w:val="hybridMultilevel"/>
    <w:tmpl w:val="BF00E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0E3FA2"/>
    <w:multiLevelType w:val="hybridMultilevel"/>
    <w:tmpl w:val="BD6C6E0C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D5B29A3"/>
    <w:multiLevelType w:val="multilevel"/>
    <w:tmpl w:val="68EEF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 w15:restartNumberingAfterBreak="0">
    <w:nsid w:val="2DCB0270"/>
    <w:multiLevelType w:val="multilevel"/>
    <w:tmpl w:val="6114C9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9" w15:restartNumberingAfterBreak="0">
    <w:nsid w:val="2E0A7594"/>
    <w:multiLevelType w:val="multilevel"/>
    <w:tmpl w:val="82EE7C98"/>
    <w:numStyleLink w:val="SOPFormat"/>
  </w:abstractNum>
  <w:abstractNum w:abstractNumId="10" w15:restartNumberingAfterBreak="0">
    <w:nsid w:val="3153067A"/>
    <w:multiLevelType w:val="hybridMultilevel"/>
    <w:tmpl w:val="2F84326C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5BA533F"/>
    <w:multiLevelType w:val="hybridMultilevel"/>
    <w:tmpl w:val="5F7801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106890"/>
    <w:multiLevelType w:val="hybridMultilevel"/>
    <w:tmpl w:val="621AD800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4016463E"/>
    <w:multiLevelType w:val="hybridMultilevel"/>
    <w:tmpl w:val="F8AC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429FD"/>
    <w:multiLevelType w:val="hybridMultilevel"/>
    <w:tmpl w:val="0F742BB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3A5F83"/>
    <w:multiLevelType w:val="hybridMultilevel"/>
    <w:tmpl w:val="E9AE615E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5AE77ED"/>
    <w:multiLevelType w:val="hybridMultilevel"/>
    <w:tmpl w:val="7316A0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922364"/>
    <w:multiLevelType w:val="hybridMultilevel"/>
    <w:tmpl w:val="FE9E9F5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FD0C73"/>
    <w:multiLevelType w:val="multilevel"/>
    <w:tmpl w:val="839C75A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 w15:restartNumberingAfterBreak="0">
    <w:nsid w:val="4C40071F"/>
    <w:multiLevelType w:val="hybridMultilevel"/>
    <w:tmpl w:val="C03A1842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D283A46"/>
    <w:multiLevelType w:val="hybridMultilevel"/>
    <w:tmpl w:val="F39417D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3F6E0E"/>
    <w:multiLevelType w:val="hybridMultilevel"/>
    <w:tmpl w:val="A2702C86"/>
    <w:lvl w:ilvl="0" w:tplc="EFFC4DE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73B34B8"/>
    <w:multiLevelType w:val="multilevel"/>
    <w:tmpl w:val="4ABEBE5A"/>
    <w:lvl w:ilvl="0">
      <w:start w:val="1"/>
      <w:numFmt w:val="bullet"/>
      <w:lvlText w:val="●"/>
      <w:lvlJc w:val="left"/>
      <w:pPr>
        <w:ind w:firstLine="72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720" w:firstLine="144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1440" w:firstLine="216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160" w:firstLine="288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2880" w:firstLine="360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3600" w:firstLine="432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4320" w:firstLine="504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040" w:firstLine="576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5760" w:firstLine="6480"/>
      </w:pPr>
      <w:rPr>
        <w:rFonts w:ascii="Arial" w:eastAsia="Times New Roman" w:hAnsi="Arial"/>
      </w:rPr>
    </w:lvl>
  </w:abstractNum>
  <w:abstractNum w:abstractNumId="23" w15:restartNumberingAfterBreak="0">
    <w:nsid w:val="60707549"/>
    <w:multiLevelType w:val="hybridMultilevel"/>
    <w:tmpl w:val="A2B81F18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1F128D0"/>
    <w:multiLevelType w:val="hybridMultilevel"/>
    <w:tmpl w:val="EF64591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42F1E3D"/>
    <w:multiLevelType w:val="hybridMultilevel"/>
    <w:tmpl w:val="B524D726"/>
    <w:lvl w:ilvl="0" w:tplc="E910B6FE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945D70"/>
    <w:multiLevelType w:val="hybridMultilevel"/>
    <w:tmpl w:val="A3768306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6B724FAA"/>
    <w:multiLevelType w:val="hybridMultilevel"/>
    <w:tmpl w:val="07BC17CC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D5D6A8F"/>
    <w:multiLevelType w:val="hybridMultilevel"/>
    <w:tmpl w:val="8596716C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73347220"/>
    <w:multiLevelType w:val="multilevel"/>
    <w:tmpl w:val="1350592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0" w15:restartNumberingAfterBreak="0">
    <w:nsid w:val="7B826F9A"/>
    <w:multiLevelType w:val="hybridMultilevel"/>
    <w:tmpl w:val="48126A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44989514">
    <w:abstractNumId w:val="0"/>
  </w:num>
  <w:num w:numId="2" w16cid:durableId="2136094584">
    <w:abstractNumId w:val="0"/>
  </w:num>
  <w:num w:numId="3" w16cid:durableId="1447196762">
    <w:abstractNumId w:val="0"/>
  </w:num>
  <w:num w:numId="4" w16cid:durableId="527303704">
    <w:abstractNumId w:val="22"/>
  </w:num>
  <w:num w:numId="5" w16cid:durableId="614217457">
    <w:abstractNumId w:val="29"/>
  </w:num>
  <w:num w:numId="6" w16cid:durableId="1686707312">
    <w:abstractNumId w:val="18"/>
  </w:num>
  <w:num w:numId="7" w16cid:durableId="1240170267">
    <w:abstractNumId w:val="8"/>
  </w:num>
  <w:num w:numId="8" w16cid:durableId="1204749878">
    <w:abstractNumId w:val="19"/>
  </w:num>
  <w:num w:numId="9" w16cid:durableId="331224046">
    <w:abstractNumId w:val="2"/>
  </w:num>
  <w:num w:numId="10" w16cid:durableId="1925868833">
    <w:abstractNumId w:val="10"/>
  </w:num>
  <w:num w:numId="11" w16cid:durableId="893811902">
    <w:abstractNumId w:val="27"/>
  </w:num>
  <w:num w:numId="12" w16cid:durableId="1876455585">
    <w:abstractNumId w:val="30"/>
  </w:num>
  <w:num w:numId="13" w16cid:durableId="867135980">
    <w:abstractNumId w:val="26"/>
  </w:num>
  <w:num w:numId="14" w16cid:durableId="1941720013">
    <w:abstractNumId w:val="21"/>
  </w:num>
  <w:num w:numId="15" w16cid:durableId="1102265969">
    <w:abstractNumId w:val="28"/>
  </w:num>
  <w:num w:numId="16" w16cid:durableId="1772897079">
    <w:abstractNumId w:val="23"/>
  </w:num>
  <w:num w:numId="17" w16cid:durableId="1390030589">
    <w:abstractNumId w:val="0"/>
  </w:num>
  <w:num w:numId="18" w16cid:durableId="1784957058">
    <w:abstractNumId w:val="4"/>
  </w:num>
  <w:num w:numId="19" w16cid:durableId="1174219781">
    <w:abstractNumId w:val="13"/>
  </w:num>
  <w:num w:numId="20" w16cid:durableId="142166372">
    <w:abstractNumId w:val="20"/>
  </w:num>
  <w:num w:numId="21" w16cid:durableId="1562910419">
    <w:abstractNumId w:val="6"/>
  </w:num>
  <w:num w:numId="22" w16cid:durableId="1157963485">
    <w:abstractNumId w:val="15"/>
  </w:num>
  <w:num w:numId="23" w16cid:durableId="1401639988">
    <w:abstractNumId w:val="7"/>
  </w:num>
  <w:num w:numId="24" w16cid:durableId="182477339">
    <w:abstractNumId w:val="1"/>
  </w:num>
  <w:num w:numId="25" w16cid:durableId="334965646">
    <w:abstractNumId w:val="17"/>
  </w:num>
  <w:num w:numId="26" w16cid:durableId="1232038221">
    <w:abstractNumId w:val="14"/>
  </w:num>
  <w:num w:numId="27" w16cid:durableId="435565539">
    <w:abstractNumId w:val="3"/>
  </w:num>
  <w:num w:numId="28" w16cid:durableId="1800758831">
    <w:abstractNumId w:val="9"/>
  </w:num>
  <w:num w:numId="29" w16cid:durableId="1641035106">
    <w:abstractNumId w:val="25"/>
  </w:num>
  <w:num w:numId="30" w16cid:durableId="1186361569">
    <w:abstractNumId w:val="5"/>
  </w:num>
  <w:num w:numId="31" w16cid:durableId="27146435">
    <w:abstractNumId w:val="16"/>
  </w:num>
  <w:num w:numId="32" w16cid:durableId="1616719141">
    <w:abstractNumId w:val="12"/>
  </w:num>
  <w:num w:numId="33" w16cid:durableId="25763482">
    <w:abstractNumId w:val="24"/>
  </w:num>
  <w:num w:numId="34" w16cid:durableId="257909054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2D1"/>
    <w:rsid w:val="00000A0D"/>
    <w:rsid w:val="00004668"/>
    <w:rsid w:val="00011A75"/>
    <w:rsid w:val="00013082"/>
    <w:rsid w:val="00032D60"/>
    <w:rsid w:val="0003588D"/>
    <w:rsid w:val="00042FDA"/>
    <w:rsid w:val="0004634E"/>
    <w:rsid w:val="0004660B"/>
    <w:rsid w:val="00047942"/>
    <w:rsid w:val="00051569"/>
    <w:rsid w:val="0005619E"/>
    <w:rsid w:val="00065679"/>
    <w:rsid w:val="00080DB1"/>
    <w:rsid w:val="000837F8"/>
    <w:rsid w:val="00092C38"/>
    <w:rsid w:val="000A1443"/>
    <w:rsid w:val="000A4A98"/>
    <w:rsid w:val="000B031F"/>
    <w:rsid w:val="000B2C99"/>
    <w:rsid w:val="000B3206"/>
    <w:rsid w:val="000B5B1F"/>
    <w:rsid w:val="000C3690"/>
    <w:rsid w:val="000C6BDD"/>
    <w:rsid w:val="000D7F45"/>
    <w:rsid w:val="000E170C"/>
    <w:rsid w:val="000E5090"/>
    <w:rsid w:val="000E7DD6"/>
    <w:rsid w:val="000F5D57"/>
    <w:rsid w:val="00106EEF"/>
    <w:rsid w:val="001214ED"/>
    <w:rsid w:val="001225FB"/>
    <w:rsid w:val="00127849"/>
    <w:rsid w:val="00133E63"/>
    <w:rsid w:val="00151DBC"/>
    <w:rsid w:val="001542C8"/>
    <w:rsid w:val="00180BD0"/>
    <w:rsid w:val="00185B17"/>
    <w:rsid w:val="00195204"/>
    <w:rsid w:val="001A2F6B"/>
    <w:rsid w:val="001A3AA7"/>
    <w:rsid w:val="001A4863"/>
    <w:rsid w:val="001B72F9"/>
    <w:rsid w:val="001C0955"/>
    <w:rsid w:val="001C5AA2"/>
    <w:rsid w:val="001D04E8"/>
    <w:rsid w:val="001D5F85"/>
    <w:rsid w:val="001E2E3B"/>
    <w:rsid w:val="00204DCD"/>
    <w:rsid w:val="00206C2B"/>
    <w:rsid w:val="00217C5E"/>
    <w:rsid w:val="002335D9"/>
    <w:rsid w:val="00242217"/>
    <w:rsid w:val="0024268F"/>
    <w:rsid w:val="00242CAF"/>
    <w:rsid w:val="00246109"/>
    <w:rsid w:val="002533F7"/>
    <w:rsid w:val="00262678"/>
    <w:rsid w:val="00263BB6"/>
    <w:rsid w:val="00280F67"/>
    <w:rsid w:val="00286121"/>
    <w:rsid w:val="002924C5"/>
    <w:rsid w:val="002A06CC"/>
    <w:rsid w:val="002A2906"/>
    <w:rsid w:val="002A3E6F"/>
    <w:rsid w:val="002C4372"/>
    <w:rsid w:val="002C696F"/>
    <w:rsid w:val="002D2EC5"/>
    <w:rsid w:val="002F2C35"/>
    <w:rsid w:val="00301533"/>
    <w:rsid w:val="00302EAA"/>
    <w:rsid w:val="003042DC"/>
    <w:rsid w:val="00323845"/>
    <w:rsid w:val="003277C7"/>
    <w:rsid w:val="003336D5"/>
    <w:rsid w:val="00340E5B"/>
    <w:rsid w:val="00343B08"/>
    <w:rsid w:val="00347DED"/>
    <w:rsid w:val="003524A7"/>
    <w:rsid w:val="00354FA2"/>
    <w:rsid w:val="003579BD"/>
    <w:rsid w:val="00377C26"/>
    <w:rsid w:val="00393AC6"/>
    <w:rsid w:val="003A607F"/>
    <w:rsid w:val="003A6237"/>
    <w:rsid w:val="003B4238"/>
    <w:rsid w:val="003E3F16"/>
    <w:rsid w:val="003E42EE"/>
    <w:rsid w:val="003E767E"/>
    <w:rsid w:val="003F0F06"/>
    <w:rsid w:val="003F37F9"/>
    <w:rsid w:val="003F415B"/>
    <w:rsid w:val="00406343"/>
    <w:rsid w:val="00424B22"/>
    <w:rsid w:val="0042685A"/>
    <w:rsid w:val="00443652"/>
    <w:rsid w:val="00443F5A"/>
    <w:rsid w:val="00456662"/>
    <w:rsid w:val="00456E64"/>
    <w:rsid w:val="004678D2"/>
    <w:rsid w:val="0048086B"/>
    <w:rsid w:val="00486D78"/>
    <w:rsid w:val="00497279"/>
    <w:rsid w:val="00497896"/>
    <w:rsid w:val="004A6014"/>
    <w:rsid w:val="004A74E2"/>
    <w:rsid w:val="004C5AB7"/>
    <w:rsid w:val="004D1E70"/>
    <w:rsid w:val="004D5403"/>
    <w:rsid w:val="004E0385"/>
    <w:rsid w:val="004F322F"/>
    <w:rsid w:val="00507B77"/>
    <w:rsid w:val="00511317"/>
    <w:rsid w:val="0051293D"/>
    <w:rsid w:val="005132C0"/>
    <w:rsid w:val="00530115"/>
    <w:rsid w:val="00553BCC"/>
    <w:rsid w:val="00557C7D"/>
    <w:rsid w:val="00560E5D"/>
    <w:rsid w:val="005628CA"/>
    <w:rsid w:val="00564EB0"/>
    <w:rsid w:val="0056548F"/>
    <w:rsid w:val="005757B3"/>
    <w:rsid w:val="005902D7"/>
    <w:rsid w:val="00594465"/>
    <w:rsid w:val="00597B75"/>
    <w:rsid w:val="005A3AC2"/>
    <w:rsid w:val="005A60CD"/>
    <w:rsid w:val="005C6480"/>
    <w:rsid w:val="005D5EA3"/>
    <w:rsid w:val="005D73BC"/>
    <w:rsid w:val="005F31B0"/>
    <w:rsid w:val="005F4630"/>
    <w:rsid w:val="006038BA"/>
    <w:rsid w:val="00604B4E"/>
    <w:rsid w:val="00610972"/>
    <w:rsid w:val="006148D3"/>
    <w:rsid w:val="00614ED2"/>
    <w:rsid w:val="00615EBF"/>
    <w:rsid w:val="00616E5B"/>
    <w:rsid w:val="00633353"/>
    <w:rsid w:val="00634303"/>
    <w:rsid w:val="00647EB4"/>
    <w:rsid w:val="00662B26"/>
    <w:rsid w:val="00672DC0"/>
    <w:rsid w:val="00675B05"/>
    <w:rsid w:val="00692109"/>
    <w:rsid w:val="006A1975"/>
    <w:rsid w:val="006B2F84"/>
    <w:rsid w:val="006B3F88"/>
    <w:rsid w:val="006B5918"/>
    <w:rsid w:val="006C5A21"/>
    <w:rsid w:val="006F4F50"/>
    <w:rsid w:val="006F5509"/>
    <w:rsid w:val="006F6418"/>
    <w:rsid w:val="006F6BA1"/>
    <w:rsid w:val="007018F9"/>
    <w:rsid w:val="00712819"/>
    <w:rsid w:val="00713CCD"/>
    <w:rsid w:val="00722B08"/>
    <w:rsid w:val="007311E7"/>
    <w:rsid w:val="007569A6"/>
    <w:rsid w:val="00772439"/>
    <w:rsid w:val="0077321A"/>
    <w:rsid w:val="00774730"/>
    <w:rsid w:val="007771D6"/>
    <w:rsid w:val="00777815"/>
    <w:rsid w:val="0078696D"/>
    <w:rsid w:val="00793CB6"/>
    <w:rsid w:val="00795BC5"/>
    <w:rsid w:val="007A1B62"/>
    <w:rsid w:val="007A30C5"/>
    <w:rsid w:val="007B0906"/>
    <w:rsid w:val="007B12D1"/>
    <w:rsid w:val="007C743E"/>
    <w:rsid w:val="007C7C43"/>
    <w:rsid w:val="007D0AA5"/>
    <w:rsid w:val="007E2D16"/>
    <w:rsid w:val="007E46F2"/>
    <w:rsid w:val="007E7BDF"/>
    <w:rsid w:val="007F36C4"/>
    <w:rsid w:val="008019E2"/>
    <w:rsid w:val="0080331D"/>
    <w:rsid w:val="008035BF"/>
    <w:rsid w:val="0081019E"/>
    <w:rsid w:val="00813FA3"/>
    <w:rsid w:val="00816914"/>
    <w:rsid w:val="008227CD"/>
    <w:rsid w:val="0082720E"/>
    <w:rsid w:val="00831900"/>
    <w:rsid w:val="00842F49"/>
    <w:rsid w:val="0085306B"/>
    <w:rsid w:val="00855269"/>
    <w:rsid w:val="008615BC"/>
    <w:rsid w:val="00864F80"/>
    <w:rsid w:val="008678C1"/>
    <w:rsid w:val="008679F4"/>
    <w:rsid w:val="0087221F"/>
    <w:rsid w:val="00872A9B"/>
    <w:rsid w:val="0087351F"/>
    <w:rsid w:val="008764EF"/>
    <w:rsid w:val="00887A5B"/>
    <w:rsid w:val="00892EF7"/>
    <w:rsid w:val="008B1177"/>
    <w:rsid w:val="008C2A70"/>
    <w:rsid w:val="008C650F"/>
    <w:rsid w:val="008F0064"/>
    <w:rsid w:val="008F0AD9"/>
    <w:rsid w:val="008F6470"/>
    <w:rsid w:val="00932037"/>
    <w:rsid w:val="009375F2"/>
    <w:rsid w:val="009502F1"/>
    <w:rsid w:val="00974C8F"/>
    <w:rsid w:val="00977452"/>
    <w:rsid w:val="009844AF"/>
    <w:rsid w:val="00987472"/>
    <w:rsid w:val="00987C7B"/>
    <w:rsid w:val="009A765D"/>
    <w:rsid w:val="009B3181"/>
    <w:rsid w:val="009B7992"/>
    <w:rsid w:val="009E5C0D"/>
    <w:rsid w:val="009F1455"/>
    <w:rsid w:val="009F4A29"/>
    <w:rsid w:val="00A01651"/>
    <w:rsid w:val="00A060E2"/>
    <w:rsid w:val="00A12C9F"/>
    <w:rsid w:val="00A14473"/>
    <w:rsid w:val="00A26AFD"/>
    <w:rsid w:val="00A27D86"/>
    <w:rsid w:val="00A31513"/>
    <w:rsid w:val="00A31B42"/>
    <w:rsid w:val="00A321C4"/>
    <w:rsid w:val="00A33BCE"/>
    <w:rsid w:val="00A5169B"/>
    <w:rsid w:val="00A7345D"/>
    <w:rsid w:val="00A82C91"/>
    <w:rsid w:val="00A90040"/>
    <w:rsid w:val="00A91E3F"/>
    <w:rsid w:val="00A92B50"/>
    <w:rsid w:val="00A9597D"/>
    <w:rsid w:val="00AA58B1"/>
    <w:rsid w:val="00AA6755"/>
    <w:rsid w:val="00AB3A55"/>
    <w:rsid w:val="00AB4037"/>
    <w:rsid w:val="00AC22C4"/>
    <w:rsid w:val="00AC68A1"/>
    <w:rsid w:val="00AC7AED"/>
    <w:rsid w:val="00AD25B0"/>
    <w:rsid w:val="00AE5915"/>
    <w:rsid w:val="00AE5D15"/>
    <w:rsid w:val="00AE7817"/>
    <w:rsid w:val="00AF0B91"/>
    <w:rsid w:val="00B1723F"/>
    <w:rsid w:val="00B25A09"/>
    <w:rsid w:val="00B268E2"/>
    <w:rsid w:val="00B27D77"/>
    <w:rsid w:val="00B3256A"/>
    <w:rsid w:val="00B35C48"/>
    <w:rsid w:val="00B4417E"/>
    <w:rsid w:val="00B55E52"/>
    <w:rsid w:val="00B66166"/>
    <w:rsid w:val="00B77599"/>
    <w:rsid w:val="00B95ED8"/>
    <w:rsid w:val="00B967AF"/>
    <w:rsid w:val="00B97CB2"/>
    <w:rsid w:val="00BA1A78"/>
    <w:rsid w:val="00BA1BB2"/>
    <w:rsid w:val="00BA4BA6"/>
    <w:rsid w:val="00BA6D1B"/>
    <w:rsid w:val="00BA7FA5"/>
    <w:rsid w:val="00BC35EC"/>
    <w:rsid w:val="00BC5252"/>
    <w:rsid w:val="00BD1F8E"/>
    <w:rsid w:val="00BD20A5"/>
    <w:rsid w:val="00BD4326"/>
    <w:rsid w:val="00BD51DA"/>
    <w:rsid w:val="00BD67B2"/>
    <w:rsid w:val="00BF0915"/>
    <w:rsid w:val="00C041CA"/>
    <w:rsid w:val="00C118E8"/>
    <w:rsid w:val="00C25F4F"/>
    <w:rsid w:val="00C35A44"/>
    <w:rsid w:val="00C402C1"/>
    <w:rsid w:val="00C444C0"/>
    <w:rsid w:val="00C47DBB"/>
    <w:rsid w:val="00C5345A"/>
    <w:rsid w:val="00C540ED"/>
    <w:rsid w:val="00C55559"/>
    <w:rsid w:val="00C565A5"/>
    <w:rsid w:val="00C61155"/>
    <w:rsid w:val="00C63D01"/>
    <w:rsid w:val="00C760E8"/>
    <w:rsid w:val="00C774F4"/>
    <w:rsid w:val="00C777F0"/>
    <w:rsid w:val="00C87B07"/>
    <w:rsid w:val="00CA1B78"/>
    <w:rsid w:val="00CA36A2"/>
    <w:rsid w:val="00CA3B99"/>
    <w:rsid w:val="00CA5979"/>
    <w:rsid w:val="00CA73C8"/>
    <w:rsid w:val="00CB40EE"/>
    <w:rsid w:val="00CB74DF"/>
    <w:rsid w:val="00CC35FA"/>
    <w:rsid w:val="00CE17F8"/>
    <w:rsid w:val="00CF13CE"/>
    <w:rsid w:val="00CF73EC"/>
    <w:rsid w:val="00D00BE6"/>
    <w:rsid w:val="00D02816"/>
    <w:rsid w:val="00D1560B"/>
    <w:rsid w:val="00D16D06"/>
    <w:rsid w:val="00D17BB7"/>
    <w:rsid w:val="00D206FA"/>
    <w:rsid w:val="00D30FB8"/>
    <w:rsid w:val="00D31057"/>
    <w:rsid w:val="00D5228E"/>
    <w:rsid w:val="00D54031"/>
    <w:rsid w:val="00D649E4"/>
    <w:rsid w:val="00D719D8"/>
    <w:rsid w:val="00D74E18"/>
    <w:rsid w:val="00D76873"/>
    <w:rsid w:val="00D85272"/>
    <w:rsid w:val="00DA2E8F"/>
    <w:rsid w:val="00DA50BF"/>
    <w:rsid w:val="00DA6A1D"/>
    <w:rsid w:val="00DB401C"/>
    <w:rsid w:val="00DC2FF4"/>
    <w:rsid w:val="00DC4C6D"/>
    <w:rsid w:val="00DC5D44"/>
    <w:rsid w:val="00DC7155"/>
    <w:rsid w:val="00DD68DD"/>
    <w:rsid w:val="00DE2D55"/>
    <w:rsid w:val="00DE5CC0"/>
    <w:rsid w:val="00DF1AED"/>
    <w:rsid w:val="00DF6868"/>
    <w:rsid w:val="00DF7834"/>
    <w:rsid w:val="00E0036C"/>
    <w:rsid w:val="00E01404"/>
    <w:rsid w:val="00E1632D"/>
    <w:rsid w:val="00E267F1"/>
    <w:rsid w:val="00E33CE0"/>
    <w:rsid w:val="00E4270C"/>
    <w:rsid w:val="00E56132"/>
    <w:rsid w:val="00E62B91"/>
    <w:rsid w:val="00E67116"/>
    <w:rsid w:val="00E70600"/>
    <w:rsid w:val="00E70D60"/>
    <w:rsid w:val="00E714BB"/>
    <w:rsid w:val="00E743CB"/>
    <w:rsid w:val="00E80254"/>
    <w:rsid w:val="00E8124E"/>
    <w:rsid w:val="00E82132"/>
    <w:rsid w:val="00E85A44"/>
    <w:rsid w:val="00E920EF"/>
    <w:rsid w:val="00EA07EA"/>
    <w:rsid w:val="00EA2DDC"/>
    <w:rsid w:val="00EB0B26"/>
    <w:rsid w:val="00EB10F9"/>
    <w:rsid w:val="00EC3242"/>
    <w:rsid w:val="00EC4ECF"/>
    <w:rsid w:val="00EC622F"/>
    <w:rsid w:val="00EE107B"/>
    <w:rsid w:val="00EF1DFC"/>
    <w:rsid w:val="00EF2983"/>
    <w:rsid w:val="00EF54F5"/>
    <w:rsid w:val="00F038FC"/>
    <w:rsid w:val="00F1335B"/>
    <w:rsid w:val="00F15388"/>
    <w:rsid w:val="00F17893"/>
    <w:rsid w:val="00F17C5C"/>
    <w:rsid w:val="00F2702F"/>
    <w:rsid w:val="00F274B5"/>
    <w:rsid w:val="00F36C81"/>
    <w:rsid w:val="00F44D51"/>
    <w:rsid w:val="00F54853"/>
    <w:rsid w:val="00F638A9"/>
    <w:rsid w:val="00F63AA3"/>
    <w:rsid w:val="00F67650"/>
    <w:rsid w:val="00F71477"/>
    <w:rsid w:val="00F7372C"/>
    <w:rsid w:val="00F7625A"/>
    <w:rsid w:val="00F8446D"/>
    <w:rsid w:val="00F8490D"/>
    <w:rsid w:val="00F857F9"/>
    <w:rsid w:val="00F917D6"/>
    <w:rsid w:val="00F93F88"/>
    <w:rsid w:val="00F94DE6"/>
    <w:rsid w:val="00FA1F36"/>
    <w:rsid w:val="00FA3BC9"/>
    <w:rsid w:val="00FB40A9"/>
    <w:rsid w:val="00FB5A9F"/>
    <w:rsid w:val="00FB6101"/>
    <w:rsid w:val="00FC3DD7"/>
    <w:rsid w:val="00FC67EF"/>
    <w:rsid w:val="00FC6F7C"/>
    <w:rsid w:val="00FE186C"/>
    <w:rsid w:val="00FE2687"/>
    <w:rsid w:val="00FE2D20"/>
    <w:rsid w:val="00FE74B6"/>
    <w:rsid w:val="00FE7E39"/>
    <w:rsid w:val="0285ABF6"/>
    <w:rsid w:val="062ADB4A"/>
    <w:rsid w:val="08579BA2"/>
    <w:rsid w:val="09B6BD05"/>
    <w:rsid w:val="106620D5"/>
    <w:rsid w:val="1471840A"/>
    <w:rsid w:val="17AC7A52"/>
    <w:rsid w:val="1EE5B4CC"/>
    <w:rsid w:val="225C6083"/>
    <w:rsid w:val="23B4EA7C"/>
    <w:rsid w:val="3047210A"/>
    <w:rsid w:val="36194061"/>
    <w:rsid w:val="4121EA0E"/>
    <w:rsid w:val="52E45691"/>
    <w:rsid w:val="57D0FD51"/>
    <w:rsid w:val="5D9FF767"/>
    <w:rsid w:val="68AC28A6"/>
    <w:rsid w:val="695AF154"/>
    <w:rsid w:val="69FA0F42"/>
    <w:rsid w:val="764C8DAF"/>
    <w:rsid w:val="7B23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C74A81A"/>
  <w15:docId w15:val="{33ECBE7D-393E-4B64-BF27-0425F0B7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nhideWhenUsed="1" w:qFormat="1"/>
    <w:lsdException w:name="heading 4" w:locked="1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EF7"/>
    <w:pPr>
      <w:spacing w:after="200" w:line="276" w:lineRule="auto"/>
    </w:pPr>
    <w:rPr>
      <w:color w:val="000000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4465"/>
    <w:pPr>
      <w:keepNext/>
      <w:keepLines/>
      <w:numPr>
        <w:numId w:val="28"/>
      </w:numPr>
      <w:spacing w:before="120" w:after="120" w:line="240" w:lineRule="auto"/>
      <w:jc w:val="center"/>
      <w:outlineLvl w:val="0"/>
    </w:pPr>
    <w:rPr>
      <w:b/>
      <w:sz w:val="36"/>
      <w:szCs w:val="24"/>
    </w:rPr>
  </w:style>
  <w:style w:type="paragraph" w:styleId="Heading2">
    <w:name w:val="heading 2"/>
    <w:basedOn w:val="ListNumber"/>
    <w:next w:val="Normal"/>
    <w:link w:val="Heading2Char"/>
    <w:uiPriority w:val="99"/>
    <w:qFormat/>
    <w:rsid w:val="00594465"/>
    <w:pPr>
      <w:keepNext/>
      <w:keepLines/>
      <w:numPr>
        <w:ilvl w:val="1"/>
        <w:numId w:val="28"/>
      </w:numPr>
      <w:spacing w:before="360" w:after="80"/>
      <w:outlineLvl w:val="1"/>
    </w:pPr>
    <w:rPr>
      <w:b/>
      <w:sz w:val="24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0915"/>
    <w:pPr>
      <w:keepNext/>
      <w:keepLines/>
      <w:numPr>
        <w:ilvl w:val="2"/>
        <w:numId w:val="28"/>
      </w:numPr>
      <w:spacing w:before="120" w:after="80"/>
      <w:contextualSpacing/>
      <w:outlineLvl w:val="2"/>
    </w:pPr>
    <w:rPr>
      <w:b/>
      <w:i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20EF"/>
    <w:pPr>
      <w:keepNext/>
      <w:keepLines/>
      <w:numPr>
        <w:ilvl w:val="3"/>
        <w:numId w:val="28"/>
      </w:numPr>
      <w:spacing w:before="240" w:after="40"/>
      <w:contextualSpacing/>
      <w:outlineLvl w:val="3"/>
    </w:pPr>
    <w:rPr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92EF7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892EF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60E2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US" w:eastAsia="zh-TW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60E2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en-US" w:eastAsia="zh-TW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60E2"/>
    <w:rPr>
      <w:rFonts w:asciiTheme="majorHAnsi" w:eastAsiaTheme="majorEastAsia" w:hAnsiTheme="majorHAnsi" w:cstheme="majorBidi"/>
      <w:b/>
      <w:bCs/>
      <w:color w:val="000000"/>
      <w:sz w:val="26"/>
      <w:szCs w:val="26"/>
      <w:lang w:val="en-US" w:eastAsia="zh-TW"/>
    </w:rPr>
  </w:style>
  <w:style w:type="character" w:customStyle="1" w:styleId="Heading4Char">
    <w:name w:val="Heading 4 Char"/>
    <w:basedOn w:val="DefaultParagraphFont"/>
    <w:link w:val="Heading4"/>
    <w:uiPriority w:val="99"/>
    <w:rsid w:val="00E920EF"/>
    <w:rPr>
      <w:i/>
      <w:color w:val="000000"/>
      <w:sz w:val="24"/>
      <w:szCs w:val="24"/>
      <w:lang w:val="en-US" w:eastAsia="zh-TW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60E2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val="en-US" w:eastAsia="zh-TW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0E2"/>
    <w:rPr>
      <w:rFonts w:asciiTheme="minorHAnsi" w:eastAsiaTheme="minorEastAsia" w:hAnsiTheme="minorHAnsi" w:cstheme="minorBidi"/>
      <w:b/>
      <w:bCs/>
      <w:color w:val="000000"/>
      <w:lang w:val="en-US" w:eastAsia="zh-TW"/>
    </w:rPr>
  </w:style>
  <w:style w:type="paragraph" w:styleId="Title">
    <w:name w:val="Title"/>
    <w:basedOn w:val="Normal"/>
    <w:next w:val="Normal"/>
    <w:link w:val="TitleChar"/>
    <w:uiPriority w:val="99"/>
    <w:qFormat/>
    <w:rsid w:val="00892EF7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760E2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val="en-US" w:eastAsia="zh-TW"/>
    </w:rPr>
  </w:style>
  <w:style w:type="paragraph" w:styleId="Subtitle">
    <w:name w:val="Subtitle"/>
    <w:basedOn w:val="Normal"/>
    <w:next w:val="Normal"/>
    <w:link w:val="SubtitleChar"/>
    <w:uiPriority w:val="99"/>
    <w:qFormat/>
    <w:rsid w:val="00892EF7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C760E2"/>
    <w:rPr>
      <w:rFonts w:asciiTheme="majorHAnsi" w:eastAsiaTheme="majorEastAsia" w:hAnsiTheme="majorHAnsi" w:cstheme="majorBidi"/>
      <w:color w:val="000000"/>
      <w:sz w:val="24"/>
      <w:szCs w:val="24"/>
      <w:lang w:val="en-US" w:eastAsia="zh-TW"/>
    </w:rPr>
  </w:style>
  <w:style w:type="table" w:customStyle="1" w:styleId="Style">
    <w:name w:val="Style"/>
    <w:uiPriority w:val="99"/>
    <w:rsid w:val="00892EF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3">
    <w:name w:val="Style13"/>
    <w:uiPriority w:val="99"/>
    <w:rsid w:val="00892EF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2">
    <w:name w:val="Style12"/>
    <w:uiPriority w:val="99"/>
    <w:rsid w:val="00892EF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1">
    <w:name w:val="Style11"/>
    <w:uiPriority w:val="99"/>
    <w:rsid w:val="00892EF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0">
    <w:name w:val="Style10"/>
    <w:uiPriority w:val="99"/>
    <w:rsid w:val="00892EF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9">
    <w:name w:val="Style9"/>
    <w:uiPriority w:val="99"/>
    <w:rsid w:val="00892EF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8">
    <w:name w:val="Style8"/>
    <w:uiPriority w:val="99"/>
    <w:rsid w:val="00892EF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7">
    <w:name w:val="Style7"/>
    <w:uiPriority w:val="99"/>
    <w:rsid w:val="00892EF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6">
    <w:name w:val="Style6"/>
    <w:uiPriority w:val="99"/>
    <w:rsid w:val="00892EF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5">
    <w:name w:val="Style5"/>
    <w:uiPriority w:val="99"/>
    <w:rsid w:val="00892EF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4">
    <w:name w:val="Style4"/>
    <w:uiPriority w:val="99"/>
    <w:rsid w:val="00892EF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3">
    <w:name w:val="Style3"/>
    <w:uiPriority w:val="99"/>
    <w:rsid w:val="00892EF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">
    <w:name w:val="Style2"/>
    <w:uiPriority w:val="99"/>
    <w:rsid w:val="00892EF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">
    <w:name w:val="Style1"/>
    <w:uiPriority w:val="99"/>
    <w:rsid w:val="00892EF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rsid w:val="00C54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540E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54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540ED"/>
    <w:rPr>
      <w:rFonts w:cs="Times New Roman"/>
    </w:rPr>
  </w:style>
  <w:style w:type="paragraph" w:styleId="ListNumber">
    <w:name w:val="List Number"/>
    <w:basedOn w:val="Normal"/>
    <w:uiPriority w:val="99"/>
    <w:rsid w:val="00594465"/>
    <w:pPr>
      <w:tabs>
        <w:tab w:val="num" w:pos="360"/>
      </w:tabs>
      <w:ind w:left="360" w:hanging="360"/>
      <w:contextualSpacing/>
    </w:pPr>
  </w:style>
  <w:style w:type="paragraph" w:styleId="ListParagraph">
    <w:name w:val="List Paragraph"/>
    <w:basedOn w:val="Normal"/>
    <w:uiPriority w:val="99"/>
    <w:qFormat/>
    <w:rsid w:val="00BF09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87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747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92E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92EF7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892EF7"/>
    <w:rPr>
      <w:rFonts w:cs="Times New Roman"/>
      <w:sz w:val="16"/>
      <w:szCs w:val="16"/>
    </w:rPr>
  </w:style>
  <w:style w:type="table" w:customStyle="1" w:styleId="1">
    <w:name w:val="1"/>
    <w:uiPriority w:val="99"/>
    <w:rsid w:val="00932037"/>
    <w:rPr>
      <w:rFonts w:eastAsia="PMingLiU"/>
      <w:sz w:val="20"/>
      <w:szCs w:val="20"/>
      <w:lang w:val="en-CA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character" w:styleId="Emphasis">
    <w:name w:val="Emphasis"/>
    <w:basedOn w:val="DefaultParagraphFont"/>
    <w:uiPriority w:val="99"/>
    <w:qFormat/>
    <w:rsid w:val="00CA36A2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FE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rsid w:val="006B3F88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649E4"/>
    <w:pPr>
      <w:spacing w:line="276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0E2"/>
    <w:rPr>
      <w:rFonts w:cs="Times New Roman"/>
      <w:b/>
      <w:bCs/>
      <w:color w:val="000000"/>
      <w:sz w:val="20"/>
      <w:szCs w:val="20"/>
      <w:lang w:val="en-US" w:eastAsia="zh-TW"/>
    </w:rPr>
  </w:style>
  <w:style w:type="table" w:styleId="TableGrid">
    <w:name w:val="Table Grid"/>
    <w:basedOn w:val="TableNormal"/>
    <w:locked/>
    <w:rsid w:val="00984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OPFormat">
    <w:name w:val="SOP Format"/>
    <w:basedOn w:val="NoList"/>
    <w:uiPriority w:val="99"/>
    <w:rsid w:val="00BA7FA5"/>
    <w:pPr>
      <w:numPr>
        <w:numId w:val="27"/>
      </w:numPr>
    </w:pPr>
  </w:style>
  <w:style w:type="paragraph" w:styleId="BodyText">
    <w:name w:val="Body Text"/>
    <w:basedOn w:val="Normal"/>
    <w:link w:val="BodyTextChar"/>
    <w:uiPriority w:val="1"/>
    <w:qFormat/>
    <w:rsid w:val="007A1B62"/>
    <w:pPr>
      <w:widowControl w:val="0"/>
      <w:spacing w:after="0" w:line="240" w:lineRule="auto"/>
      <w:ind w:left="1060"/>
    </w:pPr>
    <w:rPr>
      <w:rFonts w:cstheme="minorBidi"/>
      <w:color w:val="auto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A1B62"/>
    <w:rPr>
      <w:rFonts w:cstheme="minorBidi"/>
      <w:lang w:val="en-US" w:eastAsia="en-US"/>
    </w:rPr>
  </w:style>
  <w:style w:type="paragraph" w:styleId="Revision">
    <w:name w:val="Revision"/>
    <w:hidden/>
    <w:uiPriority w:val="99"/>
    <w:semiHidden/>
    <w:rsid w:val="004E0385"/>
    <w:rPr>
      <w:color w:val="000000"/>
      <w:lang w:val="en-US" w:eastAsia="zh-TW"/>
    </w:rPr>
  </w:style>
  <w:style w:type="character" w:customStyle="1" w:styleId="normaltextrun">
    <w:name w:val="normaltextrun"/>
    <w:basedOn w:val="DefaultParagraphFont"/>
    <w:rsid w:val="007D0AA5"/>
  </w:style>
  <w:style w:type="character" w:customStyle="1" w:styleId="eop">
    <w:name w:val="eop"/>
    <w:basedOn w:val="DefaultParagraphFont"/>
    <w:rsid w:val="007D0AA5"/>
  </w:style>
  <w:style w:type="paragraph" w:styleId="TOCHeading">
    <w:name w:val="TOC Heading"/>
    <w:basedOn w:val="Heading1"/>
    <w:next w:val="Normal"/>
    <w:uiPriority w:val="39"/>
    <w:unhideWhenUsed/>
    <w:qFormat/>
    <w:rsid w:val="009A765D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9A765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locked/>
    <w:rsid w:val="009A765D"/>
    <w:pPr>
      <w:spacing w:after="100"/>
      <w:ind w:left="220"/>
    </w:pPr>
  </w:style>
  <w:style w:type="character" w:styleId="UnresolvedMention">
    <w:name w:val="Unresolved Mention"/>
    <w:basedOn w:val="DefaultParagraphFont"/>
    <w:uiPriority w:val="99"/>
    <w:semiHidden/>
    <w:unhideWhenUsed/>
    <w:rsid w:val="00FB6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8194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endtb.org/" TargetMode="External"/><Relationship Id="rId1" Type="http://schemas.openxmlformats.org/officeDocument/2006/relationships/hyperlink" Target="https://creativecommons.org/licenses/by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25E7E39776844B9FB9FC2FCA9A30F" ma:contentTypeVersion="19" ma:contentTypeDescription="Create a new document." ma:contentTypeScope="" ma:versionID="c3d9697b685b1542fc7077058b23cb70">
  <xsd:schema xmlns:xsd="http://www.w3.org/2001/XMLSchema" xmlns:xs="http://www.w3.org/2001/XMLSchema" xmlns:p="http://schemas.microsoft.com/office/2006/metadata/properties" xmlns:ns2="57d60e0b-bbcc-4e8c-ae17-1bc07bf7b2a6" xmlns:ns3="d1dc8e9d-c2d7-4f1e-a8b8-6d152e0fdc8f" xmlns:ns4="20c1abfa-485b-41c9-a329-38772ca1fd48" targetNamespace="http://schemas.microsoft.com/office/2006/metadata/properties" ma:root="true" ma:fieldsID="0cdfa4d4f9bf0be9626f23f3ee2b05c3" ns2:_="" ns3:_="" ns4:_="">
    <xsd:import namespace="57d60e0b-bbcc-4e8c-ae17-1bc07bf7b2a6"/>
    <xsd:import namespace="d1dc8e9d-c2d7-4f1e-a8b8-6d152e0fdc8f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60e0b-bbcc-4e8c-ae17-1bc07bf7b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c8e9d-c2d7-4f1e-a8b8-6d152e0fdc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2bb253d-ea17-4998-bf17-f6f2967cd738}" ma:internalName="TaxCatchAll" ma:showField="CatchAllData" ma:web="d1dc8e9d-c2d7-4f1e-a8b8-6d152e0fd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c1abfa-485b-41c9-a329-38772ca1fd48" xsi:nil="true"/>
    <lcf76f155ced4ddcb4097134ff3c332f xmlns="57d60e0b-bbcc-4e8c-ae17-1bc07bf7b2a6">
      <Terms xmlns="http://schemas.microsoft.com/office/infopath/2007/PartnerControls"/>
    </lcf76f155ced4ddcb4097134ff3c332f>
    <_Flow_SignoffStatus xmlns="57d60e0b-bbcc-4e8c-ae17-1bc07bf7b2a6" xsi:nil="true"/>
    <SharedWithUsers xmlns="d1dc8e9d-c2d7-4f1e-a8b8-6d152e0fdc8f">
      <UserInfo>
        <DisplayName/>
        <AccountId xsi:nil="true"/>
        <AccountType/>
      </UserInfo>
    </SharedWithUsers>
    <MediaLengthInSeconds xmlns="57d60e0b-bbcc-4e8c-ae17-1bc07bf7b2a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FA436-4FA4-4CF0-8032-7C91CAA88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60e0b-bbcc-4e8c-ae17-1bc07bf7b2a6"/>
    <ds:schemaRef ds:uri="d1dc8e9d-c2d7-4f1e-a8b8-6d152e0fdc8f"/>
    <ds:schemaRef ds:uri="20c1abfa-485b-41c9-a329-38772ca1f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BF6F86-F7E2-4F35-9620-CEEE8950CA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F655F-653C-4FEC-A9FB-452431D8E802}">
  <ds:schemaRefs>
    <ds:schemaRef ds:uri="20c1abfa-485b-41c9-a329-38772ca1fd48"/>
    <ds:schemaRef ds:uri="http://purl.org/dc/dcmitype/"/>
    <ds:schemaRef ds:uri="http://schemas.microsoft.com/office/infopath/2007/PartnerControls"/>
    <ds:schemaRef ds:uri="http://schemas.microsoft.com/office/2006/documentManagement/types"/>
    <ds:schemaRef ds:uri="57d60e0b-bbcc-4e8c-ae17-1bc07bf7b2a6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d1dc8e9d-c2d7-4f1e-a8b8-6d152e0fdc8f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58D3B0B-F5D8-4CED-9D62-85BFBAAA4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1142</Words>
  <Characters>6513</Characters>
  <Application>Microsoft Office Word</Application>
  <DocSecurity>0</DocSecurity>
  <Lines>54</Lines>
  <Paragraphs>15</Paragraphs>
  <ScaleCrop>false</ScaleCrop>
  <Company>Microsoft</Company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Procedures for</dc:title>
  <dc:creator>Chang, Eva</dc:creator>
  <cp:lastModifiedBy>Marhaba Chaudhry</cp:lastModifiedBy>
  <cp:revision>30</cp:revision>
  <cp:lastPrinted>2019-04-24T13:40:00Z</cp:lastPrinted>
  <dcterms:created xsi:type="dcterms:W3CDTF">2020-06-14T14:26:00Z</dcterms:created>
  <dcterms:modified xsi:type="dcterms:W3CDTF">2024-10-31T13:57:00Z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0x0101008A725E7E39776844B9FB9FC2FCA9A30F</vt:lpwstr>
  </property>
  <property fmtid="{D5CDD505-2E9C-101B-9397-08002B2CF9AE}" pid="3" name="endTBStructureCentral">
    <vt:lpwstr>8;#N/A|603d074b-cb2d-4568-af2a-4cd630184ab0</vt:lpwstr>
  </property>
  <property fmtid="{D5CDD505-2E9C-101B-9397-08002B2CF9AE}" pid="4" name="endTBStructureCountries">
    <vt:lpwstr>6;#N/A|7a4f8743-7bab-4f6a-8a0d-b24596741886</vt:lpwstr>
  </property>
  <property fmtid="{D5CDD505-2E9C-101B-9397-08002B2CF9AE}" pid="5" name="AuthorIds_UIVersion_1536">
    <vt:lpwstr>17</vt:lpwstr>
  </property>
  <property fmtid="{D5CDD505-2E9C-101B-9397-08002B2CF9AE}" pid="6" name="AuthorIds_UIVersion_2048">
    <vt:lpwstr>17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SharedWithUsers">
    <vt:lpwstr/>
  </property>
  <property fmtid="{D5CDD505-2E9C-101B-9397-08002B2CF9AE}" pid="12" name="Order">
    <vt:r8>714600</vt:r8>
  </property>
  <property fmtid="{D5CDD505-2E9C-101B-9397-08002B2CF9AE}" pid="13" name="endTBClinicalTrial">
    <vt:lpwstr>endTB</vt:lpwstr>
  </property>
  <property fmtid="{D5CDD505-2E9C-101B-9397-08002B2CF9AE}" pid="14" name="endTBCountry">
    <vt:lpwstr>Central team</vt:lpwstr>
  </property>
  <property fmtid="{D5CDD505-2E9C-101B-9397-08002B2CF9AE}" pid="15" name="endTBStatusDocument">
    <vt:lpwstr>Final</vt:lpwstr>
  </property>
  <property fmtid="{D5CDD505-2E9C-101B-9397-08002B2CF9AE}" pid="16" name="_ExtendedDescription">
    <vt:lpwstr/>
  </property>
  <property fmtid="{D5CDD505-2E9C-101B-9397-08002B2CF9AE}" pid="17" name="b133059517bd4b6ba2826fe941cfd2cb">
    <vt:lpwstr>N/A|7a4f8743-7bab-4f6a-8a0d-b24596741886</vt:lpwstr>
  </property>
  <property fmtid="{D5CDD505-2E9C-101B-9397-08002B2CF9AE}" pid="18" name="ie6fc752e8314f23b9add3aacdf734e2">
    <vt:lpwstr>N/A|603d074b-cb2d-4568-af2a-4cd630184ab0</vt:lpwstr>
  </property>
  <property fmtid="{D5CDD505-2E9C-101B-9397-08002B2CF9AE}" pid="19" name="TriggerFlowInfo">
    <vt:lpwstr/>
  </property>
  <property fmtid="{D5CDD505-2E9C-101B-9397-08002B2CF9AE}" pid="20" name="MediaServiceImageTags">
    <vt:lpwstr/>
  </property>
</Properties>
</file>