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65F9" w14:textId="6521A455" w:rsidR="00034864" w:rsidRPr="004B7D47" w:rsidRDefault="00034864" w:rsidP="004B7D47">
      <w:pPr>
        <w:pStyle w:val="Heading1"/>
        <w:numPr>
          <w:ilvl w:val="0"/>
          <w:numId w:val="0"/>
        </w:numPr>
        <w:ind w:left="360"/>
      </w:pPr>
      <w:bookmarkStart w:id="0" w:name="_Toc180755767"/>
      <w:r w:rsidRPr="004E294D">
        <w:t>Standard Operating Procedures for</w:t>
      </w:r>
      <w:r w:rsidR="00A62A7B">
        <w:t>:</w:t>
      </w:r>
      <w:r w:rsidR="004B7D47">
        <w:t xml:space="preserve">                                  Safety data collection and reporting at trial sites</w:t>
      </w:r>
      <w:bookmarkEnd w:id="0"/>
    </w:p>
    <w:p w14:paraId="4C4CBF46" w14:textId="77777777" w:rsidR="005E177E" w:rsidRDefault="005E177E" w:rsidP="0002305E">
      <w:pPr>
        <w:spacing w:after="0"/>
        <w:jc w:val="center"/>
        <w:rPr>
          <w:b/>
          <w:sz w:val="32"/>
          <w:szCs w:val="32"/>
        </w:rPr>
      </w:pP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088"/>
        <w:gridCol w:w="3258"/>
      </w:tblGrid>
      <w:tr w:rsidR="005B188E" w:rsidRPr="000C42F3" w14:paraId="63C5FEF1" w14:textId="77777777" w:rsidTr="00296DCB">
        <w:tc>
          <w:tcPr>
            <w:tcW w:w="6088" w:type="dxa"/>
            <w:shd w:val="clear" w:color="auto" w:fill="F2F2F2"/>
          </w:tcPr>
          <w:p w14:paraId="1C1B4BC3" w14:textId="706A5C09" w:rsidR="005B188E" w:rsidRPr="000C42F3" w:rsidRDefault="005B188E" w:rsidP="005B188E">
            <w:pPr>
              <w:spacing w:before="0" w:after="0"/>
            </w:pPr>
            <w:r w:rsidRPr="000C42F3">
              <w:rPr>
                <w:b/>
                <w:sz w:val="24"/>
                <w:szCs w:val="24"/>
              </w:rPr>
              <w:t>SOP Number</w:t>
            </w:r>
            <w:r w:rsidRPr="000C42F3">
              <w:rPr>
                <w:sz w:val="24"/>
                <w:szCs w:val="24"/>
              </w:rPr>
              <w:t>: PV-001</w:t>
            </w:r>
            <w:r w:rsidR="0074701E" w:rsidRPr="000C42F3">
              <w:rPr>
                <w:sz w:val="24"/>
                <w:szCs w:val="24"/>
              </w:rPr>
              <w:t>-CT</w:t>
            </w:r>
          </w:p>
        </w:tc>
        <w:tc>
          <w:tcPr>
            <w:tcW w:w="3258" w:type="dxa"/>
            <w:shd w:val="clear" w:color="auto" w:fill="F2F2F2"/>
          </w:tcPr>
          <w:p w14:paraId="5E364A1C" w14:textId="53B11A59" w:rsidR="005B188E" w:rsidRPr="000C42F3" w:rsidRDefault="005B188E" w:rsidP="00CA3067">
            <w:pPr>
              <w:spacing w:before="0" w:after="0"/>
            </w:pPr>
            <w:r w:rsidRPr="000C42F3">
              <w:rPr>
                <w:b/>
                <w:sz w:val="24"/>
                <w:szCs w:val="24"/>
              </w:rPr>
              <w:t>Effective Date</w:t>
            </w:r>
            <w:r w:rsidR="00171CA9" w:rsidRPr="000C42F3">
              <w:rPr>
                <w:sz w:val="24"/>
                <w:szCs w:val="24"/>
              </w:rPr>
              <w:t xml:space="preserve">: </w:t>
            </w:r>
            <w:r w:rsidR="00D12300" w:rsidRPr="000C42F3">
              <w:rPr>
                <w:sz w:val="24"/>
                <w:szCs w:val="24"/>
              </w:rPr>
              <w:t>1-Jun-2020</w:t>
            </w:r>
          </w:p>
        </w:tc>
      </w:tr>
      <w:tr w:rsidR="005B188E" w14:paraId="4A5B1F85" w14:textId="77777777" w:rsidTr="00296DCB">
        <w:tc>
          <w:tcPr>
            <w:tcW w:w="9346" w:type="dxa"/>
            <w:gridSpan w:val="2"/>
            <w:shd w:val="clear" w:color="auto" w:fill="F2F2F2"/>
          </w:tcPr>
          <w:p w14:paraId="3DD25D89" w14:textId="27033207" w:rsidR="005B188E" w:rsidRDefault="005B188E" w:rsidP="00040BB6">
            <w:pPr>
              <w:spacing w:before="0" w:after="0"/>
            </w:pPr>
            <w:r w:rsidRPr="000C42F3">
              <w:rPr>
                <w:b/>
                <w:sz w:val="24"/>
                <w:szCs w:val="24"/>
              </w:rPr>
              <w:t>Version Number and Date</w:t>
            </w:r>
            <w:r w:rsidRPr="000C42F3">
              <w:rPr>
                <w:sz w:val="24"/>
                <w:szCs w:val="24"/>
              </w:rPr>
              <w:t xml:space="preserve">: </w:t>
            </w:r>
            <w:r w:rsidR="00D12300" w:rsidRPr="000C42F3">
              <w:rPr>
                <w:sz w:val="24"/>
                <w:szCs w:val="24"/>
              </w:rPr>
              <w:t>4.0</w:t>
            </w:r>
            <w:r w:rsidR="00CA3067" w:rsidRPr="000C42F3">
              <w:rPr>
                <w:sz w:val="24"/>
                <w:szCs w:val="24"/>
              </w:rPr>
              <w:t xml:space="preserve">; </w:t>
            </w:r>
            <w:r w:rsidR="00D12300" w:rsidRPr="000C42F3">
              <w:rPr>
                <w:sz w:val="24"/>
                <w:szCs w:val="24"/>
              </w:rPr>
              <w:t>8-May</w:t>
            </w:r>
            <w:r w:rsidR="00CA4621" w:rsidRPr="000C42F3">
              <w:rPr>
                <w:sz w:val="24"/>
                <w:szCs w:val="24"/>
              </w:rPr>
              <w:t>-2020</w:t>
            </w:r>
          </w:p>
        </w:tc>
      </w:tr>
    </w:tbl>
    <w:p w14:paraId="38B98A76" w14:textId="77777777" w:rsidR="00A356B5" w:rsidRPr="00496738" w:rsidRDefault="00A356B5" w:rsidP="0002305E">
      <w:pPr>
        <w:spacing w:after="0"/>
        <w:jc w:val="center"/>
        <w:rPr>
          <w:b/>
          <w:sz w:val="2"/>
          <w:szCs w:val="2"/>
        </w:rPr>
      </w:pPr>
    </w:p>
    <w:sdt>
      <w:sdtPr>
        <w:id w:val="274060855"/>
        <w:docPartObj>
          <w:docPartGallery w:val="Table of Contents"/>
          <w:docPartUnique/>
        </w:docPartObj>
      </w:sdtPr>
      <w:sdtEndPr>
        <w:rPr>
          <w:rFonts w:ascii="Calibri" w:eastAsia="Calibri" w:hAnsi="Calibri" w:cs="Times New Roman"/>
          <w:b/>
          <w:bCs/>
          <w:noProof/>
          <w:color w:val="auto"/>
          <w:sz w:val="22"/>
          <w:szCs w:val="22"/>
        </w:rPr>
      </w:sdtEndPr>
      <w:sdtContent>
        <w:p w14:paraId="52596473" w14:textId="50D8E744" w:rsidR="00A356B5" w:rsidRPr="00496738" w:rsidRDefault="00A356B5" w:rsidP="00496738">
          <w:pPr>
            <w:pStyle w:val="TOCHeading"/>
            <w:rPr>
              <w:rFonts w:asciiTheme="minorHAnsi" w:hAnsiTheme="minorHAnsi" w:cstheme="minorHAnsi"/>
              <w:b/>
              <w:bCs/>
              <w:color w:val="auto"/>
              <w:sz w:val="24"/>
              <w:szCs w:val="24"/>
            </w:rPr>
          </w:pPr>
          <w:r w:rsidRPr="00CF2831">
            <w:rPr>
              <w:rFonts w:asciiTheme="minorHAnsi" w:hAnsiTheme="minorHAnsi" w:cstheme="minorHAnsi"/>
              <w:b/>
              <w:bCs/>
              <w:color w:val="auto"/>
              <w:sz w:val="22"/>
              <w:szCs w:val="22"/>
            </w:rPr>
            <w:t>Table of contents</w:t>
          </w:r>
          <w:r>
            <w:fldChar w:fldCharType="begin"/>
          </w:r>
          <w:r>
            <w:instrText xml:space="preserve"> TOC \o "1-3" \h \z \u </w:instrText>
          </w:r>
          <w:r>
            <w:fldChar w:fldCharType="separate"/>
          </w:r>
        </w:p>
        <w:p w14:paraId="4A6F832B" w14:textId="0E357AF4"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69" w:history="1">
            <w:r w:rsidRPr="0021715D">
              <w:rPr>
                <w:rStyle w:val="Hyperlink"/>
                <w:noProof/>
              </w:rPr>
              <w:t>1.</w:t>
            </w:r>
            <w:r>
              <w:rPr>
                <w:rFonts w:asciiTheme="minorHAnsi" w:eastAsiaTheme="minorEastAsia" w:hAnsiTheme="minorHAnsi" w:cstheme="minorBidi"/>
                <w:noProof/>
                <w:kern w:val="2"/>
                <w:sz w:val="24"/>
                <w:szCs w:val="24"/>
                <w14:ligatures w14:val="standardContextual"/>
              </w:rPr>
              <w:tab/>
            </w:r>
            <w:r w:rsidRPr="0021715D">
              <w:rPr>
                <w:rStyle w:val="Hyperlink"/>
                <w:noProof/>
              </w:rPr>
              <w:t>PURPOSE</w:t>
            </w:r>
            <w:r>
              <w:rPr>
                <w:noProof/>
                <w:webHidden/>
              </w:rPr>
              <w:tab/>
            </w:r>
            <w:r>
              <w:rPr>
                <w:noProof/>
                <w:webHidden/>
              </w:rPr>
              <w:fldChar w:fldCharType="begin"/>
            </w:r>
            <w:r>
              <w:rPr>
                <w:noProof/>
                <w:webHidden/>
              </w:rPr>
              <w:instrText xml:space="preserve"> PAGEREF _Toc180755769 \h </w:instrText>
            </w:r>
            <w:r>
              <w:rPr>
                <w:noProof/>
                <w:webHidden/>
              </w:rPr>
            </w:r>
            <w:r>
              <w:rPr>
                <w:noProof/>
                <w:webHidden/>
              </w:rPr>
              <w:fldChar w:fldCharType="separate"/>
            </w:r>
            <w:r>
              <w:rPr>
                <w:noProof/>
                <w:webHidden/>
              </w:rPr>
              <w:t>2</w:t>
            </w:r>
            <w:r>
              <w:rPr>
                <w:noProof/>
                <w:webHidden/>
              </w:rPr>
              <w:fldChar w:fldCharType="end"/>
            </w:r>
          </w:hyperlink>
        </w:p>
        <w:p w14:paraId="3307D7F9" w14:textId="66379891"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70" w:history="1">
            <w:r w:rsidRPr="0021715D">
              <w:rPr>
                <w:rStyle w:val="Hyperlink"/>
                <w:noProof/>
              </w:rPr>
              <w:t>2.</w:t>
            </w:r>
            <w:r>
              <w:rPr>
                <w:rFonts w:asciiTheme="minorHAnsi" w:eastAsiaTheme="minorEastAsia" w:hAnsiTheme="minorHAnsi" w:cstheme="minorBidi"/>
                <w:noProof/>
                <w:kern w:val="2"/>
                <w:sz w:val="24"/>
                <w:szCs w:val="24"/>
                <w14:ligatures w14:val="standardContextual"/>
              </w:rPr>
              <w:tab/>
            </w:r>
            <w:r w:rsidRPr="0021715D">
              <w:rPr>
                <w:rStyle w:val="Hyperlink"/>
                <w:noProof/>
              </w:rPr>
              <w:t>SCOPE</w:t>
            </w:r>
            <w:r>
              <w:rPr>
                <w:noProof/>
                <w:webHidden/>
              </w:rPr>
              <w:tab/>
            </w:r>
            <w:r>
              <w:rPr>
                <w:noProof/>
                <w:webHidden/>
              </w:rPr>
              <w:fldChar w:fldCharType="begin"/>
            </w:r>
            <w:r>
              <w:rPr>
                <w:noProof/>
                <w:webHidden/>
              </w:rPr>
              <w:instrText xml:space="preserve"> PAGEREF _Toc180755770 \h </w:instrText>
            </w:r>
            <w:r>
              <w:rPr>
                <w:noProof/>
                <w:webHidden/>
              </w:rPr>
            </w:r>
            <w:r>
              <w:rPr>
                <w:noProof/>
                <w:webHidden/>
              </w:rPr>
              <w:fldChar w:fldCharType="separate"/>
            </w:r>
            <w:r>
              <w:rPr>
                <w:noProof/>
                <w:webHidden/>
              </w:rPr>
              <w:t>2</w:t>
            </w:r>
            <w:r>
              <w:rPr>
                <w:noProof/>
                <w:webHidden/>
              </w:rPr>
              <w:fldChar w:fldCharType="end"/>
            </w:r>
          </w:hyperlink>
        </w:p>
        <w:p w14:paraId="4EF52CA5" w14:textId="06123C1F"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71" w:history="1">
            <w:r w:rsidRPr="0021715D">
              <w:rPr>
                <w:rStyle w:val="Hyperlink"/>
                <w:noProof/>
              </w:rPr>
              <w:t>3.</w:t>
            </w:r>
            <w:r>
              <w:rPr>
                <w:rFonts w:asciiTheme="minorHAnsi" w:eastAsiaTheme="minorEastAsia" w:hAnsiTheme="minorHAnsi" w:cstheme="minorBidi"/>
                <w:noProof/>
                <w:kern w:val="2"/>
                <w:sz w:val="24"/>
                <w:szCs w:val="24"/>
                <w14:ligatures w14:val="standardContextual"/>
              </w:rPr>
              <w:tab/>
            </w:r>
            <w:r w:rsidRPr="0021715D">
              <w:rPr>
                <w:rStyle w:val="Hyperlink"/>
                <w:noProof/>
              </w:rPr>
              <w:t>RESPONSIBLE FUNCTIONS</w:t>
            </w:r>
            <w:r>
              <w:rPr>
                <w:noProof/>
                <w:webHidden/>
              </w:rPr>
              <w:tab/>
            </w:r>
            <w:r>
              <w:rPr>
                <w:noProof/>
                <w:webHidden/>
              </w:rPr>
              <w:fldChar w:fldCharType="begin"/>
            </w:r>
            <w:r>
              <w:rPr>
                <w:noProof/>
                <w:webHidden/>
              </w:rPr>
              <w:instrText xml:space="preserve"> PAGEREF _Toc180755771 \h </w:instrText>
            </w:r>
            <w:r>
              <w:rPr>
                <w:noProof/>
                <w:webHidden/>
              </w:rPr>
            </w:r>
            <w:r>
              <w:rPr>
                <w:noProof/>
                <w:webHidden/>
              </w:rPr>
              <w:fldChar w:fldCharType="separate"/>
            </w:r>
            <w:r>
              <w:rPr>
                <w:noProof/>
                <w:webHidden/>
              </w:rPr>
              <w:t>2</w:t>
            </w:r>
            <w:r>
              <w:rPr>
                <w:noProof/>
                <w:webHidden/>
              </w:rPr>
              <w:fldChar w:fldCharType="end"/>
            </w:r>
          </w:hyperlink>
        </w:p>
        <w:p w14:paraId="2EBE90D5" w14:textId="0E0AE614"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72" w:history="1">
            <w:r w:rsidRPr="0021715D">
              <w:rPr>
                <w:rStyle w:val="Hyperlink"/>
                <w:noProof/>
              </w:rPr>
              <w:t>4.</w:t>
            </w:r>
            <w:r>
              <w:rPr>
                <w:rFonts w:asciiTheme="minorHAnsi" w:eastAsiaTheme="minorEastAsia" w:hAnsiTheme="minorHAnsi" w:cstheme="minorBidi"/>
                <w:noProof/>
                <w:kern w:val="2"/>
                <w:sz w:val="24"/>
                <w:szCs w:val="24"/>
                <w14:ligatures w14:val="standardContextual"/>
              </w:rPr>
              <w:tab/>
            </w:r>
            <w:r w:rsidRPr="0021715D">
              <w:rPr>
                <w:rStyle w:val="Hyperlink"/>
                <w:noProof/>
              </w:rPr>
              <w:t>DEFINITIONS and ABBREVIATIONS</w:t>
            </w:r>
            <w:r>
              <w:rPr>
                <w:noProof/>
                <w:webHidden/>
              </w:rPr>
              <w:tab/>
            </w:r>
            <w:r>
              <w:rPr>
                <w:noProof/>
                <w:webHidden/>
              </w:rPr>
              <w:fldChar w:fldCharType="begin"/>
            </w:r>
            <w:r>
              <w:rPr>
                <w:noProof/>
                <w:webHidden/>
              </w:rPr>
              <w:instrText xml:space="preserve"> PAGEREF _Toc180755772 \h </w:instrText>
            </w:r>
            <w:r>
              <w:rPr>
                <w:noProof/>
                <w:webHidden/>
              </w:rPr>
            </w:r>
            <w:r>
              <w:rPr>
                <w:noProof/>
                <w:webHidden/>
              </w:rPr>
              <w:fldChar w:fldCharType="separate"/>
            </w:r>
            <w:r>
              <w:rPr>
                <w:noProof/>
                <w:webHidden/>
              </w:rPr>
              <w:t>3</w:t>
            </w:r>
            <w:r>
              <w:rPr>
                <w:noProof/>
                <w:webHidden/>
              </w:rPr>
              <w:fldChar w:fldCharType="end"/>
            </w:r>
          </w:hyperlink>
        </w:p>
        <w:p w14:paraId="5FC6FB84" w14:textId="74AAD1FB"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3" w:history="1">
            <w:r w:rsidRPr="0021715D">
              <w:rPr>
                <w:rStyle w:val="Hyperlink"/>
                <w:noProof/>
              </w:rPr>
              <w:t>4.1</w:t>
            </w:r>
            <w:r>
              <w:rPr>
                <w:rFonts w:asciiTheme="minorHAnsi" w:eastAsiaTheme="minorEastAsia" w:hAnsiTheme="minorHAnsi" w:cstheme="minorBidi"/>
                <w:noProof/>
                <w:kern w:val="2"/>
                <w:sz w:val="24"/>
                <w:szCs w:val="24"/>
                <w14:ligatures w14:val="standardContextual"/>
              </w:rPr>
              <w:tab/>
            </w:r>
            <w:r w:rsidRPr="0021715D">
              <w:rPr>
                <w:rStyle w:val="Hyperlink"/>
                <w:noProof/>
              </w:rPr>
              <w:t>Adverse Event (AE)</w:t>
            </w:r>
            <w:r>
              <w:rPr>
                <w:noProof/>
                <w:webHidden/>
              </w:rPr>
              <w:tab/>
            </w:r>
            <w:r>
              <w:rPr>
                <w:noProof/>
                <w:webHidden/>
              </w:rPr>
              <w:fldChar w:fldCharType="begin"/>
            </w:r>
            <w:r>
              <w:rPr>
                <w:noProof/>
                <w:webHidden/>
              </w:rPr>
              <w:instrText xml:space="preserve"> PAGEREF _Toc180755773 \h </w:instrText>
            </w:r>
            <w:r>
              <w:rPr>
                <w:noProof/>
                <w:webHidden/>
              </w:rPr>
            </w:r>
            <w:r>
              <w:rPr>
                <w:noProof/>
                <w:webHidden/>
              </w:rPr>
              <w:fldChar w:fldCharType="separate"/>
            </w:r>
            <w:r>
              <w:rPr>
                <w:noProof/>
                <w:webHidden/>
              </w:rPr>
              <w:t>3</w:t>
            </w:r>
            <w:r>
              <w:rPr>
                <w:noProof/>
                <w:webHidden/>
              </w:rPr>
              <w:fldChar w:fldCharType="end"/>
            </w:r>
          </w:hyperlink>
        </w:p>
        <w:p w14:paraId="6FABE35F" w14:textId="7202DA01"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4" w:history="1">
            <w:r w:rsidRPr="0021715D">
              <w:rPr>
                <w:rStyle w:val="Hyperlink"/>
                <w:noProof/>
              </w:rPr>
              <w:t>4.2</w:t>
            </w:r>
            <w:r>
              <w:rPr>
                <w:rFonts w:asciiTheme="minorHAnsi" w:eastAsiaTheme="minorEastAsia" w:hAnsiTheme="minorHAnsi" w:cstheme="minorBidi"/>
                <w:noProof/>
                <w:kern w:val="2"/>
                <w:sz w:val="24"/>
                <w:szCs w:val="24"/>
                <w14:ligatures w14:val="standardContextual"/>
              </w:rPr>
              <w:tab/>
            </w:r>
            <w:r w:rsidRPr="0021715D">
              <w:rPr>
                <w:rStyle w:val="Hyperlink"/>
                <w:noProof/>
              </w:rPr>
              <w:t>Adverse Events of Special Interest (AESI)</w:t>
            </w:r>
            <w:r>
              <w:rPr>
                <w:noProof/>
                <w:webHidden/>
              </w:rPr>
              <w:tab/>
            </w:r>
            <w:r>
              <w:rPr>
                <w:noProof/>
                <w:webHidden/>
              </w:rPr>
              <w:fldChar w:fldCharType="begin"/>
            </w:r>
            <w:r>
              <w:rPr>
                <w:noProof/>
                <w:webHidden/>
              </w:rPr>
              <w:instrText xml:space="preserve"> PAGEREF _Toc180755774 \h </w:instrText>
            </w:r>
            <w:r>
              <w:rPr>
                <w:noProof/>
                <w:webHidden/>
              </w:rPr>
            </w:r>
            <w:r>
              <w:rPr>
                <w:noProof/>
                <w:webHidden/>
              </w:rPr>
              <w:fldChar w:fldCharType="separate"/>
            </w:r>
            <w:r>
              <w:rPr>
                <w:noProof/>
                <w:webHidden/>
              </w:rPr>
              <w:t>3</w:t>
            </w:r>
            <w:r>
              <w:rPr>
                <w:noProof/>
                <w:webHidden/>
              </w:rPr>
              <w:fldChar w:fldCharType="end"/>
            </w:r>
          </w:hyperlink>
        </w:p>
        <w:p w14:paraId="303EAD59" w14:textId="41318F4B"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5" w:history="1">
            <w:r w:rsidRPr="0021715D">
              <w:rPr>
                <w:rStyle w:val="Hyperlink"/>
                <w:noProof/>
              </w:rPr>
              <w:t>4.3</w:t>
            </w:r>
            <w:r>
              <w:rPr>
                <w:rFonts w:asciiTheme="minorHAnsi" w:eastAsiaTheme="minorEastAsia" w:hAnsiTheme="minorHAnsi" w:cstheme="minorBidi"/>
                <w:noProof/>
                <w:kern w:val="2"/>
                <w:sz w:val="24"/>
                <w:szCs w:val="24"/>
                <w14:ligatures w14:val="standardContextual"/>
              </w:rPr>
              <w:tab/>
            </w:r>
            <w:r w:rsidRPr="0021715D">
              <w:rPr>
                <w:rStyle w:val="Hyperlink"/>
                <w:noProof/>
              </w:rPr>
              <w:t>Adverse Drug Reaction (ADR)</w:t>
            </w:r>
            <w:r>
              <w:rPr>
                <w:noProof/>
                <w:webHidden/>
              </w:rPr>
              <w:tab/>
            </w:r>
            <w:r>
              <w:rPr>
                <w:noProof/>
                <w:webHidden/>
              </w:rPr>
              <w:fldChar w:fldCharType="begin"/>
            </w:r>
            <w:r>
              <w:rPr>
                <w:noProof/>
                <w:webHidden/>
              </w:rPr>
              <w:instrText xml:space="preserve"> PAGEREF _Toc180755775 \h </w:instrText>
            </w:r>
            <w:r>
              <w:rPr>
                <w:noProof/>
                <w:webHidden/>
              </w:rPr>
            </w:r>
            <w:r>
              <w:rPr>
                <w:noProof/>
                <w:webHidden/>
              </w:rPr>
              <w:fldChar w:fldCharType="separate"/>
            </w:r>
            <w:r>
              <w:rPr>
                <w:noProof/>
                <w:webHidden/>
              </w:rPr>
              <w:t>3</w:t>
            </w:r>
            <w:r>
              <w:rPr>
                <w:noProof/>
                <w:webHidden/>
              </w:rPr>
              <w:fldChar w:fldCharType="end"/>
            </w:r>
          </w:hyperlink>
        </w:p>
        <w:p w14:paraId="6F8CF04B" w14:textId="27B80B13"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6" w:history="1">
            <w:r w:rsidRPr="0021715D">
              <w:rPr>
                <w:rStyle w:val="Hyperlink"/>
                <w:noProof/>
              </w:rPr>
              <w:t>4.4</w:t>
            </w:r>
            <w:r>
              <w:rPr>
                <w:rFonts w:asciiTheme="minorHAnsi" w:eastAsiaTheme="minorEastAsia" w:hAnsiTheme="minorHAnsi" w:cstheme="minorBidi"/>
                <w:noProof/>
                <w:kern w:val="2"/>
                <w:sz w:val="24"/>
                <w:szCs w:val="24"/>
                <w14:ligatures w14:val="standardContextual"/>
              </w:rPr>
              <w:tab/>
            </w:r>
            <w:r w:rsidRPr="0021715D">
              <w:rPr>
                <w:rStyle w:val="Hyperlink"/>
                <w:noProof/>
              </w:rPr>
              <w:t>Annual Safety Report (ASR)</w:t>
            </w:r>
            <w:r>
              <w:rPr>
                <w:noProof/>
                <w:webHidden/>
              </w:rPr>
              <w:tab/>
            </w:r>
            <w:r>
              <w:rPr>
                <w:noProof/>
                <w:webHidden/>
              </w:rPr>
              <w:fldChar w:fldCharType="begin"/>
            </w:r>
            <w:r>
              <w:rPr>
                <w:noProof/>
                <w:webHidden/>
              </w:rPr>
              <w:instrText xml:space="preserve"> PAGEREF _Toc180755776 \h </w:instrText>
            </w:r>
            <w:r>
              <w:rPr>
                <w:noProof/>
                <w:webHidden/>
              </w:rPr>
            </w:r>
            <w:r>
              <w:rPr>
                <w:noProof/>
                <w:webHidden/>
              </w:rPr>
              <w:fldChar w:fldCharType="separate"/>
            </w:r>
            <w:r>
              <w:rPr>
                <w:noProof/>
                <w:webHidden/>
              </w:rPr>
              <w:t>3</w:t>
            </w:r>
            <w:r>
              <w:rPr>
                <w:noProof/>
                <w:webHidden/>
              </w:rPr>
              <w:fldChar w:fldCharType="end"/>
            </w:r>
          </w:hyperlink>
        </w:p>
        <w:p w14:paraId="0CEB5999" w14:textId="50C0249B"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7" w:history="1">
            <w:r w:rsidRPr="0021715D">
              <w:rPr>
                <w:rStyle w:val="Hyperlink"/>
                <w:noProof/>
              </w:rPr>
              <w:t>4.5</w:t>
            </w:r>
            <w:r>
              <w:rPr>
                <w:rFonts w:asciiTheme="minorHAnsi" w:eastAsiaTheme="minorEastAsia" w:hAnsiTheme="minorHAnsi" w:cstheme="minorBidi"/>
                <w:noProof/>
                <w:kern w:val="2"/>
                <w:sz w:val="24"/>
                <w:szCs w:val="24"/>
                <w14:ligatures w14:val="standardContextual"/>
              </w:rPr>
              <w:tab/>
            </w:r>
            <w:r w:rsidRPr="0021715D">
              <w:rPr>
                <w:rStyle w:val="Hyperlink"/>
                <w:noProof/>
              </w:rPr>
              <w:t>Council for International Organization of Medical Sciences I reporting form (CIOMS)</w:t>
            </w:r>
            <w:r>
              <w:rPr>
                <w:noProof/>
                <w:webHidden/>
              </w:rPr>
              <w:tab/>
            </w:r>
            <w:r>
              <w:rPr>
                <w:noProof/>
                <w:webHidden/>
              </w:rPr>
              <w:fldChar w:fldCharType="begin"/>
            </w:r>
            <w:r>
              <w:rPr>
                <w:noProof/>
                <w:webHidden/>
              </w:rPr>
              <w:instrText xml:space="preserve"> PAGEREF _Toc180755777 \h </w:instrText>
            </w:r>
            <w:r>
              <w:rPr>
                <w:noProof/>
                <w:webHidden/>
              </w:rPr>
            </w:r>
            <w:r>
              <w:rPr>
                <w:noProof/>
                <w:webHidden/>
              </w:rPr>
              <w:fldChar w:fldCharType="separate"/>
            </w:r>
            <w:r>
              <w:rPr>
                <w:noProof/>
                <w:webHidden/>
              </w:rPr>
              <w:t>4</w:t>
            </w:r>
            <w:r>
              <w:rPr>
                <w:noProof/>
                <w:webHidden/>
              </w:rPr>
              <w:fldChar w:fldCharType="end"/>
            </w:r>
          </w:hyperlink>
        </w:p>
        <w:p w14:paraId="3BD8E8DF" w14:textId="098B2D8F"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8" w:history="1">
            <w:r w:rsidRPr="0021715D">
              <w:rPr>
                <w:rStyle w:val="Hyperlink"/>
                <w:noProof/>
              </w:rPr>
              <w:t>4.6</w:t>
            </w:r>
            <w:r>
              <w:rPr>
                <w:rFonts w:asciiTheme="minorHAnsi" w:eastAsiaTheme="minorEastAsia" w:hAnsiTheme="minorHAnsi" w:cstheme="minorBidi"/>
                <w:noProof/>
                <w:kern w:val="2"/>
                <w:sz w:val="24"/>
                <w:szCs w:val="24"/>
                <w14:ligatures w14:val="standardContextual"/>
              </w:rPr>
              <w:tab/>
            </w:r>
            <w:r w:rsidRPr="0021715D">
              <w:rPr>
                <w:rStyle w:val="Hyperlink"/>
                <w:noProof/>
              </w:rPr>
              <w:t>Data and Safety Monitoring Board (DSMB)</w:t>
            </w:r>
            <w:r>
              <w:rPr>
                <w:noProof/>
                <w:webHidden/>
              </w:rPr>
              <w:tab/>
            </w:r>
            <w:r>
              <w:rPr>
                <w:noProof/>
                <w:webHidden/>
              </w:rPr>
              <w:fldChar w:fldCharType="begin"/>
            </w:r>
            <w:r>
              <w:rPr>
                <w:noProof/>
                <w:webHidden/>
              </w:rPr>
              <w:instrText xml:space="preserve"> PAGEREF _Toc180755778 \h </w:instrText>
            </w:r>
            <w:r>
              <w:rPr>
                <w:noProof/>
                <w:webHidden/>
              </w:rPr>
            </w:r>
            <w:r>
              <w:rPr>
                <w:noProof/>
                <w:webHidden/>
              </w:rPr>
              <w:fldChar w:fldCharType="separate"/>
            </w:r>
            <w:r>
              <w:rPr>
                <w:noProof/>
                <w:webHidden/>
              </w:rPr>
              <w:t>4</w:t>
            </w:r>
            <w:r>
              <w:rPr>
                <w:noProof/>
                <w:webHidden/>
              </w:rPr>
              <w:fldChar w:fldCharType="end"/>
            </w:r>
          </w:hyperlink>
        </w:p>
        <w:p w14:paraId="0B6A85E3" w14:textId="324E61F5"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79" w:history="1">
            <w:r w:rsidRPr="0021715D">
              <w:rPr>
                <w:rStyle w:val="Hyperlink"/>
                <w:noProof/>
              </w:rPr>
              <w:t>4.7</w:t>
            </w:r>
            <w:r>
              <w:rPr>
                <w:rFonts w:asciiTheme="minorHAnsi" w:eastAsiaTheme="minorEastAsia" w:hAnsiTheme="minorHAnsi" w:cstheme="minorBidi"/>
                <w:noProof/>
                <w:kern w:val="2"/>
                <w:sz w:val="24"/>
                <w:szCs w:val="24"/>
                <w14:ligatures w14:val="standardContextual"/>
              </w:rPr>
              <w:tab/>
            </w:r>
            <w:r w:rsidRPr="0021715D">
              <w:rPr>
                <w:rStyle w:val="Hyperlink"/>
                <w:noProof/>
              </w:rPr>
              <w:t>Investigational Medicinal Product (IMP)</w:t>
            </w:r>
            <w:r>
              <w:rPr>
                <w:noProof/>
                <w:webHidden/>
              </w:rPr>
              <w:tab/>
            </w:r>
            <w:r>
              <w:rPr>
                <w:noProof/>
                <w:webHidden/>
              </w:rPr>
              <w:fldChar w:fldCharType="begin"/>
            </w:r>
            <w:r>
              <w:rPr>
                <w:noProof/>
                <w:webHidden/>
              </w:rPr>
              <w:instrText xml:space="preserve"> PAGEREF _Toc180755779 \h </w:instrText>
            </w:r>
            <w:r>
              <w:rPr>
                <w:noProof/>
                <w:webHidden/>
              </w:rPr>
            </w:r>
            <w:r>
              <w:rPr>
                <w:noProof/>
                <w:webHidden/>
              </w:rPr>
              <w:fldChar w:fldCharType="separate"/>
            </w:r>
            <w:r>
              <w:rPr>
                <w:noProof/>
                <w:webHidden/>
              </w:rPr>
              <w:t>4</w:t>
            </w:r>
            <w:r>
              <w:rPr>
                <w:noProof/>
                <w:webHidden/>
              </w:rPr>
              <w:fldChar w:fldCharType="end"/>
            </w:r>
          </w:hyperlink>
        </w:p>
        <w:p w14:paraId="109F04E6" w14:textId="6286B4EB"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80" w:history="1">
            <w:r w:rsidRPr="0021715D">
              <w:rPr>
                <w:rStyle w:val="Hyperlink"/>
                <w:noProof/>
              </w:rPr>
              <w:t>4.8</w:t>
            </w:r>
            <w:r>
              <w:rPr>
                <w:rFonts w:asciiTheme="minorHAnsi" w:eastAsiaTheme="minorEastAsia" w:hAnsiTheme="minorHAnsi" w:cstheme="minorBidi"/>
                <w:noProof/>
                <w:kern w:val="2"/>
                <w:sz w:val="24"/>
                <w:szCs w:val="24"/>
                <w14:ligatures w14:val="standardContextual"/>
              </w:rPr>
              <w:tab/>
            </w:r>
            <w:r w:rsidRPr="0021715D">
              <w:rPr>
                <w:rStyle w:val="Hyperlink"/>
                <w:noProof/>
              </w:rPr>
              <w:t>Overdose</w:t>
            </w:r>
            <w:r>
              <w:rPr>
                <w:noProof/>
                <w:webHidden/>
              </w:rPr>
              <w:tab/>
            </w:r>
            <w:r>
              <w:rPr>
                <w:noProof/>
                <w:webHidden/>
              </w:rPr>
              <w:fldChar w:fldCharType="begin"/>
            </w:r>
            <w:r>
              <w:rPr>
                <w:noProof/>
                <w:webHidden/>
              </w:rPr>
              <w:instrText xml:space="preserve"> PAGEREF _Toc180755780 \h </w:instrText>
            </w:r>
            <w:r>
              <w:rPr>
                <w:noProof/>
                <w:webHidden/>
              </w:rPr>
            </w:r>
            <w:r>
              <w:rPr>
                <w:noProof/>
                <w:webHidden/>
              </w:rPr>
              <w:fldChar w:fldCharType="separate"/>
            </w:r>
            <w:r>
              <w:rPr>
                <w:noProof/>
                <w:webHidden/>
              </w:rPr>
              <w:t>4</w:t>
            </w:r>
            <w:r>
              <w:rPr>
                <w:noProof/>
                <w:webHidden/>
              </w:rPr>
              <w:fldChar w:fldCharType="end"/>
            </w:r>
          </w:hyperlink>
        </w:p>
        <w:p w14:paraId="3F8B9E35" w14:textId="22E47482"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81" w:history="1">
            <w:r w:rsidRPr="0021715D">
              <w:rPr>
                <w:rStyle w:val="Hyperlink"/>
                <w:noProof/>
              </w:rPr>
              <w:t>4.9</w:t>
            </w:r>
            <w:r>
              <w:rPr>
                <w:rFonts w:asciiTheme="minorHAnsi" w:eastAsiaTheme="minorEastAsia" w:hAnsiTheme="minorHAnsi" w:cstheme="minorBidi"/>
                <w:noProof/>
                <w:kern w:val="2"/>
                <w:sz w:val="24"/>
                <w:szCs w:val="24"/>
                <w14:ligatures w14:val="standardContextual"/>
              </w:rPr>
              <w:tab/>
            </w:r>
            <w:r w:rsidRPr="0021715D">
              <w:rPr>
                <w:rStyle w:val="Hyperlink"/>
                <w:noProof/>
              </w:rPr>
              <w:t>Serious Adverse Event (SAE)</w:t>
            </w:r>
            <w:r>
              <w:rPr>
                <w:noProof/>
                <w:webHidden/>
              </w:rPr>
              <w:tab/>
            </w:r>
            <w:r>
              <w:rPr>
                <w:noProof/>
                <w:webHidden/>
              </w:rPr>
              <w:fldChar w:fldCharType="begin"/>
            </w:r>
            <w:r>
              <w:rPr>
                <w:noProof/>
                <w:webHidden/>
              </w:rPr>
              <w:instrText xml:space="preserve"> PAGEREF _Toc180755781 \h </w:instrText>
            </w:r>
            <w:r>
              <w:rPr>
                <w:noProof/>
                <w:webHidden/>
              </w:rPr>
            </w:r>
            <w:r>
              <w:rPr>
                <w:noProof/>
                <w:webHidden/>
              </w:rPr>
              <w:fldChar w:fldCharType="separate"/>
            </w:r>
            <w:r>
              <w:rPr>
                <w:noProof/>
                <w:webHidden/>
              </w:rPr>
              <w:t>4</w:t>
            </w:r>
            <w:r>
              <w:rPr>
                <w:noProof/>
                <w:webHidden/>
              </w:rPr>
              <w:fldChar w:fldCharType="end"/>
            </w:r>
          </w:hyperlink>
        </w:p>
        <w:p w14:paraId="6A412900" w14:textId="5C32F641" w:rsidR="00A356B5" w:rsidRDefault="00A356B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80755782" w:history="1">
            <w:r w:rsidRPr="0021715D">
              <w:rPr>
                <w:rStyle w:val="Hyperlink"/>
                <w:noProof/>
              </w:rPr>
              <w:t>4.10</w:t>
            </w:r>
            <w:r>
              <w:rPr>
                <w:rFonts w:asciiTheme="minorHAnsi" w:eastAsiaTheme="minorEastAsia" w:hAnsiTheme="minorHAnsi" w:cstheme="minorBidi"/>
                <w:noProof/>
                <w:kern w:val="2"/>
                <w:sz w:val="24"/>
                <w:szCs w:val="24"/>
                <w14:ligatures w14:val="standardContextual"/>
              </w:rPr>
              <w:tab/>
            </w:r>
            <w:r w:rsidRPr="0021715D">
              <w:rPr>
                <w:rStyle w:val="Hyperlink"/>
                <w:noProof/>
              </w:rPr>
              <w:t>Suspected Unexpected Serious Adverse Reaction (SUSAR)</w:t>
            </w:r>
            <w:r>
              <w:rPr>
                <w:noProof/>
                <w:webHidden/>
              </w:rPr>
              <w:tab/>
            </w:r>
            <w:r>
              <w:rPr>
                <w:noProof/>
                <w:webHidden/>
              </w:rPr>
              <w:fldChar w:fldCharType="begin"/>
            </w:r>
            <w:r>
              <w:rPr>
                <w:noProof/>
                <w:webHidden/>
              </w:rPr>
              <w:instrText xml:space="preserve"> PAGEREF _Toc180755782 \h </w:instrText>
            </w:r>
            <w:r>
              <w:rPr>
                <w:noProof/>
                <w:webHidden/>
              </w:rPr>
            </w:r>
            <w:r>
              <w:rPr>
                <w:noProof/>
                <w:webHidden/>
              </w:rPr>
              <w:fldChar w:fldCharType="separate"/>
            </w:r>
            <w:r>
              <w:rPr>
                <w:noProof/>
                <w:webHidden/>
              </w:rPr>
              <w:t>5</w:t>
            </w:r>
            <w:r>
              <w:rPr>
                <w:noProof/>
                <w:webHidden/>
              </w:rPr>
              <w:fldChar w:fldCharType="end"/>
            </w:r>
          </w:hyperlink>
        </w:p>
        <w:p w14:paraId="60CEC55B" w14:textId="48D5F228" w:rsidR="00A356B5" w:rsidRDefault="00A356B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80755783" w:history="1">
            <w:r w:rsidRPr="0021715D">
              <w:rPr>
                <w:rStyle w:val="Hyperlink"/>
                <w:noProof/>
              </w:rPr>
              <w:t>4.11</w:t>
            </w:r>
            <w:r>
              <w:rPr>
                <w:rFonts w:asciiTheme="minorHAnsi" w:eastAsiaTheme="minorEastAsia" w:hAnsiTheme="minorHAnsi" w:cstheme="minorBidi"/>
                <w:noProof/>
                <w:kern w:val="2"/>
                <w:sz w:val="24"/>
                <w:szCs w:val="24"/>
                <w14:ligatures w14:val="standardContextual"/>
              </w:rPr>
              <w:tab/>
            </w:r>
            <w:r w:rsidRPr="0021715D">
              <w:rPr>
                <w:rStyle w:val="Hyperlink"/>
                <w:noProof/>
              </w:rPr>
              <w:t>Unexpected Adverse Drug Reaction</w:t>
            </w:r>
            <w:r>
              <w:rPr>
                <w:noProof/>
                <w:webHidden/>
              </w:rPr>
              <w:tab/>
            </w:r>
            <w:r>
              <w:rPr>
                <w:noProof/>
                <w:webHidden/>
              </w:rPr>
              <w:fldChar w:fldCharType="begin"/>
            </w:r>
            <w:r>
              <w:rPr>
                <w:noProof/>
                <w:webHidden/>
              </w:rPr>
              <w:instrText xml:space="preserve"> PAGEREF _Toc180755783 \h </w:instrText>
            </w:r>
            <w:r>
              <w:rPr>
                <w:noProof/>
                <w:webHidden/>
              </w:rPr>
            </w:r>
            <w:r>
              <w:rPr>
                <w:noProof/>
                <w:webHidden/>
              </w:rPr>
              <w:fldChar w:fldCharType="separate"/>
            </w:r>
            <w:r>
              <w:rPr>
                <w:noProof/>
                <w:webHidden/>
              </w:rPr>
              <w:t>5</w:t>
            </w:r>
            <w:r>
              <w:rPr>
                <w:noProof/>
                <w:webHidden/>
              </w:rPr>
              <w:fldChar w:fldCharType="end"/>
            </w:r>
          </w:hyperlink>
        </w:p>
        <w:p w14:paraId="77762486" w14:textId="2F293D5A" w:rsidR="00A356B5" w:rsidRDefault="00A356B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80755784" w:history="1">
            <w:r w:rsidRPr="0021715D">
              <w:rPr>
                <w:rStyle w:val="Hyperlink"/>
                <w:noProof/>
              </w:rPr>
              <w:t>4.12</w:t>
            </w:r>
            <w:r>
              <w:rPr>
                <w:rFonts w:asciiTheme="minorHAnsi" w:eastAsiaTheme="minorEastAsia" w:hAnsiTheme="minorHAnsi" w:cstheme="minorBidi"/>
                <w:noProof/>
                <w:kern w:val="2"/>
                <w:sz w:val="24"/>
                <w:szCs w:val="24"/>
                <w14:ligatures w14:val="standardContextual"/>
              </w:rPr>
              <w:tab/>
            </w:r>
            <w:r w:rsidRPr="0021715D">
              <w:rPr>
                <w:rStyle w:val="Hyperlink"/>
                <w:noProof/>
              </w:rPr>
              <w:t>Urgent safety measure</w:t>
            </w:r>
            <w:r>
              <w:rPr>
                <w:noProof/>
                <w:webHidden/>
              </w:rPr>
              <w:tab/>
            </w:r>
            <w:r>
              <w:rPr>
                <w:noProof/>
                <w:webHidden/>
              </w:rPr>
              <w:fldChar w:fldCharType="begin"/>
            </w:r>
            <w:r>
              <w:rPr>
                <w:noProof/>
                <w:webHidden/>
              </w:rPr>
              <w:instrText xml:space="preserve"> PAGEREF _Toc180755784 \h </w:instrText>
            </w:r>
            <w:r>
              <w:rPr>
                <w:noProof/>
                <w:webHidden/>
              </w:rPr>
            </w:r>
            <w:r>
              <w:rPr>
                <w:noProof/>
                <w:webHidden/>
              </w:rPr>
              <w:fldChar w:fldCharType="separate"/>
            </w:r>
            <w:r>
              <w:rPr>
                <w:noProof/>
                <w:webHidden/>
              </w:rPr>
              <w:t>5</w:t>
            </w:r>
            <w:r>
              <w:rPr>
                <w:noProof/>
                <w:webHidden/>
              </w:rPr>
              <w:fldChar w:fldCharType="end"/>
            </w:r>
          </w:hyperlink>
        </w:p>
        <w:p w14:paraId="0A641B2C" w14:textId="2B2D07A2"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85" w:history="1">
            <w:r w:rsidRPr="0021715D">
              <w:rPr>
                <w:rStyle w:val="Hyperlink"/>
                <w:noProof/>
              </w:rPr>
              <w:t>5.</w:t>
            </w:r>
            <w:r>
              <w:rPr>
                <w:rFonts w:asciiTheme="minorHAnsi" w:eastAsiaTheme="minorEastAsia" w:hAnsiTheme="minorHAnsi" w:cstheme="minorBidi"/>
                <w:noProof/>
                <w:kern w:val="2"/>
                <w:sz w:val="24"/>
                <w:szCs w:val="24"/>
                <w14:ligatures w14:val="standardContextual"/>
              </w:rPr>
              <w:tab/>
            </w:r>
            <w:r w:rsidRPr="0021715D">
              <w:rPr>
                <w:rStyle w:val="Hyperlink"/>
                <w:noProof/>
              </w:rPr>
              <w:t>PROCEDURE</w:t>
            </w:r>
            <w:r>
              <w:rPr>
                <w:noProof/>
                <w:webHidden/>
              </w:rPr>
              <w:tab/>
            </w:r>
            <w:r>
              <w:rPr>
                <w:noProof/>
                <w:webHidden/>
              </w:rPr>
              <w:fldChar w:fldCharType="begin"/>
            </w:r>
            <w:r>
              <w:rPr>
                <w:noProof/>
                <w:webHidden/>
              </w:rPr>
              <w:instrText xml:space="preserve"> PAGEREF _Toc180755785 \h </w:instrText>
            </w:r>
            <w:r>
              <w:rPr>
                <w:noProof/>
                <w:webHidden/>
              </w:rPr>
            </w:r>
            <w:r>
              <w:rPr>
                <w:noProof/>
                <w:webHidden/>
              </w:rPr>
              <w:fldChar w:fldCharType="separate"/>
            </w:r>
            <w:r>
              <w:rPr>
                <w:noProof/>
                <w:webHidden/>
              </w:rPr>
              <w:t>5</w:t>
            </w:r>
            <w:r>
              <w:rPr>
                <w:noProof/>
                <w:webHidden/>
              </w:rPr>
              <w:fldChar w:fldCharType="end"/>
            </w:r>
          </w:hyperlink>
        </w:p>
        <w:p w14:paraId="3D732F71" w14:textId="259322CC"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86" w:history="1">
            <w:r w:rsidRPr="0021715D">
              <w:rPr>
                <w:rStyle w:val="Hyperlink"/>
                <w:noProof/>
              </w:rPr>
              <w:t>5.1</w:t>
            </w:r>
            <w:r>
              <w:rPr>
                <w:rFonts w:asciiTheme="minorHAnsi" w:eastAsiaTheme="minorEastAsia" w:hAnsiTheme="minorHAnsi" w:cstheme="minorBidi"/>
                <w:noProof/>
                <w:kern w:val="2"/>
                <w:sz w:val="24"/>
                <w:szCs w:val="24"/>
                <w14:ligatures w14:val="standardContextual"/>
              </w:rPr>
              <w:tab/>
            </w:r>
            <w:r w:rsidRPr="0021715D">
              <w:rPr>
                <w:rStyle w:val="Hyperlink"/>
                <w:noProof/>
              </w:rPr>
              <w:t>Safety data collection</w:t>
            </w:r>
            <w:r>
              <w:rPr>
                <w:noProof/>
                <w:webHidden/>
              </w:rPr>
              <w:tab/>
            </w:r>
            <w:r>
              <w:rPr>
                <w:noProof/>
                <w:webHidden/>
              </w:rPr>
              <w:fldChar w:fldCharType="begin"/>
            </w:r>
            <w:r>
              <w:rPr>
                <w:noProof/>
                <w:webHidden/>
              </w:rPr>
              <w:instrText xml:space="preserve"> PAGEREF _Toc180755786 \h </w:instrText>
            </w:r>
            <w:r>
              <w:rPr>
                <w:noProof/>
                <w:webHidden/>
              </w:rPr>
            </w:r>
            <w:r>
              <w:rPr>
                <w:noProof/>
                <w:webHidden/>
              </w:rPr>
              <w:fldChar w:fldCharType="separate"/>
            </w:r>
            <w:r>
              <w:rPr>
                <w:noProof/>
                <w:webHidden/>
              </w:rPr>
              <w:t>5</w:t>
            </w:r>
            <w:r>
              <w:rPr>
                <w:noProof/>
                <w:webHidden/>
              </w:rPr>
              <w:fldChar w:fldCharType="end"/>
            </w:r>
          </w:hyperlink>
        </w:p>
        <w:p w14:paraId="06EFCE55" w14:textId="74DE60E4"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87" w:history="1">
            <w:r w:rsidRPr="0021715D">
              <w:rPr>
                <w:rStyle w:val="Hyperlink"/>
                <w:noProof/>
              </w:rPr>
              <w:t>5.2</w:t>
            </w:r>
            <w:r>
              <w:rPr>
                <w:rFonts w:asciiTheme="minorHAnsi" w:eastAsiaTheme="minorEastAsia" w:hAnsiTheme="minorHAnsi" w:cstheme="minorBidi"/>
                <w:noProof/>
                <w:kern w:val="2"/>
                <w:sz w:val="24"/>
                <w:szCs w:val="24"/>
                <w14:ligatures w14:val="standardContextual"/>
              </w:rPr>
              <w:tab/>
            </w:r>
            <w:r w:rsidRPr="0021715D">
              <w:rPr>
                <w:rStyle w:val="Hyperlink"/>
                <w:noProof/>
              </w:rPr>
              <w:t>Reporting of Serious Adverse Events and relevant safety parameters to Sponsor</w:t>
            </w:r>
            <w:r>
              <w:rPr>
                <w:noProof/>
                <w:webHidden/>
              </w:rPr>
              <w:tab/>
            </w:r>
            <w:r>
              <w:rPr>
                <w:noProof/>
                <w:webHidden/>
              </w:rPr>
              <w:fldChar w:fldCharType="begin"/>
            </w:r>
            <w:r>
              <w:rPr>
                <w:noProof/>
                <w:webHidden/>
              </w:rPr>
              <w:instrText xml:space="preserve"> PAGEREF _Toc180755787 \h </w:instrText>
            </w:r>
            <w:r>
              <w:rPr>
                <w:noProof/>
                <w:webHidden/>
              </w:rPr>
            </w:r>
            <w:r>
              <w:rPr>
                <w:noProof/>
                <w:webHidden/>
              </w:rPr>
              <w:fldChar w:fldCharType="separate"/>
            </w:r>
            <w:r>
              <w:rPr>
                <w:noProof/>
                <w:webHidden/>
              </w:rPr>
              <w:t>9</w:t>
            </w:r>
            <w:r>
              <w:rPr>
                <w:noProof/>
                <w:webHidden/>
              </w:rPr>
              <w:fldChar w:fldCharType="end"/>
            </w:r>
          </w:hyperlink>
        </w:p>
        <w:p w14:paraId="38CB42E9" w14:textId="6F897722"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88" w:history="1">
            <w:r w:rsidRPr="0021715D">
              <w:rPr>
                <w:rStyle w:val="Hyperlink"/>
                <w:noProof/>
              </w:rPr>
              <w:t>5.3</w:t>
            </w:r>
            <w:r>
              <w:rPr>
                <w:rFonts w:asciiTheme="minorHAnsi" w:eastAsiaTheme="minorEastAsia" w:hAnsiTheme="minorHAnsi" w:cstheme="minorBidi"/>
                <w:noProof/>
                <w:kern w:val="2"/>
                <w:sz w:val="24"/>
                <w:szCs w:val="24"/>
                <w14:ligatures w14:val="standardContextual"/>
              </w:rPr>
              <w:tab/>
            </w:r>
            <w:r w:rsidRPr="0021715D">
              <w:rPr>
                <w:rStyle w:val="Hyperlink"/>
                <w:noProof/>
              </w:rPr>
              <w:t>Safety Reporting to Ethics Committees and National Regulatory Authorities</w:t>
            </w:r>
            <w:r>
              <w:rPr>
                <w:noProof/>
                <w:webHidden/>
              </w:rPr>
              <w:tab/>
            </w:r>
            <w:r>
              <w:rPr>
                <w:noProof/>
                <w:webHidden/>
              </w:rPr>
              <w:fldChar w:fldCharType="begin"/>
            </w:r>
            <w:r>
              <w:rPr>
                <w:noProof/>
                <w:webHidden/>
              </w:rPr>
              <w:instrText xml:space="preserve"> PAGEREF _Toc180755788 \h </w:instrText>
            </w:r>
            <w:r>
              <w:rPr>
                <w:noProof/>
                <w:webHidden/>
              </w:rPr>
            </w:r>
            <w:r>
              <w:rPr>
                <w:noProof/>
                <w:webHidden/>
              </w:rPr>
              <w:fldChar w:fldCharType="separate"/>
            </w:r>
            <w:r>
              <w:rPr>
                <w:noProof/>
                <w:webHidden/>
              </w:rPr>
              <w:t>10</w:t>
            </w:r>
            <w:r>
              <w:rPr>
                <w:noProof/>
                <w:webHidden/>
              </w:rPr>
              <w:fldChar w:fldCharType="end"/>
            </w:r>
          </w:hyperlink>
        </w:p>
        <w:p w14:paraId="68D2A8AD" w14:textId="1B397DD5"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89" w:history="1">
            <w:r w:rsidRPr="0021715D">
              <w:rPr>
                <w:rStyle w:val="Hyperlink"/>
                <w:noProof/>
              </w:rPr>
              <w:t>5.4</w:t>
            </w:r>
            <w:r>
              <w:rPr>
                <w:rFonts w:asciiTheme="minorHAnsi" w:eastAsiaTheme="minorEastAsia" w:hAnsiTheme="minorHAnsi" w:cstheme="minorBidi"/>
                <w:noProof/>
                <w:kern w:val="2"/>
                <w:sz w:val="24"/>
                <w:szCs w:val="24"/>
                <w14:ligatures w14:val="standardContextual"/>
              </w:rPr>
              <w:tab/>
            </w:r>
            <w:r w:rsidRPr="0021715D">
              <w:rPr>
                <w:rStyle w:val="Hyperlink"/>
                <w:noProof/>
              </w:rPr>
              <w:t>Urgent Safety Measures</w:t>
            </w:r>
            <w:r>
              <w:rPr>
                <w:noProof/>
                <w:webHidden/>
              </w:rPr>
              <w:tab/>
            </w:r>
            <w:r>
              <w:rPr>
                <w:noProof/>
                <w:webHidden/>
              </w:rPr>
              <w:fldChar w:fldCharType="begin"/>
            </w:r>
            <w:r>
              <w:rPr>
                <w:noProof/>
                <w:webHidden/>
              </w:rPr>
              <w:instrText xml:space="preserve"> PAGEREF _Toc180755789 \h </w:instrText>
            </w:r>
            <w:r>
              <w:rPr>
                <w:noProof/>
                <w:webHidden/>
              </w:rPr>
            </w:r>
            <w:r>
              <w:rPr>
                <w:noProof/>
                <w:webHidden/>
              </w:rPr>
              <w:fldChar w:fldCharType="separate"/>
            </w:r>
            <w:r>
              <w:rPr>
                <w:noProof/>
                <w:webHidden/>
              </w:rPr>
              <w:t>12</w:t>
            </w:r>
            <w:r>
              <w:rPr>
                <w:noProof/>
                <w:webHidden/>
              </w:rPr>
              <w:fldChar w:fldCharType="end"/>
            </w:r>
          </w:hyperlink>
        </w:p>
        <w:p w14:paraId="749DF25A" w14:textId="039F74C5" w:rsidR="00A356B5" w:rsidRDefault="00A356B5">
          <w:pPr>
            <w:pStyle w:val="TOC3"/>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80755790" w:history="1">
            <w:r w:rsidRPr="0021715D">
              <w:rPr>
                <w:rStyle w:val="Hyperlink"/>
                <w:noProof/>
              </w:rPr>
              <w:t>5.5</w:t>
            </w:r>
            <w:r>
              <w:rPr>
                <w:rFonts w:asciiTheme="minorHAnsi" w:eastAsiaTheme="minorEastAsia" w:hAnsiTheme="minorHAnsi" w:cstheme="minorBidi"/>
                <w:noProof/>
                <w:kern w:val="2"/>
                <w:sz w:val="24"/>
                <w:szCs w:val="24"/>
                <w14:ligatures w14:val="standardContextual"/>
              </w:rPr>
              <w:tab/>
            </w:r>
            <w:r w:rsidRPr="0021715D">
              <w:rPr>
                <w:rStyle w:val="Hyperlink"/>
                <w:noProof/>
              </w:rPr>
              <w:t>Archiving</w:t>
            </w:r>
            <w:r>
              <w:rPr>
                <w:noProof/>
                <w:webHidden/>
              </w:rPr>
              <w:tab/>
            </w:r>
            <w:r>
              <w:rPr>
                <w:noProof/>
                <w:webHidden/>
              </w:rPr>
              <w:fldChar w:fldCharType="begin"/>
            </w:r>
            <w:r>
              <w:rPr>
                <w:noProof/>
                <w:webHidden/>
              </w:rPr>
              <w:instrText xml:space="preserve"> PAGEREF _Toc180755790 \h </w:instrText>
            </w:r>
            <w:r>
              <w:rPr>
                <w:noProof/>
                <w:webHidden/>
              </w:rPr>
            </w:r>
            <w:r>
              <w:rPr>
                <w:noProof/>
                <w:webHidden/>
              </w:rPr>
              <w:fldChar w:fldCharType="separate"/>
            </w:r>
            <w:r>
              <w:rPr>
                <w:noProof/>
                <w:webHidden/>
              </w:rPr>
              <w:t>12</w:t>
            </w:r>
            <w:r>
              <w:rPr>
                <w:noProof/>
                <w:webHidden/>
              </w:rPr>
              <w:fldChar w:fldCharType="end"/>
            </w:r>
          </w:hyperlink>
        </w:p>
        <w:p w14:paraId="6A674A0C" w14:textId="321B1A25"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91" w:history="1">
            <w:r w:rsidRPr="0021715D">
              <w:rPr>
                <w:rStyle w:val="Hyperlink"/>
                <w:noProof/>
              </w:rPr>
              <w:t>6.</w:t>
            </w:r>
            <w:r>
              <w:rPr>
                <w:rFonts w:asciiTheme="minorHAnsi" w:eastAsiaTheme="minorEastAsia" w:hAnsiTheme="minorHAnsi" w:cstheme="minorBidi"/>
                <w:noProof/>
                <w:kern w:val="2"/>
                <w:sz w:val="24"/>
                <w:szCs w:val="24"/>
                <w14:ligatures w14:val="standardContextual"/>
              </w:rPr>
              <w:tab/>
            </w:r>
            <w:r w:rsidRPr="0021715D">
              <w:rPr>
                <w:rStyle w:val="Hyperlink"/>
                <w:noProof/>
              </w:rPr>
              <w:t>REFERENCES</w:t>
            </w:r>
            <w:r>
              <w:rPr>
                <w:noProof/>
                <w:webHidden/>
              </w:rPr>
              <w:tab/>
            </w:r>
            <w:r>
              <w:rPr>
                <w:noProof/>
                <w:webHidden/>
              </w:rPr>
              <w:fldChar w:fldCharType="begin"/>
            </w:r>
            <w:r>
              <w:rPr>
                <w:noProof/>
                <w:webHidden/>
              </w:rPr>
              <w:instrText xml:space="preserve"> PAGEREF _Toc180755791 \h </w:instrText>
            </w:r>
            <w:r>
              <w:rPr>
                <w:noProof/>
                <w:webHidden/>
              </w:rPr>
            </w:r>
            <w:r>
              <w:rPr>
                <w:noProof/>
                <w:webHidden/>
              </w:rPr>
              <w:fldChar w:fldCharType="separate"/>
            </w:r>
            <w:r>
              <w:rPr>
                <w:noProof/>
                <w:webHidden/>
              </w:rPr>
              <w:t>12</w:t>
            </w:r>
            <w:r>
              <w:rPr>
                <w:noProof/>
                <w:webHidden/>
              </w:rPr>
              <w:fldChar w:fldCharType="end"/>
            </w:r>
          </w:hyperlink>
        </w:p>
        <w:p w14:paraId="1790A92B" w14:textId="37F3128E" w:rsidR="00A356B5" w:rsidRDefault="00A356B5">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0755792" w:history="1">
            <w:r w:rsidRPr="0021715D">
              <w:rPr>
                <w:rStyle w:val="Hyperlink"/>
                <w:noProof/>
              </w:rPr>
              <w:t>7.</w:t>
            </w:r>
            <w:r>
              <w:rPr>
                <w:rFonts w:asciiTheme="minorHAnsi" w:eastAsiaTheme="minorEastAsia" w:hAnsiTheme="minorHAnsi" w:cstheme="minorBidi"/>
                <w:noProof/>
                <w:kern w:val="2"/>
                <w:sz w:val="24"/>
                <w:szCs w:val="24"/>
                <w14:ligatures w14:val="standardContextual"/>
              </w:rPr>
              <w:tab/>
            </w:r>
            <w:r w:rsidRPr="0021715D">
              <w:rPr>
                <w:rStyle w:val="Hyperlink"/>
                <w:noProof/>
              </w:rPr>
              <w:t>RELATED TOOLS</w:t>
            </w:r>
            <w:r>
              <w:rPr>
                <w:noProof/>
                <w:webHidden/>
              </w:rPr>
              <w:tab/>
            </w:r>
            <w:r>
              <w:rPr>
                <w:noProof/>
                <w:webHidden/>
              </w:rPr>
              <w:fldChar w:fldCharType="begin"/>
            </w:r>
            <w:r>
              <w:rPr>
                <w:noProof/>
                <w:webHidden/>
              </w:rPr>
              <w:instrText xml:space="preserve"> PAGEREF _Toc180755792 \h </w:instrText>
            </w:r>
            <w:r>
              <w:rPr>
                <w:noProof/>
                <w:webHidden/>
              </w:rPr>
            </w:r>
            <w:r>
              <w:rPr>
                <w:noProof/>
                <w:webHidden/>
              </w:rPr>
              <w:fldChar w:fldCharType="separate"/>
            </w:r>
            <w:r>
              <w:rPr>
                <w:noProof/>
                <w:webHidden/>
              </w:rPr>
              <w:t>12</w:t>
            </w:r>
            <w:r>
              <w:rPr>
                <w:noProof/>
                <w:webHidden/>
              </w:rPr>
              <w:fldChar w:fldCharType="end"/>
            </w:r>
          </w:hyperlink>
        </w:p>
        <w:p w14:paraId="11549179" w14:textId="031BAE5A" w:rsidR="00A356B5" w:rsidRDefault="00A356B5">
          <w:r>
            <w:rPr>
              <w:b/>
              <w:bCs/>
              <w:noProof/>
            </w:rPr>
            <w:lastRenderedPageBreak/>
            <w:fldChar w:fldCharType="end"/>
          </w:r>
        </w:p>
      </w:sdtContent>
    </w:sdt>
    <w:p w14:paraId="5C67CE9B" w14:textId="77777777" w:rsidR="004B7D47" w:rsidRPr="004B7D47" w:rsidRDefault="004B7D47" w:rsidP="004B7D47">
      <w:pPr>
        <w:pStyle w:val="Heading1"/>
        <w:numPr>
          <w:ilvl w:val="0"/>
          <w:numId w:val="0"/>
        </w:numPr>
        <w:ind w:left="360"/>
      </w:pPr>
      <w:bookmarkStart w:id="1" w:name="_Toc180755768"/>
      <w:r w:rsidRPr="004E294D">
        <w:t>Standard Operating Procedures for</w:t>
      </w:r>
      <w:r>
        <w:t>:                                  Safety data collection and reporting at trial sites</w:t>
      </w:r>
      <w:bookmarkEnd w:id="1"/>
    </w:p>
    <w:p w14:paraId="7AE8363C" w14:textId="77777777" w:rsidR="005E177E" w:rsidRPr="00D01A3D" w:rsidRDefault="00F23C87" w:rsidP="009E6FEF">
      <w:pPr>
        <w:pStyle w:val="Heading2"/>
        <w:spacing w:before="360" w:after="80" w:line="276" w:lineRule="auto"/>
        <w:contextualSpacing/>
        <w:jc w:val="left"/>
      </w:pPr>
      <w:bookmarkStart w:id="2" w:name="_Toc180755769"/>
      <w:r w:rsidRPr="00D01A3D">
        <w:t>PURPOSE</w:t>
      </w:r>
      <w:bookmarkEnd w:id="2"/>
    </w:p>
    <w:tbl>
      <w:tblPr>
        <w:tblStyle w:val="TableGrid"/>
        <w:tblW w:w="5000" w:type="pct"/>
        <w:tblLook w:val="04A0" w:firstRow="1" w:lastRow="0" w:firstColumn="1" w:lastColumn="0" w:noHBand="0" w:noVBand="1"/>
      </w:tblPr>
      <w:tblGrid>
        <w:gridCol w:w="9350"/>
      </w:tblGrid>
      <w:tr w:rsidR="0002305E" w14:paraId="6E30F1B7" w14:textId="77777777" w:rsidTr="005E5D81">
        <w:tc>
          <w:tcPr>
            <w:tcW w:w="5000" w:type="pct"/>
          </w:tcPr>
          <w:p w14:paraId="39759063" w14:textId="77777777" w:rsidR="0002305E" w:rsidRDefault="000C6D8E" w:rsidP="008C71E6">
            <w:r>
              <w:t>Th</w:t>
            </w:r>
            <w:r w:rsidRPr="000C6D8E">
              <w:t>is</w:t>
            </w:r>
            <w:r>
              <w:t xml:space="preserve"> procedure describes</w:t>
            </w:r>
            <w:r w:rsidRPr="000C6D8E">
              <w:t xml:space="preserve"> </w:t>
            </w:r>
            <w:r>
              <w:t>the collection of adverse events (AEs) and other safety parameters, the flow for transmission of this information to the pharmacovigilance (PV</w:t>
            </w:r>
            <w:r w:rsidR="008C71E6">
              <w:t>) unit, the</w:t>
            </w:r>
            <w:r>
              <w:t xml:space="preserve"> </w:t>
            </w:r>
            <w:r w:rsidR="008C71E6">
              <w:t>expedit</w:t>
            </w:r>
            <w:r>
              <w:t>ed reporting activities</w:t>
            </w:r>
            <w:r w:rsidR="008C71E6">
              <w:t>, and the documentation steps at site level.</w:t>
            </w:r>
          </w:p>
        </w:tc>
      </w:tr>
    </w:tbl>
    <w:p w14:paraId="66B5EBD2" w14:textId="77777777" w:rsidR="00F23C87" w:rsidRPr="00D01A3D" w:rsidRDefault="00F23C87" w:rsidP="00D01A3D">
      <w:pPr>
        <w:pStyle w:val="Heading2"/>
      </w:pPr>
      <w:bookmarkStart w:id="3" w:name="_Toc180755770"/>
      <w:r w:rsidRPr="00D01A3D">
        <w:t>SCOPE</w:t>
      </w:r>
      <w:bookmarkEnd w:id="3"/>
    </w:p>
    <w:tbl>
      <w:tblPr>
        <w:tblStyle w:val="TableGrid"/>
        <w:tblW w:w="5000" w:type="pct"/>
        <w:tblLook w:val="04A0" w:firstRow="1" w:lastRow="0" w:firstColumn="1" w:lastColumn="0" w:noHBand="0" w:noVBand="1"/>
      </w:tblPr>
      <w:tblGrid>
        <w:gridCol w:w="9350"/>
      </w:tblGrid>
      <w:tr w:rsidR="0002305E" w:rsidRPr="000C42F3" w14:paraId="57C0043E" w14:textId="77777777" w:rsidTr="005E5D81">
        <w:tc>
          <w:tcPr>
            <w:tcW w:w="5000" w:type="pct"/>
          </w:tcPr>
          <w:p w14:paraId="6C24B852" w14:textId="1369962E" w:rsidR="0002305E" w:rsidRPr="000C42F3" w:rsidRDefault="009F2FE3" w:rsidP="008C71E6">
            <w:r w:rsidRPr="000C42F3">
              <w:t>This procedure applies to all sites involved in the endT</w:t>
            </w:r>
            <w:r w:rsidR="005C28C9" w:rsidRPr="000C42F3">
              <w:t xml:space="preserve">B </w:t>
            </w:r>
            <w:r w:rsidR="009D0FEF" w:rsidRPr="000C42F3">
              <w:t xml:space="preserve">and endTB-Q </w:t>
            </w:r>
            <w:r w:rsidR="005C28C9" w:rsidRPr="000C42F3">
              <w:t>interventional clinical trial</w:t>
            </w:r>
            <w:r w:rsidR="009D0FEF" w:rsidRPr="000C42F3">
              <w:t>s</w:t>
            </w:r>
            <w:r w:rsidR="005C28C9" w:rsidRPr="000C42F3">
              <w:t xml:space="preserve"> and to safety data pertaining to all patients enrolled in the endTB </w:t>
            </w:r>
            <w:r w:rsidR="009D0FEF" w:rsidRPr="000C42F3">
              <w:t xml:space="preserve">and endTB-Q </w:t>
            </w:r>
            <w:r w:rsidR="005C28C9" w:rsidRPr="000C42F3">
              <w:t>interventional clinical trial</w:t>
            </w:r>
            <w:r w:rsidR="009D0FEF" w:rsidRPr="000C42F3">
              <w:t>s</w:t>
            </w:r>
            <w:r w:rsidR="005C28C9" w:rsidRPr="000C42F3">
              <w:t>.</w:t>
            </w:r>
          </w:p>
        </w:tc>
      </w:tr>
    </w:tbl>
    <w:p w14:paraId="7C6FB26F" w14:textId="77777777" w:rsidR="00F23C87" w:rsidRPr="000C42F3" w:rsidRDefault="00F23C87" w:rsidP="00D01A3D">
      <w:pPr>
        <w:pStyle w:val="Heading2"/>
      </w:pPr>
      <w:bookmarkStart w:id="4" w:name="_Toc180755771"/>
      <w:r w:rsidRPr="000C42F3">
        <w:t>RESPONSIBLE FUNCTIONS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7299"/>
      </w:tblGrid>
      <w:tr w:rsidR="0002305E" w:rsidRPr="000C42F3" w14:paraId="5FCDA3B8" w14:textId="77777777" w:rsidTr="007B4594">
        <w:trPr>
          <w:trHeight w:val="70"/>
          <w:tblHeader/>
        </w:trPr>
        <w:tc>
          <w:tcPr>
            <w:tcW w:w="1097" w:type="pct"/>
            <w:shd w:val="clear" w:color="auto" w:fill="F2F2F2"/>
            <w:vAlign w:val="center"/>
          </w:tcPr>
          <w:p w14:paraId="641D4C73" w14:textId="77777777" w:rsidR="0002305E" w:rsidRPr="000C42F3" w:rsidRDefault="0002305E" w:rsidP="00B8067B">
            <w:pPr>
              <w:spacing w:before="80" w:after="80"/>
              <w:jc w:val="left"/>
              <w:rPr>
                <w:rFonts w:cs="Arial"/>
                <w:b/>
              </w:rPr>
            </w:pPr>
            <w:r w:rsidRPr="000C42F3">
              <w:rPr>
                <w:rFonts w:cs="Arial"/>
                <w:b/>
              </w:rPr>
              <w:t>Function</w:t>
            </w:r>
          </w:p>
        </w:tc>
        <w:tc>
          <w:tcPr>
            <w:tcW w:w="3903" w:type="pct"/>
            <w:shd w:val="clear" w:color="auto" w:fill="F2F2F2"/>
            <w:vAlign w:val="center"/>
          </w:tcPr>
          <w:p w14:paraId="530AC8FE" w14:textId="77777777" w:rsidR="0002305E" w:rsidRPr="000C42F3" w:rsidRDefault="0002305E" w:rsidP="00B8067B">
            <w:pPr>
              <w:spacing w:before="80" w:after="80"/>
              <w:jc w:val="left"/>
              <w:rPr>
                <w:rFonts w:cs="Arial"/>
                <w:b/>
              </w:rPr>
            </w:pPr>
            <w:r w:rsidRPr="000C42F3">
              <w:rPr>
                <w:rFonts w:cs="Arial"/>
                <w:b/>
              </w:rPr>
              <w:t>Activities</w:t>
            </w:r>
          </w:p>
        </w:tc>
      </w:tr>
      <w:tr w:rsidR="0002305E" w:rsidRPr="001F21DF" w14:paraId="0EBB4161" w14:textId="77777777" w:rsidTr="007B4594">
        <w:tc>
          <w:tcPr>
            <w:tcW w:w="1097" w:type="pct"/>
            <w:shd w:val="clear" w:color="auto" w:fill="auto"/>
            <w:vAlign w:val="center"/>
          </w:tcPr>
          <w:p w14:paraId="6F0EB5D0" w14:textId="605F331E" w:rsidR="0002305E" w:rsidRPr="000C42F3" w:rsidRDefault="001F21DF" w:rsidP="00B8067B">
            <w:pPr>
              <w:spacing w:before="80" w:after="80"/>
              <w:jc w:val="left"/>
              <w:rPr>
                <w:rFonts w:cs="Arial"/>
                <w:b/>
              </w:rPr>
            </w:pPr>
            <w:r w:rsidRPr="000C42F3">
              <w:rPr>
                <w:rFonts w:cs="Arial"/>
                <w:b/>
              </w:rPr>
              <w:t>Site Co-I</w:t>
            </w:r>
            <w:r w:rsidR="001B3072" w:rsidRPr="000C42F3">
              <w:rPr>
                <w:rFonts w:cs="Arial"/>
                <w:b/>
              </w:rPr>
              <w:t>nvestigator (Co</w:t>
            </w:r>
            <w:r w:rsidR="00C57054" w:rsidRPr="000C42F3">
              <w:rPr>
                <w:rFonts w:cs="Arial"/>
                <w:b/>
              </w:rPr>
              <w:t>-</w:t>
            </w:r>
            <w:r w:rsidR="001B3072" w:rsidRPr="000C42F3">
              <w:rPr>
                <w:rFonts w:cs="Arial"/>
                <w:b/>
              </w:rPr>
              <w:t>I)</w:t>
            </w:r>
          </w:p>
        </w:tc>
        <w:tc>
          <w:tcPr>
            <w:tcW w:w="3903" w:type="pct"/>
            <w:shd w:val="clear" w:color="auto" w:fill="auto"/>
            <w:vAlign w:val="center"/>
          </w:tcPr>
          <w:p w14:paraId="2261E2F4" w14:textId="7E9518CE" w:rsidR="001F21DF" w:rsidRPr="000C42F3" w:rsidRDefault="001F21DF" w:rsidP="00B8067B">
            <w:pPr>
              <w:pStyle w:val="ListParagraph"/>
              <w:numPr>
                <w:ilvl w:val="0"/>
                <w:numId w:val="29"/>
              </w:numPr>
              <w:spacing w:before="80" w:after="80"/>
              <w:ind w:left="136" w:hanging="136"/>
              <w:contextualSpacing w:val="0"/>
              <w:rPr>
                <w:rFonts w:cs="Arial"/>
              </w:rPr>
            </w:pPr>
            <w:r w:rsidRPr="000C42F3">
              <w:rPr>
                <w:rFonts w:cs="Arial"/>
              </w:rPr>
              <w:t>Detect, evaluate, record and manage Adverse Events (AEs) and other safety parameters (pregnancies, overdoses)</w:t>
            </w:r>
            <w:r w:rsidR="00C57054" w:rsidRPr="000C42F3">
              <w:rPr>
                <w:rFonts w:cs="Arial"/>
              </w:rPr>
              <w:t>;</w:t>
            </w:r>
          </w:p>
          <w:p w14:paraId="204C5DD2" w14:textId="3357E766" w:rsidR="001F21DF" w:rsidRPr="000C42F3" w:rsidRDefault="001F21DF" w:rsidP="00B8067B">
            <w:pPr>
              <w:pStyle w:val="ListParagraph"/>
              <w:numPr>
                <w:ilvl w:val="0"/>
                <w:numId w:val="29"/>
              </w:numPr>
              <w:spacing w:before="80" w:after="80"/>
              <w:ind w:left="136" w:hanging="136"/>
              <w:contextualSpacing w:val="0"/>
              <w:rPr>
                <w:rFonts w:cs="Arial"/>
              </w:rPr>
            </w:pPr>
            <w:r w:rsidRPr="000C42F3">
              <w:rPr>
                <w:rFonts w:cs="Arial"/>
              </w:rPr>
              <w:t xml:space="preserve">Timely inform the Site Principal Investigator (PI) and the </w:t>
            </w:r>
            <w:r w:rsidR="00322890" w:rsidRPr="000C42F3">
              <w:rPr>
                <w:rFonts w:cs="Arial"/>
              </w:rPr>
              <w:t>Site Study Coordinator</w:t>
            </w:r>
            <w:r w:rsidR="00326E24" w:rsidRPr="000C42F3">
              <w:rPr>
                <w:rFonts w:cs="Arial"/>
              </w:rPr>
              <w:t xml:space="preserve"> (SSC)</w:t>
            </w:r>
            <w:r w:rsidR="00322890" w:rsidRPr="000C42F3">
              <w:rPr>
                <w:rFonts w:cs="Arial"/>
              </w:rPr>
              <w:t xml:space="preserve"> </w:t>
            </w:r>
            <w:r w:rsidRPr="000C42F3">
              <w:rPr>
                <w:rFonts w:cs="Arial"/>
              </w:rPr>
              <w:t>of the occurrence of Serious AEs (SAE), pregnancies, overdoses, and AEs of Special Interest (AESI)</w:t>
            </w:r>
            <w:r w:rsidR="00C57054" w:rsidRPr="000C42F3">
              <w:rPr>
                <w:rFonts w:cs="Arial"/>
              </w:rPr>
              <w:t>;</w:t>
            </w:r>
          </w:p>
          <w:p w14:paraId="2CB7F717" w14:textId="58848789" w:rsidR="0002305E" w:rsidRPr="000C42F3" w:rsidRDefault="001F21DF" w:rsidP="00B8067B">
            <w:pPr>
              <w:pStyle w:val="ListParagraph"/>
              <w:numPr>
                <w:ilvl w:val="0"/>
                <w:numId w:val="29"/>
              </w:numPr>
              <w:spacing w:before="80" w:after="80"/>
              <w:ind w:left="136" w:hanging="136"/>
              <w:contextualSpacing w:val="0"/>
              <w:rPr>
                <w:rFonts w:cs="Arial"/>
              </w:rPr>
            </w:pPr>
            <w:r w:rsidRPr="000C42F3">
              <w:rPr>
                <w:rFonts w:cs="Arial"/>
              </w:rPr>
              <w:t>Support the Site PI in filling SAE/Preg</w:t>
            </w:r>
            <w:r w:rsidR="00984F45" w:rsidRPr="000C42F3">
              <w:rPr>
                <w:rFonts w:cs="Arial"/>
              </w:rPr>
              <w:t>nancy Report Forms</w:t>
            </w:r>
            <w:r w:rsidR="00C57054" w:rsidRPr="000C42F3">
              <w:rPr>
                <w:rFonts w:cs="Arial"/>
              </w:rPr>
              <w:t>;</w:t>
            </w:r>
          </w:p>
          <w:p w14:paraId="288EF0DE" w14:textId="17592E3E" w:rsidR="00984F45" w:rsidRPr="000C42F3" w:rsidRDefault="00984F45" w:rsidP="00B8067B">
            <w:pPr>
              <w:pStyle w:val="ListParagraph"/>
              <w:numPr>
                <w:ilvl w:val="0"/>
                <w:numId w:val="29"/>
              </w:numPr>
              <w:spacing w:before="80" w:after="80"/>
              <w:ind w:left="136" w:hanging="136"/>
              <w:contextualSpacing w:val="0"/>
              <w:rPr>
                <w:rFonts w:cs="Arial"/>
              </w:rPr>
            </w:pPr>
            <w:r w:rsidRPr="000C42F3">
              <w:t>Notify early (if applicable) and collaborate actively on communication, management, implementation</w:t>
            </w:r>
            <w:r w:rsidR="00C57054" w:rsidRPr="000C42F3">
              <w:t>,</w:t>
            </w:r>
            <w:r w:rsidRPr="000C42F3">
              <w:t xml:space="preserve"> and follow-up of Urgent Safety Measures.</w:t>
            </w:r>
          </w:p>
        </w:tc>
      </w:tr>
      <w:tr w:rsidR="0002305E" w:rsidRPr="001F21DF" w14:paraId="5C154B08" w14:textId="77777777" w:rsidTr="007B4594">
        <w:tc>
          <w:tcPr>
            <w:tcW w:w="1097" w:type="pct"/>
            <w:shd w:val="clear" w:color="auto" w:fill="auto"/>
            <w:vAlign w:val="center"/>
          </w:tcPr>
          <w:p w14:paraId="40C7D9B7" w14:textId="77777777" w:rsidR="0002305E" w:rsidRPr="001F21DF" w:rsidRDefault="001F21DF" w:rsidP="00B8067B">
            <w:pPr>
              <w:spacing w:before="80" w:after="80"/>
              <w:jc w:val="left"/>
              <w:rPr>
                <w:rFonts w:cs="Arial"/>
                <w:b/>
              </w:rPr>
            </w:pPr>
            <w:r>
              <w:rPr>
                <w:rFonts w:cs="Arial"/>
                <w:b/>
              </w:rPr>
              <w:t xml:space="preserve">Site </w:t>
            </w:r>
            <w:r w:rsidRPr="001F21DF">
              <w:rPr>
                <w:b/>
              </w:rPr>
              <w:t>Principal Investigator (PI)</w:t>
            </w:r>
          </w:p>
        </w:tc>
        <w:tc>
          <w:tcPr>
            <w:tcW w:w="3903" w:type="pct"/>
            <w:shd w:val="clear" w:color="auto" w:fill="auto"/>
            <w:vAlign w:val="center"/>
          </w:tcPr>
          <w:p w14:paraId="4DF81327" w14:textId="6F50888E" w:rsidR="001F21DF" w:rsidRDefault="001F21DF" w:rsidP="00B8067B">
            <w:pPr>
              <w:pStyle w:val="ListParagraph"/>
              <w:numPr>
                <w:ilvl w:val="0"/>
                <w:numId w:val="30"/>
              </w:numPr>
              <w:spacing w:before="80" w:after="80"/>
              <w:ind w:left="136" w:hanging="136"/>
              <w:contextualSpacing w:val="0"/>
            </w:pPr>
            <w:r w:rsidRPr="00BD0E35">
              <w:t>Detect, evaluate, record and manage AEs</w:t>
            </w:r>
            <w:r>
              <w:t xml:space="preserve"> </w:t>
            </w:r>
            <w:r w:rsidRPr="00216A8B">
              <w:t>and other safety parameters (pregnancies, overdoses)</w:t>
            </w:r>
            <w:r w:rsidR="00C57054">
              <w:t>;</w:t>
            </w:r>
          </w:p>
          <w:p w14:paraId="4103988F" w14:textId="17883560" w:rsidR="001F21DF" w:rsidRPr="007B4594" w:rsidRDefault="001F21DF" w:rsidP="00B8067B">
            <w:pPr>
              <w:pStyle w:val="ListParagraph"/>
              <w:numPr>
                <w:ilvl w:val="0"/>
                <w:numId w:val="30"/>
              </w:numPr>
              <w:spacing w:before="80" w:after="80"/>
              <w:ind w:left="136" w:hanging="136"/>
              <w:contextualSpacing w:val="0"/>
            </w:pPr>
            <w:r w:rsidRPr="007B4594">
              <w:t xml:space="preserve">Support </w:t>
            </w:r>
            <w:r w:rsidR="001B3072" w:rsidRPr="007B4594">
              <w:t>Site Co</w:t>
            </w:r>
            <w:r w:rsidR="00C57054">
              <w:t>-</w:t>
            </w:r>
            <w:r w:rsidR="001B3072" w:rsidRPr="007B4594">
              <w:t>Is</w:t>
            </w:r>
            <w:r w:rsidRPr="007B4594">
              <w:t xml:space="preserve"> in managing AEs, pregnancies or overdoses, and </w:t>
            </w:r>
            <w:r w:rsidR="009D0FEF" w:rsidRPr="007B4594">
              <w:t>patients’</w:t>
            </w:r>
            <w:r w:rsidRPr="007B4594">
              <w:t xml:space="preserve"> referrals</w:t>
            </w:r>
            <w:r w:rsidR="00322890" w:rsidRPr="007B4594">
              <w:t xml:space="preserve"> </w:t>
            </w:r>
            <w:r w:rsidR="007B4594" w:rsidRPr="007B4594">
              <w:t>as</w:t>
            </w:r>
            <w:r w:rsidR="00322890" w:rsidRPr="007B4594">
              <w:t xml:space="preserve"> needed</w:t>
            </w:r>
            <w:r w:rsidR="00C57054">
              <w:t>;</w:t>
            </w:r>
          </w:p>
          <w:p w14:paraId="4200742D" w14:textId="7868EE18" w:rsidR="001F21DF" w:rsidRPr="00BD0E35" w:rsidRDefault="001F21DF" w:rsidP="00B8067B">
            <w:pPr>
              <w:pStyle w:val="ListParagraph"/>
              <w:numPr>
                <w:ilvl w:val="0"/>
                <w:numId w:val="30"/>
              </w:numPr>
              <w:spacing w:before="80" w:after="80"/>
              <w:ind w:left="136" w:hanging="136"/>
              <w:contextualSpacing w:val="0"/>
            </w:pPr>
            <w:r w:rsidRPr="00BD0E35">
              <w:t xml:space="preserve">Timely inform the Pharmacovigilance (PV) </w:t>
            </w:r>
            <w:r w:rsidR="001B3072">
              <w:t>u</w:t>
            </w:r>
            <w:r w:rsidRPr="00BD0E35">
              <w:t>nit</w:t>
            </w:r>
            <w:r>
              <w:t xml:space="preserve"> </w:t>
            </w:r>
            <w:r w:rsidRPr="00BD0E35">
              <w:t xml:space="preserve">of all SAEs, pregnancies, </w:t>
            </w:r>
            <w:r>
              <w:t xml:space="preserve">overdoses, </w:t>
            </w:r>
            <w:r w:rsidRPr="00BD0E35">
              <w:t>and AESI occurring during the trial</w:t>
            </w:r>
            <w:r w:rsidR="00C57054">
              <w:t>;</w:t>
            </w:r>
          </w:p>
          <w:p w14:paraId="2675AE1A" w14:textId="1C5DA9EB" w:rsidR="001F21DF" w:rsidRPr="00BD0E35" w:rsidRDefault="001F21DF" w:rsidP="00B8067B">
            <w:pPr>
              <w:pStyle w:val="ListParagraph"/>
              <w:numPr>
                <w:ilvl w:val="0"/>
                <w:numId w:val="30"/>
              </w:numPr>
              <w:spacing w:before="80" w:after="80"/>
              <w:ind w:left="136" w:hanging="136"/>
              <w:contextualSpacing w:val="0"/>
            </w:pPr>
            <w:r w:rsidRPr="00BD0E35">
              <w:t xml:space="preserve">Address all queries raised by the </w:t>
            </w:r>
            <w:r w:rsidR="00F54ED6">
              <w:t>Sponsor</w:t>
            </w:r>
            <w:r w:rsidR="001B3072">
              <w:t xml:space="preserve"> </w:t>
            </w:r>
            <w:r w:rsidRPr="00BD0E35">
              <w:t>including requests for additional information on individual cases</w:t>
            </w:r>
            <w:r w:rsidR="00C57054">
              <w:t>;</w:t>
            </w:r>
          </w:p>
          <w:p w14:paraId="0BA4E76D" w14:textId="24FC1D84" w:rsidR="001F21DF" w:rsidRPr="00BD0E35" w:rsidRDefault="001F21DF" w:rsidP="00B8067B">
            <w:pPr>
              <w:pStyle w:val="ListParagraph"/>
              <w:numPr>
                <w:ilvl w:val="0"/>
                <w:numId w:val="30"/>
              </w:numPr>
              <w:spacing w:before="80" w:after="80"/>
              <w:ind w:left="136" w:hanging="136"/>
              <w:contextualSpacing w:val="0"/>
            </w:pPr>
            <w:r w:rsidRPr="00BD0E35">
              <w:t xml:space="preserve">Forward Suspected Unexpected Serious Adverse Reaction (SUSAR) Reports, Annual Safety Reports (ASR) and Data and Safety Monitoring Board (DSMB) </w:t>
            </w:r>
            <w:r w:rsidR="00644468">
              <w:t xml:space="preserve">conclusion </w:t>
            </w:r>
            <w:r w:rsidRPr="00BD0E35">
              <w:t xml:space="preserve">reports to </w:t>
            </w:r>
            <w:r>
              <w:t xml:space="preserve">local </w:t>
            </w:r>
            <w:r w:rsidRPr="00BD0E35">
              <w:t>Ethic Committee</w:t>
            </w:r>
            <w:r>
              <w:t>s</w:t>
            </w:r>
            <w:r w:rsidRPr="00BD0E35">
              <w:t xml:space="preserve"> </w:t>
            </w:r>
            <w:r>
              <w:t xml:space="preserve">(EC) </w:t>
            </w:r>
            <w:r w:rsidRPr="00BD0E35">
              <w:t>and National Regulatory Authorities (NRA), as appropriate</w:t>
            </w:r>
            <w:r w:rsidR="00C57054">
              <w:t>;</w:t>
            </w:r>
          </w:p>
          <w:p w14:paraId="504EFB1E" w14:textId="57A73821" w:rsidR="0002305E" w:rsidRPr="00984F45" w:rsidRDefault="001F21DF" w:rsidP="00B8067B">
            <w:pPr>
              <w:pStyle w:val="ListParagraph"/>
              <w:numPr>
                <w:ilvl w:val="0"/>
                <w:numId w:val="30"/>
              </w:numPr>
              <w:spacing w:before="80" w:after="80"/>
              <w:ind w:left="136" w:hanging="136"/>
              <w:contextualSpacing w:val="0"/>
              <w:rPr>
                <w:rFonts w:cs="Arial"/>
              </w:rPr>
            </w:pPr>
            <w:r w:rsidRPr="00BD0E35">
              <w:lastRenderedPageBreak/>
              <w:t xml:space="preserve">With support from the PV </w:t>
            </w:r>
            <w:r w:rsidR="001B3072">
              <w:t>u</w:t>
            </w:r>
            <w:r w:rsidRPr="00BD0E35">
              <w:t>nit</w:t>
            </w:r>
            <w:r w:rsidR="001B3072">
              <w:t xml:space="preserve">, the Central Study </w:t>
            </w:r>
            <w:r w:rsidR="00005823">
              <w:t>PI, the Clinical PI</w:t>
            </w:r>
            <w:r w:rsidR="001B3072">
              <w:t>,</w:t>
            </w:r>
            <w:r w:rsidR="00644468">
              <w:t xml:space="preserve"> the Central Study Coordinators</w:t>
            </w:r>
            <w:r w:rsidRPr="00BD0E35">
              <w:t xml:space="preserve"> and the </w:t>
            </w:r>
            <w:r w:rsidR="00AA2180">
              <w:t xml:space="preserve">Clinical Trial </w:t>
            </w:r>
            <w:r w:rsidR="001B3072">
              <w:t>Manager</w:t>
            </w:r>
            <w:r w:rsidRPr="00BD0E35">
              <w:t xml:space="preserve"> </w:t>
            </w:r>
            <w:r w:rsidR="00F54ED6">
              <w:t xml:space="preserve">(as applicable) </w:t>
            </w:r>
            <w:r w:rsidRPr="00BD0E35">
              <w:t xml:space="preserve">address all queries raised by the </w:t>
            </w:r>
            <w:r>
              <w:t>EC</w:t>
            </w:r>
            <w:r w:rsidRPr="00BD0E35">
              <w:t xml:space="preserve"> and NRA</w:t>
            </w:r>
            <w:r w:rsidR="00C57054">
              <w:t>;</w:t>
            </w:r>
          </w:p>
          <w:p w14:paraId="0104826C" w14:textId="6A8D6D21" w:rsidR="007B4594" w:rsidRPr="00BD0E35" w:rsidRDefault="007B4594" w:rsidP="007B4594">
            <w:pPr>
              <w:pStyle w:val="ListParagraph"/>
              <w:numPr>
                <w:ilvl w:val="0"/>
                <w:numId w:val="30"/>
              </w:numPr>
              <w:spacing w:before="80" w:after="80"/>
              <w:ind w:left="136" w:hanging="136"/>
              <w:contextualSpacing w:val="0"/>
            </w:pPr>
            <w:r w:rsidRPr="00BD0E35">
              <w:t>Complete, sign and send SAE/Pregnancy Report Forms to</w:t>
            </w:r>
            <w:r w:rsidR="00644468">
              <w:t xml:space="preserve"> the</w:t>
            </w:r>
            <w:r w:rsidRPr="00BD0E35">
              <w:t xml:space="preserve"> PV </w:t>
            </w:r>
            <w:r>
              <w:t>u</w:t>
            </w:r>
            <w:r w:rsidRPr="00BD0E35">
              <w:t>nit</w:t>
            </w:r>
            <w:r w:rsidR="00C57054">
              <w:t>;</w:t>
            </w:r>
          </w:p>
          <w:p w14:paraId="250C1884" w14:textId="77777777" w:rsidR="00984F45" w:rsidRPr="001F21DF" w:rsidRDefault="00984F45" w:rsidP="00B8067B">
            <w:pPr>
              <w:pStyle w:val="ListParagraph"/>
              <w:numPr>
                <w:ilvl w:val="0"/>
                <w:numId w:val="30"/>
              </w:numPr>
              <w:spacing w:before="80" w:after="80"/>
              <w:ind w:left="136" w:hanging="136"/>
              <w:contextualSpacing w:val="0"/>
              <w:rPr>
                <w:rFonts w:cs="Arial"/>
              </w:rPr>
            </w:pPr>
            <w:r>
              <w:t>Notify early (if applicable) and collaborate actively on communication, management, implementation and follow-up of Urgent Safety Measures.</w:t>
            </w:r>
          </w:p>
        </w:tc>
      </w:tr>
      <w:tr w:rsidR="0002305E" w:rsidRPr="001F21DF" w14:paraId="1EAD8A66" w14:textId="77777777" w:rsidTr="007B4594">
        <w:tc>
          <w:tcPr>
            <w:tcW w:w="1097" w:type="pct"/>
            <w:shd w:val="clear" w:color="auto" w:fill="auto"/>
            <w:vAlign w:val="center"/>
          </w:tcPr>
          <w:p w14:paraId="37EC5766" w14:textId="77777777" w:rsidR="0002305E" w:rsidRPr="00446D73" w:rsidRDefault="00322890" w:rsidP="00B8067B">
            <w:pPr>
              <w:spacing w:before="80" w:after="80"/>
              <w:jc w:val="left"/>
              <w:rPr>
                <w:rFonts w:cs="Arial"/>
                <w:b/>
              </w:rPr>
            </w:pPr>
            <w:r w:rsidRPr="00446D73">
              <w:rPr>
                <w:b/>
              </w:rPr>
              <w:lastRenderedPageBreak/>
              <w:t>Site Study Coordinator (SSC)</w:t>
            </w:r>
          </w:p>
        </w:tc>
        <w:tc>
          <w:tcPr>
            <w:tcW w:w="3903" w:type="pct"/>
            <w:shd w:val="clear" w:color="auto" w:fill="auto"/>
            <w:vAlign w:val="center"/>
          </w:tcPr>
          <w:p w14:paraId="00E1ABFD" w14:textId="207AFC73" w:rsidR="00322890" w:rsidRDefault="00322890" w:rsidP="00B8067B">
            <w:pPr>
              <w:pStyle w:val="ListParagraph"/>
              <w:numPr>
                <w:ilvl w:val="0"/>
                <w:numId w:val="31"/>
              </w:numPr>
              <w:spacing w:before="80" w:after="80"/>
              <w:ind w:left="136" w:hanging="136"/>
              <w:contextualSpacing w:val="0"/>
            </w:pPr>
            <w:r>
              <w:t xml:space="preserve">Participate </w:t>
            </w:r>
            <w:r w:rsidR="007B4594">
              <w:t>on</w:t>
            </w:r>
            <w:r>
              <w:t xml:space="preserve"> the training of the </w:t>
            </w:r>
            <w:r w:rsidR="00005823">
              <w:t>S</w:t>
            </w:r>
            <w:r>
              <w:t xml:space="preserve">ite PI and </w:t>
            </w:r>
            <w:r w:rsidR="00005823">
              <w:t>S</w:t>
            </w:r>
            <w:r w:rsidR="007B4594">
              <w:t xml:space="preserve">ite </w:t>
            </w:r>
            <w:r>
              <w:t>Co</w:t>
            </w:r>
            <w:r w:rsidR="00C57054">
              <w:t>-</w:t>
            </w:r>
            <w:r>
              <w:t>I on safety activities</w:t>
            </w:r>
            <w:r w:rsidR="00C57054">
              <w:t>;</w:t>
            </w:r>
          </w:p>
          <w:p w14:paraId="6C8FCAC5" w14:textId="7AD47D84" w:rsidR="001B3072" w:rsidRPr="00BD0E35" w:rsidRDefault="001B3072" w:rsidP="00B8067B">
            <w:pPr>
              <w:pStyle w:val="ListParagraph"/>
              <w:numPr>
                <w:ilvl w:val="0"/>
                <w:numId w:val="31"/>
              </w:numPr>
              <w:spacing w:before="80" w:after="80"/>
              <w:ind w:left="136" w:hanging="136"/>
              <w:contextualSpacing w:val="0"/>
            </w:pPr>
            <w:r>
              <w:t>Support Site PI in v</w:t>
            </w:r>
            <w:r w:rsidRPr="00BD0E35">
              <w:t>erify</w:t>
            </w:r>
            <w:r>
              <w:t>ing</w:t>
            </w:r>
            <w:r w:rsidRPr="00BD0E35">
              <w:t xml:space="preserve"> the SAE/Pregnancy Report Forms are complete and accurate before transmission to the PV </w:t>
            </w:r>
            <w:r>
              <w:t>u</w:t>
            </w:r>
            <w:r w:rsidRPr="00BD0E35">
              <w:t>nit</w:t>
            </w:r>
            <w:r w:rsidR="00C57054">
              <w:t>;</w:t>
            </w:r>
          </w:p>
          <w:p w14:paraId="6362DACE" w14:textId="16219F72" w:rsidR="001B3072" w:rsidRPr="00BD0E35" w:rsidRDefault="001B3072" w:rsidP="00B8067B">
            <w:pPr>
              <w:pStyle w:val="ListParagraph"/>
              <w:numPr>
                <w:ilvl w:val="0"/>
                <w:numId w:val="31"/>
              </w:numPr>
              <w:spacing w:before="80" w:after="80"/>
              <w:ind w:left="136" w:hanging="136"/>
              <w:contextualSpacing w:val="0"/>
            </w:pPr>
            <w:r w:rsidRPr="00BD0E35">
              <w:t xml:space="preserve">Support </w:t>
            </w:r>
            <w:r>
              <w:t xml:space="preserve">Site </w:t>
            </w:r>
            <w:r w:rsidRPr="00BD0E35">
              <w:t xml:space="preserve">PI in addressing queries raised by </w:t>
            </w:r>
            <w:r w:rsidR="00F54ED6">
              <w:t>the Sponsor</w:t>
            </w:r>
            <w:r w:rsidRPr="00BD0E35">
              <w:t xml:space="preserve"> and in gathering complementary information on individual cases</w:t>
            </w:r>
            <w:r w:rsidR="00C57054">
              <w:t>;</w:t>
            </w:r>
          </w:p>
          <w:p w14:paraId="62710426" w14:textId="2334906B" w:rsidR="001B3072" w:rsidRPr="00BD0E35" w:rsidRDefault="001B3072" w:rsidP="00B8067B">
            <w:pPr>
              <w:pStyle w:val="ListParagraph"/>
              <w:numPr>
                <w:ilvl w:val="0"/>
                <w:numId w:val="31"/>
              </w:numPr>
              <w:spacing w:before="80" w:after="80"/>
              <w:ind w:left="136" w:hanging="136"/>
              <w:contextualSpacing w:val="0"/>
            </w:pPr>
            <w:r w:rsidRPr="00BD0E35">
              <w:t>Organize translation of expedited reports as appropriate</w:t>
            </w:r>
            <w:r w:rsidR="00C57054">
              <w:t>;</w:t>
            </w:r>
          </w:p>
          <w:p w14:paraId="24B9148D" w14:textId="040E2B23" w:rsidR="001B3072" w:rsidRPr="00BD0E35" w:rsidRDefault="001B3072" w:rsidP="00B8067B">
            <w:pPr>
              <w:pStyle w:val="ListParagraph"/>
              <w:numPr>
                <w:ilvl w:val="0"/>
                <w:numId w:val="31"/>
              </w:numPr>
              <w:spacing w:before="80" w:after="80"/>
              <w:ind w:left="136" w:hanging="136"/>
              <w:contextualSpacing w:val="0"/>
            </w:pPr>
            <w:r w:rsidRPr="00BD0E35">
              <w:t xml:space="preserve">Support </w:t>
            </w:r>
            <w:r>
              <w:t xml:space="preserve">Site </w:t>
            </w:r>
            <w:r w:rsidRPr="00BD0E35">
              <w:t xml:space="preserve">PI in addressing queries raised by </w:t>
            </w:r>
            <w:r>
              <w:t>EC</w:t>
            </w:r>
            <w:r w:rsidRPr="00BD0E35">
              <w:t xml:space="preserve"> and NRA</w:t>
            </w:r>
            <w:r w:rsidR="00C57054">
              <w:t>;</w:t>
            </w:r>
          </w:p>
          <w:p w14:paraId="6B562A87" w14:textId="2E9990E4" w:rsidR="0002305E" w:rsidRPr="00984F45" w:rsidRDefault="001B3072" w:rsidP="00B8067B">
            <w:pPr>
              <w:pStyle w:val="ListParagraph"/>
              <w:numPr>
                <w:ilvl w:val="0"/>
                <w:numId w:val="31"/>
              </w:numPr>
              <w:spacing w:before="80" w:after="80"/>
              <w:ind w:left="136" w:hanging="136"/>
              <w:contextualSpacing w:val="0"/>
              <w:rPr>
                <w:rFonts w:cs="Arial"/>
              </w:rPr>
            </w:pPr>
            <w:r w:rsidRPr="00BD0E35">
              <w:t xml:space="preserve">Maintain proper documentation in relation to </w:t>
            </w:r>
            <w:r>
              <w:t>safety</w:t>
            </w:r>
            <w:r w:rsidRPr="00BD0E35">
              <w:t xml:space="preserve"> reporting</w:t>
            </w:r>
            <w:r w:rsidR="00C57054">
              <w:t>;</w:t>
            </w:r>
          </w:p>
          <w:p w14:paraId="63AA7DEB" w14:textId="2A15607A" w:rsidR="00984F45" w:rsidRPr="001B3072" w:rsidRDefault="00984F45" w:rsidP="001209FD">
            <w:pPr>
              <w:pStyle w:val="ListParagraph"/>
              <w:numPr>
                <w:ilvl w:val="0"/>
                <w:numId w:val="31"/>
              </w:numPr>
              <w:spacing w:before="80" w:after="80"/>
              <w:ind w:left="136" w:hanging="136"/>
              <w:contextualSpacing w:val="0"/>
              <w:rPr>
                <w:rFonts w:cs="Arial"/>
              </w:rPr>
            </w:pPr>
            <w:r>
              <w:t>Collaborate actively on communication, management, implementation and follow-up of Urgent Safety Measures</w:t>
            </w:r>
            <w:r w:rsidR="00A066F6">
              <w:t>.</w:t>
            </w:r>
          </w:p>
        </w:tc>
      </w:tr>
      <w:tr w:rsidR="0002305E" w:rsidRPr="001F21DF" w14:paraId="75123248" w14:textId="77777777" w:rsidTr="007B4594">
        <w:tc>
          <w:tcPr>
            <w:tcW w:w="1097" w:type="pct"/>
            <w:shd w:val="clear" w:color="auto" w:fill="auto"/>
            <w:vAlign w:val="center"/>
          </w:tcPr>
          <w:p w14:paraId="02A31F5C" w14:textId="2CF2F94D" w:rsidR="0002305E" w:rsidRPr="001B3072" w:rsidRDefault="001B3072" w:rsidP="00B8067B">
            <w:pPr>
              <w:spacing w:before="80" w:after="80"/>
              <w:jc w:val="left"/>
              <w:rPr>
                <w:rFonts w:cs="Arial"/>
                <w:b/>
              </w:rPr>
            </w:pPr>
            <w:r w:rsidRPr="001B3072">
              <w:rPr>
                <w:b/>
              </w:rPr>
              <w:t>Pharmacovigilance</w:t>
            </w:r>
            <w:r w:rsidR="00CF02B4">
              <w:rPr>
                <w:b/>
              </w:rPr>
              <w:t xml:space="preserve"> </w:t>
            </w:r>
            <w:r w:rsidRPr="001B3072">
              <w:rPr>
                <w:b/>
              </w:rPr>
              <w:t>(</w:t>
            </w:r>
            <w:r w:rsidR="00A759F4" w:rsidRPr="001B3072">
              <w:rPr>
                <w:b/>
              </w:rPr>
              <w:t>PV) Officer</w:t>
            </w:r>
            <w:r w:rsidR="00CF02B4">
              <w:rPr>
                <w:b/>
              </w:rPr>
              <w:t xml:space="preserve"> and deputy</w:t>
            </w:r>
            <w:r w:rsidRPr="001B3072">
              <w:rPr>
                <w:b/>
              </w:rPr>
              <w:t xml:space="preserve"> at the PV unit</w:t>
            </w:r>
          </w:p>
        </w:tc>
        <w:tc>
          <w:tcPr>
            <w:tcW w:w="3903" w:type="pct"/>
            <w:shd w:val="clear" w:color="auto" w:fill="auto"/>
            <w:vAlign w:val="center"/>
          </w:tcPr>
          <w:p w14:paraId="46F6B7A8" w14:textId="32952347" w:rsidR="001B3072" w:rsidRDefault="001B3072" w:rsidP="00B8067B">
            <w:pPr>
              <w:pStyle w:val="ListParagraph"/>
              <w:numPr>
                <w:ilvl w:val="0"/>
                <w:numId w:val="32"/>
              </w:numPr>
              <w:spacing w:before="80" w:after="80"/>
              <w:ind w:left="232" w:hanging="232"/>
              <w:contextualSpacing w:val="0"/>
            </w:pPr>
            <w:r w:rsidRPr="00BD0E35">
              <w:t xml:space="preserve">Organize processing of </w:t>
            </w:r>
            <w:r w:rsidR="00F33D11">
              <w:t xml:space="preserve">information from the </w:t>
            </w:r>
            <w:r w:rsidRPr="00BD0E35">
              <w:t>SAE/Pregnancy reports in the</w:t>
            </w:r>
            <w:r>
              <w:t xml:space="preserve"> Sponsor</w:t>
            </w:r>
            <w:r w:rsidRPr="00BD0E35">
              <w:t xml:space="preserve"> </w:t>
            </w:r>
            <w:r>
              <w:t>PV</w:t>
            </w:r>
            <w:r w:rsidRPr="00BD0E35">
              <w:t xml:space="preserve"> database</w:t>
            </w:r>
            <w:r w:rsidR="00C57054">
              <w:t>;</w:t>
            </w:r>
          </w:p>
          <w:p w14:paraId="2776F92B" w14:textId="204E976F" w:rsidR="009F680C" w:rsidRDefault="009F680C" w:rsidP="00B8067B">
            <w:pPr>
              <w:pStyle w:val="ListParagraph"/>
              <w:numPr>
                <w:ilvl w:val="0"/>
                <w:numId w:val="32"/>
              </w:numPr>
              <w:spacing w:before="80" w:after="80"/>
              <w:ind w:left="232" w:hanging="232"/>
              <w:contextualSpacing w:val="0"/>
            </w:pPr>
            <w:r>
              <w:t xml:space="preserve">Organize medical review of </w:t>
            </w:r>
            <w:r w:rsidRPr="00BD0E35">
              <w:t>AE</w:t>
            </w:r>
            <w:r>
              <w:t>SI and SAEs;</w:t>
            </w:r>
          </w:p>
          <w:p w14:paraId="01F07A75" w14:textId="5C0E11C8" w:rsidR="001B3072" w:rsidRPr="00BD0E35" w:rsidRDefault="001B3072" w:rsidP="00B8067B">
            <w:pPr>
              <w:pStyle w:val="ListParagraph"/>
              <w:numPr>
                <w:ilvl w:val="0"/>
                <w:numId w:val="32"/>
              </w:numPr>
              <w:spacing w:before="80" w:after="80"/>
              <w:ind w:left="232" w:hanging="232"/>
              <w:contextualSpacing w:val="0"/>
            </w:pPr>
            <w:r w:rsidRPr="00BD0E35">
              <w:t>Train and support the site on the trial’s safety activities</w:t>
            </w:r>
            <w:r w:rsidR="00C57054">
              <w:t>;</w:t>
            </w:r>
          </w:p>
          <w:p w14:paraId="01969D7E" w14:textId="65AAB2E3" w:rsidR="001B3072" w:rsidRDefault="001B3072" w:rsidP="00B8067B">
            <w:pPr>
              <w:pStyle w:val="ListParagraph"/>
              <w:numPr>
                <w:ilvl w:val="0"/>
                <w:numId w:val="32"/>
              </w:numPr>
              <w:spacing w:before="80" w:after="80"/>
              <w:ind w:left="232" w:hanging="232"/>
              <w:contextualSpacing w:val="0"/>
            </w:pPr>
            <w:r w:rsidRPr="00BD0E35">
              <w:t xml:space="preserve">Produce submission-ready safety reports including </w:t>
            </w:r>
            <w:r>
              <w:t xml:space="preserve">DSMB </w:t>
            </w:r>
            <w:r w:rsidR="00F33D11">
              <w:t xml:space="preserve">conclusion </w:t>
            </w:r>
            <w:r>
              <w:t xml:space="preserve">reports, </w:t>
            </w:r>
            <w:r w:rsidRPr="00BD0E35">
              <w:t>SUSAR reports</w:t>
            </w:r>
            <w:r w:rsidR="00CF02B4">
              <w:t xml:space="preserve">, </w:t>
            </w:r>
            <w:r w:rsidRPr="00BD0E35">
              <w:t xml:space="preserve">ASR </w:t>
            </w:r>
            <w:r w:rsidR="00CF02B4">
              <w:t xml:space="preserve">and other ad hoc reports </w:t>
            </w:r>
            <w:r w:rsidRPr="00BD0E35">
              <w:t>(in English)</w:t>
            </w:r>
            <w:r>
              <w:t xml:space="preserve"> for reporting to EC/NRA (as applicable)</w:t>
            </w:r>
            <w:r w:rsidR="00C57054">
              <w:t>;</w:t>
            </w:r>
          </w:p>
          <w:p w14:paraId="0A24AD17" w14:textId="313B313A" w:rsidR="0002305E" w:rsidRPr="001B3072" w:rsidRDefault="001B3072" w:rsidP="00B8067B">
            <w:pPr>
              <w:pStyle w:val="ListParagraph"/>
              <w:numPr>
                <w:ilvl w:val="0"/>
                <w:numId w:val="32"/>
              </w:numPr>
              <w:spacing w:before="80" w:after="80"/>
              <w:ind w:left="232" w:hanging="232"/>
              <w:contextualSpacing w:val="0"/>
              <w:rPr>
                <w:rFonts w:cs="Arial"/>
              </w:rPr>
            </w:pPr>
            <w:r w:rsidRPr="00BD0E35">
              <w:t xml:space="preserve">Support </w:t>
            </w:r>
            <w:r w:rsidR="00446D73">
              <w:t>SSC</w:t>
            </w:r>
            <w:r w:rsidRPr="00BD0E35">
              <w:t xml:space="preserve"> and</w:t>
            </w:r>
            <w:r>
              <w:t xml:space="preserve"> Site</w:t>
            </w:r>
            <w:r w:rsidRPr="00BD0E35">
              <w:t xml:space="preserve"> PI in addressing </w:t>
            </w:r>
            <w:r>
              <w:t>EC and NRA queries</w:t>
            </w:r>
            <w:r w:rsidR="00C57054">
              <w:t>;</w:t>
            </w:r>
          </w:p>
          <w:p w14:paraId="3C110C50" w14:textId="01F7EB8B" w:rsidR="008362C5" w:rsidRPr="001B3072" w:rsidRDefault="001B3072" w:rsidP="00A066F6">
            <w:pPr>
              <w:pStyle w:val="ListParagraph"/>
              <w:numPr>
                <w:ilvl w:val="0"/>
                <w:numId w:val="32"/>
              </w:numPr>
              <w:spacing w:before="80" w:after="80"/>
              <w:ind w:left="232" w:hanging="232"/>
              <w:contextualSpacing w:val="0"/>
              <w:rPr>
                <w:rFonts w:cs="Arial"/>
              </w:rPr>
            </w:pPr>
            <w:r>
              <w:t>Support Central</w:t>
            </w:r>
            <w:r w:rsidR="00A13DDE">
              <w:t>/Clinical</w:t>
            </w:r>
            <w:r>
              <w:t xml:space="preserve"> Study PI in notification, management, implementation and follow-up of Urgent Safety Measures</w:t>
            </w:r>
            <w:r w:rsidR="00A066F6">
              <w:t>.</w:t>
            </w:r>
          </w:p>
        </w:tc>
      </w:tr>
      <w:tr w:rsidR="0002305E" w:rsidRPr="001F21DF" w14:paraId="4B47F548" w14:textId="77777777" w:rsidTr="007B4594">
        <w:tc>
          <w:tcPr>
            <w:tcW w:w="1097" w:type="pct"/>
            <w:shd w:val="clear" w:color="auto" w:fill="auto"/>
            <w:vAlign w:val="center"/>
          </w:tcPr>
          <w:p w14:paraId="561FE2AD" w14:textId="18D21025" w:rsidR="0002305E" w:rsidRPr="004245CA" w:rsidRDefault="00AA2180" w:rsidP="00B8067B">
            <w:pPr>
              <w:spacing w:before="80" w:after="80"/>
              <w:jc w:val="left"/>
              <w:rPr>
                <w:rFonts w:cs="Arial"/>
                <w:b/>
              </w:rPr>
            </w:pPr>
            <w:r>
              <w:rPr>
                <w:rFonts w:cs="Arial"/>
                <w:b/>
              </w:rPr>
              <w:t>Clinical Trial</w:t>
            </w:r>
            <w:r w:rsidRPr="004245CA">
              <w:rPr>
                <w:rFonts w:cs="Arial"/>
                <w:b/>
              </w:rPr>
              <w:t xml:space="preserve"> </w:t>
            </w:r>
            <w:r w:rsidR="001B3072" w:rsidRPr="004245CA">
              <w:rPr>
                <w:rFonts w:cs="Arial"/>
                <w:b/>
              </w:rPr>
              <w:t>Manager</w:t>
            </w:r>
            <w:r w:rsidR="00C24A62" w:rsidRPr="004245CA">
              <w:rPr>
                <w:rFonts w:cs="Arial"/>
                <w:b/>
              </w:rPr>
              <w:t>/Central Study coordinator</w:t>
            </w:r>
          </w:p>
        </w:tc>
        <w:tc>
          <w:tcPr>
            <w:tcW w:w="3903" w:type="pct"/>
            <w:shd w:val="clear" w:color="auto" w:fill="auto"/>
            <w:vAlign w:val="center"/>
          </w:tcPr>
          <w:p w14:paraId="2047DDB1" w14:textId="46DC4FBE" w:rsidR="007B4594" w:rsidRPr="004245CA" w:rsidRDefault="007B4594" w:rsidP="007B4594">
            <w:pPr>
              <w:pStyle w:val="ListParagraph"/>
              <w:numPr>
                <w:ilvl w:val="0"/>
                <w:numId w:val="33"/>
              </w:numPr>
              <w:spacing w:before="80" w:after="80"/>
              <w:ind w:left="177" w:hanging="177"/>
              <w:contextualSpacing w:val="0"/>
            </w:pPr>
            <w:r w:rsidRPr="004245CA">
              <w:t>Participate on the training of the site PI and site Co</w:t>
            </w:r>
            <w:r w:rsidR="00C57054">
              <w:t>-</w:t>
            </w:r>
            <w:r w:rsidRPr="004245CA">
              <w:t>I on safety activities</w:t>
            </w:r>
            <w:r w:rsidR="00C57054">
              <w:t>;</w:t>
            </w:r>
          </w:p>
          <w:p w14:paraId="001096C9" w14:textId="0CEC056B" w:rsidR="001B3072" w:rsidRPr="004245CA" w:rsidRDefault="001B3072" w:rsidP="007B4594">
            <w:pPr>
              <w:pStyle w:val="ListParagraph"/>
              <w:numPr>
                <w:ilvl w:val="0"/>
                <w:numId w:val="33"/>
              </w:numPr>
              <w:spacing w:before="80" w:after="80"/>
              <w:ind w:left="177" w:hanging="177"/>
              <w:contextualSpacing w:val="0"/>
            </w:pPr>
            <w:r w:rsidRPr="004245CA">
              <w:t>Support the site on the trial’s safety activities</w:t>
            </w:r>
            <w:r w:rsidR="00C57054">
              <w:t>;</w:t>
            </w:r>
          </w:p>
          <w:p w14:paraId="17755B70" w14:textId="559881BB" w:rsidR="0002305E" w:rsidRPr="004245CA" w:rsidRDefault="001B3072" w:rsidP="007B4594">
            <w:pPr>
              <w:pStyle w:val="ListParagraph"/>
              <w:numPr>
                <w:ilvl w:val="0"/>
                <w:numId w:val="33"/>
              </w:numPr>
              <w:spacing w:before="80" w:after="80"/>
              <w:ind w:left="177" w:hanging="177"/>
              <w:contextualSpacing w:val="0"/>
              <w:jc w:val="left"/>
              <w:rPr>
                <w:rFonts w:cs="Arial"/>
              </w:rPr>
            </w:pPr>
            <w:r w:rsidRPr="004245CA">
              <w:t xml:space="preserve">Support </w:t>
            </w:r>
            <w:r w:rsidR="00446D73" w:rsidRPr="004245CA">
              <w:t>SSC</w:t>
            </w:r>
            <w:r w:rsidRPr="004245CA">
              <w:t xml:space="preserve"> and Site PI in addressing EC and NRA queries</w:t>
            </w:r>
            <w:r w:rsidR="00C57054">
              <w:t>;</w:t>
            </w:r>
          </w:p>
          <w:p w14:paraId="0C4196EF" w14:textId="1025AFD7" w:rsidR="001209FD" w:rsidRPr="004245CA" w:rsidRDefault="001B3072" w:rsidP="007B4594">
            <w:pPr>
              <w:pStyle w:val="ListParagraph"/>
              <w:numPr>
                <w:ilvl w:val="0"/>
                <w:numId w:val="33"/>
              </w:numPr>
              <w:spacing w:before="80" w:after="80"/>
              <w:ind w:left="177" w:hanging="177"/>
              <w:contextualSpacing w:val="0"/>
              <w:rPr>
                <w:rFonts w:cs="Arial"/>
              </w:rPr>
            </w:pPr>
            <w:r w:rsidRPr="004245CA">
              <w:t>Support Central</w:t>
            </w:r>
            <w:r w:rsidR="00A13DDE">
              <w:t>/Clinical</w:t>
            </w:r>
            <w:r w:rsidRPr="004245CA">
              <w:t xml:space="preserve"> Study PI in notification, management, implementation and follow-up of Urgent Safety Measures.</w:t>
            </w:r>
          </w:p>
        </w:tc>
      </w:tr>
      <w:tr w:rsidR="00CF02B4" w:rsidRPr="001F21DF" w14:paraId="243E3571" w14:textId="77777777" w:rsidTr="007B4594">
        <w:tc>
          <w:tcPr>
            <w:tcW w:w="1097" w:type="pct"/>
            <w:shd w:val="clear" w:color="auto" w:fill="auto"/>
            <w:vAlign w:val="center"/>
          </w:tcPr>
          <w:p w14:paraId="5882671E" w14:textId="197F879C" w:rsidR="00CF02B4" w:rsidRDefault="00F33D11" w:rsidP="00B8067B">
            <w:pPr>
              <w:spacing w:before="80" w:after="80"/>
              <w:jc w:val="left"/>
              <w:rPr>
                <w:rFonts w:cs="Arial"/>
                <w:b/>
              </w:rPr>
            </w:pPr>
            <w:r>
              <w:rPr>
                <w:rFonts w:cs="Arial"/>
                <w:b/>
              </w:rPr>
              <w:t xml:space="preserve">PV </w:t>
            </w:r>
            <w:r w:rsidR="00CF02B4">
              <w:rPr>
                <w:rFonts w:cs="Arial"/>
                <w:b/>
              </w:rPr>
              <w:t>Medical Monitor</w:t>
            </w:r>
          </w:p>
        </w:tc>
        <w:tc>
          <w:tcPr>
            <w:tcW w:w="3903" w:type="pct"/>
            <w:shd w:val="clear" w:color="auto" w:fill="auto"/>
            <w:vAlign w:val="center"/>
          </w:tcPr>
          <w:p w14:paraId="1DBAD9B2" w14:textId="0A7BFCE4" w:rsidR="009F680C" w:rsidDel="00CF02B4" w:rsidRDefault="00CF02B4" w:rsidP="00F33D11">
            <w:pPr>
              <w:pStyle w:val="ListParagraph"/>
              <w:numPr>
                <w:ilvl w:val="0"/>
                <w:numId w:val="33"/>
              </w:numPr>
              <w:spacing w:before="80" w:after="80"/>
              <w:ind w:left="232" w:hanging="232"/>
              <w:contextualSpacing w:val="0"/>
            </w:pPr>
            <w:r>
              <w:t>Perform medical review</w:t>
            </w:r>
            <w:r w:rsidR="00F33D11">
              <w:t xml:space="preserve">s </w:t>
            </w:r>
            <w:r>
              <w:t>(</w:t>
            </w:r>
            <w:r w:rsidRPr="001B3072">
              <w:rPr>
                <w:i/>
              </w:rPr>
              <w:t>per PV unit procedure not further described in this SOP</w:t>
            </w:r>
            <w:r>
              <w:t>)</w:t>
            </w:r>
            <w:r w:rsidR="00326E24">
              <w:t>.</w:t>
            </w:r>
          </w:p>
        </w:tc>
      </w:tr>
      <w:tr w:rsidR="001B3072" w:rsidRPr="001F21DF" w14:paraId="4AC010F5" w14:textId="77777777" w:rsidTr="007B4594">
        <w:tc>
          <w:tcPr>
            <w:tcW w:w="1097" w:type="pct"/>
            <w:shd w:val="clear" w:color="auto" w:fill="auto"/>
            <w:vAlign w:val="center"/>
          </w:tcPr>
          <w:p w14:paraId="2299A41E" w14:textId="446CFA7C" w:rsidR="001B3072" w:rsidRDefault="001B3072" w:rsidP="00B8067B">
            <w:pPr>
              <w:spacing w:before="80" w:after="80"/>
              <w:jc w:val="left"/>
              <w:rPr>
                <w:rFonts w:cs="Arial"/>
                <w:b/>
              </w:rPr>
            </w:pPr>
            <w:r>
              <w:rPr>
                <w:rFonts w:cs="Arial"/>
                <w:b/>
              </w:rPr>
              <w:t xml:space="preserve">Central Study Principal </w:t>
            </w:r>
            <w:r>
              <w:rPr>
                <w:rFonts w:cs="Arial"/>
                <w:b/>
              </w:rPr>
              <w:lastRenderedPageBreak/>
              <w:t>Investigator (PI)</w:t>
            </w:r>
            <w:r w:rsidR="00A13DDE">
              <w:rPr>
                <w:rFonts w:cs="Arial"/>
                <w:b/>
              </w:rPr>
              <w:t xml:space="preserve"> and Clinical PI</w:t>
            </w:r>
          </w:p>
        </w:tc>
        <w:tc>
          <w:tcPr>
            <w:tcW w:w="3903" w:type="pct"/>
            <w:shd w:val="clear" w:color="auto" w:fill="auto"/>
            <w:vAlign w:val="center"/>
          </w:tcPr>
          <w:p w14:paraId="74CC47E7" w14:textId="18BB1FB4" w:rsidR="001B3072" w:rsidRDefault="001B3072" w:rsidP="00B8067B">
            <w:pPr>
              <w:pStyle w:val="ListParagraph"/>
              <w:numPr>
                <w:ilvl w:val="0"/>
                <w:numId w:val="33"/>
              </w:numPr>
              <w:spacing w:before="80" w:after="80"/>
              <w:ind w:left="232" w:hanging="232"/>
              <w:contextualSpacing w:val="0"/>
            </w:pPr>
            <w:r>
              <w:lastRenderedPageBreak/>
              <w:t>S</w:t>
            </w:r>
            <w:r w:rsidRPr="00BD0E35">
              <w:t>upport the site o</w:t>
            </w:r>
            <w:r>
              <w:t>n the trial’s safety activities</w:t>
            </w:r>
            <w:r w:rsidR="00C57054">
              <w:t>;</w:t>
            </w:r>
          </w:p>
          <w:p w14:paraId="5BEF63B9" w14:textId="0EB000DA" w:rsidR="001B3072" w:rsidRDefault="001B3072" w:rsidP="00B8067B">
            <w:pPr>
              <w:pStyle w:val="ListParagraph"/>
              <w:numPr>
                <w:ilvl w:val="0"/>
                <w:numId w:val="33"/>
              </w:numPr>
              <w:spacing w:before="80" w:after="80"/>
              <w:ind w:left="232" w:hanging="232"/>
              <w:contextualSpacing w:val="0"/>
            </w:pPr>
            <w:r w:rsidRPr="00BD0E35">
              <w:t xml:space="preserve">Support </w:t>
            </w:r>
            <w:r w:rsidR="00446D73">
              <w:t xml:space="preserve">SSC </w:t>
            </w:r>
            <w:r w:rsidRPr="00BD0E35">
              <w:t>and</w:t>
            </w:r>
            <w:r>
              <w:t xml:space="preserve"> Site</w:t>
            </w:r>
            <w:r w:rsidRPr="00BD0E35">
              <w:t xml:space="preserve"> PI in addressing </w:t>
            </w:r>
            <w:r>
              <w:t>EC and NRA queries</w:t>
            </w:r>
            <w:r w:rsidR="00C57054">
              <w:t>;</w:t>
            </w:r>
          </w:p>
          <w:p w14:paraId="09D1A553" w14:textId="77777777" w:rsidR="001B3072" w:rsidRDefault="001B3072" w:rsidP="00B8067B">
            <w:pPr>
              <w:pStyle w:val="ListParagraph"/>
              <w:numPr>
                <w:ilvl w:val="0"/>
                <w:numId w:val="33"/>
              </w:numPr>
              <w:spacing w:before="80" w:after="80"/>
              <w:ind w:left="232" w:hanging="232"/>
              <w:contextualSpacing w:val="0"/>
            </w:pPr>
            <w:r>
              <w:lastRenderedPageBreak/>
              <w:t xml:space="preserve">Notify, manage, implement and follow-up on </w:t>
            </w:r>
            <w:r w:rsidRPr="001B3072">
              <w:t>Urgent Safety Measures</w:t>
            </w:r>
            <w:r>
              <w:t>.</w:t>
            </w:r>
          </w:p>
        </w:tc>
      </w:tr>
    </w:tbl>
    <w:p w14:paraId="45575C7F" w14:textId="77777777" w:rsidR="00F23C87" w:rsidRPr="00D01A3D" w:rsidRDefault="004E294D" w:rsidP="004B7D47">
      <w:pPr>
        <w:pStyle w:val="Heading2"/>
      </w:pPr>
      <w:bookmarkStart w:id="5" w:name="_Toc180755772"/>
      <w:r w:rsidRPr="00D01A3D">
        <w:lastRenderedPageBreak/>
        <w:t>DEFINITIONS and ABBREVIATIONS</w:t>
      </w:r>
      <w:bookmarkEnd w:id="5"/>
    </w:p>
    <w:p w14:paraId="438457A4" w14:textId="77777777" w:rsidR="00B75A72" w:rsidRPr="00D01A3D" w:rsidRDefault="00946F1A" w:rsidP="004B7D47">
      <w:pPr>
        <w:pStyle w:val="Heading3"/>
        <w:ind w:left="1440" w:hanging="720"/>
      </w:pPr>
      <w:bookmarkStart w:id="6" w:name="_Toc180755773"/>
      <w:r w:rsidRPr="00D01A3D">
        <w:t>Adverse Event (AE)</w:t>
      </w:r>
      <w:bookmarkEnd w:id="6"/>
    </w:p>
    <w:p w14:paraId="472310CF" w14:textId="111D58FB" w:rsidR="00946F1A" w:rsidRDefault="00946F1A" w:rsidP="00946F1A">
      <w:r>
        <w:t>Any untoward medical occurrence or worsening of a pre-existing medical condition in a clinical trial subject</w:t>
      </w:r>
      <w:r w:rsidR="00C57054">
        <w:t>,</w:t>
      </w:r>
      <w:r>
        <w:t xml:space="preserve"> administered a medicinal (investigational) product and which does not necessarily have a causal relationship with this treatment. An AE can therefore be any unfavourable or unintended sign (including laboratory test abnormalities), symptom, or disease temporally associated with the use of a medicinal (investigational) product </w:t>
      </w:r>
      <w:proofErr w:type="gramStart"/>
      <w:r>
        <w:t>whether or not</w:t>
      </w:r>
      <w:proofErr w:type="gramEnd"/>
      <w:r>
        <w:t xml:space="preserve"> considered related to the investigational product.</w:t>
      </w:r>
    </w:p>
    <w:p w14:paraId="2748B40F" w14:textId="77777777" w:rsidR="00B75A72" w:rsidRPr="00D01A3D" w:rsidRDefault="00946F1A" w:rsidP="004B7D47">
      <w:pPr>
        <w:pStyle w:val="Heading3"/>
      </w:pPr>
      <w:bookmarkStart w:id="7" w:name="_Ref427675518"/>
      <w:bookmarkStart w:id="8" w:name="_Toc180755774"/>
      <w:r w:rsidRPr="00D01A3D">
        <w:t>Adverse Events of Special Interest (AESI)</w:t>
      </w:r>
      <w:bookmarkEnd w:id="7"/>
      <w:bookmarkEnd w:id="8"/>
    </w:p>
    <w:p w14:paraId="2B307BA4" w14:textId="77777777" w:rsidR="00946F1A" w:rsidRPr="000C42F3" w:rsidRDefault="00946F1A" w:rsidP="00946F1A">
      <w:r>
        <w:t>Adverse Event</w:t>
      </w:r>
      <w:r w:rsidR="005E5D81">
        <w:t>s</w:t>
      </w:r>
      <w:r>
        <w:t xml:space="preserve"> of scientific and medical concern </w:t>
      </w:r>
      <w:r w:rsidR="005E5D81">
        <w:t>with</w:t>
      </w:r>
      <w:r>
        <w:t xml:space="preserve"> the investigational </w:t>
      </w:r>
      <w:r w:rsidR="005E5D81">
        <w:t>medicinal product</w:t>
      </w:r>
      <w:r>
        <w:t xml:space="preserve">(s), for which ongoing monitoring and rapid communication by the Investigator to the Sponsor is appropriate. Such events require further </w:t>
      </w:r>
      <w:r w:rsidRPr="000C42F3">
        <w:t xml:space="preserve">investigation </w:t>
      </w:r>
      <w:proofErr w:type="gramStart"/>
      <w:r w:rsidRPr="000C42F3">
        <w:t>in order to</w:t>
      </w:r>
      <w:proofErr w:type="gramEnd"/>
      <w:r w:rsidRPr="000C42F3">
        <w:t xml:space="preserve"> characterize and understand them.</w:t>
      </w:r>
    </w:p>
    <w:p w14:paraId="7E041465" w14:textId="0F1E9969" w:rsidR="00B75A72" w:rsidRPr="000C42F3" w:rsidRDefault="00B75A72" w:rsidP="00946F1A">
      <w:r w:rsidRPr="000C42F3">
        <w:t xml:space="preserve">In the frame of the endTB </w:t>
      </w:r>
      <w:r w:rsidR="00F63BC8" w:rsidRPr="000C42F3">
        <w:t xml:space="preserve">and endTB-Q </w:t>
      </w:r>
      <w:r w:rsidRPr="000C42F3">
        <w:t>interventional clinical trial</w:t>
      </w:r>
      <w:r w:rsidR="00F63BC8" w:rsidRPr="000C42F3">
        <w:t>s</w:t>
      </w:r>
      <w:r w:rsidRPr="000C42F3">
        <w:t>, AESI include</w:t>
      </w:r>
      <w:r w:rsidR="006D6FEE" w:rsidRPr="000C42F3">
        <w:t xml:space="preserve"> the list of conditions mentioned in the Clinical Trial Protoco</w:t>
      </w:r>
      <w:r w:rsidR="00BB6AB6" w:rsidRPr="000C42F3">
        <w:t>l</w:t>
      </w:r>
      <w:r w:rsidR="00F63BC8" w:rsidRPr="000C42F3">
        <w:t>s</w:t>
      </w:r>
      <w:r w:rsidR="006D6FEE" w:rsidRPr="000C42F3">
        <w:t>.</w:t>
      </w:r>
    </w:p>
    <w:p w14:paraId="712895BD" w14:textId="77777777" w:rsidR="00B75A72" w:rsidRPr="000C42F3" w:rsidRDefault="00946F1A" w:rsidP="004B7D47">
      <w:pPr>
        <w:pStyle w:val="Heading3"/>
      </w:pPr>
      <w:bookmarkStart w:id="9" w:name="_Toc180755775"/>
      <w:r w:rsidRPr="000C42F3">
        <w:t>Adverse Drug Reaction (ADR)</w:t>
      </w:r>
      <w:bookmarkEnd w:id="9"/>
    </w:p>
    <w:p w14:paraId="3D055AB0" w14:textId="77777777" w:rsidR="00946F1A" w:rsidRPr="000C42F3" w:rsidRDefault="00946F1A" w:rsidP="00946F1A">
      <w:r w:rsidRPr="000C42F3">
        <w:t>All noxious and unintended responses to a medicinal product related to any dose should be considered an Adverse Drug Reaction. The phrase "responses to a medicinal product" means that a causal relationship between a medicinal product and an adverse event is at least a reasonable possibility.</w:t>
      </w:r>
    </w:p>
    <w:p w14:paraId="1174E27D" w14:textId="77777777" w:rsidR="00B75A72" w:rsidRPr="000C42F3" w:rsidRDefault="00B75A72" w:rsidP="004B7D47">
      <w:pPr>
        <w:pStyle w:val="Heading3"/>
      </w:pPr>
      <w:bookmarkStart w:id="10" w:name="_Toc180755776"/>
      <w:r w:rsidRPr="000C42F3">
        <w:t>Annual Safety Report (ASR)</w:t>
      </w:r>
      <w:bookmarkEnd w:id="10"/>
    </w:p>
    <w:p w14:paraId="4C219300" w14:textId="6C90EAF1" w:rsidR="00946F1A" w:rsidRDefault="00B75A72" w:rsidP="00946F1A">
      <w:r w:rsidRPr="000C42F3">
        <w:t>A</w:t>
      </w:r>
      <w:r w:rsidR="00946F1A" w:rsidRPr="000C42F3">
        <w:t xml:space="preserve"> </w:t>
      </w:r>
      <w:r w:rsidRPr="000C42F3">
        <w:t xml:space="preserve">periodic </w:t>
      </w:r>
      <w:r w:rsidR="00946F1A" w:rsidRPr="000C42F3">
        <w:t>safety update report presenting a comprehensive annual review and evaluation of pertinent safety information collected during the clinical trial</w:t>
      </w:r>
      <w:r w:rsidR="00245E38" w:rsidRPr="000C42F3">
        <w:t xml:space="preserve">s </w:t>
      </w:r>
      <w:r w:rsidRPr="000C42F3">
        <w:t>over the period of 1 year</w:t>
      </w:r>
      <w:r w:rsidR="00946F1A" w:rsidRPr="000C42F3">
        <w:t>.</w:t>
      </w:r>
    </w:p>
    <w:p w14:paraId="3F114CAE" w14:textId="10D779B7" w:rsidR="00F41FE2" w:rsidRPr="00D01A3D" w:rsidRDefault="00946F1A" w:rsidP="004B7D47">
      <w:pPr>
        <w:pStyle w:val="Heading3"/>
      </w:pPr>
      <w:bookmarkStart w:id="11" w:name="_Toc180755777"/>
      <w:r w:rsidRPr="00D01A3D">
        <w:t>Council for International Organization of Medical Sc</w:t>
      </w:r>
      <w:r w:rsidR="00F41FE2" w:rsidRPr="00D01A3D">
        <w:t xml:space="preserve">iences I </w:t>
      </w:r>
      <w:proofErr w:type="gramStart"/>
      <w:r w:rsidR="00F41FE2" w:rsidRPr="00D01A3D">
        <w:t>reporting</w:t>
      </w:r>
      <w:proofErr w:type="gramEnd"/>
      <w:r w:rsidR="00F41FE2" w:rsidRPr="00D01A3D">
        <w:t xml:space="preserve"> form (CIOMS)</w:t>
      </w:r>
      <w:bookmarkEnd w:id="11"/>
    </w:p>
    <w:p w14:paraId="15B77559" w14:textId="77777777" w:rsidR="00946F1A" w:rsidRDefault="00946F1A" w:rsidP="00946F1A">
      <w:r>
        <w:t>Standardized international report format for the reporting of one or several suspected adverse reactions to a medicinal product that occur in a single patient at a specific point of time.</w:t>
      </w:r>
    </w:p>
    <w:p w14:paraId="3A1D8B68" w14:textId="77777777" w:rsidR="00F41FE2" w:rsidRPr="00D01A3D" w:rsidRDefault="00946F1A" w:rsidP="004B7D47">
      <w:pPr>
        <w:pStyle w:val="Heading3"/>
      </w:pPr>
      <w:bookmarkStart w:id="12" w:name="_Toc180755778"/>
      <w:r w:rsidRPr="00D01A3D">
        <w:t>Data and Safety Monitoring Board (DSMB)</w:t>
      </w:r>
      <w:bookmarkEnd w:id="12"/>
    </w:p>
    <w:p w14:paraId="1A79F7D7" w14:textId="77777777" w:rsidR="00946F1A" w:rsidRDefault="00946F1A" w:rsidP="00946F1A">
      <w:r>
        <w:t>Independent data monitoring committee established by the Sponsor to assess at intervals the progress of a clinical trial, the safety data and the critical efficacy endpoints, and to recommend to the Sponsor whether to continue, modify or stop a trial.</w:t>
      </w:r>
    </w:p>
    <w:p w14:paraId="5425AB87" w14:textId="77777777" w:rsidR="00F41FE2" w:rsidRPr="00D01A3D" w:rsidRDefault="00F41FE2" w:rsidP="004B7D47">
      <w:pPr>
        <w:pStyle w:val="Heading3"/>
      </w:pPr>
      <w:bookmarkStart w:id="13" w:name="_Toc180755779"/>
      <w:r w:rsidRPr="00D01A3D">
        <w:t>Investigational Medicinal Product (IMP)</w:t>
      </w:r>
      <w:bookmarkEnd w:id="13"/>
    </w:p>
    <w:p w14:paraId="44322B44" w14:textId="77777777" w:rsidR="00F41FE2" w:rsidRPr="00F41FE2" w:rsidRDefault="00F41FE2" w:rsidP="00F41FE2">
      <w:r>
        <w:t xml:space="preserve">The pharmaceutical form of an active ingredient being tested or used as a reference in a clinical trial, including a product with a marketing authorization when used or assembled (formulated or packaged) in </w:t>
      </w:r>
      <w:r>
        <w:lastRenderedPageBreak/>
        <w:t>a way different from the approved form, or when used for an unapproved indication, or when used to gain further information about an approved use.</w:t>
      </w:r>
    </w:p>
    <w:p w14:paraId="53B2A5A5" w14:textId="77777777" w:rsidR="00F41FE2" w:rsidRPr="00D01A3D" w:rsidRDefault="00F41FE2" w:rsidP="004B7D47">
      <w:pPr>
        <w:pStyle w:val="Heading3"/>
      </w:pPr>
      <w:bookmarkStart w:id="14" w:name="_Ref427675769"/>
      <w:bookmarkStart w:id="15" w:name="_Toc180755780"/>
      <w:r w:rsidRPr="00D01A3D">
        <w:t>Overdose</w:t>
      </w:r>
      <w:bookmarkEnd w:id="14"/>
      <w:bookmarkEnd w:id="15"/>
    </w:p>
    <w:p w14:paraId="078991E6" w14:textId="1E3F18F0" w:rsidR="00946F1A" w:rsidRPr="00D671FD" w:rsidRDefault="00946F1A" w:rsidP="00D671FD">
      <w:r>
        <w:t>Administration of a quantity of a medicinal product given per administration or cumulatively which is above the maximum recommended dose according to the authori</w:t>
      </w:r>
      <w:r w:rsidR="00481323">
        <w:t>z</w:t>
      </w:r>
      <w:r>
        <w:t xml:space="preserve">ed product information or other in-use references (e.g. WHO guidelines). </w:t>
      </w:r>
      <w:r w:rsidR="00D671FD" w:rsidRPr="00D671FD">
        <w:t>The determination of an overdose will be left to the discretion of the clinical investigator, based on the total dose administered, the emergence of any clinical signs and symptoms suggestive of a toxic administration, as well as his own clinical judgment as it applies to each individual case.</w:t>
      </w:r>
    </w:p>
    <w:p w14:paraId="43AEC7B2" w14:textId="77777777" w:rsidR="00F41FE2" w:rsidRPr="00D01A3D" w:rsidRDefault="00F41FE2" w:rsidP="004B7D47">
      <w:pPr>
        <w:pStyle w:val="Heading3"/>
      </w:pPr>
      <w:bookmarkStart w:id="16" w:name="_Ref427675504"/>
      <w:bookmarkStart w:id="17" w:name="_Toc180755781"/>
      <w:r w:rsidRPr="00D01A3D">
        <w:t>Serious Adverse Event (SAE)</w:t>
      </w:r>
      <w:bookmarkEnd w:id="16"/>
      <w:bookmarkEnd w:id="17"/>
    </w:p>
    <w:p w14:paraId="232FD8C6" w14:textId="77777777" w:rsidR="00F41FE2" w:rsidRDefault="00946F1A" w:rsidP="00F41FE2">
      <w:r>
        <w:t>Any untoward medic</w:t>
      </w:r>
      <w:r w:rsidR="00F41FE2">
        <w:t>al occurrence that at any dose:</w:t>
      </w:r>
    </w:p>
    <w:p w14:paraId="7D9BE6FD" w14:textId="77777777" w:rsidR="00F41FE2" w:rsidRDefault="00F41FE2" w:rsidP="00F41FE2">
      <w:pPr>
        <w:pStyle w:val="ListParagraph"/>
        <w:numPr>
          <w:ilvl w:val="0"/>
          <w:numId w:val="28"/>
        </w:numPr>
        <w:ind w:left="284" w:hanging="284"/>
        <w:contextualSpacing w:val="0"/>
      </w:pPr>
      <w:r>
        <w:t>is leading to death;</w:t>
      </w:r>
    </w:p>
    <w:p w14:paraId="60F9678D" w14:textId="77777777" w:rsidR="00F41FE2" w:rsidRDefault="00F41FE2" w:rsidP="00F41FE2">
      <w:pPr>
        <w:pStyle w:val="ListParagraph"/>
        <w:numPr>
          <w:ilvl w:val="0"/>
          <w:numId w:val="27"/>
        </w:numPr>
        <w:ind w:left="284" w:hanging="284"/>
        <w:contextualSpacing w:val="0"/>
      </w:pPr>
      <w:r>
        <w:t xml:space="preserve">is life-threatening (defined as a subject at immediate risk of death at the time of the event; it does not refer to an event which hypothetically might have caused death if it were more severe); </w:t>
      </w:r>
    </w:p>
    <w:p w14:paraId="5B067EF0" w14:textId="51DEA6EC" w:rsidR="00F41FE2" w:rsidRPr="000C42F3" w:rsidRDefault="00F41FE2" w:rsidP="00F41FE2">
      <w:pPr>
        <w:pStyle w:val="ListParagraph"/>
        <w:numPr>
          <w:ilvl w:val="0"/>
          <w:numId w:val="27"/>
        </w:numPr>
        <w:ind w:left="284" w:hanging="284"/>
        <w:contextualSpacing w:val="0"/>
      </w:pPr>
      <w:r>
        <w:t xml:space="preserve">Requires inpatient </w:t>
      </w:r>
      <w:r w:rsidRPr="000C42F3">
        <w:t>hospitalization or prolongation of existing hospitalization, with the exception</w:t>
      </w:r>
      <w:r w:rsidR="00BB6AB6" w:rsidRPr="000C42F3">
        <w:t>s</w:t>
      </w:r>
      <w:r w:rsidRPr="000C42F3">
        <w:t xml:space="preserve"> </w:t>
      </w:r>
      <w:r w:rsidR="00BB6AB6" w:rsidRPr="000C42F3">
        <w:t>described in the Clinical Trial Protocol</w:t>
      </w:r>
      <w:r w:rsidR="00D521BF" w:rsidRPr="000C42F3">
        <w:t>s</w:t>
      </w:r>
      <w:r w:rsidRPr="000C42F3">
        <w:t>;</w:t>
      </w:r>
    </w:p>
    <w:p w14:paraId="23409A8D" w14:textId="77777777" w:rsidR="00F41FE2" w:rsidRPr="000C42F3" w:rsidRDefault="00F41FE2" w:rsidP="00F41FE2">
      <w:pPr>
        <w:pStyle w:val="ListParagraph"/>
        <w:numPr>
          <w:ilvl w:val="0"/>
          <w:numId w:val="27"/>
        </w:numPr>
        <w:ind w:left="284" w:hanging="284"/>
        <w:contextualSpacing w:val="0"/>
      </w:pPr>
      <w:r w:rsidRPr="000C42F3">
        <w:t>results in a persistent or significant incapacity or substantial disruption of the ability to conduct normal life functions;</w:t>
      </w:r>
    </w:p>
    <w:p w14:paraId="0075D324" w14:textId="77777777" w:rsidR="00F41FE2" w:rsidRDefault="00F41FE2" w:rsidP="00F41FE2">
      <w:pPr>
        <w:pStyle w:val="ListParagraph"/>
        <w:numPr>
          <w:ilvl w:val="0"/>
          <w:numId w:val="27"/>
        </w:numPr>
        <w:ind w:left="284" w:hanging="284"/>
        <w:contextualSpacing w:val="0"/>
      </w:pPr>
      <w:r>
        <w:t>results in congenital anomaly or birth defect;</w:t>
      </w:r>
    </w:p>
    <w:p w14:paraId="4331BD3B" w14:textId="77777777" w:rsidR="00F41FE2" w:rsidRDefault="00F41FE2" w:rsidP="00F41FE2">
      <w:pPr>
        <w:pStyle w:val="ListParagraph"/>
        <w:numPr>
          <w:ilvl w:val="0"/>
          <w:numId w:val="27"/>
        </w:numPr>
        <w:ind w:left="284" w:hanging="284"/>
        <w:contextualSpacing w:val="0"/>
      </w:pPr>
      <w:r>
        <w:t>is otherwise considered an important medical event that may not result in death, be immediately life-threatening, or require hospitalization may be considered a serious adverse experience when, based upon appropriate medical judgment, the event may jeopardize the subject and may require medical or surgical intervention to prevent one of the outcomes listed above. Examples of such medical events include allergic bronchospasm requiring intensive treatment in an emergency room or at home, blood dyscrasias or convulsions that do not result in inpatient hospitalization, or the development of drug dependency or drug abuse.</w:t>
      </w:r>
    </w:p>
    <w:p w14:paraId="66356044" w14:textId="77777777" w:rsidR="00F41FE2" w:rsidRDefault="00F41FE2" w:rsidP="00F41FE2">
      <w:pPr>
        <w:pStyle w:val="ListParagraph"/>
        <w:numPr>
          <w:ilvl w:val="1"/>
          <w:numId w:val="27"/>
        </w:numPr>
        <w:ind w:left="851" w:hanging="567"/>
        <w:contextualSpacing w:val="0"/>
      </w:pPr>
      <w:r>
        <w:t>Suspected transmission of an infectious agent (pathogenic or nonpathogenic) via the study drug(s) should always be considered an SAE.</w:t>
      </w:r>
    </w:p>
    <w:p w14:paraId="28BB0239" w14:textId="77777777" w:rsidR="00F41FE2" w:rsidRDefault="00F41FE2" w:rsidP="00F41FE2">
      <w:r>
        <w:t>A Grade 4 AE or laboratory abnormality does not necessarily indicate an SAE, unless the occurrence meets one or more of the above definitions.</w:t>
      </w:r>
    </w:p>
    <w:p w14:paraId="2950FF4D" w14:textId="77777777" w:rsidR="00F41FE2" w:rsidRPr="00D01A3D" w:rsidRDefault="00946F1A" w:rsidP="004B7D47">
      <w:pPr>
        <w:pStyle w:val="Heading3"/>
      </w:pPr>
      <w:bookmarkStart w:id="18" w:name="_Toc180755782"/>
      <w:r w:rsidRPr="00D01A3D">
        <w:t>Suspected Unexpected Serious Adverse Reaction (SUSAR)</w:t>
      </w:r>
      <w:bookmarkEnd w:id="18"/>
    </w:p>
    <w:p w14:paraId="235F0876" w14:textId="77777777" w:rsidR="00946F1A" w:rsidRDefault="00946F1A" w:rsidP="00F41FE2">
      <w:r>
        <w:t>A serious adverse reaction to a study drug, the nature or severity of which is not consistent with the applicable reference safety information.</w:t>
      </w:r>
    </w:p>
    <w:p w14:paraId="0FD46864" w14:textId="77777777" w:rsidR="00F41FE2" w:rsidRPr="00D01A3D" w:rsidRDefault="00946F1A" w:rsidP="004B7D47">
      <w:pPr>
        <w:pStyle w:val="Heading3"/>
      </w:pPr>
      <w:bookmarkStart w:id="19" w:name="_Toc180755783"/>
      <w:r w:rsidRPr="00D01A3D">
        <w:t>Unexpected Adverse Drug Reaction</w:t>
      </w:r>
      <w:bookmarkEnd w:id="19"/>
    </w:p>
    <w:p w14:paraId="62B58FC7" w14:textId="77777777" w:rsidR="00946F1A" w:rsidRDefault="00946F1A" w:rsidP="00946F1A">
      <w:r>
        <w:t>An adverse drug reaction, the nature and severity of which is not consistent with the applicable product information (e.g. the Investigator Brochure for an unapproved investigational drug or the package insert for an approved drug).</w:t>
      </w:r>
    </w:p>
    <w:p w14:paraId="6A59C21F" w14:textId="77777777" w:rsidR="00F41FE2" w:rsidRPr="00D01A3D" w:rsidRDefault="00946F1A" w:rsidP="004B7D47">
      <w:pPr>
        <w:pStyle w:val="Heading3"/>
      </w:pPr>
      <w:bookmarkStart w:id="20" w:name="_Toc180755784"/>
      <w:r w:rsidRPr="00D01A3D">
        <w:lastRenderedPageBreak/>
        <w:t>Urgent safety meas</w:t>
      </w:r>
      <w:r w:rsidR="00F41FE2" w:rsidRPr="00D01A3D">
        <w:t>ure</w:t>
      </w:r>
      <w:bookmarkEnd w:id="20"/>
    </w:p>
    <w:p w14:paraId="107910A2" w14:textId="31E2B5B0" w:rsidR="00F23C87" w:rsidRDefault="00946F1A" w:rsidP="00946F1A">
      <w:r>
        <w:t xml:space="preserve">Urgent risk minimization action undertaken following the identification of an event/observation which may alter the risk/benefit assessment of the study </w:t>
      </w:r>
      <w:r w:rsidRPr="000C42F3">
        <w:t xml:space="preserve">treatment, including changes in the administration of the </w:t>
      </w:r>
      <w:r w:rsidR="00F41FE2" w:rsidRPr="000C42F3">
        <w:t>IMPs</w:t>
      </w:r>
      <w:r w:rsidRPr="000C42F3">
        <w:t xml:space="preserve"> or modification of the condu</w:t>
      </w:r>
      <w:r w:rsidR="00F41FE2" w:rsidRPr="000C42F3">
        <w:t>ct of the clinical trial</w:t>
      </w:r>
      <w:r w:rsidR="00F04ECF" w:rsidRPr="000C42F3">
        <w:t>s</w:t>
      </w:r>
      <w:r w:rsidR="00F41FE2" w:rsidRPr="000C42F3">
        <w:t>.</w:t>
      </w:r>
    </w:p>
    <w:p w14:paraId="0F7FC383" w14:textId="77777777" w:rsidR="00F23C87" w:rsidRPr="00D01A3D" w:rsidRDefault="00F43D5E" w:rsidP="004B7D47">
      <w:pPr>
        <w:pStyle w:val="Heading2"/>
      </w:pPr>
      <w:bookmarkStart w:id="21" w:name="_Toc180755785"/>
      <w:r w:rsidRPr="00D01A3D">
        <w:t>PROCEDURE</w:t>
      </w:r>
      <w:bookmarkEnd w:id="21"/>
    </w:p>
    <w:p w14:paraId="337C35F5" w14:textId="77777777" w:rsidR="00F23C87" w:rsidRPr="00D01A3D" w:rsidRDefault="00207CAF" w:rsidP="004B7D47">
      <w:pPr>
        <w:pStyle w:val="Heading3"/>
      </w:pPr>
      <w:bookmarkStart w:id="22" w:name="_Toc180755786"/>
      <w:r w:rsidRPr="00D01A3D">
        <w:t>Safety data collection</w:t>
      </w:r>
      <w:bookmarkEnd w:id="22"/>
    </w:p>
    <w:p w14:paraId="3F2EC8C7" w14:textId="77777777" w:rsidR="00652052" w:rsidRPr="00D01A3D" w:rsidRDefault="00652052" w:rsidP="004B7D47">
      <w:pPr>
        <w:pStyle w:val="Heading4"/>
      </w:pPr>
      <w:r w:rsidRPr="00D01A3D">
        <w:t>Detection of Adverse Events</w:t>
      </w:r>
    </w:p>
    <w:p w14:paraId="1417DF2D" w14:textId="452ABBE5" w:rsidR="001D402C" w:rsidRPr="000C42F3" w:rsidRDefault="00207CAF" w:rsidP="00093C3C">
      <w:pPr>
        <w:rPr>
          <w:rFonts w:asciiTheme="minorHAnsi" w:hAnsiTheme="minorHAnsi" w:cstheme="minorHAnsi"/>
        </w:rPr>
      </w:pPr>
      <w:r w:rsidRPr="00F346D6">
        <w:rPr>
          <w:rFonts w:asciiTheme="minorHAnsi" w:hAnsiTheme="minorHAnsi" w:cstheme="minorHAnsi"/>
        </w:rPr>
        <w:t>The recording of adverse events (AEs) and other relevant safety parameters as defined in the clinical trial</w:t>
      </w:r>
      <w:r w:rsidR="00F04ECF">
        <w:rPr>
          <w:rFonts w:asciiTheme="minorHAnsi" w:hAnsiTheme="minorHAnsi" w:cstheme="minorHAnsi"/>
          <w:highlight w:val="yellow"/>
        </w:rPr>
        <w:t xml:space="preserve"> </w:t>
      </w:r>
      <w:r w:rsidRPr="00F346D6">
        <w:rPr>
          <w:rFonts w:asciiTheme="minorHAnsi" w:hAnsiTheme="minorHAnsi" w:cstheme="minorHAnsi"/>
        </w:rPr>
        <w:t xml:space="preserve">(CT) </w:t>
      </w:r>
      <w:r w:rsidRPr="000C42F3">
        <w:rPr>
          <w:rFonts w:asciiTheme="minorHAnsi" w:hAnsiTheme="minorHAnsi" w:cstheme="minorHAnsi"/>
        </w:rPr>
        <w:t>protocol</w:t>
      </w:r>
      <w:r w:rsidR="00F04ECF" w:rsidRPr="000C42F3">
        <w:rPr>
          <w:rFonts w:asciiTheme="minorHAnsi" w:hAnsiTheme="minorHAnsi" w:cstheme="minorHAnsi"/>
        </w:rPr>
        <w:t>s</w:t>
      </w:r>
      <w:r w:rsidRPr="000C42F3">
        <w:rPr>
          <w:rFonts w:asciiTheme="minorHAnsi" w:hAnsiTheme="minorHAnsi" w:cstheme="minorHAnsi"/>
        </w:rPr>
        <w:t xml:space="preserve"> (e.g. pregnancy, overdose</w:t>
      </w:r>
      <w:r w:rsidR="000348A3" w:rsidRPr="000C42F3">
        <w:rPr>
          <w:rFonts w:asciiTheme="minorHAnsi" w:hAnsiTheme="minorHAnsi" w:cstheme="minorHAnsi"/>
        </w:rPr>
        <w:t>)</w:t>
      </w:r>
      <w:r w:rsidRPr="000C42F3">
        <w:rPr>
          <w:rFonts w:asciiTheme="minorHAnsi" w:hAnsiTheme="minorHAnsi" w:cstheme="minorHAnsi"/>
        </w:rPr>
        <w:t xml:space="preserve"> starts </w:t>
      </w:r>
      <w:r w:rsidR="00AA75EB" w:rsidRPr="000C42F3">
        <w:rPr>
          <w:rFonts w:asciiTheme="minorHAnsi" w:hAnsiTheme="minorHAnsi" w:cstheme="minorHAnsi"/>
        </w:rPr>
        <w:t>from</w:t>
      </w:r>
      <w:r w:rsidR="0053767E" w:rsidRPr="000C42F3">
        <w:rPr>
          <w:rFonts w:asciiTheme="minorHAnsi" w:hAnsiTheme="minorHAnsi" w:cstheme="minorHAnsi"/>
        </w:rPr>
        <w:t xml:space="preserve"> the initiation of study treatment and </w:t>
      </w:r>
      <w:r w:rsidR="00AA75EB" w:rsidRPr="000C42F3">
        <w:rPr>
          <w:rFonts w:asciiTheme="minorHAnsi" w:hAnsiTheme="minorHAnsi" w:cstheme="minorHAnsi"/>
        </w:rPr>
        <w:t xml:space="preserve">ends </w:t>
      </w:r>
      <w:r w:rsidR="0038283D" w:rsidRPr="000C42F3">
        <w:rPr>
          <w:rFonts w:asciiTheme="minorHAnsi" w:hAnsiTheme="minorHAnsi" w:cstheme="minorHAnsi"/>
        </w:rPr>
        <w:t xml:space="preserve">at the last study visit (planned or early discontinuation). </w:t>
      </w:r>
      <w:r w:rsidR="0094406F" w:rsidRPr="000C42F3">
        <w:rPr>
          <w:rFonts w:asciiTheme="minorHAnsi" w:hAnsiTheme="minorHAnsi" w:cstheme="minorHAnsi"/>
        </w:rPr>
        <w:t>This is applicable to all patients irrespective of treatment allocation.</w:t>
      </w:r>
    </w:p>
    <w:p w14:paraId="2B63BAB3" w14:textId="72D98874" w:rsidR="00093C3C" w:rsidRPr="000C42F3" w:rsidRDefault="00093C3C" w:rsidP="00093C3C">
      <w:pPr>
        <w:rPr>
          <w:rFonts w:asciiTheme="minorHAnsi" w:hAnsiTheme="minorHAnsi" w:cstheme="minorHAnsi"/>
        </w:rPr>
      </w:pPr>
      <w:r w:rsidRPr="000C42F3">
        <w:rPr>
          <w:rFonts w:asciiTheme="minorHAnsi" w:hAnsiTheme="minorHAnsi" w:cstheme="minorHAnsi"/>
        </w:rPr>
        <w:t>Any untoward medical occurrence in a patient enrolled in the CT qualifies as an AE, including:</w:t>
      </w:r>
    </w:p>
    <w:p w14:paraId="2BFE2C49" w14:textId="55958A60" w:rsidR="00093C3C" w:rsidRPr="000C42F3" w:rsidRDefault="00093C3C" w:rsidP="00072566">
      <w:pPr>
        <w:pStyle w:val="ListParagraph"/>
        <w:numPr>
          <w:ilvl w:val="0"/>
          <w:numId w:val="9"/>
        </w:numPr>
        <w:ind w:left="851" w:hanging="491"/>
        <w:rPr>
          <w:rFonts w:asciiTheme="minorHAnsi" w:hAnsiTheme="minorHAnsi" w:cstheme="minorHAnsi"/>
        </w:rPr>
      </w:pPr>
      <w:r w:rsidRPr="000C42F3">
        <w:rPr>
          <w:rFonts w:asciiTheme="minorHAnsi" w:hAnsiTheme="minorHAnsi" w:cstheme="minorHAnsi"/>
        </w:rPr>
        <w:t>Any symptom, sign, or laboratory abnormality that was not present at baseline, and</w:t>
      </w:r>
    </w:p>
    <w:p w14:paraId="50F5C7E5" w14:textId="5BE0AE8F" w:rsidR="00093C3C" w:rsidRPr="000C42F3" w:rsidRDefault="00093C3C" w:rsidP="00072566">
      <w:pPr>
        <w:pStyle w:val="ListParagraph"/>
        <w:numPr>
          <w:ilvl w:val="0"/>
          <w:numId w:val="9"/>
        </w:numPr>
        <w:ind w:left="851" w:hanging="491"/>
        <w:rPr>
          <w:rFonts w:asciiTheme="minorHAnsi" w:hAnsiTheme="minorHAnsi" w:cstheme="minorHAnsi"/>
        </w:rPr>
      </w:pPr>
      <w:r w:rsidRPr="000C42F3">
        <w:rPr>
          <w:rFonts w:asciiTheme="minorHAnsi" w:hAnsiTheme="minorHAnsi" w:cstheme="minorHAnsi"/>
        </w:rPr>
        <w:t xml:space="preserve">Any worsening of a symptom, sign, or laboratory abnormality already present at </w:t>
      </w:r>
      <w:r w:rsidR="009422E9" w:rsidRPr="000C42F3">
        <w:rPr>
          <w:rFonts w:asciiTheme="minorHAnsi" w:hAnsiTheme="minorHAnsi" w:cstheme="minorHAnsi"/>
        </w:rPr>
        <w:t>baseline</w:t>
      </w:r>
      <w:r w:rsidRPr="000C42F3">
        <w:rPr>
          <w:rFonts w:asciiTheme="minorHAnsi" w:hAnsiTheme="minorHAnsi" w:cstheme="minorHAnsi"/>
        </w:rPr>
        <w:t>.</w:t>
      </w:r>
    </w:p>
    <w:p w14:paraId="00027672" w14:textId="77777777" w:rsidR="0094406F" w:rsidRPr="00F346D6" w:rsidRDefault="00093C3C" w:rsidP="00093C3C">
      <w:pPr>
        <w:rPr>
          <w:rFonts w:asciiTheme="minorHAnsi" w:hAnsiTheme="minorHAnsi" w:cstheme="minorHAnsi"/>
        </w:rPr>
      </w:pPr>
      <w:r w:rsidRPr="000C42F3">
        <w:rPr>
          <w:rFonts w:asciiTheme="minorHAnsi" w:hAnsiTheme="minorHAnsi" w:cstheme="minorHAnsi"/>
        </w:rPr>
        <w:t xml:space="preserve">In addition, overdose of </w:t>
      </w:r>
      <w:r w:rsidR="004D6C68" w:rsidRPr="000C42F3">
        <w:rPr>
          <w:rFonts w:asciiTheme="minorHAnsi" w:hAnsiTheme="minorHAnsi" w:cstheme="minorHAnsi"/>
        </w:rPr>
        <w:t>investigational</w:t>
      </w:r>
      <w:r w:rsidR="004D6C68" w:rsidRPr="00F346D6">
        <w:rPr>
          <w:rFonts w:asciiTheme="minorHAnsi" w:hAnsiTheme="minorHAnsi" w:cstheme="minorHAnsi"/>
        </w:rPr>
        <w:t xml:space="preserve"> medicinal product (IMP) </w:t>
      </w:r>
      <w:r w:rsidRPr="00F346D6">
        <w:rPr>
          <w:rFonts w:asciiTheme="minorHAnsi" w:hAnsiTheme="minorHAnsi" w:cstheme="minorHAnsi"/>
        </w:rPr>
        <w:t>and pregnancy in an enrolled female patient or in the female partner of an enrolled male patient, are considered relevant safety parameters to be recorded.</w:t>
      </w:r>
    </w:p>
    <w:p w14:paraId="7986B1E7" w14:textId="263B9D46" w:rsidR="00F346D6" w:rsidRPr="00F346D6" w:rsidRDefault="00F346D6" w:rsidP="00F346D6">
      <w:pPr>
        <w:rPr>
          <w:rFonts w:asciiTheme="minorHAnsi" w:hAnsiTheme="minorHAnsi" w:cstheme="minorHAnsi"/>
        </w:rPr>
      </w:pPr>
      <w:r w:rsidRPr="00F346D6">
        <w:rPr>
          <w:rFonts w:asciiTheme="minorHAnsi" w:hAnsiTheme="minorHAnsi" w:cstheme="minorHAnsi"/>
        </w:rPr>
        <w:t>The Site Principal Investigator (PI) and Co-Investigator (Co</w:t>
      </w:r>
      <w:r w:rsidR="00C57054">
        <w:rPr>
          <w:rFonts w:asciiTheme="minorHAnsi" w:hAnsiTheme="minorHAnsi" w:cstheme="minorHAnsi"/>
        </w:rPr>
        <w:t>-</w:t>
      </w:r>
      <w:r w:rsidRPr="00F346D6">
        <w:rPr>
          <w:rFonts w:asciiTheme="minorHAnsi" w:hAnsiTheme="minorHAnsi" w:cstheme="minorHAnsi"/>
        </w:rPr>
        <w:t>I) are responsible for:</w:t>
      </w:r>
    </w:p>
    <w:p w14:paraId="3F63D77E" w14:textId="77777777" w:rsidR="00F346D6" w:rsidRPr="00F346D6" w:rsidRDefault="00F346D6" w:rsidP="00F346D6">
      <w:pPr>
        <w:pStyle w:val="ListParagraph"/>
        <w:numPr>
          <w:ilvl w:val="0"/>
          <w:numId w:val="34"/>
        </w:numPr>
        <w:ind w:left="317" w:hanging="283"/>
        <w:contextualSpacing w:val="0"/>
        <w:rPr>
          <w:rFonts w:asciiTheme="minorHAnsi" w:hAnsiTheme="minorHAnsi" w:cstheme="minorHAnsi"/>
        </w:rPr>
      </w:pPr>
      <w:r w:rsidRPr="00F346D6">
        <w:rPr>
          <w:rFonts w:asciiTheme="minorHAnsi" w:hAnsiTheme="minorHAnsi" w:cstheme="minorHAnsi"/>
        </w:rPr>
        <w:t>Actively looking for AEs when performing clinical examinations and following-up on potential changes in ongoing medical conditions present prior to study start;</w:t>
      </w:r>
    </w:p>
    <w:p w14:paraId="744EC5AD" w14:textId="77777777" w:rsidR="00F346D6" w:rsidRPr="00F346D6" w:rsidRDefault="00F346D6" w:rsidP="00F346D6">
      <w:pPr>
        <w:pStyle w:val="ListParagraph"/>
        <w:numPr>
          <w:ilvl w:val="0"/>
          <w:numId w:val="34"/>
        </w:numPr>
        <w:ind w:left="317" w:hanging="283"/>
        <w:contextualSpacing w:val="0"/>
        <w:rPr>
          <w:rFonts w:asciiTheme="minorHAnsi" w:hAnsiTheme="minorHAnsi" w:cstheme="minorHAnsi"/>
        </w:rPr>
      </w:pPr>
      <w:r w:rsidRPr="00F346D6">
        <w:rPr>
          <w:rFonts w:asciiTheme="minorHAnsi" w:hAnsiTheme="minorHAnsi" w:cstheme="minorHAnsi"/>
        </w:rPr>
        <w:t>Upon receipt, carefully reviewing lab reports, electrocardiogram reports and other investigations reports for out-of-range/abnormal results;</w:t>
      </w:r>
    </w:p>
    <w:p w14:paraId="0D0273F0" w14:textId="77777777" w:rsidR="00F346D6" w:rsidRPr="00F346D6" w:rsidRDefault="00F346D6" w:rsidP="00F346D6">
      <w:pPr>
        <w:pStyle w:val="ListParagraph"/>
        <w:numPr>
          <w:ilvl w:val="0"/>
          <w:numId w:val="34"/>
        </w:numPr>
        <w:ind w:left="317" w:hanging="283"/>
        <w:contextualSpacing w:val="0"/>
        <w:rPr>
          <w:rFonts w:asciiTheme="minorHAnsi" w:hAnsiTheme="minorHAnsi" w:cstheme="minorHAnsi"/>
        </w:rPr>
      </w:pPr>
      <w:r w:rsidRPr="00F346D6">
        <w:rPr>
          <w:rFonts w:asciiTheme="minorHAnsi" w:hAnsiTheme="minorHAnsi" w:cstheme="minorHAnsi"/>
        </w:rPr>
        <w:t>At each trial visit, enquiring with the patient about the appearance of any new symptoms or signs since previous visit;</w:t>
      </w:r>
    </w:p>
    <w:p w14:paraId="32267BDB" w14:textId="77777777" w:rsidR="00F346D6" w:rsidRPr="00F346D6" w:rsidRDefault="00F346D6" w:rsidP="00F346D6">
      <w:pPr>
        <w:pStyle w:val="ListParagraph"/>
        <w:numPr>
          <w:ilvl w:val="0"/>
          <w:numId w:val="34"/>
        </w:numPr>
        <w:ind w:left="317" w:hanging="283"/>
        <w:contextualSpacing w:val="0"/>
        <w:rPr>
          <w:rFonts w:asciiTheme="minorHAnsi" w:hAnsiTheme="minorHAnsi" w:cstheme="minorHAnsi"/>
        </w:rPr>
      </w:pPr>
      <w:r w:rsidRPr="00F346D6">
        <w:rPr>
          <w:rFonts w:asciiTheme="minorHAnsi" w:hAnsiTheme="minorHAnsi" w:cstheme="minorHAnsi"/>
        </w:rPr>
        <w:t>At each trial visit, enquiring with the patient about contraception use and potential pregnancy;</w:t>
      </w:r>
    </w:p>
    <w:p w14:paraId="096A46D8" w14:textId="77777777" w:rsidR="00F346D6" w:rsidRPr="00446D73" w:rsidRDefault="00F346D6" w:rsidP="00F346D6">
      <w:pPr>
        <w:pStyle w:val="ListParagraph"/>
        <w:numPr>
          <w:ilvl w:val="0"/>
          <w:numId w:val="34"/>
        </w:numPr>
        <w:ind w:left="317" w:hanging="283"/>
        <w:contextualSpacing w:val="0"/>
        <w:rPr>
          <w:rFonts w:asciiTheme="minorHAnsi" w:hAnsiTheme="minorHAnsi" w:cstheme="minorHAnsi"/>
        </w:rPr>
      </w:pPr>
      <w:r w:rsidRPr="00446D73">
        <w:rPr>
          <w:rFonts w:asciiTheme="minorHAnsi" w:hAnsiTheme="minorHAnsi" w:cstheme="minorHAnsi"/>
        </w:rPr>
        <w:t xml:space="preserve">Encouraging patients to report any medical event occurring between trial visits to study </w:t>
      </w:r>
      <w:r w:rsidR="00446D73" w:rsidRPr="00446D73">
        <w:rPr>
          <w:rFonts w:asciiTheme="minorHAnsi" w:hAnsiTheme="minorHAnsi" w:cstheme="minorHAnsi"/>
        </w:rPr>
        <w:t>staff (e.g. nurses,</w:t>
      </w:r>
      <w:r w:rsidR="00C24A62">
        <w:rPr>
          <w:rFonts w:asciiTheme="minorHAnsi" w:hAnsiTheme="minorHAnsi" w:cstheme="minorHAnsi"/>
        </w:rPr>
        <w:t xml:space="preserve"> </w:t>
      </w:r>
      <w:r w:rsidR="00446D73" w:rsidRPr="00446D73">
        <w:rPr>
          <w:rFonts w:asciiTheme="minorHAnsi" w:hAnsiTheme="minorHAnsi" w:cstheme="minorHAnsi"/>
        </w:rPr>
        <w:t>doctors)</w:t>
      </w:r>
      <w:r w:rsidRPr="00446D73">
        <w:rPr>
          <w:rFonts w:asciiTheme="minorHAnsi" w:hAnsiTheme="minorHAnsi" w:cstheme="minorHAnsi"/>
        </w:rPr>
        <w:t>.</w:t>
      </w:r>
    </w:p>
    <w:p w14:paraId="4D2C8E7B" w14:textId="77777777" w:rsidR="00F346D6" w:rsidRPr="004245CA" w:rsidRDefault="00F346D6" w:rsidP="00C24A62">
      <w:pPr>
        <w:ind w:left="34"/>
        <w:rPr>
          <w:rFonts w:asciiTheme="minorHAnsi" w:hAnsiTheme="minorHAnsi" w:cstheme="minorHAnsi"/>
        </w:rPr>
      </w:pPr>
      <w:r w:rsidRPr="004245CA">
        <w:rPr>
          <w:rFonts w:asciiTheme="minorHAnsi" w:hAnsiTheme="minorHAnsi" w:cstheme="minorHAnsi"/>
        </w:rPr>
        <w:t xml:space="preserve">The </w:t>
      </w:r>
      <w:r w:rsidR="00C24A62" w:rsidRPr="004245CA">
        <w:rPr>
          <w:rFonts w:asciiTheme="minorHAnsi" w:hAnsiTheme="minorHAnsi" w:cstheme="minorHAnsi"/>
        </w:rPr>
        <w:t>study nurses</w:t>
      </w:r>
      <w:r w:rsidR="00446D73" w:rsidRPr="004245CA">
        <w:rPr>
          <w:rFonts w:asciiTheme="minorHAnsi" w:hAnsiTheme="minorHAnsi" w:cstheme="minorHAnsi"/>
        </w:rPr>
        <w:t xml:space="preserve"> </w:t>
      </w:r>
      <w:r w:rsidRPr="004245CA">
        <w:rPr>
          <w:rFonts w:asciiTheme="minorHAnsi" w:hAnsiTheme="minorHAnsi" w:cstheme="minorHAnsi"/>
        </w:rPr>
        <w:t>are responsible for</w:t>
      </w:r>
      <w:r w:rsidR="00C24A62" w:rsidRPr="004245CA">
        <w:rPr>
          <w:rFonts w:asciiTheme="minorHAnsi" w:hAnsiTheme="minorHAnsi" w:cstheme="minorHAnsi"/>
        </w:rPr>
        <w:t xml:space="preserve"> c</w:t>
      </w:r>
      <w:r w:rsidRPr="004245CA">
        <w:rPr>
          <w:rFonts w:asciiTheme="minorHAnsi" w:hAnsiTheme="minorHAnsi" w:cstheme="minorHAnsi"/>
        </w:rPr>
        <w:t>arefully reviewing trial drugs accountability for medication errors and possible overdose</w:t>
      </w:r>
      <w:r w:rsidR="00C24A62" w:rsidRPr="004245CA">
        <w:rPr>
          <w:rFonts w:asciiTheme="minorHAnsi" w:hAnsiTheme="minorHAnsi" w:cstheme="minorHAnsi"/>
        </w:rPr>
        <w:t>.</w:t>
      </w:r>
    </w:p>
    <w:p w14:paraId="4162DF7F" w14:textId="75AC6056" w:rsidR="00C24A62" w:rsidRDefault="00C24A62" w:rsidP="00C24A62">
      <w:r w:rsidRPr="004245CA">
        <w:t xml:space="preserve">DOTS corners nurses </w:t>
      </w:r>
      <w:r w:rsidRPr="004245CA">
        <w:rPr>
          <w:rFonts w:asciiTheme="minorHAnsi" w:hAnsiTheme="minorHAnsi" w:cstheme="minorHAnsi"/>
        </w:rPr>
        <w:t xml:space="preserve">or counselors </w:t>
      </w:r>
      <w:r w:rsidRPr="004245CA">
        <w:t>are responsible to inform the study nurse on</w:t>
      </w:r>
      <w:r w:rsidR="00DD1AF4" w:rsidRPr="004245CA">
        <w:t xml:space="preserve"> </w:t>
      </w:r>
      <w:r w:rsidRPr="004245CA">
        <w:t>any AE or other safety related information</w:t>
      </w:r>
      <w:r w:rsidR="00DD1AF4">
        <w:t xml:space="preserve"> they may learn from patient or observe/notice</w:t>
      </w:r>
      <w:r w:rsidRPr="004245CA">
        <w:t>.</w:t>
      </w:r>
    </w:p>
    <w:p w14:paraId="0924EAAD" w14:textId="4F9A1B7C" w:rsidR="009504F5" w:rsidRPr="00D01A3D" w:rsidRDefault="009504F5" w:rsidP="001E65A4">
      <w:pPr>
        <w:pStyle w:val="Heading4"/>
      </w:pPr>
      <w:r w:rsidRPr="00D01A3D">
        <w:lastRenderedPageBreak/>
        <w:t>Recording Adverse Events and relevant safety parameters in the</w:t>
      </w:r>
      <w:r w:rsidR="00F04002">
        <w:t xml:space="preserve"> electronic case report form</w:t>
      </w:r>
      <w:r w:rsidRPr="00D01A3D">
        <w:t xml:space="preserve"> </w:t>
      </w:r>
      <w:r w:rsidR="00F04002">
        <w:t>(</w:t>
      </w:r>
      <w:r w:rsidRPr="00D01A3D">
        <w:t>eCRF</w:t>
      </w:r>
      <w:r w:rsidR="00F04002">
        <w:t>)</w:t>
      </w:r>
      <w:r w:rsidRPr="00D01A3D">
        <w:t xml:space="preserve"> and study file</w:t>
      </w:r>
    </w:p>
    <w:p w14:paraId="684B92A9" w14:textId="05DD3526" w:rsidR="009504F5" w:rsidRDefault="009504F5" w:rsidP="009504F5">
      <w:r>
        <w:t>The</w:t>
      </w:r>
      <w:r w:rsidR="00072566">
        <w:t xml:space="preserve"> Site </w:t>
      </w:r>
      <w:r>
        <w:t xml:space="preserve">Principal Investigator (PI) or </w:t>
      </w:r>
      <w:r w:rsidR="00072566">
        <w:t>Site Co-I</w:t>
      </w:r>
      <w:r>
        <w:t>nvestigator</w:t>
      </w:r>
      <w:r w:rsidR="004B2B91">
        <w:t xml:space="preserve"> (Co</w:t>
      </w:r>
      <w:r w:rsidR="00C57054">
        <w:t>-</w:t>
      </w:r>
      <w:r w:rsidR="004B2B91">
        <w:t>I)</w:t>
      </w:r>
      <w:r>
        <w:t xml:space="preserve"> is responsible for documenting all AEs in the medical file as well as in the Adverse Event section of the</w:t>
      </w:r>
      <w:r w:rsidR="00F04002">
        <w:t xml:space="preserve"> </w:t>
      </w:r>
      <w:r>
        <w:t xml:space="preserve">eCRF. AE recording applies to all trial patients, irrespective of the treatment regimen they have been allocated </w:t>
      </w:r>
      <w:proofErr w:type="gramStart"/>
      <w:r>
        <w:t>to, and</w:t>
      </w:r>
      <w:proofErr w:type="gramEnd"/>
      <w:r>
        <w:t xml:space="preserve"> starts upon initiation of study </w:t>
      </w:r>
      <w:r w:rsidR="00072566">
        <w:t xml:space="preserve">treatment. </w:t>
      </w:r>
    </w:p>
    <w:p w14:paraId="364656DB" w14:textId="77777777" w:rsidR="009504F5" w:rsidRDefault="009504F5" w:rsidP="009504F5">
      <w:r>
        <w:t>AEs (including lab abnormalities) should be described using a diagnosis whenever possible, rather than individual underlying signs and symptoms. When a clear diagnosis cannot be identified, each sign or symptom should be reported as a separate AE.</w:t>
      </w:r>
    </w:p>
    <w:p w14:paraId="437ED3E5" w14:textId="7C929FFD" w:rsidR="009504F5" w:rsidRPr="004B2B91" w:rsidRDefault="009504F5" w:rsidP="00072566">
      <w:pPr>
        <w:pStyle w:val="ListParagraph"/>
        <w:numPr>
          <w:ilvl w:val="0"/>
          <w:numId w:val="10"/>
        </w:numPr>
        <w:rPr>
          <w:i/>
        </w:rPr>
      </w:pPr>
      <w:r w:rsidRPr="004B2B91">
        <w:rPr>
          <w:i/>
        </w:rPr>
        <w:t>Example: If a patient experiences chest pain, dyspnea, diaphoresis, and ECG changes, rather than recording each individual symptom, “Myocardial Infarction” should be reported.</w:t>
      </w:r>
    </w:p>
    <w:p w14:paraId="7393C4D7" w14:textId="77777777" w:rsidR="009504F5" w:rsidRDefault="009504F5" w:rsidP="004B2B91">
      <w:r>
        <w:t>As far as possible, each AE should be evaluated to determine:</w:t>
      </w:r>
    </w:p>
    <w:p w14:paraId="06F36558" w14:textId="77777777" w:rsidR="004B2B91" w:rsidRDefault="00072566" w:rsidP="004B2B91">
      <w:pPr>
        <w:pStyle w:val="ListParagraph"/>
        <w:numPr>
          <w:ilvl w:val="0"/>
          <w:numId w:val="12"/>
        </w:numPr>
        <w:tabs>
          <w:tab w:val="left" w:pos="709"/>
        </w:tabs>
        <w:ind w:left="709" w:hanging="425"/>
        <w:contextualSpacing w:val="0"/>
      </w:pPr>
      <w:r>
        <w:t xml:space="preserve">Its </w:t>
      </w:r>
      <w:r w:rsidRPr="002C6E57">
        <w:rPr>
          <w:b/>
        </w:rPr>
        <w:t>severity grade</w:t>
      </w:r>
      <w:r>
        <w:t xml:space="preserve"> </w:t>
      </w:r>
      <w:r w:rsidRPr="00072566">
        <w:t>according to the provided Severity Grading Scale (grades 1-4</w:t>
      </w:r>
      <w:r w:rsidR="004B2B91">
        <w:t>; see below</w:t>
      </w:r>
      <w:r>
        <w:t>)</w:t>
      </w:r>
      <w:r w:rsidR="004B2B91">
        <w:t>.</w:t>
      </w:r>
    </w:p>
    <w:p w14:paraId="4283908C" w14:textId="77777777" w:rsidR="009504F5" w:rsidRDefault="009504F5" w:rsidP="004B2B91">
      <w:pPr>
        <w:pStyle w:val="ListParagraph"/>
        <w:numPr>
          <w:ilvl w:val="0"/>
          <w:numId w:val="12"/>
        </w:numPr>
        <w:tabs>
          <w:tab w:val="left" w:pos="709"/>
        </w:tabs>
        <w:ind w:left="709" w:hanging="425"/>
        <w:contextualSpacing w:val="0"/>
      </w:pPr>
      <w:r>
        <w:t xml:space="preserve">Its </w:t>
      </w:r>
      <w:r w:rsidRPr="004B2B91">
        <w:rPr>
          <w:b/>
        </w:rPr>
        <w:t>duration</w:t>
      </w:r>
      <w:r>
        <w:t>,</w:t>
      </w:r>
    </w:p>
    <w:p w14:paraId="4C4D31CF" w14:textId="77777777" w:rsidR="009504F5" w:rsidRDefault="009504F5" w:rsidP="004B2B91">
      <w:pPr>
        <w:pStyle w:val="ListParagraph"/>
        <w:numPr>
          <w:ilvl w:val="0"/>
          <w:numId w:val="9"/>
        </w:numPr>
        <w:ind w:left="709" w:hanging="425"/>
        <w:contextualSpacing w:val="0"/>
      </w:pPr>
      <w:r>
        <w:t xml:space="preserve">Its </w:t>
      </w:r>
      <w:r w:rsidRPr="004B2B91">
        <w:rPr>
          <w:b/>
        </w:rPr>
        <w:t>causal relationship</w:t>
      </w:r>
      <w:r>
        <w:t xml:space="preserve"> to the </w:t>
      </w:r>
      <w:r w:rsidR="004B2B91">
        <w:t>IMPs</w:t>
      </w:r>
      <w:r>
        <w:t xml:space="preserve"> </w:t>
      </w:r>
      <w:r w:rsidRPr="006153C2">
        <w:t xml:space="preserve">(see </w:t>
      </w:r>
      <w:hyperlink w:anchor="tab2" w:history="1">
        <w:r w:rsidRPr="006153C2">
          <w:rPr>
            <w:rStyle w:val="Hyperlink"/>
            <w:color w:val="auto"/>
            <w:u w:val="none"/>
          </w:rPr>
          <w:t xml:space="preserve">table </w:t>
        </w:r>
        <w:r w:rsidR="004B2B91" w:rsidRPr="006153C2">
          <w:rPr>
            <w:rStyle w:val="Hyperlink"/>
            <w:color w:val="auto"/>
            <w:u w:val="none"/>
          </w:rPr>
          <w:t>2</w:t>
        </w:r>
      </w:hyperlink>
      <w:r w:rsidR="004B2B91" w:rsidRPr="006153C2">
        <w:t xml:space="preserve"> </w:t>
      </w:r>
      <w:r w:rsidRPr="006153C2">
        <w:t>below</w:t>
      </w:r>
      <w:r>
        <w:t>),</w:t>
      </w:r>
    </w:p>
    <w:p w14:paraId="487CC211" w14:textId="77777777" w:rsidR="009504F5" w:rsidRDefault="009504F5" w:rsidP="004B2B91">
      <w:pPr>
        <w:pStyle w:val="ListParagraph"/>
        <w:numPr>
          <w:ilvl w:val="0"/>
          <w:numId w:val="9"/>
        </w:numPr>
        <w:ind w:left="709" w:hanging="425"/>
        <w:contextualSpacing w:val="0"/>
      </w:pPr>
      <w:r w:rsidRPr="004B2B91">
        <w:rPr>
          <w:b/>
        </w:rPr>
        <w:t>Action taken</w:t>
      </w:r>
      <w:r>
        <w:t xml:space="preserve"> with respect to the </w:t>
      </w:r>
      <w:r w:rsidR="004B2B91">
        <w:t>IMPs</w:t>
      </w:r>
      <w:r>
        <w:t>,</w:t>
      </w:r>
    </w:p>
    <w:p w14:paraId="752DE748" w14:textId="77777777" w:rsidR="009504F5" w:rsidRDefault="009504F5" w:rsidP="004B2B91">
      <w:pPr>
        <w:pStyle w:val="ListParagraph"/>
        <w:numPr>
          <w:ilvl w:val="0"/>
          <w:numId w:val="9"/>
        </w:numPr>
        <w:ind w:left="709" w:hanging="425"/>
        <w:contextualSpacing w:val="0"/>
      </w:pPr>
      <w:r>
        <w:t xml:space="preserve">Whether </w:t>
      </w:r>
      <w:r w:rsidRPr="004B2B91">
        <w:rPr>
          <w:b/>
        </w:rPr>
        <w:t>medication or therapy</w:t>
      </w:r>
      <w:r>
        <w:t xml:space="preserve"> was taken/given in relation to the AE,</w:t>
      </w:r>
    </w:p>
    <w:p w14:paraId="7D0E9E94" w14:textId="123AC40C" w:rsidR="009504F5" w:rsidRDefault="009504F5" w:rsidP="004B2B91">
      <w:pPr>
        <w:pStyle w:val="ListParagraph"/>
        <w:numPr>
          <w:ilvl w:val="0"/>
          <w:numId w:val="9"/>
        </w:numPr>
        <w:ind w:left="709" w:hanging="425"/>
        <w:contextualSpacing w:val="0"/>
      </w:pPr>
      <w:r>
        <w:t xml:space="preserve">Whether it is a </w:t>
      </w:r>
      <w:r w:rsidRPr="004B2B91">
        <w:rPr>
          <w:b/>
        </w:rPr>
        <w:t>serious</w:t>
      </w:r>
      <w:r>
        <w:t xml:space="preserve"> </w:t>
      </w:r>
      <w:r w:rsidRPr="004B2B91">
        <w:rPr>
          <w:b/>
        </w:rPr>
        <w:t>adverse event (SAE)</w:t>
      </w:r>
      <w:r>
        <w:t xml:space="preserve"> (see </w:t>
      </w:r>
      <w:r w:rsidR="006153C2">
        <w:t xml:space="preserve">definition in section </w:t>
      </w:r>
      <w:r w:rsidR="006153C2">
        <w:rPr>
          <w:highlight w:val="yellow"/>
        </w:rPr>
        <w:fldChar w:fldCharType="begin"/>
      </w:r>
      <w:r w:rsidR="006153C2">
        <w:instrText xml:space="preserve"> REF _Ref427675504 \r \h </w:instrText>
      </w:r>
      <w:r w:rsidR="006153C2">
        <w:rPr>
          <w:highlight w:val="yellow"/>
        </w:rPr>
      </w:r>
      <w:r w:rsidR="006153C2">
        <w:rPr>
          <w:highlight w:val="yellow"/>
        </w:rPr>
        <w:fldChar w:fldCharType="separate"/>
      </w:r>
      <w:r w:rsidR="0051586B">
        <w:t>4.9</w:t>
      </w:r>
      <w:r w:rsidR="006153C2">
        <w:rPr>
          <w:highlight w:val="yellow"/>
        </w:rPr>
        <w:fldChar w:fldCharType="end"/>
      </w:r>
      <w:r>
        <w:t>),</w:t>
      </w:r>
    </w:p>
    <w:p w14:paraId="34E6837C" w14:textId="08C360A5" w:rsidR="009504F5" w:rsidRDefault="009504F5" w:rsidP="004B2B91">
      <w:pPr>
        <w:pStyle w:val="ListParagraph"/>
        <w:numPr>
          <w:ilvl w:val="0"/>
          <w:numId w:val="9"/>
        </w:numPr>
        <w:ind w:left="709" w:hanging="425"/>
        <w:contextualSpacing w:val="0"/>
      </w:pPr>
      <w:r>
        <w:t xml:space="preserve">Whether it is an </w:t>
      </w:r>
      <w:r w:rsidRPr="004B2B91">
        <w:rPr>
          <w:b/>
        </w:rPr>
        <w:t>AE of special interest (AESI)</w:t>
      </w:r>
      <w:r>
        <w:t xml:space="preserve"> (</w:t>
      </w:r>
      <w:r w:rsidR="006153C2">
        <w:t xml:space="preserve">see definition in section </w:t>
      </w:r>
      <w:r w:rsidR="006153C2">
        <w:fldChar w:fldCharType="begin"/>
      </w:r>
      <w:r w:rsidR="006153C2">
        <w:instrText xml:space="preserve"> REF _Ref427675518 \r \h </w:instrText>
      </w:r>
      <w:r w:rsidR="006153C2">
        <w:fldChar w:fldCharType="separate"/>
      </w:r>
      <w:r w:rsidR="0051586B">
        <w:t>4.2</w:t>
      </w:r>
      <w:r w:rsidR="006153C2">
        <w:fldChar w:fldCharType="end"/>
      </w:r>
      <w:r>
        <w:t>).</w:t>
      </w:r>
    </w:p>
    <w:p w14:paraId="0A4EFF4C" w14:textId="0E594C77" w:rsidR="004B2B91" w:rsidRDefault="004B2B91" w:rsidP="004B2B91">
      <w:pPr>
        <w:tabs>
          <w:tab w:val="left" w:pos="709"/>
        </w:tabs>
        <w:spacing w:before="240"/>
        <w:rPr>
          <w:lang w:val="en-GB" w:eastAsia="fr-CH"/>
        </w:rPr>
      </w:pPr>
      <w:r w:rsidRPr="004B2B91">
        <w:rPr>
          <w:lang w:val="en-GB" w:eastAsia="fr-CH"/>
        </w:rPr>
        <w:t xml:space="preserve">The </w:t>
      </w:r>
      <w:r>
        <w:rPr>
          <w:lang w:val="en-GB" w:eastAsia="fr-CH"/>
        </w:rPr>
        <w:t xml:space="preserve">assessment of severity is the responsibility of the Site PI or </w:t>
      </w:r>
      <w:proofErr w:type="gramStart"/>
      <w:r>
        <w:rPr>
          <w:lang w:val="en-GB" w:eastAsia="fr-CH"/>
        </w:rPr>
        <w:t>Co</w:t>
      </w:r>
      <w:r w:rsidR="00F04002">
        <w:rPr>
          <w:lang w:val="en-GB" w:eastAsia="fr-CH"/>
        </w:rPr>
        <w:t>-</w:t>
      </w:r>
      <w:r>
        <w:rPr>
          <w:lang w:val="en-GB" w:eastAsia="fr-CH"/>
        </w:rPr>
        <w:t>I.</w:t>
      </w:r>
      <w:proofErr w:type="gramEnd"/>
      <w:r>
        <w:rPr>
          <w:lang w:val="en-GB" w:eastAsia="fr-CH"/>
        </w:rPr>
        <w:t xml:space="preserve"> </w:t>
      </w:r>
      <w:r w:rsidR="00700F8F">
        <w:rPr>
          <w:lang w:val="en-GB" w:eastAsia="fr-CH"/>
        </w:rPr>
        <w:t xml:space="preserve">A standardized MSF </w:t>
      </w:r>
      <w:r w:rsidRPr="00072566">
        <w:t>Severity Grading Scale</w:t>
      </w:r>
      <w:r>
        <w:t xml:space="preserve"> provided by the Sponsor for use in the trial </w:t>
      </w:r>
      <w:r w:rsidRPr="004B2B91">
        <w:rPr>
          <w:lang w:val="en-GB" w:eastAsia="fr-CH"/>
        </w:rPr>
        <w:t>includes all terms from the Division of Microbiology and Infectious Diseases (DMID) grading system and a selection of relevant terms from the National Cancer Institute (NCI) Common Terminology Criteria for Adverse Events (CTCAE)</w:t>
      </w:r>
      <w:r w:rsidR="00D36437">
        <w:rPr>
          <w:lang w:val="en-GB" w:eastAsia="fr-CH"/>
        </w:rPr>
        <w:t xml:space="preserve"> and other references</w:t>
      </w:r>
      <w:r w:rsidRPr="004B2B91">
        <w:rPr>
          <w:lang w:val="en-GB" w:eastAsia="fr-CH"/>
        </w:rPr>
        <w:t xml:space="preserve">. For those AEs not described in the Severity Grading Scale, the general definition of clinical severity should </w:t>
      </w:r>
      <w:r w:rsidRPr="006153C2">
        <w:rPr>
          <w:lang w:val="en-GB" w:eastAsia="fr-CH"/>
        </w:rPr>
        <w:t xml:space="preserve">apply (see </w:t>
      </w:r>
      <w:hyperlink w:anchor="tab1" w:history="1">
        <w:r w:rsidRPr="006153C2">
          <w:rPr>
            <w:rStyle w:val="Hyperlink"/>
            <w:color w:val="auto"/>
            <w:u w:val="none"/>
          </w:rPr>
          <w:t>table 1</w:t>
        </w:r>
      </w:hyperlink>
      <w:r w:rsidR="006153C2">
        <w:t xml:space="preserve"> below</w:t>
      </w:r>
      <w:r w:rsidRPr="006153C2">
        <w:rPr>
          <w:lang w:val="en-GB" w:eastAsia="fr-CH"/>
        </w:rPr>
        <w:t>).</w:t>
      </w:r>
    </w:p>
    <w:p w14:paraId="30615CBA" w14:textId="006D551C" w:rsidR="004B2B91" w:rsidRPr="00D16EDA" w:rsidRDefault="004B2B91" w:rsidP="00D62704">
      <w:pPr>
        <w:pStyle w:val="Caption"/>
        <w:rPr>
          <w:lang w:val="en-GB" w:eastAsia="fr-CH"/>
        </w:rPr>
      </w:pPr>
      <w:bookmarkStart w:id="23" w:name="_Toc427592439"/>
      <w:r w:rsidRPr="00D16EDA">
        <w:rPr>
          <w:lang w:val="en-GB"/>
        </w:rPr>
        <w:t>Tabl</w:t>
      </w:r>
      <w:bookmarkStart w:id="24" w:name="tab1"/>
      <w:bookmarkEnd w:id="24"/>
      <w:r w:rsidRPr="00D16EDA">
        <w:rPr>
          <w:lang w:val="en-GB"/>
        </w:rPr>
        <w:t xml:space="preserve">e </w:t>
      </w:r>
      <w:r w:rsidRPr="00D16EDA">
        <w:rPr>
          <w:lang w:val="en-GB"/>
        </w:rPr>
        <w:fldChar w:fldCharType="begin"/>
      </w:r>
      <w:r w:rsidRPr="00D16EDA">
        <w:rPr>
          <w:lang w:val="en-GB"/>
        </w:rPr>
        <w:instrText xml:space="preserve"> SEQ Table \* ARABIC </w:instrText>
      </w:r>
      <w:r w:rsidRPr="00D16EDA">
        <w:rPr>
          <w:lang w:val="en-GB"/>
        </w:rPr>
        <w:fldChar w:fldCharType="separate"/>
      </w:r>
      <w:r w:rsidR="0051586B">
        <w:rPr>
          <w:noProof/>
          <w:lang w:val="en-GB"/>
        </w:rPr>
        <w:t>1</w:t>
      </w:r>
      <w:r w:rsidRPr="00D16EDA">
        <w:rPr>
          <w:lang w:val="en-GB"/>
        </w:rPr>
        <w:fldChar w:fldCharType="end"/>
      </w:r>
      <w:r w:rsidRPr="00D16EDA">
        <w:rPr>
          <w:lang w:val="en-GB"/>
        </w:rPr>
        <w:t xml:space="preserve"> </w:t>
      </w:r>
      <w:r w:rsidRPr="00D16EDA">
        <w:rPr>
          <w:lang w:val="en-GB" w:eastAsia="fr-CH"/>
        </w:rPr>
        <w:t>General definition of severity</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4B2B91" w:rsidRPr="00D16EDA" w14:paraId="145944CC" w14:textId="77777777" w:rsidTr="004B2B91">
        <w:trPr>
          <w:trHeight w:val="70"/>
        </w:trPr>
        <w:tc>
          <w:tcPr>
            <w:tcW w:w="1250" w:type="pct"/>
            <w:shd w:val="clear" w:color="auto" w:fill="auto"/>
          </w:tcPr>
          <w:p w14:paraId="222F1F31" w14:textId="77777777" w:rsidR="004B2B91" w:rsidRPr="00D16EDA" w:rsidRDefault="004B2B91" w:rsidP="00964E43">
            <w:pPr>
              <w:spacing w:before="20" w:after="20"/>
              <w:rPr>
                <w:b/>
                <w:sz w:val="18"/>
                <w:lang w:val="en-GB" w:eastAsia="fr-CH"/>
              </w:rPr>
            </w:pPr>
            <w:r w:rsidRPr="00D16EDA">
              <w:rPr>
                <w:b/>
                <w:sz w:val="18"/>
                <w:lang w:val="en-GB" w:eastAsia="fr-CH"/>
              </w:rPr>
              <w:t>Grade 1 Mild</w:t>
            </w:r>
          </w:p>
        </w:tc>
        <w:tc>
          <w:tcPr>
            <w:tcW w:w="1250" w:type="pct"/>
            <w:shd w:val="clear" w:color="auto" w:fill="auto"/>
          </w:tcPr>
          <w:p w14:paraId="04CC698E" w14:textId="77777777" w:rsidR="004B2B91" w:rsidRPr="00D16EDA" w:rsidRDefault="004B2B91" w:rsidP="00964E43">
            <w:pPr>
              <w:spacing w:before="20" w:after="20"/>
              <w:rPr>
                <w:b/>
                <w:sz w:val="18"/>
                <w:lang w:val="en-GB" w:eastAsia="fr-CH"/>
              </w:rPr>
            </w:pPr>
            <w:r w:rsidRPr="00D16EDA">
              <w:rPr>
                <w:b/>
                <w:sz w:val="18"/>
                <w:lang w:val="en-GB" w:eastAsia="fr-CH"/>
              </w:rPr>
              <w:t>Grade 2 Moderate</w:t>
            </w:r>
          </w:p>
        </w:tc>
        <w:tc>
          <w:tcPr>
            <w:tcW w:w="1250" w:type="pct"/>
            <w:shd w:val="clear" w:color="auto" w:fill="auto"/>
          </w:tcPr>
          <w:p w14:paraId="30FA1C64" w14:textId="77777777" w:rsidR="004B2B91" w:rsidRPr="00D16EDA" w:rsidRDefault="004B2B91" w:rsidP="00964E43">
            <w:pPr>
              <w:spacing w:before="20" w:after="20"/>
              <w:rPr>
                <w:b/>
                <w:sz w:val="18"/>
                <w:lang w:val="en-GB" w:eastAsia="fr-CH"/>
              </w:rPr>
            </w:pPr>
            <w:r w:rsidRPr="00D16EDA">
              <w:rPr>
                <w:b/>
                <w:sz w:val="18"/>
                <w:lang w:val="en-GB" w:eastAsia="fr-CH"/>
              </w:rPr>
              <w:t>Grade 3 Severe</w:t>
            </w:r>
          </w:p>
        </w:tc>
        <w:tc>
          <w:tcPr>
            <w:tcW w:w="1250" w:type="pct"/>
            <w:shd w:val="clear" w:color="auto" w:fill="auto"/>
          </w:tcPr>
          <w:p w14:paraId="061FFDD3" w14:textId="77777777" w:rsidR="004B2B91" w:rsidRPr="00D16EDA" w:rsidRDefault="004B2B91" w:rsidP="00964E43">
            <w:pPr>
              <w:spacing w:before="20" w:after="20"/>
              <w:jc w:val="left"/>
              <w:rPr>
                <w:b/>
                <w:sz w:val="18"/>
                <w:lang w:val="en-GB" w:eastAsia="fr-CH"/>
              </w:rPr>
            </w:pPr>
            <w:r w:rsidRPr="00D16EDA">
              <w:rPr>
                <w:b/>
                <w:sz w:val="18"/>
                <w:lang w:val="en-GB" w:eastAsia="fr-CH"/>
              </w:rPr>
              <w:t>Grade 4 Life-threatening</w:t>
            </w:r>
          </w:p>
        </w:tc>
      </w:tr>
      <w:tr w:rsidR="004B2B91" w:rsidRPr="00D16EDA" w14:paraId="4859A57C" w14:textId="77777777" w:rsidTr="004B2B91">
        <w:tc>
          <w:tcPr>
            <w:tcW w:w="1250" w:type="pct"/>
            <w:shd w:val="clear" w:color="auto" w:fill="auto"/>
          </w:tcPr>
          <w:p w14:paraId="3FB101FA" w14:textId="77777777" w:rsidR="004B2B91" w:rsidRPr="00D16EDA" w:rsidRDefault="004B2B91" w:rsidP="00964E43">
            <w:pPr>
              <w:spacing w:before="20" w:after="20"/>
              <w:jc w:val="left"/>
              <w:rPr>
                <w:sz w:val="18"/>
                <w:lang w:val="en-GB" w:eastAsia="fr-CH"/>
              </w:rPr>
            </w:pPr>
            <w:r w:rsidRPr="00D16EDA">
              <w:rPr>
                <w:sz w:val="18"/>
                <w:lang w:val="en-GB" w:eastAsia="fr-CH"/>
              </w:rPr>
              <w:t>Transient or mild discomfort (&lt;48 hours); no medical intervention/therapy required.</w:t>
            </w:r>
          </w:p>
        </w:tc>
        <w:tc>
          <w:tcPr>
            <w:tcW w:w="1250" w:type="pct"/>
            <w:shd w:val="clear" w:color="auto" w:fill="auto"/>
          </w:tcPr>
          <w:p w14:paraId="04A5B2AF" w14:textId="77777777" w:rsidR="004B2B91" w:rsidRPr="00D16EDA" w:rsidRDefault="004B2B91" w:rsidP="00964E43">
            <w:pPr>
              <w:spacing w:before="20" w:after="20"/>
              <w:jc w:val="left"/>
              <w:rPr>
                <w:sz w:val="18"/>
                <w:lang w:val="en-GB" w:eastAsia="fr-CH"/>
              </w:rPr>
            </w:pPr>
            <w:r w:rsidRPr="00D16EDA">
              <w:rPr>
                <w:sz w:val="18"/>
                <w:lang w:val="en-GB" w:eastAsia="fr-CH"/>
              </w:rPr>
              <w:t>Mild to moderate limitation in activity -some assistance may be needed; no or minimal medical intervention/ therapy required.</w:t>
            </w:r>
          </w:p>
        </w:tc>
        <w:tc>
          <w:tcPr>
            <w:tcW w:w="1250" w:type="pct"/>
            <w:shd w:val="clear" w:color="auto" w:fill="auto"/>
          </w:tcPr>
          <w:p w14:paraId="63C49566" w14:textId="77777777" w:rsidR="004B2B91" w:rsidRPr="00D16EDA" w:rsidRDefault="004B2B91" w:rsidP="00964E43">
            <w:pPr>
              <w:spacing w:before="20" w:after="20"/>
              <w:jc w:val="left"/>
              <w:rPr>
                <w:sz w:val="18"/>
                <w:lang w:val="en-GB" w:eastAsia="fr-CH"/>
              </w:rPr>
            </w:pPr>
            <w:r w:rsidRPr="00D16EDA">
              <w:rPr>
                <w:sz w:val="18"/>
                <w:lang w:val="en-GB" w:eastAsia="fr-CH"/>
              </w:rPr>
              <w:t>Marked limitation in activity, some assistance usually required; medical intervention/therapy required, hospitalizations possible</w:t>
            </w:r>
          </w:p>
        </w:tc>
        <w:tc>
          <w:tcPr>
            <w:tcW w:w="1250" w:type="pct"/>
            <w:shd w:val="clear" w:color="auto" w:fill="auto"/>
          </w:tcPr>
          <w:p w14:paraId="07A4623E" w14:textId="77777777" w:rsidR="004B2B91" w:rsidRPr="00D16EDA" w:rsidRDefault="004B2B91" w:rsidP="00964E43">
            <w:pPr>
              <w:spacing w:before="20" w:after="20"/>
              <w:jc w:val="left"/>
              <w:rPr>
                <w:sz w:val="18"/>
                <w:lang w:val="en-GB" w:eastAsia="fr-CH"/>
              </w:rPr>
            </w:pPr>
            <w:r w:rsidRPr="00D16EDA">
              <w:rPr>
                <w:sz w:val="18"/>
                <w:lang w:val="en-GB" w:eastAsia="fr-CH"/>
              </w:rPr>
              <w:t>Extreme limitation in activity, significant assistance required; significant medical intervention/therapy required, hospitalization or hospice care probable</w:t>
            </w:r>
          </w:p>
        </w:tc>
      </w:tr>
    </w:tbl>
    <w:p w14:paraId="55BF99BD" w14:textId="77777777" w:rsidR="000453A4" w:rsidRDefault="00D61E58" w:rsidP="009504F5">
      <w:r>
        <w:t>A Frequently Asked Question document is available for further support on the use of the Severity Grading Scale.</w:t>
      </w:r>
    </w:p>
    <w:p w14:paraId="322E7265" w14:textId="759E5213" w:rsidR="009504F5" w:rsidRDefault="009504F5" w:rsidP="009504F5">
      <w:r>
        <w:t xml:space="preserve">Causality assessment is </w:t>
      </w:r>
      <w:r w:rsidR="004B2B91">
        <w:t xml:space="preserve">also </w:t>
      </w:r>
      <w:r>
        <w:t xml:space="preserve">the responsibility of </w:t>
      </w:r>
      <w:r w:rsidR="004B2B91">
        <w:rPr>
          <w:lang w:val="en-GB" w:eastAsia="fr-CH"/>
        </w:rPr>
        <w:t xml:space="preserve">the Site PI or </w:t>
      </w:r>
      <w:proofErr w:type="spellStart"/>
      <w:r w:rsidR="004B2B91">
        <w:rPr>
          <w:lang w:val="en-GB" w:eastAsia="fr-CH"/>
        </w:rPr>
        <w:t>CoI</w:t>
      </w:r>
      <w:proofErr w:type="spellEnd"/>
      <w:r>
        <w:t xml:space="preserve">. When assessing the causal relationship to trial regimen the co-investigator/PI should use one of the following </w:t>
      </w:r>
      <w:r w:rsidR="005240E3">
        <w:t>categories</w:t>
      </w:r>
      <w:r>
        <w:t>:</w:t>
      </w:r>
    </w:p>
    <w:p w14:paraId="3AE75932" w14:textId="4AE6A9FF" w:rsidR="004B2B91" w:rsidRPr="00D16EDA" w:rsidRDefault="004B2B91" w:rsidP="00D62704">
      <w:pPr>
        <w:pStyle w:val="Caption"/>
        <w:rPr>
          <w:lang w:val="en-GB" w:eastAsia="fr-CH"/>
        </w:rPr>
      </w:pPr>
      <w:bookmarkStart w:id="25" w:name="_Toc427592440"/>
      <w:r w:rsidRPr="00D16EDA">
        <w:rPr>
          <w:lang w:val="en-GB"/>
        </w:rPr>
        <w:lastRenderedPageBreak/>
        <w:t>T</w:t>
      </w:r>
      <w:bookmarkStart w:id="26" w:name="tab2"/>
      <w:bookmarkEnd w:id="26"/>
      <w:r w:rsidRPr="00D16EDA">
        <w:rPr>
          <w:lang w:val="en-GB"/>
        </w:rPr>
        <w:t xml:space="preserve">able </w:t>
      </w:r>
      <w:r w:rsidRPr="00D16EDA">
        <w:rPr>
          <w:lang w:val="en-GB"/>
        </w:rPr>
        <w:fldChar w:fldCharType="begin"/>
      </w:r>
      <w:r w:rsidRPr="00D16EDA">
        <w:rPr>
          <w:lang w:val="en-GB"/>
        </w:rPr>
        <w:instrText xml:space="preserve"> SEQ Table \* ARABIC </w:instrText>
      </w:r>
      <w:r w:rsidRPr="00D16EDA">
        <w:rPr>
          <w:lang w:val="en-GB"/>
        </w:rPr>
        <w:fldChar w:fldCharType="separate"/>
      </w:r>
      <w:r w:rsidR="0051586B">
        <w:rPr>
          <w:noProof/>
          <w:lang w:val="en-GB"/>
        </w:rPr>
        <w:t>2</w:t>
      </w:r>
      <w:r w:rsidRPr="00D16EDA">
        <w:rPr>
          <w:lang w:val="en-GB"/>
        </w:rPr>
        <w:fldChar w:fldCharType="end"/>
      </w:r>
      <w:r w:rsidRPr="00D16EDA">
        <w:rPr>
          <w:lang w:val="en-GB"/>
        </w:rPr>
        <w:t xml:space="preserve"> Causality categories definition</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811"/>
      </w:tblGrid>
      <w:tr w:rsidR="004B2B91" w:rsidRPr="00D16EDA" w14:paraId="5BD4B82A" w14:textId="77777777" w:rsidTr="004B2B91">
        <w:trPr>
          <w:trHeight w:val="64"/>
          <w:tblHeader/>
        </w:trPr>
        <w:tc>
          <w:tcPr>
            <w:tcW w:w="823" w:type="pct"/>
            <w:shd w:val="clear" w:color="auto" w:fill="auto"/>
            <w:vAlign w:val="center"/>
          </w:tcPr>
          <w:p w14:paraId="58559819" w14:textId="77777777" w:rsidR="004B2B91" w:rsidRPr="00D16EDA" w:rsidRDefault="004B2B91" w:rsidP="00964E43">
            <w:pPr>
              <w:spacing w:before="80" w:after="80"/>
              <w:jc w:val="left"/>
              <w:rPr>
                <w:b/>
                <w:i/>
                <w:sz w:val="18"/>
                <w:szCs w:val="18"/>
                <w:lang w:val="en-GB" w:eastAsia="en-GB"/>
              </w:rPr>
            </w:pPr>
            <w:r w:rsidRPr="00D16EDA">
              <w:rPr>
                <w:b/>
                <w:i/>
                <w:sz w:val="18"/>
                <w:szCs w:val="18"/>
                <w:lang w:val="en-GB" w:eastAsia="en-GB"/>
              </w:rPr>
              <w:t>Causality category</w:t>
            </w:r>
          </w:p>
        </w:tc>
        <w:tc>
          <w:tcPr>
            <w:tcW w:w="4177" w:type="pct"/>
            <w:tcBorders>
              <w:bottom w:val="single" w:sz="4" w:space="0" w:color="auto"/>
            </w:tcBorders>
            <w:shd w:val="clear" w:color="auto" w:fill="auto"/>
            <w:vAlign w:val="center"/>
          </w:tcPr>
          <w:p w14:paraId="66B8D51D" w14:textId="77777777" w:rsidR="004B2B91" w:rsidRPr="00D16EDA" w:rsidRDefault="004B2B91" w:rsidP="00964E43">
            <w:pPr>
              <w:spacing w:before="80" w:after="80"/>
              <w:jc w:val="left"/>
              <w:rPr>
                <w:b/>
                <w:i/>
                <w:sz w:val="18"/>
                <w:szCs w:val="18"/>
                <w:lang w:val="en-GB" w:eastAsia="en-GB"/>
              </w:rPr>
            </w:pPr>
            <w:r w:rsidRPr="00D16EDA">
              <w:rPr>
                <w:b/>
                <w:i/>
                <w:sz w:val="18"/>
                <w:szCs w:val="18"/>
                <w:lang w:val="en-GB" w:eastAsia="en-GB"/>
              </w:rPr>
              <w:t xml:space="preserve">Description </w:t>
            </w:r>
          </w:p>
        </w:tc>
      </w:tr>
      <w:tr w:rsidR="004B2B91" w:rsidRPr="00D16EDA" w14:paraId="16803CFB" w14:textId="77777777" w:rsidTr="004B2B91">
        <w:trPr>
          <w:trHeight w:val="70"/>
        </w:trPr>
        <w:tc>
          <w:tcPr>
            <w:tcW w:w="823" w:type="pct"/>
            <w:vMerge w:val="restart"/>
            <w:shd w:val="clear" w:color="auto" w:fill="auto"/>
            <w:vAlign w:val="center"/>
          </w:tcPr>
          <w:p w14:paraId="0AA9FC0D" w14:textId="77777777" w:rsidR="004B2B91" w:rsidRPr="00D16EDA" w:rsidRDefault="004B2B91" w:rsidP="00964E43">
            <w:pPr>
              <w:spacing w:before="80" w:after="80"/>
              <w:jc w:val="left"/>
              <w:rPr>
                <w:b/>
                <w:sz w:val="18"/>
                <w:szCs w:val="18"/>
                <w:lang w:val="en-GB" w:eastAsia="en-GB"/>
              </w:rPr>
            </w:pPr>
            <w:r w:rsidRPr="00D16EDA">
              <w:rPr>
                <w:b/>
                <w:sz w:val="18"/>
                <w:szCs w:val="18"/>
                <w:lang w:val="en-GB" w:eastAsia="en-GB"/>
              </w:rPr>
              <w:t>Related</w:t>
            </w:r>
          </w:p>
        </w:tc>
        <w:tc>
          <w:tcPr>
            <w:tcW w:w="4177" w:type="pct"/>
            <w:tcBorders>
              <w:bottom w:val="single" w:sz="4" w:space="0" w:color="auto"/>
            </w:tcBorders>
            <w:shd w:val="clear" w:color="auto" w:fill="auto"/>
            <w:vAlign w:val="center"/>
          </w:tcPr>
          <w:p w14:paraId="36373B91" w14:textId="77777777" w:rsidR="004B2B91" w:rsidRPr="00D16EDA" w:rsidRDefault="004B2B91" w:rsidP="00964E43">
            <w:pPr>
              <w:spacing w:before="80" w:after="80"/>
              <w:rPr>
                <w:sz w:val="18"/>
                <w:szCs w:val="18"/>
                <w:lang w:val="en-GB" w:eastAsia="en-GB"/>
              </w:rPr>
            </w:pPr>
            <w:r w:rsidRPr="00D16EDA">
              <w:rPr>
                <w:sz w:val="18"/>
                <w:szCs w:val="18"/>
                <w:lang w:val="en-GB" w:eastAsia="en-GB"/>
              </w:rPr>
              <w:t>There is a reasonable possibility that the AE may be related to the drug(s). Elements in favour of a reasonable causal relationship include:</w:t>
            </w:r>
          </w:p>
          <w:p w14:paraId="7FF4F008" w14:textId="77777777" w:rsidR="004B2B91" w:rsidRPr="00D16EDA" w:rsidRDefault="004B2B91" w:rsidP="004B2B91">
            <w:pPr>
              <w:numPr>
                <w:ilvl w:val="0"/>
                <w:numId w:val="13"/>
              </w:numPr>
              <w:spacing w:before="80" w:after="80"/>
              <w:ind w:left="714" w:hanging="357"/>
              <w:rPr>
                <w:sz w:val="18"/>
                <w:szCs w:val="18"/>
                <w:lang w:val="en-GB" w:eastAsia="en-GB"/>
              </w:rPr>
            </w:pPr>
            <w:r w:rsidRPr="00D16EDA">
              <w:rPr>
                <w:sz w:val="18"/>
                <w:szCs w:val="18"/>
                <w:lang w:val="en-GB" w:eastAsia="en-GB"/>
              </w:rPr>
              <w:t xml:space="preserve">A favourable temporal relationship, </w:t>
            </w:r>
          </w:p>
          <w:p w14:paraId="72A9523F" w14:textId="77777777" w:rsidR="004B2B91" w:rsidRPr="00D16EDA" w:rsidRDefault="004B2B91" w:rsidP="004B2B91">
            <w:pPr>
              <w:numPr>
                <w:ilvl w:val="0"/>
                <w:numId w:val="13"/>
              </w:numPr>
              <w:spacing w:before="80" w:after="80"/>
              <w:ind w:left="714" w:hanging="357"/>
              <w:rPr>
                <w:sz w:val="18"/>
                <w:szCs w:val="18"/>
                <w:lang w:val="en-GB" w:eastAsia="en-GB"/>
              </w:rPr>
            </w:pPr>
            <w:r w:rsidRPr="00D16EDA">
              <w:rPr>
                <w:sz w:val="18"/>
                <w:szCs w:val="18"/>
                <w:lang w:val="en-GB" w:eastAsia="en-GB"/>
              </w:rPr>
              <w:t>A positive dechallenge and/or rechallenge,</w:t>
            </w:r>
          </w:p>
          <w:p w14:paraId="64C53817" w14:textId="77777777" w:rsidR="004B2B91" w:rsidRPr="00D16EDA" w:rsidRDefault="004B2B91" w:rsidP="004B2B91">
            <w:pPr>
              <w:numPr>
                <w:ilvl w:val="0"/>
                <w:numId w:val="13"/>
              </w:numPr>
              <w:spacing w:before="80" w:after="80"/>
              <w:ind w:left="714" w:hanging="357"/>
              <w:rPr>
                <w:sz w:val="18"/>
                <w:szCs w:val="18"/>
                <w:lang w:val="en-GB" w:eastAsia="en-GB"/>
              </w:rPr>
            </w:pPr>
            <w:r w:rsidRPr="00D16EDA">
              <w:rPr>
                <w:sz w:val="18"/>
                <w:szCs w:val="18"/>
                <w:lang w:val="en-GB" w:eastAsia="en-GB"/>
              </w:rPr>
              <w:t xml:space="preserve">A plausible pharmacological/biological mechanism of action (whether proven or potential), </w:t>
            </w:r>
          </w:p>
          <w:p w14:paraId="7D05B846" w14:textId="77777777" w:rsidR="004B2B91" w:rsidRPr="00D16EDA" w:rsidRDefault="004B2B91" w:rsidP="004B2B91">
            <w:pPr>
              <w:numPr>
                <w:ilvl w:val="0"/>
                <w:numId w:val="13"/>
              </w:numPr>
              <w:spacing w:before="80" w:after="80"/>
              <w:ind w:left="714" w:hanging="357"/>
              <w:rPr>
                <w:sz w:val="18"/>
                <w:szCs w:val="18"/>
                <w:lang w:val="en-GB" w:eastAsia="en-GB"/>
              </w:rPr>
            </w:pPr>
            <w:r w:rsidRPr="00D16EDA">
              <w:rPr>
                <w:sz w:val="18"/>
                <w:szCs w:val="18"/>
                <w:lang w:val="en-GB" w:eastAsia="en-GB"/>
              </w:rPr>
              <w:t>Previous knowledge of similar reaction with the drug(s), or</w:t>
            </w:r>
          </w:p>
          <w:p w14:paraId="5F7B412D" w14:textId="77777777" w:rsidR="004B2B91" w:rsidRPr="00D16EDA" w:rsidRDefault="004B2B91" w:rsidP="004B2B91">
            <w:pPr>
              <w:numPr>
                <w:ilvl w:val="0"/>
                <w:numId w:val="13"/>
              </w:numPr>
              <w:spacing w:before="80" w:after="80"/>
              <w:ind w:left="714" w:hanging="357"/>
              <w:rPr>
                <w:sz w:val="18"/>
                <w:szCs w:val="18"/>
                <w:lang w:val="en-GB" w:eastAsia="en-GB"/>
              </w:rPr>
            </w:pPr>
            <w:r w:rsidRPr="00D16EDA">
              <w:rPr>
                <w:sz w:val="18"/>
                <w:szCs w:val="18"/>
                <w:lang w:val="en-GB" w:eastAsia="en-GB"/>
              </w:rPr>
              <w:t>No other evident cause (e.g. previous disease, other drugs).</w:t>
            </w:r>
          </w:p>
        </w:tc>
      </w:tr>
      <w:tr w:rsidR="004B2B91" w:rsidRPr="00D16EDA" w14:paraId="5DCC5AA0" w14:textId="77777777" w:rsidTr="004B2B91">
        <w:trPr>
          <w:trHeight w:val="70"/>
        </w:trPr>
        <w:tc>
          <w:tcPr>
            <w:tcW w:w="823" w:type="pct"/>
            <w:vMerge/>
            <w:shd w:val="clear" w:color="auto" w:fill="auto"/>
            <w:vAlign w:val="center"/>
          </w:tcPr>
          <w:p w14:paraId="50B036A9" w14:textId="77777777" w:rsidR="004B2B91" w:rsidRPr="00D16EDA" w:rsidRDefault="004B2B91" w:rsidP="00964E43">
            <w:pPr>
              <w:spacing w:before="80" w:after="80"/>
              <w:jc w:val="left"/>
              <w:rPr>
                <w:sz w:val="18"/>
                <w:szCs w:val="18"/>
                <w:lang w:val="en-GB" w:eastAsia="en-GB"/>
              </w:rPr>
            </w:pPr>
          </w:p>
        </w:tc>
        <w:tc>
          <w:tcPr>
            <w:tcW w:w="4177" w:type="pct"/>
            <w:tcBorders>
              <w:top w:val="single" w:sz="4" w:space="0" w:color="auto"/>
            </w:tcBorders>
            <w:shd w:val="clear" w:color="auto" w:fill="auto"/>
            <w:vAlign w:val="center"/>
          </w:tcPr>
          <w:p w14:paraId="132DC431" w14:textId="77777777" w:rsidR="004B2B91" w:rsidRPr="00D16EDA" w:rsidRDefault="004B2B91" w:rsidP="00964E43">
            <w:pPr>
              <w:spacing w:before="80" w:after="80"/>
              <w:rPr>
                <w:sz w:val="18"/>
                <w:szCs w:val="18"/>
                <w:lang w:val="en-GB" w:eastAsia="en-GB"/>
              </w:rPr>
            </w:pPr>
            <w:r w:rsidRPr="00D16EDA">
              <w:rPr>
                <w:sz w:val="18"/>
                <w:szCs w:val="18"/>
                <w:lang w:val="en-GB" w:eastAsia="en-GB"/>
              </w:rPr>
              <w:t>There is insufficient information to evaluate the causal relationship between the AE and the exposure. Conservatively, the AE should be considered related to the drug(s) until a proper assessment is feasible (i.e. upon follow-up).</w:t>
            </w:r>
          </w:p>
        </w:tc>
      </w:tr>
      <w:tr w:rsidR="004B2B91" w:rsidRPr="00D16EDA" w14:paraId="6BED49FF" w14:textId="77777777" w:rsidTr="004B2B91">
        <w:tc>
          <w:tcPr>
            <w:tcW w:w="823" w:type="pct"/>
            <w:shd w:val="clear" w:color="auto" w:fill="auto"/>
            <w:vAlign w:val="center"/>
          </w:tcPr>
          <w:p w14:paraId="03BD8944" w14:textId="77777777" w:rsidR="004B2B91" w:rsidRPr="00D16EDA" w:rsidRDefault="004B2B91" w:rsidP="00964E43">
            <w:pPr>
              <w:spacing w:before="80" w:after="80"/>
              <w:jc w:val="left"/>
              <w:rPr>
                <w:sz w:val="18"/>
                <w:szCs w:val="18"/>
                <w:lang w:val="en-GB" w:eastAsia="en-GB"/>
              </w:rPr>
            </w:pPr>
            <w:r w:rsidRPr="00D16EDA">
              <w:rPr>
                <w:b/>
                <w:sz w:val="18"/>
                <w:szCs w:val="18"/>
                <w:lang w:val="en-GB" w:eastAsia="en-GB"/>
              </w:rPr>
              <w:t>Not related</w:t>
            </w:r>
          </w:p>
        </w:tc>
        <w:tc>
          <w:tcPr>
            <w:tcW w:w="4177" w:type="pct"/>
            <w:shd w:val="clear" w:color="auto" w:fill="auto"/>
            <w:vAlign w:val="center"/>
          </w:tcPr>
          <w:p w14:paraId="1947A0B7" w14:textId="77777777" w:rsidR="004B2B91" w:rsidRPr="00D16EDA" w:rsidRDefault="004B2B91" w:rsidP="00964E43">
            <w:pPr>
              <w:spacing w:before="80" w:after="80"/>
              <w:rPr>
                <w:sz w:val="18"/>
                <w:szCs w:val="18"/>
                <w:lang w:val="en-GB" w:eastAsia="en-GB"/>
              </w:rPr>
            </w:pPr>
            <w:r w:rsidRPr="00D16EDA">
              <w:rPr>
                <w:sz w:val="18"/>
                <w:szCs w:val="18"/>
                <w:lang w:val="en-GB" w:eastAsia="en-GB"/>
              </w:rPr>
              <w:t>There is no reasonable possibility that the AE is related to the drug(s). This implies that there is a plausible alternative cause for the AE that better explains the occurrence of the AE or that highly confounds the causal relationship between the drug(s) and the AE.</w:t>
            </w:r>
          </w:p>
        </w:tc>
      </w:tr>
    </w:tbl>
    <w:p w14:paraId="093C9A5A" w14:textId="77777777" w:rsidR="004B2B91" w:rsidRPr="004B2B91" w:rsidRDefault="004B2B91" w:rsidP="004B2B91">
      <w:pPr>
        <w:spacing w:before="0"/>
        <w:rPr>
          <w:sz w:val="18"/>
        </w:rPr>
      </w:pPr>
      <w:r w:rsidRPr="004B2B91">
        <w:rPr>
          <w:sz w:val="18"/>
        </w:rPr>
        <w:t xml:space="preserve">*Refer also to </w:t>
      </w:r>
      <w:r>
        <w:rPr>
          <w:sz w:val="18"/>
        </w:rPr>
        <w:t xml:space="preserve">the Causality Assessment </w:t>
      </w:r>
      <w:r w:rsidR="005240E3">
        <w:rPr>
          <w:sz w:val="18"/>
        </w:rPr>
        <w:t>Aide-Memoire.</w:t>
      </w:r>
    </w:p>
    <w:p w14:paraId="74FA1295" w14:textId="5508CBC3" w:rsidR="009504F5" w:rsidRDefault="009504F5" w:rsidP="009504F5">
      <w:r>
        <w:t>Overdoses and pregnancies</w:t>
      </w:r>
      <w:r w:rsidR="008440E3">
        <w:t xml:space="preserve"> (exposed via mother or father)</w:t>
      </w:r>
      <w:r>
        <w:t xml:space="preserve"> should be additionally recorded, indicating which action was taken with the </w:t>
      </w:r>
      <w:r w:rsidR="004B2B91">
        <w:t>IMPs</w:t>
      </w:r>
      <w:r>
        <w:t>, whether any therapy/procedure was undertaken, and whether any consequence of these qualify as an AE or SAE (e.g. hepatic injury following overdose or miscarriage following exposed pregnancy). If there is any AE/SAE relating to an overdose or a pregnancy, these should be captured</w:t>
      </w:r>
      <w:r w:rsidR="005240E3">
        <w:t xml:space="preserve"> and evaluated</w:t>
      </w:r>
      <w:r>
        <w:t xml:space="preserve"> as mentioned above.</w:t>
      </w:r>
    </w:p>
    <w:p w14:paraId="38A7DE8F" w14:textId="77777777" w:rsidR="009504F5" w:rsidRPr="00D01A3D" w:rsidRDefault="009504F5" w:rsidP="001E65A4">
      <w:pPr>
        <w:pStyle w:val="Heading4"/>
      </w:pPr>
      <w:r w:rsidRPr="00D01A3D">
        <w:t xml:space="preserve">Managing </w:t>
      </w:r>
      <w:r w:rsidR="004D42BB" w:rsidRPr="00D01A3D">
        <w:t xml:space="preserve">and monitoring </w:t>
      </w:r>
      <w:r w:rsidRPr="00D01A3D">
        <w:t>Adverse Events and other safety parameters</w:t>
      </w:r>
    </w:p>
    <w:p w14:paraId="1B11D451" w14:textId="77777777" w:rsidR="009504F5" w:rsidRDefault="004B2B91" w:rsidP="009504F5">
      <w:r>
        <w:t xml:space="preserve">The Site </w:t>
      </w:r>
      <w:r w:rsidR="00652052">
        <w:t>Co-Investigators</w:t>
      </w:r>
      <w:r w:rsidR="009504F5">
        <w:t xml:space="preserve"> must:</w:t>
      </w:r>
    </w:p>
    <w:p w14:paraId="160ADC07" w14:textId="2010B62E" w:rsidR="009504F5" w:rsidRDefault="009504F5" w:rsidP="004B2B91">
      <w:pPr>
        <w:pStyle w:val="ListParagraph"/>
        <w:numPr>
          <w:ilvl w:val="0"/>
          <w:numId w:val="9"/>
        </w:numPr>
        <w:ind w:left="709" w:hanging="352"/>
        <w:contextualSpacing w:val="0"/>
      </w:pPr>
      <w:r>
        <w:t>Treat and follow-up all AEs (including lab abnormalities) and overdoses until complete resolution or stabilization of the patient’s condition</w:t>
      </w:r>
      <w:r w:rsidR="00F04002">
        <w:t>;</w:t>
      </w:r>
    </w:p>
    <w:p w14:paraId="39A7BFA7" w14:textId="503DCDFF" w:rsidR="009504F5" w:rsidRDefault="009504F5" w:rsidP="004B2B91">
      <w:pPr>
        <w:pStyle w:val="ListParagraph"/>
        <w:numPr>
          <w:ilvl w:val="0"/>
          <w:numId w:val="9"/>
        </w:numPr>
        <w:ind w:left="709" w:hanging="352"/>
        <w:contextualSpacing w:val="0"/>
      </w:pPr>
      <w:r>
        <w:t>Follow-up pregnancies until outcome is known, and treat and follow-up any related complication as AEs</w:t>
      </w:r>
      <w:r w:rsidR="00F04002">
        <w:t>;</w:t>
      </w:r>
    </w:p>
    <w:p w14:paraId="73702B9A" w14:textId="11ED2B0E" w:rsidR="009504F5" w:rsidRDefault="009504F5" w:rsidP="004B2B91">
      <w:pPr>
        <w:pStyle w:val="ListParagraph"/>
        <w:numPr>
          <w:ilvl w:val="0"/>
          <w:numId w:val="9"/>
        </w:numPr>
        <w:ind w:left="709" w:hanging="352"/>
        <w:contextualSpacing w:val="0"/>
      </w:pPr>
      <w:r>
        <w:t xml:space="preserve">Follow-up infants born from exposed pregnancies until </w:t>
      </w:r>
      <w:r w:rsidR="00652052">
        <w:t xml:space="preserve">they reach </w:t>
      </w:r>
      <w:r>
        <w:t>12 months of age</w:t>
      </w:r>
      <w:r w:rsidR="00D36437">
        <w:t xml:space="preserve"> (evaluation as per local paediatric protocol)</w:t>
      </w:r>
      <w:r w:rsidR="00F04002">
        <w:t>;</w:t>
      </w:r>
    </w:p>
    <w:p w14:paraId="3145AD28" w14:textId="24F65E7A" w:rsidR="009504F5" w:rsidRPr="00446D73" w:rsidRDefault="009504F5" w:rsidP="004B2B91">
      <w:pPr>
        <w:pStyle w:val="ListParagraph"/>
        <w:numPr>
          <w:ilvl w:val="0"/>
          <w:numId w:val="9"/>
        </w:numPr>
        <w:ind w:left="709" w:hanging="352"/>
        <w:contextualSpacing w:val="0"/>
      </w:pPr>
      <w:r>
        <w:t xml:space="preserve">At each visit, assess any change in the previously recorded AEs with regards to severity, </w:t>
      </w:r>
      <w:r w:rsidRPr="00446D73">
        <w:t xml:space="preserve">seriousness, causal relationship with the </w:t>
      </w:r>
      <w:r w:rsidR="00652052" w:rsidRPr="00446D73">
        <w:t>IMPs</w:t>
      </w:r>
      <w:r w:rsidRPr="00446D73">
        <w:t>, intervention required and outcome</w:t>
      </w:r>
      <w:r w:rsidR="00F04002">
        <w:t>;</w:t>
      </w:r>
    </w:p>
    <w:p w14:paraId="591094E5" w14:textId="1A933761" w:rsidR="009504F5" w:rsidRDefault="009504F5" w:rsidP="004B2B91">
      <w:pPr>
        <w:pStyle w:val="ListParagraph"/>
        <w:numPr>
          <w:ilvl w:val="0"/>
          <w:numId w:val="9"/>
        </w:numPr>
        <w:ind w:left="709" w:hanging="352"/>
        <w:contextualSpacing w:val="0"/>
      </w:pPr>
      <w:r w:rsidRPr="00446D73">
        <w:t xml:space="preserve">Liaise with the </w:t>
      </w:r>
      <w:r w:rsidR="00652052" w:rsidRPr="00446D73">
        <w:t xml:space="preserve">Site Study </w:t>
      </w:r>
      <w:r w:rsidRPr="00446D73">
        <w:t>PI</w:t>
      </w:r>
      <w:r w:rsidR="00652052" w:rsidRPr="00446D73">
        <w:t>s</w:t>
      </w:r>
      <w:r w:rsidRPr="00446D73">
        <w:t xml:space="preserve"> if the patient needs to be referred to hospital for i</w:t>
      </w:r>
      <w:r w:rsidR="00652052" w:rsidRPr="00446D73">
        <w:t>nvestigations and/or treatment</w:t>
      </w:r>
      <w:r w:rsidR="00F04002">
        <w:t>;</w:t>
      </w:r>
    </w:p>
    <w:p w14:paraId="6C2D0C53" w14:textId="1CC03B8A" w:rsidR="00446D73" w:rsidRPr="00446D73" w:rsidRDefault="00446D73" w:rsidP="00446D73">
      <w:pPr>
        <w:pStyle w:val="ListParagraph"/>
        <w:numPr>
          <w:ilvl w:val="0"/>
          <w:numId w:val="9"/>
        </w:numPr>
        <w:ind w:left="709" w:hanging="349"/>
        <w:contextualSpacing w:val="0"/>
      </w:pPr>
      <w:r w:rsidRPr="00446D73">
        <w:t>Organize hospital referral of patients as required, including the rapid transport of patients in emergency sit</w:t>
      </w:r>
      <w:r>
        <w:t>uations</w:t>
      </w:r>
      <w:r w:rsidR="00F04002">
        <w:t>;</w:t>
      </w:r>
    </w:p>
    <w:p w14:paraId="173EC504" w14:textId="34418439" w:rsidR="009604FB" w:rsidRPr="000C42F3" w:rsidRDefault="009604FB" w:rsidP="004B2B91">
      <w:pPr>
        <w:pStyle w:val="ListParagraph"/>
        <w:numPr>
          <w:ilvl w:val="0"/>
          <w:numId w:val="9"/>
        </w:numPr>
        <w:ind w:left="709" w:hanging="352"/>
        <w:contextualSpacing w:val="0"/>
      </w:pPr>
      <w:r w:rsidRPr="000C42F3">
        <w:t xml:space="preserve">Request advice from the </w:t>
      </w:r>
      <w:r w:rsidR="000B056E" w:rsidRPr="000C42F3">
        <w:t>Clinical Advisory Committee</w:t>
      </w:r>
      <w:r w:rsidR="00653FDA" w:rsidRPr="000C42F3">
        <w:t xml:space="preserve"> </w:t>
      </w:r>
      <w:r w:rsidRPr="000C42F3">
        <w:t>for difficult cases</w:t>
      </w:r>
      <w:r w:rsidR="00F04002" w:rsidRPr="000C42F3">
        <w:t>;</w:t>
      </w:r>
    </w:p>
    <w:p w14:paraId="5E18DD7A" w14:textId="1CACBBC5" w:rsidR="009504F5" w:rsidRPr="002665C0" w:rsidRDefault="009504F5" w:rsidP="004B2B91">
      <w:pPr>
        <w:pStyle w:val="ListParagraph"/>
        <w:numPr>
          <w:ilvl w:val="0"/>
          <w:numId w:val="9"/>
        </w:numPr>
        <w:ind w:left="709" w:hanging="352"/>
        <w:contextualSpacing w:val="0"/>
      </w:pPr>
      <w:r w:rsidRPr="000C42F3">
        <w:lastRenderedPageBreak/>
        <w:t>Arrange the specific follow-up and management of AEs of Special Interest</w:t>
      </w:r>
      <w:r w:rsidRPr="00446D73">
        <w:t xml:space="preserve"> (AESI) as de</w:t>
      </w:r>
      <w:r w:rsidR="00652052" w:rsidRPr="00446D73">
        <w:t xml:space="preserve">scribed in the </w:t>
      </w:r>
      <w:r w:rsidR="00652052" w:rsidRPr="002665C0">
        <w:t xml:space="preserve">Clinical </w:t>
      </w:r>
      <w:r w:rsidR="001E56C5" w:rsidRPr="002665C0">
        <w:t xml:space="preserve">SOP </w:t>
      </w:r>
      <w:r w:rsidR="00E82BB1" w:rsidRPr="002665C0">
        <w:t>(SP-018-CT)</w:t>
      </w:r>
      <w:r w:rsidRPr="002665C0">
        <w:t>.</w:t>
      </w:r>
    </w:p>
    <w:p w14:paraId="7AF585E8" w14:textId="77777777" w:rsidR="009504F5" w:rsidRDefault="009504F5" w:rsidP="00652052">
      <w:r>
        <w:t xml:space="preserve">The </w:t>
      </w:r>
      <w:r w:rsidR="00652052">
        <w:t xml:space="preserve">Site </w:t>
      </w:r>
      <w:r>
        <w:t>Principal Investigator</w:t>
      </w:r>
      <w:r w:rsidR="00652052">
        <w:t>s</w:t>
      </w:r>
      <w:r>
        <w:t xml:space="preserve"> must:</w:t>
      </w:r>
    </w:p>
    <w:p w14:paraId="381F0766" w14:textId="15B8D28F" w:rsidR="009504F5" w:rsidRPr="00446D73" w:rsidRDefault="00446D73" w:rsidP="004B2B91">
      <w:pPr>
        <w:pStyle w:val="ListParagraph"/>
        <w:numPr>
          <w:ilvl w:val="0"/>
          <w:numId w:val="14"/>
        </w:numPr>
        <w:ind w:left="709" w:hanging="352"/>
        <w:contextualSpacing w:val="0"/>
      </w:pPr>
      <w:r w:rsidRPr="00446D73">
        <w:t>Approve</w:t>
      </w:r>
      <w:r w:rsidR="009504F5" w:rsidRPr="00446D73">
        <w:t xml:space="preserve"> hospital referral </w:t>
      </w:r>
      <w:r w:rsidRPr="00446D73">
        <w:t>of patients as required</w:t>
      </w:r>
      <w:r w:rsidR="00F04002">
        <w:t>;</w:t>
      </w:r>
    </w:p>
    <w:p w14:paraId="196BA01C" w14:textId="6E727EFB" w:rsidR="009604FB" w:rsidRPr="00446D73" w:rsidRDefault="009604FB" w:rsidP="004B2B91">
      <w:pPr>
        <w:pStyle w:val="ListParagraph"/>
        <w:numPr>
          <w:ilvl w:val="0"/>
          <w:numId w:val="14"/>
        </w:numPr>
        <w:ind w:left="709" w:hanging="352"/>
        <w:contextualSpacing w:val="0"/>
      </w:pPr>
      <w:r w:rsidRPr="00446D73">
        <w:t>Keep regular contact with the patient and the hospital doctors during hospitalization to ensure that all cares are provided according to the patient’s clinical condition and to be informed of any worsening. Ensure that the patient has a study visit before discharge</w:t>
      </w:r>
      <w:r w:rsidR="00E51924">
        <w:t xml:space="preserve"> from hospital</w:t>
      </w:r>
      <w:r w:rsidR="00F04002">
        <w:t>;</w:t>
      </w:r>
    </w:p>
    <w:p w14:paraId="50EA13A9" w14:textId="397E4484" w:rsidR="009504F5" w:rsidRDefault="009504F5" w:rsidP="004B2B91">
      <w:pPr>
        <w:pStyle w:val="ListParagraph"/>
        <w:numPr>
          <w:ilvl w:val="0"/>
          <w:numId w:val="14"/>
        </w:numPr>
        <w:ind w:left="709" w:hanging="352"/>
        <w:contextualSpacing w:val="0"/>
      </w:pPr>
      <w:r>
        <w:t xml:space="preserve">Ensure all AEs/overdoses/pregnancies are adequately followed-up: support </w:t>
      </w:r>
      <w:r w:rsidR="00652052">
        <w:t>Co-Investigators</w:t>
      </w:r>
      <w:r>
        <w:t xml:space="preserve"> in getting the required investigations and treatments</w:t>
      </w:r>
      <w:r w:rsidR="00F04002">
        <w:t>;</w:t>
      </w:r>
    </w:p>
    <w:p w14:paraId="3F010ACB" w14:textId="3C1753FF" w:rsidR="009504F5" w:rsidRDefault="009504F5" w:rsidP="004B2B91">
      <w:pPr>
        <w:pStyle w:val="ListParagraph"/>
        <w:numPr>
          <w:ilvl w:val="0"/>
          <w:numId w:val="14"/>
        </w:numPr>
        <w:ind w:left="709" w:hanging="352"/>
        <w:contextualSpacing w:val="0"/>
      </w:pPr>
      <w:r>
        <w:t>Ensure that patients are appropriately referred to their treating physician or to an adequate specialist if the AE has not resolved at the end of the trial</w:t>
      </w:r>
      <w:r w:rsidR="00F04002">
        <w:t>;</w:t>
      </w:r>
    </w:p>
    <w:p w14:paraId="2607E3C4" w14:textId="3E48E664" w:rsidR="009504F5" w:rsidRDefault="009504F5" w:rsidP="004B2B91">
      <w:pPr>
        <w:pStyle w:val="ListParagraph"/>
        <w:numPr>
          <w:ilvl w:val="0"/>
          <w:numId w:val="14"/>
        </w:numPr>
        <w:ind w:left="709" w:hanging="352"/>
        <w:contextualSpacing w:val="0"/>
      </w:pPr>
      <w:r>
        <w:t>If pregnancy outcome is not yet known, or if the infant has not reached 12 months of age at the end of trial, ensure follow-up is done</w:t>
      </w:r>
      <w:r w:rsidR="00D36437">
        <w:t xml:space="preserve"> (evaluation as per local paediatric protocol)</w:t>
      </w:r>
      <w:r>
        <w:t>.</w:t>
      </w:r>
    </w:p>
    <w:p w14:paraId="215B0274" w14:textId="67A6B7CF" w:rsidR="0038283D" w:rsidRPr="00D01A3D" w:rsidRDefault="0038283D" w:rsidP="0038283D">
      <w:pPr>
        <w:pStyle w:val="Heading4"/>
      </w:pPr>
      <w:r>
        <w:t>Post-study safety follow-up</w:t>
      </w:r>
    </w:p>
    <w:p w14:paraId="71E3346A" w14:textId="77777777" w:rsidR="00542F78" w:rsidRDefault="0038283D" w:rsidP="0038283D">
      <w:r>
        <w:t xml:space="preserve">The Site Co-Investigators </w:t>
      </w:r>
      <w:r w:rsidRPr="0038283D">
        <w:t>must appropriately refer all patients with ongoing AEs/SAEs, whether they are early discontinued or after last study visit per study schedule</w:t>
      </w:r>
      <w:r w:rsidR="00542F78">
        <w:t>.</w:t>
      </w:r>
    </w:p>
    <w:p w14:paraId="01FF6AB7" w14:textId="7D6ACB3F" w:rsidR="0038283D" w:rsidRPr="00F22350" w:rsidRDefault="00542F78" w:rsidP="0038283D">
      <w:r w:rsidRPr="00F22350">
        <w:rPr>
          <w:u w:val="single"/>
        </w:rPr>
        <w:t>I</w:t>
      </w:r>
      <w:r w:rsidR="0038283D" w:rsidRPr="00F22350">
        <w:rPr>
          <w:u w:val="single"/>
        </w:rPr>
        <w:t>f possible</w:t>
      </w:r>
      <w:r w:rsidR="00792B3B" w:rsidRPr="00F22350">
        <w:rPr>
          <w:u w:val="single"/>
        </w:rPr>
        <w:t xml:space="preserve"> and if </w:t>
      </w:r>
      <w:r w:rsidRPr="00F22350">
        <w:rPr>
          <w:u w:val="single"/>
        </w:rPr>
        <w:t xml:space="preserve">the </w:t>
      </w:r>
      <w:r w:rsidR="00792B3B" w:rsidRPr="00F22350">
        <w:rPr>
          <w:u w:val="single"/>
        </w:rPr>
        <w:t>patient consented for this</w:t>
      </w:r>
      <w:r w:rsidR="0038283D" w:rsidRPr="00F22350">
        <w:t xml:space="preserve">, </w:t>
      </w:r>
      <w:r w:rsidRPr="00F22350">
        <w:t xml:space="preserve">the site Co-Investigators </w:t>
      </w:r>
      <w:r w:rsidR="009A65F5" w:rsidRPr="00F22350">
        <w:t>continue recording</w:t>
      </w:r>
      <w:r w:rsidR="0038283D" w:rsidRPr="00F22350">
        <w:t xml:space="preserve"> any change/outcome in AESI/SAEs</w:t>
      </w:r>
      <w:r w:rsidR="009A65F5" w:rsidRPr="00F22350">
        <w:t xml:space="preserve"> as per the study procedures</w:t>
      </w:r>
      <w:r w:rsidR="0038283D" w:rsidRPr="00F22350">
        <w:t>:</w:t>
      </w:r>
    </w:p>
    <w:p w14:paraId="6150FAA8" w14:textId="77777777" w:rsidR="0038283D" w:rsidRPr="0038283D" w:rsidRDefault="0038283D" w:rsidP="0038283D">
      <w:pPr>
        <w:pStyle w:val="ListParagraph"/>
        <w:numPr>
          <w:ilvl w:val="0"/>
          <w:numId w:val="43"/>
        </w:numPr>
      </w:pPr>
      <w:r>
        <w:rPr>
          <w:rFonts w:asciiTheme="minorHAnsi" w:hAnsiTheme="minorHAnsi" w:cstheme="minorHAnsi"/>
        </w:rPr>
        <w:t xml:space="preserve">Within </w:t>
      </w:r>
      <w:r w:rsidRPr="0038283D">
        <w:rPr>
          <w:rFonts w:asciiTheme="minorHAnsi" w:hAnsiTheme="minorHAnsi" w:cstheme="minorHAnsi"/>
        </w:rPr>
        <w:t>four (4) weeks after patient’s last planned study visit</w:t>
      </w:r>
      <w:r>
        <w:rPr>
          <w:rFonts w:asciiTheme="minorHAnsi" w:hAnsiTheme="minorHAnsi" w:cstheme="minorHAnsi"/>
        </w:rPr>
        <w:t>,</w:t>
      </w:r>
      <w:r w:rsidRPr="0038283D">
        <w:rPr>
          <w:rFonts w:asciiTheme="minorHAnsi" w:hAnsiTheme="minorHAnsi" w:cstheme="minorHAnsi"/>
        </w:rPr>
        <w:t xml:space="preserve"> or </w:t>
      </w:r>
    </w:p>
    <w:p w14:paraId="5D5424FE" w14:textId="54D7AB5F" w:rsidR="0038283D" w:rsidRPr="0038283D" w:rsidRDefault="0038283D" w:rsidP="0038283D">
      <w:pPr>
        <w:pStyle w:val="ListParagraph"/>
        <w:numPr>
          <w:ilvl w:val="0"/>
          <w:numId w:val="43"/>
        </w:numPr>
      </w:pPr>
      <w:r>
        <w:rPr>
          <w:rFonts w:asciiTheme="minorHAnsi" w:hAnsiTheme="minorHAnsi" w:cstheme="minorHAnsi"/>
        </w:rPr>
        <w:t xml:space="preserve">Within </w:t>
      </w:r>
      <w:r w:rsidRPr="0038283D">
        <w:rPr>
          <w:rFonts w:asciiTheme="minorHAnsi" w:hAnsiTheme="minorHAnsi" w:cstheme="minorHAnsi"/>
        </w:rPr>
        <w:t>eight (8) weeks after patient’s early study discontinuation visit.</w:t>
      </w:r>
    </w:p>
    <w:p w14:paraId="03F36B2B" w14:textId="13188255" w:rsidR="0038283D" w:rsidRPr="00F22350" w:rsidRDefault="009A65F5" w:rsidP="0038283D">
      <w:r w:rsidRPr="00F22350">
        <w:t xml:space="preserve">Other AEs that are ongoing at the end of treatment should be given an outcome (e.g. not resolved) at the last study visit or the early termination visit (e.g. not resolved). </w:t>
      </w:r>
      <w:r w:rsidR="00542F78" w:rsidRPr="00F22350">
        <w:rPr>
          <w:u w:val="single"/>
        </w:rPr>
        <w:t xml:space="preserve">In the absence of </w:t>
      </w:r>
      <w:r w:rsidR="00B10105" w:rsidRPr="00F22350">
        <w:rPr>
          <w:u w:val="single"/>
        </w:rPr>
        <w:t xml:space="preserve">patient’s </w:t>
      </w:r>
      <w:r w:rsidR="00542F78" w:rsidRPr="00F22350">
        <w:rPr>
          <w:u w:val="single"/>
        </w:rPr>
        <w:t>consent for post-study follow-up</w:t>
      </w:r>
      <w:r w:rsidR="00542F78" w:rsidRPr="00F22350">
        <w:t>, the same applies to AESI/SAE.</w:t>
      </w:r>
    </w:p>
    <w:p w14:paraId="26535F71" w14:textId="6962028A" w:rsidR="0027659A" w:rsidRPr="00D16EDA" w:rsidRDefault="0027659A" w:rsidP="00A32BB3">
      <w:pPr>
        <w:pStyle w:val="Caption"/>
        <w:ind w:left="709" w:hanging="709"/>
        <w:rPr>
          <w:lang w:val="en-GB" w:eastAsia="fr-CH"/>
        </w:rPr>
      </w:pPr>
      <w:r w:rsidRPr="001957EC">
        <w:rPr>
          <w:lang w:val="en-US"/>
        </w:rPr>
        <w:t xml:space="preserve">Table </w:t>
      </w:r>
      <w:r>
        <w:fldChar w:fldCharType="begin"/>
      </w:r>
      <w:r w:rsidRPr="001957EC">
        <w:rPr>
          <w:lang w:val="en-US"/>
        </w:rPr>
        <w:instrText xml:space="preserve"> SEQ Table \* ARABIC </w:instrText>
      </w:r>
      <w:r>
        <w:fldChar w:fldCharType="separate"/>
      </w:r>
      <w:r w:rsidR="0051586B">
        <w:rPr>
          <w:noProof/>
          <w:lang w:val="en-US"/>
        </w:rPr>
        <w:t>3</w:t>
      </w:r>
      <w:r>
        <w:fldChar w:fldCharType="end"/>
      </w:r>
      <w:r w:rsidRPr="001957EC">
        <w:rPr>
          <w:lang w:val="en-US"/>
        </w:rPr>
        <w:tab/>
        <w:t>Post-study safety follow-up</w:t>
      </w:r>
      <w:r>
        <w:rPr>
          <w:lang w:val="en-US"/>
        </w:rPr>
        <w:t xml:space="preserve"> for patients with ongoing AESI/SAEs </w:t>
      </w:r>
      <w:r w:rsidR="00A32BB3">
        <w:rPr>
          <w:lang w:val="en-US"/>
        </w:rPr>
        <w:t xml:space="preserve">and </w:t>
      </w:r>
      <w:r>
        <w:rPr>
          <w:lang w:val="en-US"/>
        </w:rPr>
        <w:t>who consented for post-study follow-up</w:t>
      </w:r>
    </w:p>
    <w:tbl>
      <w:tblPr>
        <w:tblStyle w:val="TableGrid"/>
        <w:tblW w:w="0" w:type="auto"/>
        <w:tblLook w:val="04A0" w:firstRow="1" w:lastRow="0" w:firstColumn="1" w:lastColumn="0" w:noHBand="0" w:noVBand="1"/>
      </w:tblPr>
      <w:tblGrid>
        <w:gridCol w:w="4664"/>
        <w:gridCol w:w="4686"/>
      </w:tblGrid>
      <w:tr w:rsidR="0027659A" w:rsidRPr="00A32BB3" w14:paraId="611AA72F" w14:textId="77777777" w:rsidTr="00D45B27">
        <w:tc>
          <w:tcPr>
            <w:tcW w:w="9500" w:type="dxa"/>
            <w:gridSpan w:val="2"/>
          </w:tcPr>
          <w:p w14:paraId="6781294F" w14:textId="77777777" w:rsidR="0027659A" w:rsidRPr="00A32BB3" w:rsidRDefault="0027659A" w:rsidP="00D45B27">
            <w:pPr>
              <w:spacing w:before="0" w:after="0"/>
              <w:jc w:val="left"/>
              <w:rPr>
                <w:rFonts w:asciiTheme="minorHAnsi" w:hAnsiTheme="minorHAnsi"/>
                <w:b/>
                <w:sz w:val="20"/>
                <w:szCs w:val="20"/>
              </w:rPr>
            </w:pPr>
            <w:r w:rsidRPr="00A32BB3">
              <w:rPr>
                <w:rFonts w:asciiTheme="minorHAnsi" w:eastAsia="Times New Roman" w:hAnsiTheme="minorHAnsi" w:cs="Arial"/>
                <w:b/>
                <w:sz w:val="20"/>
                <w:szCs w:val="20"/>
                <w:lang w:eastAsia="fr-CH"/>
              </w:rPr>
              <w:t>Post study safety follow-up</w:t>
            </w:r>
          </w:p>
        </w:tc>
      </w:tr>
      <w:tr w:rsidR="0027659A" w:rsidRPr="00A32BB3" w14:paraId="391AF3FE" w14:textId="77777777" w:rsidTr="00D45B27">
        <w:tc>
          <w:tcPr>
            <w:tcW w:w="4750" w:type="dxa"/>
          </w:tcPr>
          <w:p w14:paraId="568C9263" w14:textId="77777777" w:rsidR="0027659A" w:rsidRPr="00A32BB3" w:rsidRDefault="0027659A" w:rsidP="00D45B27">
            <w:pPr>
              <w:spacing w:before="0" w:after="0"/>
              <w:jc w:val="left"/>
              <w:rPr>
                <w:rFonts w:asciiTheme="minorHAnsi" w:hAnsiTheme="minorHAnsi"/>
                <w:i/>
                <w:sz w:val="20"/>
                <w:szCs w:val="20"/>
              </w:rPr>
            </w:pPr>
            <w:r w:rsidRPr="00A32BB3">
              <w:rPr>
                <w:rFonts w:asciiTheme="minorHAnsi" w:eastAsia="Times New Roman" w:hAnsiTheme="minorHAnsi" w:cs="Arial"/>
                <w:i/>
                <w:sz w:val="20"/>
                <w:szCs w:val="20"/>
                <w:lang w:eastAsia="fr-CH"/>
              </w:rPr>
              <w:t>Participant status</w:t>
            </w:r>
          </w:p>
        </w:tc>
        <w:tc>
          <w:tcPr>
            <w:tcW w:w="4750" w:type="dxa"/>
          </w:tcPr>
          <w:p w14:paraId="69D8B169" w14:textId="77777777" w:rsidR="0027659A" w:rsidRPr="00A32BB3" w:rsidRDefault="0027659A" w:rsidP="00D45B27">
            <w:pPr>
              <w:spacing w:before="0" w:after="0"/>
              <w:jc w:val="left"/>
              <w:rPr>
                <w:rFonts w:asciiTheme="minorHAnsi" w:hAnsiTheme="minorHAnsi"/>
                <w:i/>
                <w:sz w:val="20"/>
                <w:szCs w:val="20"/>
              </w:rPr>
            </w:pPr>
            <w:r w:rsidRPr="00A32BB3">
              <w:rPr>
                <w:rFonts w:asciiTheme="minorHAnsi" w:eastAsia="Times New Roman" w:hAnsiTheme="minorHAnsi" w:cs="Arial"/>
                <w:i/>
                <w:sz w:val="20"/>
                <w:szCs w:val="20"/>
                <w:lang w:eastAsia="fr-CH"/>
              </w:rPr>
              <w:t>AESI/SAE</w:t>
            </w:r>
          </w:p>
        </w:tc>
      </w:tr>
      <w:tr w:rsidR="0027659A" w:rsidRPr="00A32BB3" w14:paraId="4767A88D" w14:textId="77777777" w:rsidTr="00D45B27">
        <w:tc>
          <w:tcPr>
            <w:tcW w:w="4750" w:type="dxa"/>
          </w:tcPr>
          <w:p w14:paraId="5A0F31DC" w14:textId="77777777" w:rsidR="0027659A" w:rsidRPr="00A32BB3" w:rsidRDefault="0027659A" w:rsidP="00D45B27">
            <w:pPr>
              <w:spacing w:before="0" w:after="0"/>
              <w:jc w:val="left"/>
              <w:rPr>
                <w:rFonts w:asciiTheme="minorHAnsi" w:eastAsia="Times New Roman" w:hAnsiTheme="minorHAnsi" w:cs="Arial"/>
                <w:sz w:val="20"/>
                <w:szCs w:val="20"/>
                <w:lang w:eastAsia="fr-CH"/>
              </w:rPr>
            </w:pPr>
            <w:r w:rsidRPr="00A32BB3">
              <w:rPr>
                <w:rFonts w:asciiTheme="minorHAnsi" w:eastAsia="Times New Roman" w:hAnsiTheme="minorHAnsi" w:cs="Arial"/>
                <w:sz w:val="20"/>
                <w:szCs w:val="20"/>
                <w:lang w:eastAsia="fr-CH"/>
              </w:rPr>
              <w:t>Completes treatment and follow-up study periods as per study schedule but has ongoing AESI/SAEs</w:t>
            </w:r>
          </w:p>
        </w:tc>
        <w:tc>
          <w:tcPr>
            <w:tcW w:w="4750" w:type="dxa"/>
          </w:tcPr>
          <w:p w14:paraId="13F8B5EB" w14:textId="77777777" w:rsidR="0027659A" w:rsidRPr="00A32BB3" w:rsidRDefault="0027659A" w:rsidP="00D45B27">
            <w:pPr>
              <w:spacing w:before="0" w:after="0"/>
              <w:jc w:val="left"/>
              <w:rPr>
                <w:rFonts w:asciiTheme="minorHAnsi" w:hAnsiTheme="minorHAnsi"/>
                <w:sz w:val="20"/>
                <w:szCs w:val="20"/>
              </w:rPr>
            </w:pPr>
            <w:r w:rsidRPr="00A32BB3">
              <w:rPr>
                <w:rFonts w:asciiTheme="minorHAnsi" w:eastAsia="Times New Roman" w:hAnsiTheme="minorHAnsi" w:cs="Arial"/>
                <w:sz w:val="20"/>
                <w:szCs w:val="20"/>
                <w:lang w:eastAsia="fr-CH"/>
              </w:rPr>
              <w:t>Followed for outcome for 4 additional weeks or until resolution/stabilization (whichever is later).</w:t>
            </w:r>
          </w:p>
        </w:tc>
      </w:tr>
      <w:tr w:rsidR="0027659A" w:rsidRPr="00A32BB3" w14:paraId="783255FD" w14:textId="77777777" w:rsidTr="00D45B27">
        <w:tc>
          <w:tcPr>
            <w:tcW w:w="4750" w:type="dxa"/>
          </w:tcPr>
          <w:p w14:paraId="6EB9FB31" w14:textId="108E6AFC" w:rsidR="0027659A" w:rsidRPr="00A32BB3" w:rsidRDefault="0027659A" w:rsidP="00D45B27">
            <w:pPr>
              <w:spacing w:before="0" w:after="0"/>
              <w:jc w:val="left"/>
              <w:rPr>
                <w:rFonts w:asciiTheme="minorHAnsi" w:eastAsia="Times New Roman" w:hAnsiTheme="minorHAnsi" w:cs="Arial"/>
                <w:sz w:val="20"/>
                <w:szCs w:val="20"/>
                <w:lang w:eastAsia="fr-CH"/>
              </w:rPr>
            </w:pPr>
            <w:proofErr w:type="gramStart"/>
            <w:r w:rsidRPr="00A32BB3">
              <w:rPr>
                <w:rFonts w:asciiTheme="minorHAnsi" w:eastAsia="Times New Roman" w:hAnsiTheme="minorHAnsi" w:cs="Arial"/>
                <w:sz w:val="20"/>
                <w:szCs w:val="20"/>
                <w:lang w:eastAsia="fr-CH"/>
              </w:rPr>
              <w:t>Has to</w:t>
            </w:r>
            <w:proofErr w:type="gramEnd"/>
            <w:r w:rsidRPr="00A32BB3">
              <w:rPr>
                <w:rFonts w:asciiTheme="minorHAnsi" w:eastAsia="Times New Roman" w:hAnsiTheme="minorHAnsi" w:cs="Arial"/>
                <w:sz w:val="20"/>
                <w:szCs w:val="20"/>
                <w:lang w:eastAsia="fr-CH"/>
              </w:rPr>
              <w:t xml:space="preserve"> discontinue the study early and </w:t>
            </w:r>
            <w:r w:rsidR="0066334D" w:rsidRPr="00A32BB3">
              <w:rPr>
                <w:rFonts w:asciiTheme="minorHAnsi" w:eastAsia="Times New Roman" w:hAnsiTheme="minorHAnsi" w:cs="Arial"/>
                <w:sz w:val="20"/>
                <w:szCs w:val="20"/>
                <w:lang w:eastAsia="fr-CH"/>
              </w:rPr>
              <w:t>has ongoing</w:t>
            </w:r>
            <w:r w:rsidRPr="00A32BB3">
              <w:rPr>
                <w:rFonts w:asciiTheme="minorHAnsi" w:eastAsia="Times New Roman" w:hAnsiTheme="minorHAnsi" w:cs="Arial"/>
                <w:sz w:val="20"/>
                <w:szCs w:val="20"/>
                <w:lang w:eastAsia="fr-CH"/>
              </w:rPr>
              <w:t xml:space="preserve"> AESI/SAEs</w:t>
            </w:r>
          </w:p>
        </w:tc>
        <w:tc>
          <w:tcPr>
            <w:tcW w:w="4750" w:type="dxa"/>
          </w:tcPr>
          <w:p w14:paraId="6FE67C10" w14:textId="1397B554" w:rsidR="0027659A" w:rsidRPr="00A32BB3" w:rsidRDefault="0027659A" w:rsidP="00D45B27">
            <w:pPr>
              <w:spacing w:before="0" w:after="0"/>
              <w:jc w:val="left"/>
              <w:rPr>
                <w:rFonts w:asciiTheme="minorHAnsi" w:eastAsia="Times New Roman" w:hAnsiTheme="minorHAnsi" w:cs="Arial"/>
                <w:sz w:val="20"/>
                <w:szCs w:val="20"/>
                <w:lang w:eastAsia="fr-CH"/>
              </w:rPr>
            </w:pPr>
            <w:r w:rsidRPr="00A32BB3">
              <w:rPr>
                <w:rFonts w:asciiTheme="minorHAnsi" w:eastAsia="Times New Roman" w:hAnsiTheme="minorHAnsi" w:cs="Arial"/>
                <w:sz w:val="20"/>
                <w:szCs w:val="20"/>
                <w:lang w:eastAsia="fr-CH"/>
              </w:rPr>
              <w:t xml:space="preserve">Followed for outcome for 8 additional weeks </w:t>
            </w:r>
            <w:r w:rsidR="0066334D" w:rsidRPr="00A32BB3">
              <w:rPr>
                <w:rFonts w:asciiTheme="minorHAnsi" w:eastAsia="Times New Roman" w:hAnsiTheme="minorHAnsi" w:cs="Arial"/>
                <w:sz w:val="20"/>
                <w:szCs w:val="20"/>
                <w:lang w:eastAsia="fr-CH"/>
              </w:rPr>
              <w:t>or until</w:t>
            </w:r>
            <w:r w:rsidRPr="00A32BB3">
              <w:rPr>
                <w:rFonts w:asciiTheme="minorHAnsi" w:eastAsia="Times New Roman" w:hAnsiTheme="minorHAnsi" w:cs="Arial"/>
                <w:sz w:val="20"/>
                <w:szCs w:val="20"/>
                <w:lang w:eastAsia="fr-CH"/>
              </w:rPr>
              <w:t xml:space="preserve"> resolution/stabilization (whichever is later).</w:t>
            </w:r>
          </w:p>
        </w:tc>
      </w:tr>
    </w:tbl>
    <w:p w14:paraId="1989975D" w14:textId="3E141BC7" w:rsidR="001D4289" w:rsidRDefault="001D4289" w:rsidP="0038283D">
      <w:r w:rsidRPr="001D4289">
        <w:t>Pregnancies should be followed</w:t>
      </w:r>
      <w:r>
        <w:t>-</w:t>
      </w:r>
      <w:r w:rsidRPr="001D4289">
        <w:t>up</w:t>
      </w:r>
      <w:r w:rsidR="00B10105">
        <w:t xml:space="preserve"> by the site Co-Investigators</w:t>
      </w:r>
      <w:r>
        <w:t>,</w:t>
      </w:r>
      <w:r w:rsidRPr="001D4289">
        <w:t xml:space="preserve"> </w:t>
      </w:r>
      <w:r w:rsidRPr="00F22350">
        <w:rPr>
          <w:u w:val="single"/>
        </w:rPr>
        <w:t>if possible</w:t>
      </w:r>
      <w:r w:rsidR="00792B3B" w:rsidRPr="00F22350">
        <w:rPr>
          <w:u w:val="single"/>
        </w:rPr>
        <w:t xml:space="preserve"> and if patient</w:t>
      </w:r>
      <w:r w:rsidR="00B10105" w:rsidRPr="00F22350">
        <w:rPr>
          <w:u w:val="single"/>
        </w:rPr>
        <w:t>/patient’s partner</w:t>
      </w:r>
      <w:r w:rsidR="00792B3B" w:rsidRPr="00F22350">
        <w:rPr>
          <w:u w:val="single"/>
        </w:rPr>
        <w:t xml:space="preserve"> consented for this</w:t>
      </w:r>
      <w:r w:rsidR="00792B3B" w:rsidRPr="00F22350">
        <w:t>,</w:t>
      </w:r>
      <w:r w:rsidRPr="00F22350">
        <w:t xml:space="preserve"> until an outcome is known</w:t>
      </w:r>
      <w:r w:rsidR="0066334D" w:rsidRPr="00F22350">
        <w:t>,</w:t>
      </w:r>
      <w:r w:rsidRPr="00F22350">
        <w:t xml:space="preserve"> and the infants</w:t>
      </w:r>
      <w:r w:rsidRPr="001D4289">
        <w:t xml:space="preserve"> born from exposed pregnancies </w:t>
      </w:r>
      <w:r w:rsidR="00AA49ED">
        <w:t>reach</w:t>
      </w:r>
      <w:r>
        <w:t xml:space="preserve"> </w:t>
      </w:r>
      <w:r w:rsidRPr="001D4289">
        <w:t>12 months of age.</w:t>
      </w:r>
    </w:p>
    <w:p w14:paraId="30674163" w14:textId="5D73B0C4" w:rsidR="00A32BB3" w:rsidRPr="00D16EDA" w:rsidRDefault="00A32BB3" w:rsidP="00A32BB3">
      <w:pPr>
        <w:pStyle w:val="Caption"/>
        <w:ind w:left="709" w:hanging="709"/>
        <w:rPr>
          <w:lang w:val="en-GB" w:eastAsia="fr-CH"/>
        </w:rPr>
      </w:pPr>
      <w:r w:rsidRPr="001957EC">
        <w:rPr>
          <w:lang w:val="en-US"/>
        </w:rPr>
        <w:t xml:space="preserve">Table </w:t>
      </w:r>
      <w:r>
        <w:fldChar w:fldCharType="begin"/>
      </w:r>
      <w:r w:rsidRPr="001957EC">
        <w:rPr>
          <w:lang w:val="en-US"/>
        </w:rPr>
        <w:instrText xml:space="preserve"> SEQ Table \* ARABIC </w:instrText>
      </w:r>
      <w:r>
        <w:fldChar w:fldCharType="separate"/>
      </w:r>
      <w:r w:rsidR="0051586B">
        <w:rPr>
          <w:noProof/>
          <w:lang w:val="en-US"/>
        </w:rPr>
        <w:t>4</w:t>
      </w:r>
      <w:r>
        <w:fldChar w:fldCharType="end"/>
      </w:r>
      <w:r w:rsidRPr="001957EC">
        <w:rPr>
          <w:lang w:val="en-US"/>
        </w:rPr>
        <w:tab/>
        <w:t>Post-study safety follow-up</w:t>
      </w:r>
      <w:r>
        <w:rPr>
          <w:lang w:val="en-US"/>
        </w:rPr>
        <w:t xml:space="preserve"> for patients or partners with ongoing pregnancies/delivery &lt;12 months before end of study, and who consented for post-study follow-up</w:t>
      </w:r>
    </w:p>
    <w:tbl>
      <w:tblPr>
        <w:tblStyle w:val="TableGrid"/>
        <w:tblW w:w="0" w:type="auto"/>
        <w:tblLook w:val="04A0" w:firstRow="1" w:lastRow="0" w:firstColumn="1" w:lastColumn="0" w:noHBand="0" w:noVBand="1"/>
      </w:tblPr>
      <w:tblGrid>
        <w:gridCol w:w="4671"/>
        <w:gridCol w:w="4679"/>
      </w:tblGrid>
      <w:tr w:rsidR="00A32BB3" w:rsidRPr="00A32BB3" w14:paraId="4B8E0925" w14:textId="77777777" w:rsidTr="00D45B27">
        <w:tc>
          <w:tcPr>
            <w:tcW w:w="9500" w:type="dxa"/>
            <w:gridSpan w:val="2"/>
          </w:tcPr>
          <w:p w14:paraId="04444EC2" w14:textId="77777777" w:rsidR="00A32BB3" w:rsidRPr="00A32BB3" w:rsidRDefault="00A32BB3" w:rsidP="00D45B27">
            <w:pPr>
              <w:spacing w:before="0" w:after="0"/>
              <w:jc w:val="left"/>
              <w:rPr>
                <w:rFonts w:asciiTheme="minorHAnsi" w:hAnsiTheme="minorHAnsi"/>
                <w:b/>
                <w:sz w:val="20"/>
                <w:szCs w:val="20"/>
              </w:rPr>
            </w:pPr>
            <w:r w:rsidRPr="00A32BB3">
              <w:rPr>
                <w:rFonts w:asciiTheme="minorHAnsi" w:eastAsia="Times New Roman" w:hAnsiTheme="minorHAnsi" w:cs="Arial"/>
                <w:b/>
                <w:sz w:val="20"/>
                <w:szCs w:val="20"/>
                <w:lang w:eastAsia="fr-CH"/>
              </w:rPr>
              <w:t>Post study safety follow-up</w:t>
            </w:r>
          </w:p>
        </w:tc>
      </w:tr>
      <w:tr w:rsidR="00A32BB3" w:rsidRPr="00A32BB3" w14:paraId="1413C479" w14:textId="77777777" w:rsidTr="00D45B27">
        <w:tc>
          <w:tcPr>
            <w:tcW w:w="4750" w:type="dxa"/>
          </w:tcPr>
          <w:p w14:paraId="2301B1C6" w14:textId="703AE8E4" w:rsidR="00A32BB3" w:rsidRPr="00A32BB3" w:rsidRDefault="00A32BB3" w:rsidP="00D45B27">
            <w:pPr>
              <w:spacing w:before="0" w:after="0"/>
              <w:jc w:val="left"/>
              <w:rPr>
                <w:rFonts w:asciiTheme="minorHAnsi" w:hAnsiTheme="minorHAnsi"/>
                <w:i/>
                <w:sz w:val="20"/>
                <w:szCs w:val="20"/>
              </w:rPr>
            </w:pPr>
            <w:r>
              <w:rPr>
                <w:rFonts w:asciiTheme="minorHAnsi" w:eastAsia="Times New Roman" w:hAnsiTheme="minorHAnsi" w:cs="Arial"/>
                <w:i/>
                <w:sz w:val="20"/>
                <w:szCs w:val="20"/>
                <w:lang w:eastAsia="fr-CH"/>
              </w:rPr>
              <w:t>Mother</w:t>
            </w:r>
            <w:r w:rsidRPr="00A32BB3">
              <w:rPr>
                <w:rFonts w:asciiTheme="minorHAnsi" w:eastAsia="Times New Roman" w:hAnsiTheme="minorHAnsi" w:cs="Arial"/>
                <w:i/>
                <w:sz w:val="20"/>
                <w:szCs w:val="20"/>
                <w:lang w:eastAsia="fr-CH"/>
              </w:rPr>
              <w:t xml:space="preserve"> status</w:t>
            </w:r>
          </w:p>
        </w:tc>
        <w:tc>
          <w:tcPr>
            <w:tcW w:w="4750" w:type="dxa"/>
          </w:tcPr>
          <w:p w14:paraId="130DD0E6" w14:textId="7F12E2E1" w:rsidR="00A32BB3" w:rsidRPr="00A32BB3" w:rsidRDefault="00A32BB3" w:rsidP="00D45B27">
            <w:pPr>
              <w:spacing w:before="0" w:after="0"/>
              <w:jc w:val="left"/>
              <w:rPr>
                <w:rFonts w:asciiTheme="minorHAnsi" w:hAnsiTheme="minorHAnsi"/>
                <w:i/>
                <w:sz w:val="20"/>
                <w:szCs w:val="20"/>
              </w:rPr>
            </w:pPr>
            <w:r>
              <w:rPr>
                <w:rFonts w:asciiTheme="minorHAnsi" w:eastAsia="Times New Roman" w:hAnsiTheme="minorHAnsi" w:cs="Arial"/>
                <w:i/>
                <w:sz w:val="20"/>
                <w:szCs w:val="20"/>
                <w:lang w:eastAsia="fr-CH"/>
              </w:rPr>
              <w:t>Pregnancy/infant</w:t>
            </w:r>
          </w:p>
        </w:tc>
      </w:tr>
      <w:tr w:rsidR="00A32BB3" w:rsidRPr="00A32BB3" w14:paraId="4BD59C4E" w14:textId="77777777" w:rsidTr="00D45B27">
        <w:tc>
          <w:tcPr>
            <w:tcW w:w="4750" w:type="dxa"/>
          </w:tcPr>
          <w:p w14:paraId="55652348" w14:textId="35B395B4" w:rsidR="00A32BB3" w:rsidRPr="00A32BB3" w:rsidRDefault="00A32BB3" w:rsidP="00A32BB3">
            <w:pPr>
              <w:spacing w:before="0" w:after="0"/>
              <w:jc w:val="left"/>
              <w:rPr>
                <w:rFonts w:asciiTheme="minorHAnsi" w:eastAsia="Times New Roman" w:hAnsiTheme="minorHAnsi" w:cs="Arial"/>
                <w:sz w:val="20"/>
                <w:szCs w:val="20"/>
                <w:lang w:eastAsia="fr-CH"/>
              </w:rPr>
            </w:pPr>
            <w:r w:rsidRPr="00A32BB3">
              <w:rPr>
                <w:rFonts w:asciiTheme="minorHAnsi" w:eastAsia="Times New Roman" w:hAnsiTheme="minorHAnsi" w:cs="Arial"/>
                <w:sz w:val="20"/>
                <w:szCs w:val="20"/>
                <w:lang w:eastAsia="fr-CH"/>
              </w:rPr>
              <w:lastRenderedPageBreak/>
              <w:t>Participant (or participant’s partner)</w:t>
            </w:r>
            <w:r>
              <w:rPr>
                <w:rFonts w:asciiTheme="minorHAnsi" w:eastAsia="Times New Roman" w:hAnsiTheme="minorHAnsi" w:cs="Arial"/>
                <w:sz w:val="20"/>
                <w:szCs w:val="20"/>
                <w:lang w:eastAsia="fr-CH"/>
              </w:rPr>
              <w:t xml:space="preserve"> </w:t>
            </w:r>
            <w:r w:rsidRPr="00A32BB3">
              <w:rPr>
                <w:rFonts w:asciiTheme="minorHAnsi" w:eastAsia="Times New Roman" w:hAnsiTheme="minorHAnsi" w:cs="Arial"/>
                <w:sz w:val="20"/>
                <w:szCs w:val="20"/>
                <w:lang w:eastAsia="fr-CH"/>
              </w:rPr>
              <w:t>is pregnant</w:t>
            </w:r>
            <w:r>
              <w:rPr>
                <w:rFonts w:asciiTheme="minorHAnsi" w:eastAsia="Times New Roman" w:hAnsiTheme="minorHAnsi" w:cs="Arial"/>
                <w:sz w:val="20"/>
                <w:szCs w:val="20"/>
                <w:lang w:eastAsia="fr-CH"/>
              </w:rPr>
              <w:t xml:space="preserve"> </w:t>
            </w:r>
            <w:r w:rsidRPr="00A32BB3">
              <w:rPr>
                <w:rFonts w:asciiTheme="minorHAnsi" w:eastAsia="Times New Roman" w:hAnsiTheme="minorHAnsi" w:cs="Arial"/>
                <w:sz w:val="20"/>
                <w:szCs w:val="20"/>
                <w:lang w:eastAsia="fr-CH"/>
              </w:rPr>
              <w:t>or has delivered a baby &lt;12 months before the</w:t>
            </w:r>
            <w:r>
              <w:rPr>
                <w:rFonts w:asciiTheme="minorHAnsi" w:eastAsia="Times New Roman" w:hAnsiTheme="minorHAnsi" w:cs="Arial"/>
                <w:sz w:val="20"/>
                <w:szCs w:val="20"/>
                <w:lang w:eastAsia="fr-CH"/>
              </w:rPr>
              <w:t xml:space="preserve"> </w:t>
            </w:r>
            <w:r w:rsidRPr="00A32BB3">
              <w:rPr>
                <w:rFonts w:asciiTheme="minorHAnsi" w:eastAsia="Times New Roman" w:hAnsiTheme="minorHAnsi" w:cs="Arial"/>
                <w:sz w:val="20"/>
                <w:szCs w:val="20"/>
                <w:lang w:eastAsia="fr-CH"/>
              </w:rPr>
              <w:t>last study visit.</w:t>
            </w:r>
          </w:p>
        </w:tc>
        <w:tc>
          <w:tcPr>
            <w:tcW w:w="4750" w:type="dxa"/>
          </w:tcPr>
          <w:p w14:paraId="24076C61" w14:textId="76565E23" w:rsidR="00A32BB3" w:rsidRPr="00A32BB3" w:rsidRDefault="00A32BB3" w:rsidP="00A32BB3">
            <w:pPr>
              <w:spacing w:before="0" w:after="0"/>
              <w:jc w:val="left"/>
              <w:rPr>
                <w:rFonts w:asciiTheme="minorHAnsi" w:hAnsiTheme="minorHAnsi"/>
                <w:sz w:val="20"/>
                <w:szCs w:val="20"/>
              </w:rPr>
            </w:pPr>
            <w:r w:rsidRPr="00A32BB3">
              <w:rPr>
                <w:rFonts w:asciiTheme="minorHAnsi" w:eastAsia="Times New Roman" w:hAnsiTheme="minorHAnsi" w:cs="Arial"/>
                <w:sz w:val="20"/>
                <w:szCs w:val="20"/>
                <w:lang w:eastAsia="fr-CH"/>
              </w:rPr>
              <w:t>Followed until pregnancy outcome is known</w:t>
            </w:r>
            <w:r>
              <w:rPr>
                <w:rFonts w:asciiTheme="minorHAnsi" w:eastAsia="Times New Roman" w:hAnsiTheme="minorHAnsi" w:cs="Arial"/>
                <w:sz w:val="20"/>
                <w:szCs w:val="20"/>
                <w:lang w:eastAsia="fr-CH"/>
              </w:rPr>
              <w:t xml:space="preserve"> </w:t>
            </w:r>
            <w:r w:rsidRPr="00A32BB3">
              <w:rPr>
                <w:rFonts w:asciiTheme="minorHAnsi" w:eastAsia="Times New Roman" w:hAnsiTheme="minorHAnsi" w:cs="Arial"/>
                <w:sz w:val="20"/>
                <w:szCs w:val="20"/>
                <w:lang w:eastAsia="fr-CH"/>
              </w:rPr>
              <w:t>and</w:t>
            </w:r>
            <w:r>
              <w:rPr>
                <w:rFonts w:asciiTheme="minorHAnsi" w:eastAsia="Times New Roman" w:hAnsiTheme="minorHAnsi" w:cs="Arial"/>
                <w:sz w:val="20"/>
                <w:szCs w:val="20"/>
                <w:lang w:eastAsia="fr-CH"/>
              </w:rPr>
              <w:t xml:space="preserve"> </w:t>
            </w:r>
            <w:r w:rsidRPr="00A32BB3">
              <w:rPr>
                <w:rFonts w:asciiTheme="minorHAnsi" w:eastAsia="Times New Roman" w:hAnsiTheme="minorHAnsi" w:cs="Arial"/>
                <w:sz w:val="20"/>
                <w:szCs w:val="20"/>
                <w:lang w:eastAsia="fr-CH"/>
              </w:rPr>
              <w:t>infant at 6 and 12 months of age (as</w:t>
            </w:r>
            <w:r>
              <w:rPr>
                <w:rFonts w:asciiTheme="minorHAnsi" w:eastAsia="Times New Roman" w:hAnsiTheme="minorHAnsi" w:cs="Arial"/>
                <w:sz w:val="20"/>
                <w:szCs w:val="20"/>
                <w:lang w:eastAsia="fr-CH"/>
              </w:rPr>
              <w:t xml:space="preserve"> </w:t>
            </w:r>
            <w:r w:rsidRPr="00A32BB3">
              <w:rPr>
                <w:rFonts w:asciiTheme="minorHAnsi" w:eastAsia="Times New Roman" w:hAnsiTheme="minorHAnsi" w:cs="Arial"/>
                <w:sz w:val="20"/>
                <w:szCs w:val="20"/>
                <w:lang w:eastAsia="fr-CH"/>
              </w:rPr>
              <w:t>applicable).</w:t>
            </w:r>
          </w:p>
        </w:tc>
      </w:tr>
    </w:tbl>
    <w:p w14:paraId="17B99DC3" w14:textId="77777777" w:rsidR="009504F5" w:rsidRPr="00D01A3D" w:rsidRDefault="009504F5" w:rsidP="001E65A4">
      <w:pPr>
        <w:pStyle w:val="Heading3"/>
      </w:pPr>
      <w:bookmarkStart w:id="27" w:name="_Toc180755787"/>
      <w:r w:rsidRPr="00D01A3D">
        <w:t>Reporting of Serious Adverse Events and relevant safety parameters to Sponsor</w:t>
      </w:r>
      <w:bookmarkEnd w:id="27"/>
    </w:p>
    <w:p w14:paraId="46E60739" w14:textId="77777777" w:rsidR="009504F5" w:rsidRPr="00D01A3D" w:rsidRDefault="009504F5" w:rsidP="001E65A4">
      <w:pPr>
        <w:pStyle w:val="Heading4"/>
      </w:pPr>
      <w:bookmarkStart w:id="28" w:name="_Ref427675941"/>
      <w:r w:rsidRPr="00D01A3D">
        <w:t>Expedited Reporting criteria</w:t>
      </w:r>
      <w:bookmarkEnd w:id="28"/>
    </w:p>
    <w:p w14:paraId="01AFF731" w14:textId="77777777" w:rsidR="009504F5" w:rsidRDefault="00652052" w:rsidP="00652052">
      <w:r w:rsidRPr="00446D73">
        <w:t>The Site Co-I</w:t>
      </w:r>
      <w:r w:rsidR="009504F5" w:rsidRPr="00446D73">
        <w:t xml:space="preserve">nvestigators must inform immediately the </w:t>
      </w:r>
      <w:r w:rsidRPr="00446D73">
        <w:t xml:space="preserve">Site </w:t>
      </w:r>
      <w:r w:rsidR="00AF6591" w:rsidRPr="00446D73">
        <w:t>PI</w:t>
      </w:r>
      <w:r w:rsidR="009504F5" w:rsidRPr="00446D73">
        <w:t xml:space="preserve"> </w:t>
      </w:r>
      <w:r w:rsidRPr="00446D73">
        <w:t>and</w:t>
      </w:r>
      <w:r w:rsidR="009504F5" w:rsidRPr="00446D73">
        <w:t xml:space="preserve"> the </w:t>
      </w:r>
      <w:r w:rsidR="00446D73" w:rsidRPr="00446D73">
        <w:t>Site Study</w:t>
      </w:r>
      <w:r w:rsidR="009504F5" w:rsidRPr="00446D73">
        <w:t xml:space="preserve"> Coordinator (</w:t>
      </w:r>
      <w:r w:rsidR="00446D73" w:rsidRPr="00446D73">
        <w:t>SSC</w:t>
      </w:r>
      <w:r w:rsidR="009504F5" w:rsidRPr="00446D73">
        <w:t>) of any suspected:</w:t>
      </w:r>
    </w:p>
    <w:p w14:paraId="56AAD257" w14:textId="57585464" w:rsidR="00021B3A" w:rsidRDefault="00446D73" w:rsidP="00554423">
      <w:pPr>
        <w:pStyle w:val="ListParagraph"/>
        <w:numPr>
          <w:ilvl w:val="0"/>
          <w:numId w:val="16"/>
        </w:numPr>
        <w:ind w:left="709" w:hanging="349"/>
        <w:contextualSpacing w:val="0"/>
      </w:pPr>
      <w:r>
        <w:t>Serious Adverse Events (SAE) (</w:t>
      </w:r>
      <w:r w:rsidRPr="00AF6591">
        <w:t>as defined in section</w:t>
      </w:r>
      <w:r>
        <w:t xml:space="preserve"> </w:t>
      </w:r>
      <w:r>
        <w:fldChar w:fldCharType="begin"/>
      </w:r>
      <w:r>
        <w:instrText xml:space="preserve"> REF _Ref427675504 \r \h </w:instrText>
      </w:r>
      <w:r>
        <w:fldChar w:fldCharType="separate"/>
      </w:r>
      <w:r w:rsidR="0051586B">
        <w:t>4.9</w:t>
      </w:r>
      <w:r>
        <w:fldChar w:fldCharType="end"/>
      </w:r>
      <w:proofErr w:type="gramStart"/>
      <w:r>
        <w:t>)</w:t>
      </w:r>
      <w:r w:rsidR="00F04002">
        <w:t>;</w:t>
      </w:r>
      <w:proofErr w:type="gramEnd"/>
    </w:p>
    <w:p w14:paraId="72542EA5" w14:textId="0CF8ADCC" w:rsidR="00554423" w:rsidRDefault="009504F5" w:rsidP="00554423">
      <w:pPr>
        <w:pStyle w:val="ListParagraph"/>
        <w:numPr>
          <w:ilvl w:val="0"/>
          <w:numId w:val="16"/>
        </w:numPr>
        <w:ind w:left="709" w:hanging="349"/>
        <w:contextualSpacing w:val="0"/>
      </w:pPr>
      <w:r>
        <w:t>Adverse Events of Special Interest (</w:t>
      </w:r>
      <w:r w:rsidRPr="00AF6591">
        <w:t xml:space="preserve">AESI) (as defined in section </w:t>
      </w:r>
      <w:r w:rsidR="00AF6591" w:rsidRPr="00AF6591">
        <w:fldChar w:fldCharType="begin"/>
      </w:r>
      <w:r w:rsidR="00AF6591" w:rsidRPr="00AF6591">
        <w:instrText xml:space="preserve"> REF _Ref427675518 \r \h </w:instrText>
      </w:r>
      <w:r w:rsidR="00AF6591">
        <w:instrText xml:space="preserve"> \* MERGEFORMAT </w:instrText>
      </w:r>
      <w:r w:rsidR="00AF6591" w:rsidRPr="00AF6591">
        <w:fldChar w:fldCharType="separate"/>
      </w:r>
      <w:r w:rsidR="0051586B">
        <w:t>4.2</w:t>
      </w:r>
      <w:r w:rsidR="00AF6591" w:rsidRPr="00AF6591">
        <w:fldChar w:fldCharType="end"/>
      </w:r>
      <w:proofErr w:type="gramStart"/>
      <w:r w:rsidRPr="00AF6591">
        <w:t>)</w:t>
      </w:r>
      <w:r w:rsidR="00F04002">
        <w:t>;</w:t>
      </w:r>
      <w:proofErr w:type="gramEnd"/>
    </w:p>
    <w:p w14:paraId="228E5506" w14:textId="28D1FBB3" w:rsidR="00554423" w:rsidRPr="00AF6591" w:rsidRDefault="009504F5" w:rsidP="00554423">
      <w:pPr>
        <w:pStyle w:val="ListParagraph"/>
        <w:numPr>
          <w:ilvl w:val="0"/>
          <w:numId w:val="16"/>
        </w:numPr>
        <w:ind w:left="709" w:hanging="349"/>
        <w:contextualSpacing w:val="0"/>
      </w:pPr>
      <w:r w:rsidRPr="00AF6591">
        <w:t xml:space="preserve">Pregnancy </w:t>
      </w:r>
      <w:r w:rsidR="00966AD5">
        <w:t xml:space="preserve">(exposed via mother or father) </w:t>
      </w:r>
      <w:r w:rsidRPr="00AF6591">
        <w:t xml:space="preserve">during or after </w:t>
      </w:r>
      <w:r w:rsidR="00554423" w:rsidRPr="00AF6591">
        <w:t>IMP</w:t>
      </w:r>
      <w:r w:rsidRPr="00AF6591">
        <w:t xml:space="preserve"> exposure</w:t>
      </w:r>
      <w:r w:rsidR="00F04002">
        <w:t>;</w:t>
      </w:r>
      <w:r w:rsidRPr="00AF6591">
        <w:t xml:space="preserve"> and</w:t>
      </w:r>
    </w:p>
    <w:p w14:paraId="49607C01" w14:textId="3EADC233" w:rsidR="00446D73" w:rsidRPr="00AF6591" w:rsidRDefault="009504F5" w:rsidP="00446D73">
      <w:pPr>
        <w:pStyle w:val="ListParagraph"/>
        <w:numPr>
          <w:ilvl w:val="0"/>
          <w:numId w:val="16"/>
        </w:numPr>
        <w:ind w:left="709" w:hanging="349"/>
        <w:contextualSpacing w:val="0"/>
      </w:pPr>
      <w:r w:rsidRPr="00AF6591">
        <w:t>Overdose (as defined in section</w:t>
      </w:r>
      <w:r w:rsidR="00AF6591" w:rsidRPr="00AF6591">
        <w:t xml:space="preserve"> </w:t>
      </w:r>
      <w:r w:rsidR="00AF6591" w:rsidRPr="00AF6591">
        <w:fldChar w:fldCharType="begin"/>
      </w:r>
      <w:r w:rsidR="00AF6591" w:rsidRPr="00AF6591">
        <w:instrText xml:space="preserve"> REF _Ref427675769 \r \h </w:instrText>
      </w:r>
      <w:r w:rsidR="00AF6591">
        <w:instrText xml:space="preserve"> \* MERGEFORMAT </w:instrText>
      </w:r>
      <w:r w:rsidR="00AF6591" w:rsidRPr="00AF6591">
        <w:fldChar w:fldCharType="separate"/>
      </w:r>
      <w:r w:rsidR="0051586B">
        <w:t>4.8</w:t>
      </w:r>
      <w:r w:rsidR="00AF6591" w:rsidRPr="00AF6591">
        <w:fldChar w:fldCharType="end"/>
      </w:r>
      <w:r w:rsidRPr="00AF6591">
        <w:t>).</w:t>
      </w:r>
    </w:p>
    <w:p w14:paraId="15820E61" w14:textId="77777777" w:rsidR="009504F5" w:rsidRPr="00D01A3D" w:rsidRDefault="009504F5" w:rsidP="001E65A4">
      <w:pPr>
        <w:pStyle w:val="Heading4"/>
      </w:pPr>
      <w:r w:rsidRPr="00D01A3D">
        <w:t>Procedure for Expedited Reporting to Sponsor</w:t>
      </w:r>
    </w:p>
    <w:p w14:paraId="396E54D0" w14:textId="5A99ECB8" w:rsidR="009504F5" w:rsidRDefault="009504F5" w:rsidP="009504F5">
      <w:r>
        <w:t xml:space="preserve">Within </w:t>
      </w:r>
      <w:r w:rsidRPr="001549F5">
        <w:rPr>
          <w:b/>
          <w:u w:val="single"/>
        </w:rPr>
        <w:t>24 hours of event’s awareness</w:t>
      </w:r>
      <w:r w:rsidR="00BD54E9">
        <w:t xml:space="preserve">, </w:t>
      </w:r>
      <w:r>
        <w:t>the</w:t>
      </w:r>
      <w:r w:rsidR="00B07129">
        <w:t xml:space="preserve"> Site</w:t>
      </w:r>
      <w:r>
        <w:t xml:space="preserve"> </w:t>
      </w:r>
      <w:r w:rsidR="00BD54E9" w:rsidRPr="00BD54E9">
        <w:t xml:space="preserve">PI with the support of the </w:t>
      </w:r>
      <w:r w:rsidR="00446D73">
        <w:t>SSC</w:t>
      </w:r>
      <w:r w:rsidR="00B07129">
        <w:t xml:space="preserve"> </w:t>
      </w:r>
      <w:r>
        <w:t xml:space="preserve">should proceed with the reporting of </w:t>
      </w:r>
      <w:r w:rsidR="00B07129">
        <w:t xml:space="preserve">the </w:t>
      </w:r>
      <w:r>
        <w:t>expedited information to the PV Unit, as follows:</w:t>
      </w:r>
    </w:p>
    <w:tbl>
      <w:tblPr>
        <w:tblStyle w:val="TableGrid"/>
        <w:tblW w:w="5000" w:type="pct"/>
        <w:tblLook w:val="04A0" w:firstRow="1" w:lastRow="0" w:firstColumn="1" w:lastColumn="0" w:noHBand="0" w:noVBand="1"/>
      </w:tblPr>
      <w:tblGrid>
        <w:gridCol w:w="9350"/>
      </w:tblGrid>
      <w:tr w:rsidR="00BD54E9" w14:paraId="052E1C93" w14:textId="77777777" w:rsidTr="00A4182E">
        <w:tc>
          <w:tcPr>
            <w:tcW w:w="5000" w:type="pct"/>
            <w:tcBorders>
              <w:bottom w:val="single" w:sz="4" w:space="0" w:color="auto"/>
            </w:tcBorders>
          </w:tcPr>
          <w:p w14:paraId="58B88488" w14:textId="7036B25D" w:rsidR="00BD54E9" w:rsidRPr="000C42F3" w:rsidRDefault="00BD54E9" w:rsidP="00BD54E9">
            <w:r w:rsidRPr="000C42F3">
              <w:rPr>
                <w:u w:val="single"/>
              </w:rPr>
              <w:t>Sequential actions under the Site PI responsibility</w:t>
            </w:r>
            <w:r w:rsidRPr="000C42F3">
              <w:t>:</w:t>
            </w:r>
          </w:p>
          <w:p w14:paraId="39C12E7F" w14:textId="3AAE2B63" w:rsidR="00BD54E9" w:rsidRPr="000C42F3" w:rsidRDefault="00BD54E9" w:rsidP="00BD54E9">
            <w:pPr>
              <w:pStyle w:val="ListParagraph"/>
              <w:numPr>
                <w:ilvl w:val="0"/>
                <w:numId w:val="18"/>
              </w:numPr>
              <w:ind w:left="851" w:hanging="425"/>
              <w:contextualSpacing w:val="0"/>
            </w:pPr>
            <w:r w:rsidRPr="000C42F3">
              <w:t xml:space="preserve">Ensure that the AE qualifies for expedited reporting as defined in </w:t>
            </w:r>
            <w:r w:rsidR="00F45FF3" w:rsidRPr="000C42F3">
              <w:t xml:space="preserve">previous </w:t>
            </w:r>
            <w:r w:rsidRPr="000C42F3">
              <w:t>section</w:t>
            </w:r>
            <w:r w:rsidR="00F45FF3" w:rsidRPr="000C42F3">
              <w:t xml:space="preserve"> </w:t>
            </w:r>
            <w:r w:rsidR="00F45FF3" w:rsidRPr="000C42F3">
              <w:fldChar w:fldCharType="begin"/>
            </w:r>
            <w:r w:rsidR="00F45FF3" w:rsidRPr="000C42F3">
              <w:instrText xml:space="preserve"> REF _Ref427675941 \r \h  \* MERGEFORMAT </w:instrText>
            </w:r>
            <w:r w:rsidR="00F45FF3" w:rsidRPr="000C42F3">
              <w:fldChar w:fldCharType="separate"/>
            </w:r>
            <w:r w:rsidR="0051586B">
              <w:t>5.2.1</w:t>
            </w:r>
            <w:r w:rsidR="00F45FF3" w:rsidRPr="000C42F3">
              <w:fldChar w:fldCharType="end"/>
            </w:r>
            <w:r w:rsidRPr="000C42F3">
              <w:t>.</w:t>
            </w:r>
          </w:p>
          <w:p w14:paraId="432196DA" w14:textId="77777777" w:rsidR="00BD54E9" w:rsidRPr="000C42F3" w:rsidRDefault="00F45FF3" w:rsidP="00BD54E9">
            <w:pPr>
              <w:pStyle w:val="ListParagraph"/>
              <w:numPr>
                <w:ilvl w:val="0"/>
                <w:numId w:val="18"/>
              </w:numPr>
              <w:ind w:left="851" w:hanging="425"/>
              <w:contextualSpacing w:val="0"/>
            </w:pPr>
            <w:r w:rsidRPr="000C42F3">
              <w:t>Verify</w:t>
            </w:r>
            <w:r w:rsidR="00BD54E9" w:rsidRPr="000C42F3">
              <w:t xml:space="preserve"> that the minimum information required for </w:t>
            </w:r>
            <w:r w:rsidRPr="000C42F3">
              <w:t xml:space="preserve">expedited </w:t>
            </w:r>
            <w:r w:rsidR="00BD54E9" w:rsidRPr="000C42F3">
              <w:t>reporting is known:</w:t>
            </w:r>
          </w:p>
          <w:p w14:paraId="7AA5056E" w14:textId="77777777" w:rsidR="00BD54E9" w:rsidRPr="000C42F3" w:rsidRDefault="00BD54E9" w:rsidP="00F45FF3">
            <w:pPr>
              <w:pStyle w:val="ListParagraph"/>
              <w:numPr>
                <w:ilvl w:val="1"/>
                <w:numId w:val="36"/>
              </w:numPr>
              <w:contextualSpacing w:val="0"/>
            </w:pPr>
            <w:r w:rsidRPr="000C42F3">
              <w:rPr>
                <w:b/>
                <w:color w:val="365F91" w:themeColor="accent1" w:themeShade="BF"/>
              </w:rPr>
              <w:t>Patient identifier</w:t>
            </w:r>
            <w:r w:rsidRPr="000C42F3">
              <w:rPr>
                <w:color w:val="365F91" w:themeColor="accent1" w:themeShade="BF"/>
              </w:rPr>
              <w:t xml:space="preserve"> </w:t>
            </w:r>
            <w:r w:rsidRPr="000C42F3">
              <w:t>(patient number),</w:t>
            </w:r>
          </w:p>
          <w:p w14:paraId="27CE3DCE" w14:textId="77777777" w:rsidR="00BD54E9" w:rsidRPr="000C42F3" w:rsidRDefault="00BD54E9" w:rsidP="00F45FF3">
            <w:pPr>
              <w:pStyle w:val="ListParagraph"/>
              <w:numPr>
                <w:ilvl w:val="1"/>
                <w:numId w:val="36"/>
              </w:numPr>
              <w:contextualSpacing w:val="0"/>
            </w:pPr>
            <w:r w:rsidRPr="000C42F3">
              <w:t xml:space="preserve">Name, address, telephone and/or email of </w:t>
            </w:r>
            <w:r w:rsidRPr="000C42F3">
              <w:rPr>
                <w:b/>
                <w:color w:val="365F91" w:themeColor="accent1" w:themeShade="BF"/>
              </w:rPr>
              <w:t>the person sending the report</w:t>
            </w:r>
            <w:r w:rsidRPr="000C42F3">
              <w:rPr>
                <w:color w:val="365F91" w:themeColor="accent1" w:themeShade="BF"/>
              </w:rPr>
              <w:t xml:space="preserve"> </w:t>
            </w:r>
            <w:r w:rsidRPr="000C42F3">
              <w:t>(e.g. the Site PI),</w:t>
            </w:r>
          </w:p>
          <w:p w14:paraId="2E25D098" w14:textId="77777777" w:rsidR="00BD54E9" w:rsidRPr="000C42F3" w:rsidRDefault="00BD54E9" w:rsidP="00F45FF3">
            <w:pPr>
              <w:pStyle w:val="ListParagraph"/>
              <w:numPr>
                <w:ilvl w:val="1"/>
                <w:numId w:val="36"/>
              </w:numPr>
              <w:contextualSpacing w:val="0"/>
            </w:pPr>
            <w:r w:rsidRPr="000C42F3">
              <w:t xml:space="preserve">Nature of the </w:t>
            </w:r>
            <w:r w:rsidRPr="000C42F3">
              <w:rPr>
                <w:b/>
                <w:color w:val="365F91" w:themeColor="accent1" w:themeShade="BF"/>
              </w:rPr>
              <w:t>reportable event</w:t>
            </w:r>
            <w:r w:rsidRPr="000C42F3">
              <w:rPr>
                <w:color w:val="365F91" w:themeColor="accent1" w:themeShade="BF"/>
              </w:rPr>
              <w:t xml:space="preserve"> </w:t>
            </w:r>
            <w:r w:rsidRPr="000C42F3">
              <w:t xml:space="preserve">(e.g. hepatitis, anaphylaxis, pregnancy, overdose) or serious outcome (e.g. death </w:t>
            </w:r>
            <w:proofErr w:type="gramStart"/>
            <w:r w:rsidRPr="000C42F3">
              <w:t>in itself without</w:t>
            </w:r>
            <w:proofErr w:type="gramEnd"/>
            <w:r w:rsidRPr="000C42F3">
              <w:t xml:space="preserve"> further details is reportable), and</w:t>
            </w:r>
          </w:p>
          <w:p w14:paraId="7BC01901" w14:textId="77777777" w:rsidR="00BD54E9" w:rsidRPr="000C42F3" w:rsidRDefault="00BD54E9" w:rsidP="00F45FF3">
            <w:pPr>
              <w:pStyle w:val="ListParagraph"/>
              <w:numPr>
                <w:ilvl w:val="1"/>
                <w:numId w:val="36"/>
              </w:numPr>
              <w:contextualSpacing w:val="0"/>
            </w:pPr>
            <w:r w:rsidRPr="000C42F3">
              <w:rPr>
                <w:b/>
                <w:color w:val="365F91" w:themeColor="accent1" w:themeShade="BF"/>
              </w:rPr>
              <w:t>Treatment regimen</w:t>
            </w:r>
            <w:r w:rsidRPr="000C42F3">
              <w:rPr>
                <w:color w:val="365F91" w:themeColor="accent1" w:themeShade="BF"/>
              </w:rPr>
              <w:t xml:space="preserve"> </w:t>
            </w:r>
            <w:r w:rsidRPr="000C42F3">
              <w:t>the patient has been allocated to.</w:t>
            </w:r>
          </w:p>
          <w:p w14:paraId="138C27A3" w14:textId="77777777" w:rsidR="00BD54E9" w:rsidRPr="000C42F3" w:rsidRDefault="00BD54E9" w:rsidP="00BD54E9">
            <w:pPr>
              <w:pStyle w:val="ListParagraph"/>
              <w:numPr>
                <w:ilvl w:val="0"/>
                <w:numId w:val="18"/>
              </w:numPr>
              <w:ind w:left="851" w:hanging="425"/>
              <w:contextualSpacing w:val="0"/>
            </w:pPr>
            <w:r w:rsidRPr="000C42F3">
              <w:t xml:space="preserve">Notify initial information </w:t>
            </w:r>
            <w:r w:rsidRPr="000C42F3">
              <w:rPr>
                <w:b/>
                <w:color w:val="FF0000"/>
                <w:u w:val="single"/>
              </w:rPr>
              <w:t>within 24 hours of awareness</w:t>
            </w:r>
            <w:r w:rsidRPr="000C42F3">
              <w:rPr>
                <w:color w:val="FF0000"/>
              </w:rPr>
              <w:t xml:space="preserve"> </w:t>
            </w:r>
            <w:r w:rsidRPr="000C42F3">
              <w:t>as follows:</w:t>
            </w:r>
          </w:p>
          <w:p w14:paraId="02D95DD4" w14:textId="0A2B6D45" w:rsidR="00F45FF3" w:rsidRPr="000C42F3" w:rsidRDefault="00F45FF3" w:rsidP="00F45FF3">
            <w:pPr>
              <w:pStyle w:val="ListParagraph"/>
              <w:numPr>
                <w:ilvl w:val="1"/>
                <w:numId w:val="18"/>
              </w:numPr>
              <w:contextualSpacing w:val="0"/>
              <w:rPr>
                <w:sz w:val="24"/>
              </w:rPr>
            </w:pPr>
            <w:r w:rsidRPr="000C42F3">
              <w:rPr>
                <w:rFonts w:cs="Arial"/>
                <w:szCs w:val="20"/>
              </w:rPr>
              <w:t>Complete, sign and transmit an SAE (or Pregnancy) Report Form</w:t>
            </w:r>
            <w:r w:rsidR="00FE14C8" w:rsidRPr="000C42F3">
              <w:rPr>
                <w:rFonts w:cs="Arial"/>
                <w:szCs w:val="20"/>
                <w:vertAlign w:val="superscript"/>
              </w:rPr>
              <w:t>*</w:t>
            </w:r>
            <w:r w:rsidRPr="000C42F3">
              <w:rPr>
                <w:rFonts w:cs="Arial"/>
                <w:szCs w:val="20"/>
              </w:rPr>
              <w:t xml:space="preserve"> together with </w:t>
            </w:r>
            <w:r w:rsidRPr="000C42F3">
              <w:rPr>
                <w:rFonts w:cs="Arial"/>
                <w:b/>
                <w:i/>
                <w:szCs w:val="20"/>
              </w:rPr>
              <w:t>anonymized</w:t>
            </w:r>
            <w:r w:rsidRPr="000C42F3">
              <w:rPr>
                <w:rFonts w:cs="Arial"/>
                <w:szCs w:val="20"/>
              </w:rPr>
              <w:t xml:space="preserve"> copies of relevant lab an</w:t>
            </w:r>
            <w:r w:rsidR="00FE14C8" w:rsidRPr="000C42F3">
              <w:rPr>
                <w:rFonts w:cs="Arial"/>
                <w:szCs w:val="20"/>
              </w:rPr>
              <w:t xml:space="preserve">d other investigations reports </w:t>
            </w:r>
            <w:r w:rsidRPr="000C42F3">
              <w:rPr>
                <w:rFonts w:cs="Arial"/>
                <w:szCs w:val="20"/>
              </w:rPr>
              <w:t>to PV Unit:</w:t>
            </w:r>
          </w:p>
          <w:p w14:paraId="67F137AC" w14:textId="1589741C" w:rsidR="00BD54E9" w:rsidRPr="000C42F3" w:rsidRDefault="00BD54E9" w:rsidP="00BD54E9">
            <w:pPr>
              <w:pStyle w:val="ListParagraph"/>
              <w:numPr>
                <w:ilvl w:val="2"/>
                <w:numId w:val="18"/>
              </w:numPr>
              <w:ind w:hanging="317"/>
              <w:contextualSpacing w:val="0"/>
            </w:pPr>
            <w:r w:rsidRPr="000C42F3">
              <w:rPr>
                <w:b/>
              </w:rPr>
              <w:t>PV unit</w:t>
            </w:r>
            <w:r w:rsidRPr="000C42F3">
              <w:t xml:space="preserve">: </w:t>
            </w:r>
            <w:hyperlink r:id="rId11" w:history="1">
              <w:r w:rsidRPr="000C42F3">
                <w:rPr>
                  <w:rStyle w:val="Hyperlink"/>
                </w:rPr>
                <w:t>PVunit.GVA@geneva.msf.org</w:t>
              </w:r>
            </w:hyperlink>
          </w:p>
          <w:p w14:paraId="7494E620" w14:textId="77777777" w:rsidR="00BD54E9" w:rsidRPr="000C42F3" w:rsidRDefault="00BD54E9" w:rsidP="00BD54E9">
            <w:pPr>
              <w:pStyle w:val="ListParagraph"/>
              <w:numPr>
                <w:ilvl w:val="0"/>
                <w:numId w:val="18"/>
              </w:numPr>
              <w:ind w:left="851" w:hanging="491"/>
              <w:contextualSpacing w:val="0"/>
            </w:pPr>
            <w:r w:rsidRPr="000C42F3">
              <w:t xml:space="preserve">Gather additional information including any missing information from the initial report, and new information such as: event’s outcome, lab results, hospital discharge date, </w:t>
            </w:r>
            <w:r w:rsidR="00FE14C8" w:rsidRPr="000C42F3">
              <w:t xml:space="preserve">final diagnosis, autopsy report, </w:t>
            </w:r>
            <w:r w:rsidRPr="000C42F3">
              <w:t>etc.</w:t>
            </w:r>
          </w:p>
          <w:p w14:paraId="0F4D60CD" w14:textId="77777777" w:rsidR="00BD54E9" w:rsidRPr="000C42F3" w:rsidRDefault="00BD54E9" w:rsidP="00BD54E9">
            <w:pPr>
              <w:pStyle w:val="ListParagraph"/>
              <w:numPr>
                <w:ilvl w:val="0"/>
                <w:numId w:val="18"/>
              </w:numPr>
              <w:ind w:left="851" w:hanging="491"/>
              <w:contextualSpacing w:val="0"/>
            </w:pPr>
            <w:r w:rsidRPr="000C42F3">
              <w:t xml:space="preserve">Notify new information </w:t>
            </w:r>
            <w:r w:rsidRPr="000C42F3">
              <w:rPr>
                <w:b/>
                <w:color w:val="FF0000"/>
                <w:u w:val="single"/>
              </w:rPr>
              <w:t>within 24 hours of new information awareness</w:t>
            </w:r>
            <w:r w:rsidRPr="000C42F3">
              <w:rPr>
                <w:color w:val="FF0000"/>
              </w:rPr>
              <w:t xml:space="preserve"> </w:t>
            </w:r>
            <w:r w:rsidRPr="000C42F3">
              <w:t>as for initial reports:</w:t>
            </w:r>
          </w:p>
          <w:p w14:paraId="26873FA9" w14:textId="7D087B6F" w:rsidR="00BD54E9" w:rsidRPr="000C42F3" w:rsidRDefault="00BD54E9" w:rsidP="00BD54E9">
            <w:pPr>
              <w:pStyle w:val="ListParagraph"/>
              <w:numPr>
                <w:ilvl w:val="1"/>
                <w:numId w:val="18"/>
              </w:numPr>
              <w:contextualSpacing w:val="0"/>
              <w:rPr>
                <w:sz w:val="24"/>
              </w:rPr>
            </w:pPr>
            <w:r w:rsidRPr="000C42F3">
              <w:rPr>
                <w:rFonts w:cs="Arial"/>
                <w:szCs w:val="20"/>
              </w:rPr>
              <w:t>Complete, sign and transmit an SAE (or Pregnancy) Report Form</w:t>
            </w:r>
            <w:r w:rsidR="00FE14C8" w:rsidRPr="000C42F3">
              <w:rPr>
                <w:rFonts w:cs="Arial"/>
                <w:szCs w:val="20"/>
                <w:vertAlign w:val="superscript"/>
              </w:rPr>
              <w:t>*</w:t>
            </w:r>
            <w:r w:rsidRPr="000C42F3">
              <w:rPr>
                <w:rFonts w:cs="Arial"/>
                <w:szCs w:val="20"/>
              </w:rPr>
              <w:t xml:space="preserve"> together with </w:t>
            </w:r>
            <w:r w:rsidRPr="000C42F3">
              <w:rPr>
                <w:rFonts w:cs="Arial"/>
                <w:b/>
                <w:i/>
                <w:szCs w:val="20"/>
              </w:rPr>
              <w:t>anonymized</w:t>
            </w:r>
            <w:r w:rsidRPr="000C42F3">
              <w:rPr>
                <w:rFonts w:cs="Arial"/>
                <w:szCs w:val="20"/>
              </w:rPr>
              <w:t xml:space="preserve"> copies of relevant lab an</w:t>
            </w:r>
            <w:r w:rsidR="00FE14C8" w:rsidRPr="000C42F3">
              <w:rPr>
                <w:rFonts w:cs="Arial"/>
                <w:szCs w:val="20"/>
              </w:rPr>
              <w:t xml:space="preserve">d other investigations reports </w:t>
            </w:r>
            <w:r w:rsidRPr="000C42F3">
              <w:rPr>
                <w:rFonts w:cs="Arial"/>
                <w:szCs w:val="20"/>
              </w:rPr>
              <w:t xml:space="preserve">to PV </w:t>
            </w:r>
            <w:r w:rsidR="00FE14C8" w:rsidRPr="000C42F3">
              <w:rPr>
                <w:rFonts w:cs="Arial"/>
                <w:szCs w:val="20"/>
              </w:rPr>
              <w:t>u</w:t>
            </w:r>
            <w:r w:rsidRPr="000C42F3">
              <w:rPr>
                <w:rFonts w:cs="Arial"/>
                <w:szCs w:val="20"/>
              </w:rPr>
              <w:t>nit:</w:t>
            </w:r>
          </w:p>
          <w:p w14:paraId="2DA21029" w14:textId="5B3A3904" w:rsidR="00BD54E9" w:rsidRPr="000C42F3" w:rsidRDefault="00BD54E9" w:rsidP="00BD54E9">
            <w:pPr>
              <w:pStyle w:val="ListParagraph"/>
              <w:numPr>
                <w:ilvl w:val="2"/>
                <w:numId w:val="23"/>
              </w:numPr>
              <w:ind w:left="2410" w:hanging="567"/>
              <w:contextualSpacing w:val="0"/>
              <w:jc w:val="left"/>
              <w:rPr>
                <w:sz w:val="24"/>
              </w:rPr>
            </w:pPr>
            <w:r w:rsidRPr="000C42F3">
              <w:rPr>
                <w:b/>
              </w:rPr>
              <w:lastRenderedPageBreak/>
              <w:t>PV unit</w:t>
            </w:r>
            <w:r w:rsidRPr="000C42F3">
              <w:t xml:space="preserve">: </w:t>
            </w:r>
            <w:hyperlink r:id="rId12" w:history="1">
              <w:r w:rsidRPr="000C42F3">
                <w:rPr>
                  <w:rStyle w:val="Hyperlink"/>
                </w:rPr>
                <w:t>PVunit.GVA@geneva.msf.org</w:t>
              </w:r>
            </w:hyperlink>
            <w:r w:rsidRPr="000C42F3">
              <w:t xml:space="preserve"> </w:t>
            </w:r>
          </w:p>
          <w:p w14:paraId="2A8D2E18" w14:textId="2110C161" w:rsidR="00BD54E9" w:rsidRPr="000C42F3" w:rsidRDefault="00FE14C8" w:rsidP="009504F5">
            <w:pPr>
              <w:pStyle w:val="ListParagraph"/>
              <w:numPr>
                <w:ilvl w:val="0"/>
                <w:numId w:val="18"/>
              </w:numPr>
              <w:ind w:left="851" w:hanging="491"/>
              <w:contextualSpacing w:val="0"/>
            </w:pPr>
            <w:r w:rsidRPr="000C42F3">
              <w:t>File all original forms, supportive documents, and correspondences in the patient’s medical file before study end. In parallel, the eCRF should be populated with the same information as described in</w:t>
            </w:r>
            <w:r w:rsidR="00F04002" w:rsidRPr="000C42F3">
              <w:t xml:space="preserve"> the endTB </w:t>
            </w:r>
            <w:r w:rsidR="001E4B3B" w:rsidRPr="000C42F3">
              <w:t xml:space="preserve">and endTB-Q </w:t>
            </w:r>
            <w:r w:rsidR="00F04002" w:rsidRPr="000C42F3">
              <w:t>Clinical Trial form</w:t>
            </w:r>
            <w:r w:rsidR="001E4B3B" w:rsidRPr="000C42F3">
              <w:t>s</w:t>
            </w:r>
            <w:r w:rsidR="00F04002" w:rsidRPr="000C42F3">
              <w:t xml:space="preserve"> completion guide</w:t>
            </w:r>
            <w:r w:rsidRPr="000C42F3">
              <w:t>.</w:t>
            </w:r>
          </w:p>
        </w:tc>
      </w:tr>
      <w:tr w:rsidR="007C5962" w14:paraId="1CB2C9A6" w14:textId="77777777" w:rsidTr="00A4182E">
        <w:tc>
          <w:tcPr>
            <w:tcW w:w="5000" w:type="pct"/>
            <w:tcBorders>
              <w:left w:val="nil"/>
              <w:bottom w:val="nil"/>
              <w:right w:val="nil"/>
            </w:tcBorders>
          </w:tcPr>
          <w:p w14:paraId="550ADC50" w14:textId="31A51500" w:rsidR="007C5962" w:rsidRPr="000C42F3" w:rsidRDefault="007C5962" w:rsidP="007C5962">
            <w:pPr>
              <w:spacing w:before="0" w:after="0"/>
            </w:pPr>
            <w:r w:rsidRPr="000C42F3">
              <w:rPr>
                <w:sz w:val="20"/>
              </w:rPr>
              <w:lastRenderedPageBreak/>
              <w:t xml:space="preserve">In the frame of the endTB </w:t>
            </w:r>
            <w:r w:rsidR="0066334D" w:rsidRPr="000C42F3">
              <w:rPr>
                <w:sz w:val="20"/>
              </w:rPr>
              <w:t xml:space="preserve">and endTB-Q </w:t>
            </w:r>
            <w:r w:rsidRPr="000C42F3">
              <w:rPr>
                <w:sz w:val="20"/>
              </w:rPr>
              <w:t>clinical trial</w:t>
            </w:r>
            <w:r w:rsidR="0066334D" w:rsidRPr="000C42F3">
              <w:rPr>
                <w:sz w:val="20"/>
              </w:rPr>
              <w:t>s</w:t>
            </w:r>
            <w:r w:rsidRPr="000C42F3">
              <w:rPr>
                <w:sz w:val="20"/>
              </w:rPr>
              <w:t>, the SAE Report form should be used for all SAEs, but also for non-serious AESI and overdoses (associated or not with AE/SAE). The Pregnancy Report Form should be used for all pregnancies.</w:t>
            </w:r>
          </w:p>
        </w:tc>
      </w:tr>
    </w:tbl>
    <w:p w14:paraId="11EE9DF4" w14:textId="77777777" w:rsidR="00275A5F" w:rsidRDefault="009504F5" w:rsidP="009504F5">
      <w:r>
        <w:t>If, for any reason (e.g. technical issue), the electronic (email) transmission of the information cannot be performed, phone transmission of safety information within 24 hours of awareness is possible</w:t>
      </w:r>
      <w:r w:rsidR="00275A5F">
        <w:t xml:space="preserve"> (+</w:t>
      </w:r>
      <w:r w:rsidR="00275A5F" w:rsidRPr="00275A5F">
        <w:t>41 22 849 89 74</w:t>
      </w:r>
      <w:r w:rsidR="00275A5F">
        <w:t>)</w:t>
      </w:r>
      <w:r>
        <w:t>. This type of transmission is not preferred and should always be promptly followed by a written report.</w:t>
      </w:r>
    </w:p>
    <w:p w14:paraId="0A2E5969" w14:textId="7A8E6E4D" w:rsidR="009504F5" w:rsidRPr="00D01A3D" w:rsidRDefault="009504F5" w:rsidP="001E65A4">
      <w:pPr>
        <w:pStyle w:val="Heading4"/>
      </w:pPr>
      <w:r w:rsidRPr="00D01A3D">
        <w:t xml:space="preserve">Resolution of </w:t>
      </w:r>
      <w:r w:rsidR="00B45582" w:rsidRPr="00D01A3D">
        <w:t xml:space="preserve">pharmacovigilance </w:t>
      </w:r>
      <w:r w:rsidRPr="00D01A3D">
        <w:t>queries</w:t>
      </w:r>
      <w:r w:rsidR="00B45582" w:rsidRPr="00D01A3D">
        <w:t xml:space="preserve"> </w:t>
      </w:r>
    </w:p>
    <w:p w14:paraId="2F28B45D" w14:textId="5528CDA2" w:rsidR="009504F5" w:rsidRDefault="009504F5" w:rsidP="009504F5">
      <w:r>
        <w:t xml:space="preserve">Following expedited reporting of safety information, the </w:t>
      </w:r>
      <w:r w:rsidR="00275A5F">
        <w:t>S</w:t>
      </w:r>
      <w:r>
        <w:t xml:space="preserve">ite </w:t>
      </w:r>
      <w:r w:rsidR="00275A5F">
        <w:t xml:space="preserve">PI </w:t>
      </w:r>
      <w:r>
        <w:t xml:space="preserve">may receive requests for clarification or for additional information from the Sponsor (PV </w:t>
      </w:r>
      <w:r w:rsidR="00B516BA">
        <w:t>u</w:t>
      </w:r>
      <w:r>
        <w:t>nit). All efforts are made on the Sponsor side to combine such requests as a single query and allocate a reasonable timeline for answering.</w:t>
      </w:r>
    </w:p>
    <w:p w14:paraId="479C157F" w14:textId="77777777" w:rsidR="009504F5" w:rsidRDefault="009504F5" w:rsidP="009504F5">
      <w:r>
        <w:t>Generally, priority requests should be addressed as soon as possible and not later than 24 hours after receipt of the query(</w:t>
      </w:r>
      <w:proofErr w:type="spellStart"/>
      <w:r>
        <w:t>ies</w:t>
      </w:r>
      <w:proofErr w:type="spellEnd"/>
      <w:r>
        <w:t xml:space="preserve">) at the </w:t>
      </w:r>
      <w:r w:rsidR="00665693">
        <w:t>s</w:t>
      </w:r>
      <w:r>
        <w:t>ite. The</w:t>
      </w:r>
      <w:r w:rsidR="00665693">
        <w:t xml:space="preserve"> </w:t>
      </w:r>
      <w:r w:rsidR="00665693" w:rsidRPr="00E05BE0">
        <w:t>Site</w:t>
      </w:r>
      <w:r w:rsidRPr="00E05BE0">
        <w:t xml:space="preserve"> PI, with the support of the </w:t>
      </w:r>
      <w:r w:rsidR="00446D73">
        <w:t>SSC</w:t>
      </w:r>
      <w:r w:rsidRPr="00E05BE0">
        <w:t>, is responsible to timely answer with the appropriate level of details (if available).</w:t>
      </w:r>
    </w:p>
    <w:p w14:paraId="49F18E71" w14:textId="77777777" w:rsidR="009504F5" w:rsidRDefault="009504F5" w:rsidP="009504F5">
      <w:r>
        <w:t>All documents must be anonymised before being forwarded to the Sponsor.</w:t>
      </w:r>
    </w:p>
    <w:p w14:paraId="52F24EB4" w14:textId="77777777" w:rsidR="009504F5" w:rsidRPr="00D01A3D" w:rsidRDefault="009504F5" w:rsidP="001E65A4">
      <w:pPr>
        <w:pStyle w:val="Heading3"/>
      </w:pPr>
      <w:bookmarkStart w:id="29" w:name="_Toc180755788"/>
      <w:r w:rsidRPr="00D01A3D">
        <w:t>Safety Reporting to Ethics Committees and National Regulatory Authorities</w:t>
      </w:r>
      <w:bookmarkEnd w:id="29"/>
    </w:p>
    <w:p w14:paraId="34C23E6F" w14:textId="77777777" w:rsidR="009504F5" w:rsidRPr="00D01A3D" w:rsidRDefault="009504F5" w:rsidP="001E65A4">
      <w:pPr>
        <w:pStyle w:val="Heading4"/>
      </w:pPr>
      <w:r w:rsidRPr="00D01A3D">
        <w:t>Suspected Unexpected Serious Adverse Reaction (SUSAR) Reports</w:t>
      </w:r>
    </w:p>
    <w:p w14:paraId="1AE20982" w14:textId="45B06FE5" w:rsidR="009504F5" w:rsidRDefault="009504F5" w:rsidP="009504F5">
      <w:r>
        <w:t xml:space="preserve">The adverse events that are deemed related to at least one </w:t>
      </w:r>
      <w:r w:rsidR="00DC6ABE">
        <w:t>IMP</w:t>
      </w:r>
      <w:r>
        <w:t xml:space="preserve"> and that are both serious and unexpected (referred as SUSARs for Suspected Unexpected Serious Adverse Reactions) are </w:t>
      </w:r>
      <w:r w:rsidR="00792B3B">
        <w:t xml:space="preserve">generally </w:t>
      </w:r>
      <w:r>
        <w:t>subject to expedited reporting to the National Regulatory Authorities (NRA) and local Ethics Committees (EC)</w:t>
      </w:r>
      <w:r w:rsidR="005D106E">
        <w:t xml:space="preserve"> - unless prescribed otherwise in the local regulations</w:t>
      </w:r>
      <w:r>
        <w:t>.</w:t>
      </w:r>
    </w:p>
    <w:p w14:paraId="6C938A41" w14:textId="77777777" w:rsidR="009504F5" w:rsidRPr="00E05BE0" w:rsidRDefault="009504F5" w:rsidP="009504F5">
      <w:r>
        <w:t xml:space="preserve">The PV </w:t>
      </w:r>
      <w:r w:rsidR="00DC6ABE">
        <w:t>u</w:t>
      </w:r>
      <w:r>
        <w:t>nit is resp</w:t>
      </w:r>
      <w:r w:rsidR="00DC6ABE">
        <w:t>onsible for providing the Site</w:t>
      </w:r>
      <w:r>
        <w:t xml:space="preserve"> PI with final submission-ready SUSAR reports (in English and as CIOMS I forms by default), </w:t>
      </w:r>
      <w:r w:rsidRPr="00E05BE0">
        <w:t xml:space="preserve">and clearly </w:t>
      </w:r>
      <w:r w:rsidR="00DC6ABE" w:rsidRPr="00E05BE0">
        <w:t>mentioning</w:t>
      </w:r>
      <w:r w:rsidRPr="00E05BE0">
        <w:t xml:space="preserve"> the deadline for reporting.</w:t>
      </w:r>
    </w:p>
    <w:p w14:paraId="732BCB22" w14:textId="35651435" w:rsidR="00DC6ABE" w:rsidRDefault="009504F5" w:rsidP="009504F5">
      <w:r w:rsidRPr="00E05BE0">
        <w:t>Upon receipt</w:t>
      </w:r>
      <w:r w:rsidR="00DC6ABE" w:rsidRPr="00E05BE0">
        <w:t xml:space="preserve"> of the CIOMS form</w:t>
      </w:r>
      <w:r w:rsidRPr="00E05BE0">
        <w:t xml:space="preserve">, the </w:t>
      </w:r>
      <w:r w:rsidR="00DC6ABE" w:rsidRPr="00E05BE0">
        <w:t xml:space="preserve">Site </w:t>
      </w:r>
      <w:r w:rsidRPr="00E05BE0">
        <w:t xml:space="preserve">PI (with the support of the </w:t>
      </w:r>
      <w:r w:rsidR="00446D73">
        <w:t>SSC</w:t>
      </w:r>
      <w:r w:rsidRPr="00E05BE0">
        <w:t>) is responsible</w:t>
      </w:r>
      <w:r>
        <w:t xml:space="preserve"> for translating SUSAR reports </w:t>
      </w:r>
      <w:r w:rsidR="00DC6ABE">
        <w:t xml:space="preserve">(if applicable) </w:t>
      </w:r>
      <w:r>
        <w:t xml:space="preserve">and forwarding them </w:t>
      </w:r>
      <w:r w:rsidR="00DC6ABE">
        <w:t>to the local EC and to the NRA.</w:t>
      </w:r>
    </w:p>
    <w:p w14:paraId="721CCA5D" w14:textId="77777777" w:rsidR="009504F5" w:rsidRDefault="009504F5" w:rsidP="009504F5">
      <w:r>
        <w:t>Timelines for reporting are as follows:</w:t>
      </w:r>
    </w:p>
    <w:p w14:paraId="558C4B18" w14:textId="77777777" w:rsidR="009504F5" w:rsidRDefault="009504F5" w:rsidP="00E05BE0">
      <w:pPr>
        <w:pStyle w:val="ListParagraph"/>
        <w:numPr>
          <w:ilvl w:val="1"/>
          <w:numId w:val="23"/>
        </w:numPr>
        <w:ind w:left="567" w:hanging="283"/>
        <w:contextualSpacing w:val="0"/>
      </w:pPr>
      <w:r w:rsidRPr="00E05BE0">
        <w:rPr>
          <w:b/>
        </w:rPr>
        <w:t>Fatal</w:t>
      </w:r>
      <w:r>
        <w:t xml:space="preserve"> </w:t>
      </w:r>
      <w:r w:rsidRPr="00E05BE0">
        <w:rPr>
          <w:b/>
        </w:rPr>
        <w:t xml:space="preserve">or life-threatening SUSAR </w:t>
      </w:r>
      <w:r>
        <w:t xml:space="preserve">must be reported within </w:t>
      </w:r>
      <w:r w:rsidRPr="00E05BE0">
        <w:rPr>
          <w:b/>
        </w:rPr>
        <w:t xml:space="preserve">7 </w:t>
      </w:r>
      <w:r w:rsidR="00E05BE0">
        <w:rPr>
          <w:b/>
        </w:rPr>
        <w:t xml:space="preserve">calendar </w:t>
      </w:r>
      <w:r w:rsidRPr="00E05BE0">
        <w:rPr>
          <w:b/>
        </w:rPr>
        <w:t>days</w:t>
      </w:r>
      <w:r>
        <w:t xml:space="preserve"> after first knowledge of the case,</w:t>
      </w:r>
    </w:p>
    <w:p w14:paraId="0229B48F" w14:textId="77777777" w:rsidR="009504F5" w:rsidRDefault="009504F5" w:rsidP="00E05BE0">
      <w:pPr>
        <w:pStyle w:val="ListParagraph"/>
        <w:numPr>
          <w:ilvl w:val="1"/>
          <w:numId w:val="23"/>
        </w:numPr>
        <w:ind w:left="567" w:hanging="283"/>
        <w:contextualSpacing w:val="0"/>
      </w:pPr>
      <w:r w:rsidRPr="00E05BE0">
        <w:rPr>
          <w:b/>
        </w:rPr>
        <w:t>Non-fatal and non-life-threatening SUSAR</w:t>
      </w:r>
      <w:r>
        <w:t xml:space="preserve"> must be reported within </w:t>
      </w:r>
      <w:r w:rsidRPr="00E05BE0">
        <w:rPr>
          <w:b/>
        </w:rPr>
        <w:t xml:space="preserve">15 </w:t>
      </w:r>
      <w:r w:rsidR="00E05BE0" w:rsidRPr="00E05BE0">
        <w:rPr>
          <w:b/>
        </w:rPr>
        <w:t xml:space="preserve">calendar </w:t>
      </w:r>
      <w:r w:rsidRPr="00E05BE0">
        <w:rPr>
          <w:b/>
        </w:rPr>
        <w:t>days</w:t>
      </w:r>
      <w:r>
        <w:t xml:space="preserve"> after first knowledge of the case.</w:t>
      </w:r>
    </w:p>
    <w:p w14:paraId="15008773" w14:textId="77777777" w:rsidR="00DC6ABE" w:rsidRDefault="009504F5" w:rsidP="009504F5">
      <w:r>
        <w:t xml:space="preserve">The PV </w:t>
      </w:r>
      <w:r w:rsidR="00DC6ABE">
        <w:t>u</w:t>
      </w:r>
      <w:r>
        <w:t xml:space="preserve">nit calculates and communicates the deadline for each </w:t>
      </w:r>
      <w:proofErr w:type="gramStart"/>
      <w:r>
        <w:t>report, and</w:t>
      </w:r>
      <w:proofErr w:type="gramEnd"/>
      <w:r>
        <w:t xml:space="preserve"> transmits the report to the </w:t>
      </w:r>
      <w:r w:rsidR="00DC6ABE">
        <w:t>s</w:t>
      </w:r>
      <w:r>
        <w:t>ite within a timeframe allowing for translation and reporting to EC and NRA</w:t>
      </w:r>
      <w:r w:rsidR="00A641B3">
        <w:t xml:space="preserve"> (within 4 and 9 calendar days </w:t>
      </w:r>
      <w:r w:rsidR="00A641B3">
        <w:lastRenderedPageBreak/>
        <w:t>from 1</w:t>
      </w:r>
      <w:r w:rsidR="00A641B3" w:rsidRPr="00A641B3">
        <w:rPr>
          <w:vertAlign w:val="superscript"/>
        </w:rPr>
        <w:t>st</w:t>
      </w:r>
      <w:r w:rsidR="00A641B3">
        <w:t xml:space="preserve"> receipt)</w:t>
      </w:r>
      <w:r>
        <w:t xml:space="preserve">. </w:t>
      </w:r>
      <w:r w:rsidRPr="00A641B3">
        <w:t xml:space="preserve">The </w:t>
      </w:r>
      <w:r w:rsidR="00446D73">
        <w:t>SSC</w:t>
      </w:r>
      <w:r w:rsidRPr="00A641B3">
        <w:t xml:space="preserve"> is responsible to track and document receipt acknowledgments from each recipient and transmit those to the PV </w:t>
      </w:r>
      <w:r w:rsidR="00DC6ABE" w:rsidRPr="00A641B3">
        <w:t>u</w:t>
      </w:r>
      <w:r w:rsidRPr="00A641B3">
        <w:t>nit.</w:t>
      </w:r>
    </w:p>
    <w:p w14:paraId="505914C8" w14:textId="77777777" w:rsidR="00803921" w:rsidRDefault="00803921" w:rsidP="009504F5">
      <w:r>
        <w:t>If additional individual case safety reports are requested by NRAs/ECs (e.g. all SAEs), the same process applies.</w:t>
      </w:r>
    </w:p>
    <w:p w14:paraId="00980C0A" w14:textId="4DE72513" w:rsidR="00303351" w:rsidRDefault="00303351" w:rsidP="009504F5">
      <w:r>
        <w:t>Reporting for each country including recipients, local format/language and timelines is detailed in a Reporting guideline.</w:t>
      </w:r>
    </w:p>
    <w:p w14:paraId="047F0A83" w14:textId="77777777" w:rsidR="009504F5" w:rsidRPr="00D01A3D" w:rsidRDefault="009504F5" w:rsidP="001E65A4">
      <w:pPr>
        <w:pStyle w:val="Heading4"/>
      </w:pPr>
      <w:r w:rsidRPr="00D01A3D">
        <w:t>Annual Safety Reports (ASR)</w:t>
      </w:r>
    </w:p>
    <w:p w14:paraId="18C2EC81" w14:textId="77777777" w:rsidR="00DC6ABE" w:rsidRPr="00A641B3" w:rsidRDefault="009504F5" w:rsidP="009504F5">
      <w:r>
        <w:t xml:space="preserve">Annually, </w:t>
      </w:r>
      <w:r w:rsidRPr="00A641B3">
        <w:t xml:space="preserve">a progress safety report </w:t>
      </w:r>
      <w:r w:rsidR="00DC6ABE" w:rsidRPr="00A641B3">
        <w:t xml:space="preserve">(in English and in an internationally accepted format) </w:t>
      </w:r>
      <w:r w:rsidRPr="00A641B3">
        <w:t xml:space="preserve">is issued by the PV </w:t>
      </w:r>
      <w:r w:rsidR="00DC6ABE" w:rsidRPr="00A641B3">
        <w:t>u</w:t>
      </w:r>
      <w:r w:rsidRPr="00A641B3">
        <w:t xml:space="preserve">nit for reporting to EC/NRA as appropriate. </w:t>
      </w:r>
    </w:p>
    <w:p w14:paraId="08F7CB16" w14:textId="77777777" w:rsidR="00DC6ABE" w:rsidRDefault="009504F5" w:rsidP="009504F5">
      <w:r w:rsidRPr="00A641B3">
        <w:t xml:space="preserve">The </w:t>
      </w:r>
      <w:r w:rsidR="00DC6ABE" w:rsidRPr="00A641B3">
        <w:t xml:space="preserve">Site </w:t>
      </w:r>
      <w:r w:rsidRPr="00A641B3">
        <w:t xml:space="preserve">PI (with support from the </w:t>
      </w:r>
      <w:r w:rsidR="00446D73">
        <w:t>SSC</w:t>
      </w:r>
      <w:r w:rsidRPr="00A641B3">
        <w:t xml:space="preserve">) is responsible to ensure proper translation into local language(s) </w:t>
      </w:r>
      <w:r w:rsidR="00DC6ABE" w:rsidRPr="00A641B3">
        <w:t xml:space="preserve">(if applicable) </w:t>
      </w:r>
      <w:r w:rsidRPr="00A641B3">
        <w:t>and transmission of the ASR to local</w:t>
      </w:r>
      <w:r>
        <w:t xml:space="preserve"> EC and NRA. </w:t>
      </w:r>
    </w:p>
    <w:p w14:paraId="2536C3A4" w14:textId="77777777" w:rsidR="009504F5" w:rsidRDefault="009504F5" w:rsidP="009504F5">
      <w:r>
        <w:t xml:space="preserve">The PV </w:t>
      </w:r>
      <w:r w:rsidR="00DC6ABE">
        <w:t>u</w:t>
      </w:r>
      <w:r>
        <w:t>nit calculates and communicates the deadline for the ASR</w:t>
      </w:r>
      <w:r w:rsidR="00DC6ABE">
        <w:t xml:space="preserve"> </w:t>
      </w:r>
      <w:proofErr w:type="gramStart"/>
      <w:r w:rsidR="00DC6ABE">
        <w:t>submission</w:t>
      </w:r>
      <w:r>
        <w:t>, and</w:t>
      </w:r>
      <w:proofErr w:type="gramEnd"/>
      <w:r>
        <w:t xml:space="preserve"> transmits the report in an acceptable format and within a timeframe allowing for translation and reporting to local EC and NRA. </w:t>
      </w:r>
      <w:r w:rsidRPr="00803921">
        <w:t xml:space="preserve">The </w:t>
      </w:r>
      <w:r w:rsidR="00446D73">
        <w:t>SSC</w:t>
      </w:r>
      <w:r w:rsidRPr="00803921">
        <w:t xml:space="preserve"> is responsible to track and document receipt acknowledgments from each recipient and transmit those to the PV </w:t>
      </w:r>
      <w:r w:rsidR="00DC6ABE" w:rsidRPr="00803921">
        <w:t>u</w:t>
      </w:r>
      <w:r w:rsidRPr="00803921">
        <w:t>nit.</w:t>
      </w:r>
    </w:p>
    <w:p w14:paraId="40FC2A58" w14:textId="77777777" w:rsidR="00803921" w:rsidRDefault="00803921" w:rsidP="00803921">
      <w:r>
        <w:t>If more frequent periodic safety reports are requested by NRAs/ECs (e.g. every 6 months), the same process applies.</w:t>
      </w:r>
    </w:p>
    <w:p w14:paraId="0CA5534B" w14:textId="77777777" w:rsidR="003E410E" w:rsidRDefault="00303351" w:rsidP="003E410E">
      <w:r>
        <w:t>Reporting for each country including recipients, local format/language and timelines is detailed in a Reporting guideline.</w:t>
      </w:r>
    </w:p>
    <w:p w14:paraId="24F13B8D" w14:textId="171F4D8E" w:rsidR="009504F5" w:rsidRPr="00D01A3D" w:rsidRDefault="00052147" w:rsidP="001E65A4">
      <w:pPr>
        <w:pStyle w:val="Heading4"/>
      </w:pPr>
      <w:r w:rsidRPr="00D01A3D">
        <w:t>Data &amp; Safety Monitoring Board (</w:t>
      </w:r>
      <w:r w:rsidR="009504F5" w:rsidRPr="00D01A3D">
        <w:t>DSMB</w:t>
      </w:r>
      <w:r w:rsidRPr="00D01A3D">
        <w:t>)</w:t>
      </w:r>
      <w:r w:rsidR="009504F5" w:rsidRPr="00D01A3D">
        <w:t xml:space="preserve"> </w:t>
      </w:r>
      <w:r w:rsidR="003E410E">
        <w:t xml:space="preserve">Conclusion </w:t>
      </w:r>
      <w:r w:rsidR="009504F5" w:rsidRPr="00D01A3D">
        <w:t>Reports</w:t>
      </w:r>
    </w:p>
    <w:p w14:paraId="558651EF" w14:textId="174946E4" w:rsidR="009504F5" w:rsidRDefault="003E410E" w:rsidP="009504F5">
      <w:r>
        <w:t>When DSMB meeting minutes are available</w:t>
      </w:r>
      <w:r w:rsidR="00052147">
        <w:t>, t</w:t>
      </w:r>
      <w:r w:rsidR="009504F5">
        <w:t xml:space="preserve">he </w:t>
      </w:r>
      <w:r w:rsidR="00052147">
        <w:t xml:space="preserve">PV unit </w:t>
      </w:r>
      <w:r>
        <w:t xml:space="preserve">prepares </w:t>
      </w:r>
      <w:r w:rsidR="00BD5732">
        <w:t xml:space="preserve">within 1 week of receipt of the minutes </w:t>
      </w:r>
      <w:r>
        <w:t xml:space="preserve">a </w:t>
      </w:r>
      <w:r w:rsidR="009504F5">
        <w:t xml:space="preserve">DSMB </w:t>
      </w:r>
      <w:r w:rsidR="00354662">
        <w:t xml:space="preserve">conclusion </w:t>
      </w:r>
      <w:r w:rsidR="009504F5">
        <w:t>reports in a</w:t>
      </w:r>
      <w:r>
        <w:t xml:space="preserve"> </w:t>
      </w:r>
      <w:r w:rsidR="00743B87">
        <w:t>dedicated</w:t>
      </w:r>
      <w:r>
        <w:t xml:space="preserve"> </w:t>
      </w:r>
      <w:r w:rsidR="009504F5">
        <w:t>format and within a timeframe allowing for translation and reporting</w:t>
      </w:r>
      <w:r>
        <w:t>, as applicable,</w:t>
      </w:r>
      <w:r w:rsidR="009504F5">
        <w:t xml:space="preserve"> </w:t>
      </w:r>
      <w:r w:rsidR="009504F5" w:rsidRPr="00803921">
        <w:t>to local EC and NRA by the</w:t>
      </w:r>
      <w:r w:rsidR="00052147" w:rsidRPr="00803921">
        <w:t xml:space="preserve"> Site</w:t>
      </w:r>
      <w:r w:rsidR="009504F5" w:rsidRPr="00803921">
        <w:t xml:space="preserve"> PI (with support from the </w:t>
      </w:r>
      <w:r w:rsidR="00446D73">
        <w:t>SSC</w:t>
      </w:r>
      <w:r w:rsidR="009504F5" w:rsidRPr="00803921">
        <w:t xml:space="preserve">). The </w:t>
      </w:r>
      <w:r w:rsidR="00446D73">
        <w:t>SSC</w:t>
      </w:r>
      <w:r w:rsidR="009504F5" w:rsidRPr="00803921">
        <w:t xml:space="preserve"> is responsible to</w:t>
      </w:r>
      <w:r w:rsidR="009504F5">
        <w:t xml:space="preserve"> track and document receipt acknowledgments from each recipient and transmit those to the </w:t>
      </w:r>
      <w:r w:rsidR="00052147">
        <w:t>PV unit</w:t>
      </w:r>
      <w:r w:rsidR="009504F5">
        <w:t>.</w:t>
      </w:r>
    </w:p>
    <w:p w14:paraId="52C2FEF0" w14:textId="1E070A24" w:rsidR="00BD5732" w:rsidRDefault="00BD5732" w:rsidP="009504F5">
      <w:r>
        <w:t>In the absence of a requested reporting time frame per local EC/NRA, the report shall be submitted within 1 month from the date of finalization of the DSMB meeting minutes.</w:t>
      </w:r>
    </w:p>
    <w:p w14:paraId="74598950" w14:textId="4FF76CD1" w:rsidR="00303351" w:rsidRDefault="00303351" w:rsidP="009504F5">
      <w:r>
        <w:t>Reporting for each country including recipients, local format/language and timelines is detailed in a Reporting guideline.</w:t>
      </w:r>
    </w:p>
    <w:p w14:paraId="1D022321" w14:textId="77777777" w:rsidR="009504F5" w:rsidRPr="00D01A3D" w:rsidRDefault="009504F5" w:rsidP="001E65A4">
      <w:pPr>
        <w:pStyle w:val="Heading4"/>
      </w:pPr>
      <w:r w:rsidRPr="00D01A3D">
        <w:t>Answer to safety requests from Ethics Committees and National Regulatory Authorities</w:t>
      </w:r>
    </w:p>
    <w:p w14:paraId="760A72A4" w14:textId="77777777" w:rsidR="00192295" w:rsidRPr="00192295" w:rsidRDefault="009504F5" w:rsidP="00192295">
      <w:pPr>
        <w:jc w:val="left"/>
        <w:rPr>
          <w:sz w:val="24"/>
        </w:rPr>
      </w:pPr>
      <w:r>
        <w:t>In case of requests for safety information from EC or NRA directly received at the Site, the</w:t>
      </w:r>
      <w:r w:rsidR="00192295">
        <w:t xml:space="preserve"> Site</w:t>
      </w:r>
      <w:r>
        <w:t xml:space="preserve"> PI (with the support from the</w:t>
      </w:r>
      <w:r w:rsidR="00192295">
        <w:t xml:space="preserve"> </w:t>
      </w:r>
      <w:r w:rsidR="00446D73">
        <w:t>SSC</w:t>
      </w:r>
      <w:r>
        <w:t xml:space="preserve">) should transmit those </w:t>
      </w:r>
      <w:r w:rsidR="00192295" w:rsidRPr="00803921">
        <w:rPr>
          <w:b/>
          <w:u w:val="single"/>
        </w:rPr>
        <w:t>within 24 hours of receipt</w:t>
      </w:r>
      <w:r w:rsidR="00192295">
        <w:t xml:space="preserve"> to:</w:t>
      </w:r>
      <w:r w:rsidR="00192295" w:rsidRPr="00192295">
        <w:rPr>
          <w:b/>
        </w:rPr>
        <w:t xml:space="preserve"> </w:t>
      </w:r>
    </w:p>
    <w:p w14:paraId="09DCECA0" w14:textId="77777777" w:rsidR="00192295" w:rsidRPr="001549F5" w:rsidRDefault="00192295" w:rsidP="00803921">
      <w:pPr>
        <w:pStyle w:val="ListParagraph"/>
        <w:numPr>
          <w:ilvl w:val="2"/>
          <w:numId w:val="23"/>
        </w:numPr>
        <w:ind w:left="1276" w:hanging="709"/>
        <w:contextualSpacing w:val="0"/>
        <w:jc w:val="left"/>
        <w:rPr>
          <w:sz w:val="24"/>
        </w:rPr>
      </w:pPr>
      <w:r w:rsidRPr="00275A5F">
        <w:rPr>
          <w:b/>
        </w:rPr>
        <w:t>PV unit</w:t>
      </w:r>
      <w:r>
        <w:t xml:space="preserve">: </w:t>
      </w:r>
      <w:hyperlink r:id="rId13" w:history="1">
        <w:r w:rsidRPr="00723EBC">
          <w:rPr>
            <w:rStyle w:val="Hyperlink"/>
          </w:rPr>
          <w:t>PVunit.GVA@geneva.msf.org</w:t>
        </w:r>
      </w:hyperlink>
      <w:r>
        <w:t xml:space="preserve">; </w:t>
      </w:r>
    </w:p>
    <w:p w14:paraId="7B6E7117" w14:textId="0AF92489" w:rsidR="00192295" w:rsidRPr="001549F5" w:rsidRDefault="00192295" w:rsidP="00803921">
      <w:pPr>
        <w:pStyle w:val="ListParagraph"/>
        <w:numPr>
          <w:ilvl w:val="2"/>
          <w:numId w:val="23"/>
        </w:numPr>
        <w:ind w:left="1276" w:hanging="709"/>
        <w:contextualSpacing w:val="0"/>
        <w:jc w:val="left"/>
        <w:rPr>
          <w:sz w:val="24"/>
        </w:rPr>
      </w:pPr>
      <w:r w:rsidRPr="00275A5F">
        <w:rPr>
          <w:b/>
        </w:rPr>
        <w:t xml:space="preserve">Central Study </w:t>
      </w:r>
      <w:r w:rsidR="00DB6872" w:rsidRPr="00275A5F">
        <w:rPr>
          <w:b/>
        </w:rPr>
        <w:t>PI</w:t>
      </w:r>
      <w:r w:rsidR="00DB6872">
        <w:rPr>
          <w:b/>
        </w:rPr>
        <w:t xml:space="preserve"> and Clinical PI</w:t>
      </w:r>
      <w:r>
        <w:t xml:space="preserve">: </w:t>
      </w:r>
      <w:hyperlink r:id="rId14" w:history="1">
        <w:r w:rsidR="00775BAB" w:rsidRPr="00775BAB">
          <w:rPr>
            <w:rStyle w:val="Hyperlink"/>
          </w:rPr>
          <w:t>lorenzo</w:t>
        </w:r>
        <w:r w:rsidR="00775BAB" w:rsidRPr="003237F1">
          <w:rPr>
            <w:rStyle w:val="Hyperlink"/>
          </w:rPr>
          <w:t>.guglielmetti@paris.msf.org</w:t>
        </w:r>
      </w:hyperlink>
      <w:r>
        <w:t xml:space="preserve">; </w:t>
      </w:r>
      <w:hyperlink r:id="rId15" w:history="1">
        <w:r w:rsidRPr="00723EBC">
          <w:rPr>
            <w:rStyle w:val="Hyperlink"/>
          </w:rPr>
          <w:t>mrich@pih.org</w:t>
        </w:r>
      </w:hyperlink>
    </w:p>
    <w:p w14:paraId="56F57DAF" w14:textId="77777777" w:rsidR="009504F5" w:rsidRDefault="00803921" w:rsidP="009504F5">
      <w:r>
        <w:lastRenderedPageBreak/>
        <w:t>Immediate abbreviated communication is acceptable, if p</w:t>
      </w:r>
      <w:r w:rsidR="009504F5">
        <w:t xml:space="preserve">roper </w:t>
      </w:r>
      <w:r>
        <w:t xml:space="preserve">full request </w:t>
      </w:r>
      <w:r w:rsidR="009504F5">
        <w:t xml:space="preserve">translation can be </w:t>
      </w:r>
      <w:r w:rsidR="00821334">
        <w:t>transmitted</w:t>
      </w:r>
      <w:r w:rsidR="009504F5">
        <w:t xml:space="preserve"> afterwards.</w:t>
      </w:r>
    </w:p>
    <w:p w14:paraId="22E38602" w14:textId="47AD80A8" w:rsidR="009504F5" w:rsidRDefault="009504F5" w:rsidP="009504F5">
      <w:r>
        <w:t xml:space="preserve">The </w:t>
      </w:r>
      <w:r w:rsidR="006507C6" w:rsidRPr="006507C6">
        <w:t>Central</w:t>
      </w:r>
      <w:r w:rsidR="00354662">
        <w:t>/Clinical</w:t>
      </w:r>
      <w:r w:rsidR="006507C6" w:rsidRPr="006507C6">
        <w:t xml:space="preserve"> Study PIs</w:t>
      </w:r>
      <w:r w:rsidR="00B812C0">
        <w:t xml:space="preserve">, the </w:t>
      </w:r>
      <w:r w:rsidR="00AA2180">
        <w:t xml:space="preserve">Clinical Trial </w:t>
      </w:r>
      <w:r w:rsidR="00B812C0">
        <w:t>Manager</w:t>
      </w:r>
      <w:r w:rsidR="00354662">
        <w:t xml:space="preserve"> or the </w:t>
      </w:r>
      <w:r w:rsidR="00354662" w:rsidRPr="00354662">
        <w:t>Central Study coordinator</w:t>
      </w:r>
      <w:r w:rsidR="00B812C0">
        <w:t xml:space="preserve">, </w:t>
      </w:r>
      <w:r w:rsidR="00B812C0" w:rsidRPr="006507C6">
        <w:t>and</w:t>
      </w:r>
      <w:r>
        <w:t xml:space="preserve"> the PV </w:t>
      </w:r>
      <w:r w:rsidR="006507C6">
        <w:t>u</w:t>
      </w:r>
      <w:r>
        <w:t>nit are responsible to prepare a response with the collaboration of the</w:t>
      </w:r>
      <w:r w:rsidR="00D51AC7">
        <w:t xml:space="preserve"> Site</w:t>
      </w:r>
      <w:r>
        <w:t xml:space="preserve"> PI and the </w:t>
      </w:r>
      <w:r w:rsidR="00446D73">
        <w:t>SSC</w:t>
      </w:r>
      <w:r>
        <w:t xml:space="preserve">. The </w:t>
      </w:r>
      <w:r w:rsidR="00446D73">
        <w:t>SSC</w:t>
      </w:r>
      <w:r>
        <w:t xml:space="preserve"> should organize translation into national language as appropriate and submit the response within the applicable timeframe requested by EC/NRA. The </w:t>
      </w:r>
      <w:r w:rsidR="00446D73">
        <w:t>SSC</w:t>
      </w:r>
      <w:r>
        <w:t xml:space="preserve"> is responsible to track and document receipt acknowledgments from each recipient and transmit those to the PV </w:t>
      </w:r>
      <w:r w:rsidR="00D51AC7">
        <w:t>u</w:t>
      </w:r>
      <w:r>
        <w:t>nit</w:t>
      </w:r>
      <w:r w:rsidR="00B812C0">
        <w:t xml:space="preserve">, the </w:t>
      </w:r>
      <w:r w:rsidR="00AA2180">
        <w:t>Clinical Trial</w:t>
      </w:r>
      <w:r w:rsidR="00AA2180" w:rsidDel="00AA2180">
        <w:t xml:space="preserve"> </w:t>
      </w:r>
      <w:r w:rsidR="00B812C0">
        <w:t>Manager</w:t>
      </w:r>
      <w:r w:rsidR="000F1386">
        <w:t xml:space="preserve"> or the </w:t>
      </w:r>
      <w:r w:rsidR="000F1386" w:rsidRPr="00354662">
        <w:t>Central Study coordinator</w:t>
      </w:r>
      <w:r w:rsidR="00B812C0">
        <w:t>,</w:t>
      </w:r>
      <w:r>
        <w:t xml:space="preserve"> and the </w:t>
      </w:r>
      <w:r w:rsidR="00D51AC7" w:rsidRPr="006507C6">
        <w:t>Central</w:t>
      </w:r>
      <w:r w:rsidR="00AD4975">
        <w:t>/Clinical</w:t>
      </w:r>
      <w:r w:rsidR="00D51AC7" w:rsidRPr="006507C6">
        <w:t xml:space="preserve"> Study PIs</w:t>
      </w:r>
      <w:r>
        <w:t>.</w:t>
      </w:r>
    </w:p>
    <w:p w14:paraId="0D98AFA1" w14:textId="77777777" w:rsidR="009504F5" w:rsidRPr="00D01A3D" w:rsidRDefault="009504F5" w:rsidP="001E65A4">
      <w:pPr>
        <w:pStyle w:val="Heading3"/>
      </w:pPr>
      <w:bookmarkStart w:id="30" w:name="_Toc180755789"/>
      <w:r w:rsidRPr="00D01A3D">
        <w:t>Urgent Safety Measures</w:t>
      </w:r>
      <w:bookmarkEnd w:id="30"/>
    </w:p>
    <w:p w14:paraId="3596701B" w14:textId="570F8D93" w:rsidR="009504F5" w:rsidRDefault="009504F5" w:rsidP="009504F5">
      <w:r>
        <w:t>Any urgent action undertaken by the</w:t>
      </w:r>
      <w:r w:rsidR="00D51AC7">
        <w:t xml:space="preserve"> Site </w:t>
      </w:r>
      <w:r>
        <w:t>PI/Co-</w:t>
      </w:r>
      <w:r w:rsidR="00D51AC7">
        <w:t>I</w:t>
      </w:r>
      <w:r>
        <w:t xml:space="preserve">nvestigators or deemed necessary by the Sponsor </w:t>
      </w:r>
      <w:proofErr w:type="gramStart"/>
      <w:r>
        <w:t>in order to</w:t>
      </w:r>
      <w:proofErr w:type="gramEnd"/>
      <w:r>
        <w:t xml:space="preserve"> protect the patients against a significant safety issue altering study treatment risk/benefit should be communicated immediately between the </w:t>
      </w:r>
      <w:r w:rsidR="00D51AC7">
        <w:t>s</w:t>
      </w:r>
      <w:r>
        <w:t>ites (</w:t>
      </w:r>
      <w:r w:rsidR="00D51AC7">
        <w:t xml:space="preserve">Site </w:t>
      </w:r>
      <w:r>
        <w:t xml:space="preserve">PI, </w:t>
      </w:r>
      <w:r w:rsidR="00D51AC7">
        <w:t xml:space="preserve">Site </w:t>
      </w:r>
      <w:r>
        <w:t xml:space="preserve">Co-investigators, </w:t>
      </w:r>
      <w:r w:rsidR="00446D73">
        <w:t>SSC</w:t>
      </w:r>
      <w:r>
        <w:t>) and the Sponsor (</w:t>
      </w:r>
      <w:r w:rsidR="00D51AC7">
        <w:t>Central</w:t>
      </w:r>
      <w:r w:rsidR="000F1386">
        <w:t>/Clinical</w:t>
      </w:r>
      <w:r w:rsidR="00D51AC7">
        <w:t xml:space="preserve"> Study PIs</w:t>
      </w:r>
      <w:r>
        <w:t xml:space="preserve"> and PV </w:t>
      </w:r>
      <w:r w:rsidR="00D51AC7">
        <w:t>u</w:t>
      </w:r>
      <w:r w:rsidR="00B812C0">
        <w:t>nit), and conversely.</w:t>
      </w:r>
    </w:p>
    <w:p w14:paraId="6757939F" w14:textId="77777777" w:rsidR="009504F5" w:rsidRDefault="009504F5" w:rsidP="009504F5">
      <w:r>
        <w:t xml:space="preserve">The Sponsor is responsible to organize and coordinate the </w:t>
      </w:r>
      <w:r w:rsidR="00B812C0">
        <w:t>urgent</w:t>
      </w:r>
      <w:r>
        <w:t xml:space="preserve"> implementation of risk minimization measures at all investigational sites.</w:t>
      </w:r>
    </w:p>
    <w:p w14:paraId="25C73678" w14:textId="74B34FD6" w:rsidR="009504F5" w:rsidRDefault="009504F5" w:rsidP="009504F5">
      <w:r>
        <w:t xml:space="preserve">Such safety issues which may alter the risk/benefit of the </w:t>
      </w:r>
      <w:r w:rsidR="00B812C0">
        <w:t>IMPs</w:t>
      </w:r>
      <w:r>
        <w:t xml:space="preserve"> or that would be sufficient to consider a change in their administration or in the overall conduct of the </w:t>
      </w:r>
      <w:r w:rsidR="00B812C0">
        <w:t>clinical trial</w:t>
      </w:r>
      <w:r w:rsidR="00340594">
        <w:t>s</w:t>
      </w:r>
      <w:r>
        <w:t xml:space="preserve"> are additionally to be notified as soon as possible and in written to the NRA and the EC.</w:t>
      </w:r>
    </w:p>
    <w:p w14:paraId="66816F29" w14:textId="2A0A23A6" w:rsidR="009504F5" w:rsidRDefault="009504F5" w:rsidP="009504F5">
      <w:r>
        <w:t xml:space="preserve">The </w:t>
      </w:r>
      <w:r w:rsidR="00B812C0">
        <w:t>Central</w:t>
      </w:r>
      <w:r w:rsidR="000F1386">
        <w:t>/Clinical</w:t>
      </w:r>
      <w:r w:rsidR="00B812C0">
        <w:t xml:space="preserve"> Study PIs, the </w:t>
      </w:r>
      <w:r w:rsidR="00AA2180">
        <w:t>Clinical Trial</w:t>
      </w:r>
      <w:r w:rsidR="00AA2180" w:rsidDel="00AA2180">
        <w:t xml:space="preserve"> </w:t>
      </w:r>
      <w:r w:rsidR="00B812C0">
        <w:t xml:space="preserve">Manager </w:t>
      </w:r>
      <w:r w:rsidR="000F1386">
        <w:t xml:space="preserve">or the </w:t>
      </w:r>
      <w:r w:rsidR="000F1386" w:rsidRPr="00354662">
        <w:t>Central Study coordinator</w:t>
      </w:r>
      <w:r w:rsidR="000F1386">
        <w:t xml:space="preserve">, </w:t>
      </w:r>
      <w:r>
        <w:t xml:space="preserve">and the PV </w:t>
      </w:r>
      <w:r w:rsidR="00B812C0">
        <w:t>u</w:t>
      </w:r>
      <w:r>
        <w:t xml:space="preserve">nit are responsible to prepare a notification with the collaboration of the </w:t>
      </w:r>
      <w:r w:rsidR="00B812C0">
        <w:t xml:space="preserve">Site </w:t>
      </w:r>
      <w:r>
        <w:t xml:space="preserve">PI and the </w:t>
      </w:r>
      <w:r w:rsidR="00446D73">
        <w:t>SSC</w:t>
      </w:r>
      <w:r>
        <w:t xml:space="preserve">. The </w:t>
      </w:r>
      <w:r w:rsidR="00446D73">
        <w:t>SSC</w:t>
      </w:r>
      <w:r>
        <w:t xml:space="preserve"> should organize translation into national language as appropriate and submit the notification as soon as possible. The </w:t>
      </w:r>
      <w:r w:rsidR="00446D73">
        <w:t>SSC</w:t>
      </w:r>
      <w:r>
        <w:t xml:space="preserve"> is responsible to track and document receipt acknowledgments from each recipient and transmit those to the PV Unit</w:t>
      </w:r>
      <w:r w:rsidR="00B812C0">
        <w:t xml:space="preserve">, the </w:t>
      </w:r>
      <w:r w:rsidR="00AA2180">
        <w:t>Clinical Trial</w:t>
      </w:r>
      <w:r w:rsidR="00AA2180" w:rsidDel="00AA2180">
        <w:t xml:space="preserve"> </w:t>
      </w:r>
      <w:r w:rsidR="00B812C0">
        <w:t>Manager</w:t>
      </w:r>
      <w:r w:rsidR="00B23840">
        <w:t xml:space="preserve"> or the </w:t>
      </w:r>
      <w:r w:rsidR="00B23840" w:rsidRPr="00354662">
        <w:t>Central Study coordinator</w:t>
      </w:r>
      <w:r w:rsidR="00B812C0">
        <w:t>,</w:t>
      </w:r>
      <w:r>
        <w:t xml:space="preserve"> and the </w:t>
      </w:r>
      <w:r w:rsidR="00B812C0">
        <w:t>Central</w:t>
      </w:r>
      <w:r w:rsidR="00B23840">
        <w:t>/Clinical</w:t>
      </w:r>
      <w:r w:rsidR="00B812C0">
        <w:t xml:space="preserve"> Study PIs</w:t>
      </w:r>
      <w:r>
        <w:t>.</w:t>
      </w:r>
    </w:p>
    <w:p w14:paraId="721412E7" w14:textId="634E1133" w:rsidR="00EC235A" w:rsidRPr="009F1609" w:rsidRDefault="00EC235A" w:rsidP="009F1609">
      <w:pPr>
        <w:pStyle w:val="Heading3"/>
        <w:numPr>
          <w:ilvl w:val="2"/>
          <w:numId w:val="42"/>
        </w:numPr>
      </w:pPr>
      <w:bookmarkStart w:id="31" w:name="_Toc180755790"/>
      <w:r w:rsidRPr="009F1609">
        <w:t>Archiving</w:t>
      </w:r>
      <w:bookmarkEnd w:id="31"/>
    </w:p>
    <w:p w14:paraId="1856D802" w14:textId="4CB842C6" w:rsidR="00EC235A" w:rsidRPr="008316C7" w:rsidRDefault="00EC235A" w:rsidP="00EC235A">
      <w:r w:rsidRPr="008316C7">
        <w:t xml:space="preserve">SAE or Pregnancy Report Forms are source documents to be </w:t>
      </w:r>
      <w:r w:rsidR="009F1609" w:rsidRPr="008316C7">
        <w:t>archived</w:t>
      </w:r>
      <w:r w:rsidRPr="008316C7">
        <w:t xml:space="preserve"> as per SOP </w:t>
      </w:r>
      <w:r w:rsidR="00615F37">
        <w:t>TF</w:t>
      </w:r>
      <w:r w:rsidR="009F1609" w:rsidRPr="008316C7">
        <w:t>-</w:t>
      </w:r>
      <w:r w:rsidR="00615F37" w:rsidRPr="008316C7">
        <w:t>00</w:t>
      </w:r>
      <w:r w:rsidR="00615F37">
        <w:t>1</w:t>
      </w:r>
      <w:r w:rsidR="009F1609" w:rsidRPr="008316C7">
        <w:t>-CT</w:t>
      </w:r>
      <w:r w:rsidRPr="008316C7">
        <w:t xml:space="preserve">. </w:t>
      </w:r>
    </w:p>
    <w:p w14:paraId="141E6830" w14:textId="4D029743" w:rsidR="00EC235A" w:rsidRPr="008316C7" w:rsidRDefault="008362C5" w:rsidP="00EC235A">
      <w:r w:rsidRPr="008316C7">
        <w:t>I</w:t>
      </w:r>
      <w:r w:rsidR="00EC235A" w:rsidRPr="008316C7">
        <w:t>ndividual safety reports</w:t>
      </w:r>
      <w:r w:rsidR="009F1609" w:rsidRPr="008316C7">
        <w:t xml:space="preserve"> (source documents and CIOMS)</w:t>
      </w:r>
      <w:r w:rsidR="00EC235A" w:rsidRPr="008316C7">
        <w:t xml:space="preserve"> and proof of receipt acknowledgement from EC/NRA are </w:t>
      </w:r>
      <w:r w:rsidRPr="008316C7">
        <w:t>archived</w:t>
      </w:r>
      <w:r w:rsidR="00EC235A" w:rsidRPr="008316C7">
        <w:t xml:space="preserve"> </w:t>
      </w:r>
      <w:r w:rsidR="009F1609" w:rsidRPr="008316C7">
        <w:t xml:space="preserve">by the PVO </w:t>
      </w:r>
      <w:r w:rsidR="00EC235A" w:rsidRPr="008316C7">
        <w:t xml:space="preserve">as per SOP </w:t>
      </w:r>
      <w:r w:rsidR="009F1609" w:rsidRPr="008316C7">
        <w:t>PV-TB-P01</w:t>
      </w:r>
      <w:r w:rsidR="00EC235A" w:rsidRPr="008316C7">
        <w:t xml:space="preserve"> and</w:t>
      </w:r>
      <w:r w:rsidR="009F1609" w:rsidRPr="008316C7">
        <w:t xml:space="preserve"> by the responsible function as per SOP </w:t>
      </w:r>
      <w:r w:rsidR="007A592A">
        <w:t>TF</w:t>
      </w:r>
      <w:r w:rsidR="009F1609" w:rsidRPr="008316C7">
        <w:t>-</w:t>
      </w:r>
      <w:r w:rsidR="007A592A" w:rsidRPr="008316C7">
        <w:t>00</w:t>
      </w:r>
      <w:r w:rsidR="007A592A">
        <w:t>1</w:t>
      </w:r>
      <w:r w:rsidR="009F1609" w:rsidRPr="008316C7">
        <w:t>-CT</w:t>
      </w:r>
      <w:r w:rsidR="00EC235A" w:rsidRPr="008316C7">
        <w:t>.</w:t>
      </w:r>
    </w:p>
    <w:p w14:paraId="14731956" w14:textId="2DADCD1B" w:rsidR="008362C5" w:rsidRPr="00EC235A" w:rsidRDefault="001209FD" w:rsidP="00EC235A">
      <w:r w:rsidRPr="008316C7">
        <w:t>Periodic</w:t>
      </w:r>
      <w:r w:rsidR="008362C5" w:rsidRPr="008316C7">
        <w:t xml:space="preserve"> safety reports </w:t>
      </w:r>
      <w:r w:rsidRPr="008316C7">
        <w:t xml:space="preserve">or other safety communications </w:t>
      </w:r>
      <w:r w:rsidR="008362C5" w:rsidRPr="008316C7">
        <w:t xml:space="preserve">and proof of receipt acknowledgement from EC/NRA are archived </w:t>
      </w:r>
      <w:r w:rsidR="009F1609" w:rsidRPr="008316C7">
        <w:t xml:space="preserve">by the PVO </w:t>
      </w:r>
      <w:r w:rsidR="008362C5" w:rsidRPr="008316C7">
        <w:t xml:space="preserve">as per </w:t>
      </w:r>
      <w:r w:rsidR="008362C5" w:rsidRPr="009F1609">
        <w:t xml:space="preserve">SOP </w:t>
      </w:r>
      <w:r w:rsidR="009F1609" w:rsidRPr="009F1609">
        <w:t>PV-TB-P06</w:t>
      </w:r>
      <w:r w:rsidR="008362C5" w:rsidRPr="009F1609">
        <w:t xml:space="preserve"> and</w:t>
      </w:r>
      <w:r w:rsidR="009F1609" w:rsidRPr="007E1BEB">
        <w:t xml:space="preserve"> by the responsible fu</w:t>
      </w:r>
      <w:r w:rsidR="009F1609" w:rsidRPr="008316C7">
        <w:t xml:space="preserve">nction as per SOP </w:t>
      </w:r>
      <w:r w:rsidR="007A592A">
        <w:t>TF</w:t>
      </w:r>
      <w:r w:rsidR="009F1609" w:rsidRPr="008316C7">
        <w:t>-</w:t>
      </w:r>
      <w:r w:rsidR="007A592A" w:rsidRPr="008316C7">
        <w:t>00</w:t>
      </w:r>
      <w:r w:rsidR="007A592A">
        <w:t>1</w:t>
      </w:r>
      <w:r w:rsidR="009F1609" w:rsidRPr="008316C7">
        <w:t>-CT.</w:t>
      </w:r>
    </w:p>
    <w:p w14:paraId="0E92625F" w14:textId="77777777" w:rsidR="00F23C87" w:rsidRPr="00D01A3D" w:rsidRDefault="004E294D" w:rsidP="001E65A4">
      <w:pPr>
        <w:pStyle w:val="Heading2"/>
      </w:pPr>
      <w:bookmarkStart w:id="32" w:name="_Toc180755791"/>
      <w:r w:rsidRPr="00D01A3D">
        <w:t>REFERENCES</w:t>
      </w:r>
      <w:bookmarkEnd w:id="32"/>
    </w:p>
    <w:p w14:paraId="20D48E43" w14:textId="77777777" w:rsidR="00F23C87" w:rsidRDefault="00B23F89" w:rsidP="00B23F89">
      <w:pPr>
        <w:pStyle w:val="ListParagraph"/>
        <w:numPr>
          <w:ilvl w:val="0"/>
          <w:numId w:val="37"/>
        </w:numPr>
        <w:ind w:left="426" w:hanging="426"/>
      </w:pPr>
      <w:r>
        <w:t>ICH Guideline for Good Clinical Practice (E6R1).</w:t>
      </w:r>
    </w:p>
    <w:p w14:paraId="15625937" w14:textId="77777777" w:rsidR="00B23F89" w:rsidRDefault="00B23F89" w:rsidP="00B23F89">
      <w:pPr>
        <w:pStyle w:val="ListParagraph"/>
        <w:numPr>
          <w:ilvl w:val="0"/>
          <w:numId w:val="37"/>
        </w:numPr>
        <w:ind w:left="426" w:hanging="426"/>
      </w:pPr>
      <w:r>
        <w:t>ICH Clinical Safety Data Management: Definitions and Standards for Expedited Reporting (E2A).</w:t>
      </w:r>
    </w:p>
    <w:p w14:paraId="79054148" w14:textId="77777777" w:rsidR="00B23F89" w:rsidRDefault="00B23F89" w:rsidP="00B23F89">
      <w:pPr>
        <w:pStyle w:val="ListParagraph"/>
        <w:numPr>
          <w:ilvl w:val="0"/>
          <w:numId w:val="37"/>
        </w:numPr>
        <w:ind w:left="426" w:hanging="426"/>
      </w:pPr>
      <w:r>
        <w:t>ICH Development Safety Update Report (E2F).</w:t>
      </w:r>
    </w:p>
    <w:p w14:paraId="59A67119" w14:textId="7FA23FEC" w:rsidR="0002305E" w:rsidRPr="00D01A3D" w:rsidRDefault="009A65F5" w:rsidP="001E65A4">
      <w:pPr>
        <w:pStyle w:val="Heading2"/>
      </w:pPr>
      <w:bookmarkStart w:id="33" w:name="_Toc180755792"/>
      <w:r>
        <w:lastRenderedPageBreak/>
        <w:t>RELATED TOOLS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335"/>
      </w:tblGrid>
      <w:tr w:rsidR="0002305E" w:rsidRPr="004E4E0A" w14:paraId="7D3345C3" w14:textId="77777777" w:rsidTr="00D670CE">
        <w:tc>
          <w:tcPr>
            <w:tcW w:w="5000" w:type="pct"/>
            <w:gridSpan w:val="2"/>
            <w:shd w:val="clear" w:color="auto" w:fill="F2F2F2"/>
            <w:vAlign w:val="center"/>
          </w:tcPr>
          <w:p w14:paraId="614DB55B" w14:textId="0E7B4D01" w:rsidR="0002305E" w:rsidRPr="0002305E" w:rsidRDefault="009A65F5" w:rsidP="00D670CE">
            <w:pPr>
              <w:spacing w:before="40" w:after="40"/>
              <w:jc w:val="left"/>
              <w:rPr>
                <w:rFonts w:cs="Arial"/>
                <w:b/>
              </w:rPr>
            </w:pPr>
            <w:r>
              <w:rPr>
                <w:rFonts w:cs="Arial"/>
                <w:b/>
              </w:rPr>
              <w:t>Related tools for completion of the described activities</w:t>
            </w:r>
          </w:p>
        </w:tc>
      </w:tr>
      <w:tr w:rsidR="0002305E" w:rsidRPr="004E4E0A" w14:paraId="776AE640" w14:textId="77777777" w:rsidTr="00F90D70">
        <w:tc>
          <w:tcPr>
            <w:tcW w:w="543" w:type="pct"/>
            <w:shd w:val="clear" w:color="auto" w:fill="auto"/>
            <w:vAlign w:val="center"/>
          </w:tcPr>
          <w:p w14:paraId="330844A6" w14:textId="77777777" w:rsidR="0002305E" w:rsidRPr="0002305E" w:rsidRDefault="0002305E" w:rsidP="00D670CE">
            <w:pPr>
              <w:spacing w:before="40" w:after="40"/>
              <w:jc w:val="left"/>
              <w:rPr>
                <w:rFonts w:cs="Arial"/>
                <w:b/>
              </w:rPr>
            </w:pPr>
            <w:r w:rsidRPr="0002305E">
              <w:rPr>
                <w:rFonts w:cs="Arial"/>
                <w:b/>
              </w:rPr>
              <w:t>Number</w:t>
            </w:r>
          </w:p>
        </w:tc>
        <w:tc>
          <w:tcPr>
            <w:tcW w:w="4457" w:type="pct"/>
            <w:shd w:val="clear" w:color="auto" w:fill="auto"/>
            <w:vAlign w:val="center"/>
          </w:tcPr>
          <w:p w14:paraId="5F3E630E" w14:textId="77777777" w:rsidR="0002305E" w:rsidRPr="0002305E" w:rsidRDefault="0002305E" w:rsidP="00D670CE">
            <w:pPr>
              <w:spacing w:before="40" w:after="40"/>
              <w:jc w:val="left"/>
              <w:rPr>
                <w:rFonts w:cs="Arial"/>
                <w:b/>
              </w:rPr>
            </w:pPr>
            <w:r w:rsidRPr="0002305E">
              <w:rPr>
                <w:rFonts w:cs="Arial"/>
                <w:b/>
              </w:rPr>
              <w:t>Title</w:t>
            </w:r>
          </w:p>
        </w:tc>
      </w:tr>
      <w:tr w:rsidR="00F90D70" w:rsidRPr="004E4E0A" w14:paraId="7AC37B29" w14:textId="77777777" w:rsidTr="00C95423">
        <w:tc>
          <w:tcPr>
            <w:tcW w:w="543" w:type="pct"/>
            <w:shd w:val="clear" w:color="auto" w:fill="auto"/>
            <w:vAlign w:val="center"/>
          </w:tcPr>
          <w:p w14:paraId="5B10211B" w14:textId="77777777" w:rsidR="00F90D70" w:rsidRPr="0002305E" w:rsidRDefault="00F90D70" w:rsidP="00C95423">
            <w:pPr>
              <w:spacing w:before="40" w:after="40"/>
              <w:jc w:val="center"/>
              <w:rPr>
                <w:rFonts w:cs="Arial"/>
                <w:b/>
              </w:rPr>
            </w:pPr>
            <w:r>
              <w:rPr>
                <w:rFonts w:cs="Arial"/>
                <w:b/>
              </w:rPr>
              <w:t>1</w:t>
            </w:r>
          </w:p>
        </w:tc>
        <w:tc>
          <w:tcPr>
            <w:tcW w:w="4457" w:type="pct"/>
            <w:shd w:val="clear" w:color="auto" w:fill="auto"/>
            <w:vAlign w:val="center"/>
          </w:tcPr>
          <w:p w14:paraId="14D2EC64" w14:textId="77777777" w:rsidR="00F90D70" w:rsidRPr="0002305E" w:rsidRDefault="00F90D70" w:rsidP="00964E43">
            <w:pPr>
              <w:spacing w:before="40" w:after="40"/>
              <w:jc w:val="left"/>
              <w:rPr>
                <w:rFonts w:cs="Arial"/>
              </w:rPr>
            </w:pPr>
            <w:r>
              <w:rPr>
                <w:rFonts w:cs="Arial"/>
              </w:rPr>
              <w:t>SAE Report Form and completion guideline</w:t>
            </w:r>
          </w:p>
        </w:tc>
      </w:tr>
      <w:tr w:rsidR="00F90D70" w:rsidRPr="004E4E0A" w14:paraId="0F206011" w14:textId="77777777" w:rsidTr="00C95423">
        <w:tc>
          <w:tcPr>
            <w:tcW w:w="543" w:type="pct"/>
            <w:shd w:val="clear" w:color="auto" w:fill="auto"/>
            <w:vAlign w:val="center"/>
          </w:tcPr>
          <w:p w14:paraId="3858D4FF" w14:textId="77777777" w:rsidR="00F90D70" w:rsidRPr="0002305E" w:rsidRDefault="00F90D70" w:rsidP="00C95423">
            <w:pPr>
              <w:spacing w:before="40" w:after="40"/>
              <w:jc w:val="center"/>
              <w:rPr>
                <w:rFonts w:cs="Arial"/>
                <w:b/>
              </w:rPr>
            </w:pPr>
            <w:r>
              <w:rPr>
                <w:rFonts w:cs="Arial"/>
                <w:b/>
              </w:rPr>
              <w:t>2</w:t>
            </w:r>
          </w:p>
        </w:tc>
        <w:tc>
          <w:tcPr>
            <w:tcW w:w="4457" w:type="pct"/>
            <w:shd w:val="clear" w:color="auto" w:fill="auto"/>
            <w:vAlign w:val="center"/>
          </w:tcPr>
          <w:p w14:paraId="42F01347" w14:textId="77777777" w:rsidR="00F90D70" w:rsidRPr="0002305E" w:rsidRDefault="00F90D70" w:rsidP="00D670CE">
            <w:pPr>
              <w:spacing w:before="40" w:after="40"/>
              <w:jc w:val="left"/>
              <w:rPr>
                <w:rFonts w:cs="Arial"/>
              </w:rPr>
            </w:pPr>
            <w:r>
              <w:rPr>
                <w:rFonts w:cs="Arial"/>
              </w:rPr>
              <w:t>Pregnancy Report Form and completion guideline</w:t>
            </w:r>
          </w:p>
        </w:tc>
      </w:tr>
      <w:tr w:rsidR="00F90D70" w:rsidRPr="004E4E0A" w14:paraId="30C4A666" w14:textId="77777777" w:rsidTr="00C95423">
        <w:tc>
          <w:tcPr>
            <w:tcW w:w="543" w:type="pct"/>
            <w:shd w:val="clear" w:color="auto" w:fill="auto"/>
            <w:vAlign w:val="center"/>
          </w:tcPr>
          <w:p w14:paraId="68121469" w14:textId="77777777" w:rsidR="00F90D70" w:rsidRDefault="00F90D70" w:rsidP="00C95423">
            <w:pPr>
              <w:spacing w:before="40" w:after="40"/>
              <w:jc w:val="center"/>
              <w:rPr>
                <w:rFonts w:cs="Arial"/>
                <w:b/>
              </w:rPr>
            </w:pPr>
            <w:r>
              <w:rPr>
                <w:rFonts w:cs="Arial"/>
                <w:b/>
              </w:rPr>
              <w:t>3</w:t>
            </w:r>
          </w:p>
        </w:tc>
        <w:tc>
          <w:tcPr>
            <w:tcW w:w="4457" w:type="pct"/>
            <w:shd w:val="clear" w:color="auto" w:fill="auto"/>
            <w:vAlign w:val="center"/>
          </w:tcPr>
          <w:p w14:paraId="18A5EEBE" w14:textId="77777777" w:rsidR="00F90D70" w:rsidRDefault="00F90D70" w:rsidP="00D670CE">
            <w:pPr>
              <w:spacing w:before="40" w:after="40"/>
              <w:jc w:val="left"/>
              <w:rPr>
                <w:rFonts w:cs="Arial"/>
              </w:rPr>
            </w:pPr>
            <w:r>
              <w:rPr>
                <w:rFonts w:cs="Arial"/>
              </w:rPr>
              <w:t>Causality assessment aide-memoire</w:t>
            </w:r>
          </w:p>
        </w:tc>
      </w:tr>
      <w:tr w:rsidR="00F90D70" w:rsidRPr="004E4E0A" w14:paraId="03F8B2A6" w14:textId="77777777" w:rsidTr="00C95423">
        <w:tc>
          <w:tcPr>
            <w:tcW w:w="543" w:type="pct"/>
            <w:shd w:val="clear" w:color="auto" w:fill="auto"/>
            <w:vAlign w:val="center"/>
          </w:tcPr>
          <w:p w14:paraId="03305373" w14:textId="77777777" w:rsidR="00F90D70" w:rsidRDefault="00F90D70" w:rsidP="00C95423">
            <w:pPr>
              <w:spacing w:before="40" w:after="40"/>
              <w:jc w:val="center"/>
              <w:rPr>
                <w:rFonts w:cs="Arial"/>
                <w:b/>
              </w:rPr>
            </w:pPr>
            <w:r>
              <w:rPr>
                <w:rFonts w:cs="Arial"/>
                <w:b/>
              </w:rPr>
              <w:t>4</w:t>
            </w:r>
          </w:p>
        </w:tc>
        <w:tc>
          <w:tcPr>
            <w:tcW w:w="4457" w:type="pct"/>
            <w:shd w:val="clear" w:color="auto" w:fill="auto"/>
            <w:vAlign w:val="center"/>
          </w:tcPr>
          <w:p w14:paraId="6FFE25B0" w14:textId="77777777" w:rsidR="00F90D70" w:rsidRDefault="00F90D70" w:rsidP="00D670CE">
            <w:pPr>
              <w:spacing w:before="40" w:after="40"/>
              <w:jc w:val="left"/>
              <w:rPr>
                <w:rFonts w:cs="Arial"/>
              </w:rPr>
            </w:pPr>
            <w:r w:rsidRPr="008A3B60">
              <w:rPr>
                <w:rFonts w:cs="Arial"/>
              </w:rPr>
              <w:t xml:space="preserve">SAE </w:t>
            </w:r>
            <w:r>
              <w:rPr>
                <w:rFonts w:cs="Arial"/>
              </w:rPr>
              <w:t xml:space="preserve">and AESI </w:t>
            </w:r>
            <w:r w:rsidRPr="008A3B60">
              <w:rPr>
                <w:rFonts w:cs="Arial"/>
              </w:rPr>
              <w:t>Reporting flow chart</w:t>
            </w:r>
          </w:p>
        </w:tc>
      </w:tr>
      <w:tr w:rsidR="009C6D61" w:rsidRPr="004E4E0A" w14:paraId="0A3D21CA" w14:textId="77777777" w:rsidTr="00C95423">
        <w:tc>
          <w:tcPr>
            <w:tcW w:w="543" w:type="pct"/>
            <w:shd w:val="clear" w:color="auto" w:fill="auto"/>
            <w:vAlign w:val="center"/>
          </w:tcPr>
          <w:p w14:paraId="6E5ECE52" w14:textId="722E4EE5" w:rsidR="009C6D61" w:rsidRDefault="009C6D61" w:rsidP="00C95423">
            <w:pPr>
              <w:spacing w:before="40" w:after="40"/>
              <w:jc w:val="center"/>
              <w:rPr>
                <w:rFonts w:cs="Arial"/>
                <w:b/>
              </w:rPr>
            </w:pPr>
            <w:r>
              <w:rPr>
                <w:rFonts w:cs="Arial"/>
                <w:b/>
              </w:rPr>
              <w:t>5</w:t>
            </w:r>
          </w:p>
        </w:tc>
        <w:tc>
          <w:tcPr>
            <w:tcW w:w="4457" w:type="pct"/>
            <w:shd w:val="clear" w:color="auto" w:fill="auto"/>
            <w:vAlign w:val="center"/>
          </w:tcPr>
          <w:p w14:paraId="461E0F48" w14:textId="2E648A4D" w:rsidR="009C6D61" w:rsidRPr="008A3B60" w:rsidRDefault="009C6D61" w:rsidP="00D670CE">
            <w:pPr>
              <w:spacing w:before="40" w:after="40"/>
              <w:jc w:val="left"/>
              <w:rPr>
                <w:rFonts w:cs="Arial"/>
              </w:rPr>
            </w:pPr>
            <w:r>
              <w:rPr>
                <w:rFonts w:cs="Arial"/>
              </w:rPr>
              <w:t>MSF Severity Grading Scale</w:t>
            </w:r>
          </w:p>
        </w:tc>
      </w:tr>
      <w:tr w:rsidR="00303351" w:rsidRPr="004E4E0A" w14:paraId="178304A5" w14:textId="77777777" w:rsidTr="00C95423">
        <w:tc>
          <w:tcPr>
            <w:tcW w:w="543" w:type="pct"/>
            <w:shd w:val="clear" w:color="auto" w:fill="auto"/>
            <w:vAlign w:val="center"/>
          </w:tcPr>
          <w:p w14:paraId="07E320C9" w14:textId="1855E53E" w:rsidR="00303351" w:rsidRDefault="00303351" w:rsidP="00C95423">
            <w:pPr>
              <w:spacing w:before="40" w:after="40"/>
              <w:jc w:val="center"/>
              <w:rPr>
                <w:rFonts w:cs="Arial"/>
                <w:b/>
              </w:rPr>
            </w:pPr>
            <w:r>
              <w:rPr>
                <w:rFonts w:cs="Arial"/>
                <w:b/>
              </w:rPr>
              <w:t>6</w:t>
            </w:r>
          </w:p>
        </w:tc>
        <w:tc>
          <w:tcPr>
            <w:tcW w:w="4457" w:type="pct"/>
            <w:shd w:val="clear" w:color="auto" w:fill="auto"/>
            <w:vAlign w:val="center"/>
          </w:tcPr>
          <w:p w14:paraId="2F6D848E" w14:textId="588AC393" w:rsidR="00303351" w:rsidRDefault="00303351" w:rsidP="00D670CE">
            <w:pPr>
              <w:spacing w:before="40" w:after="40"/>
              <w:jc w:val="left"/>
              <w:rPr>
                <w:rFonts w:cs="Arial"/>
              </w:rPr>
            </w:pPr>
            <w:r w:rsidRPr="00303351">
              <w:rPr>
                <w:rFonts w:cs="Arial"/>
              </w:rPr>
              <w:t xml:space="preserve">Reporting </w:t>
            </w:r>
            <w:r w:rsidRPr="000C42F3">
              <w:rPr>
                <w:rFonts w:cs="Arial"/>
              </w:rPr>
              <w:t xml:space="preserve">guideline - endTB </w:t>
            </w:r>
            <w:r w:rsidR="001E4B3B" w:rsidRPr="000C42F3">
              <w:rPr>
                <w:rFonts w:cs="Arial"/>
              </w:rPr>
              <w:t xml:space="preserve">and endTB-Q </w:t>
            </w:r>
            <w:r w:rsidRPr="000C42F3">
              <w:rPr>
                <w:rFonts w:cs="Arial"/>
              </w:rPr>
              <w:t>interventional clinical trial</w:t>
            </w:r>
            <w:r w:rsidR="001E4B3B" w:rsidRPr="000C42F3">
              <w:rPr>
                <w:rFonts w:cs="Arial"/>
              </w:rPr>
              <w:t>s</w:t>
            </w:r>
          </w:p>
        </w:tc>
      </w:tr>
      <w:tr w:rsidR="00792B3B" w:rsidRPr="004E4E0A" w14:paraId="29E81E34" w14:textId="77777777" w:rsidTr="00C95423">
        <w:tc>
          <w:tcPr>
            <w:tcW w:w="543" w:type="pct"/>
            <w:shd w:val="clear" w:color="auto" w:fill="auto"/>
            <w:vAlign w:val="center"/>
          </w:tcPr>
          <w:p w14:paraId="446B7020" w14:textId="48DB881B" w:rsidR="00792B3B" w:rsidRDefault="00792B3B" w:rsidP="00C95423">
            <w:pPr>
              <w:spacing w:before="40" w:after="40"/>
              <w:jc w:val="center"/>
              <w:rPr>
                <w:rFonts w:cs="Arial"/>
                <w:b/>
              </w:rPr>
            </w:pPr>
            <w:r>
              <w:rPr>
                <w:rFonts w:cs="Arial"/>
                <w:b/>
              </w:rPr>
              <w:t>7</w:t>
            </w:r>
          </w:p>
        </w:tc>
        <w:tc>
          <w:tcPr>
            <w:tcW w:w="4457" w:type="pct"/>
            <w:shd w:val="clear" w:color="auto" w:fill="auto"/>
            <w:vAlign w:val="center"/>
          </w:tcPr>
          <w:p w14:paraId="68B95B15" w14:textId="6F8B1227" w:rsidR="00792B3B" w:rsidRPr="00303351" w:rsidRDefault="00792B3B" w:rsidP="00D670CE">
            <w:pPr>
              <w:spacing w:before="40" w:after="40"/>
              <w:jc w:val="left"/>
              <w:rPr>
                <w:rFonts w:cs="Arial"/>
              </w:rPr>
            </w:pPr>
            <w:r>
              <w:rPr>
                <w:rFonts w:cs="Arial"/>
              </w:rPr>
              <w:t>FAQ - Severity Grading Scale</w:t>
            </w:r>
          </w:p>
        </w:tc>
      </w:tr>
    </w:tbl>
    <w:p w14:paraId="76EA4F76" w14:textId="77777777" w:rsidR="00034864" w:rsidRPr="00034864" w:rsidRDefault="00034864" w:rsidP="00C95423"/>
    <w:sectPr w:rsidR="00034864" w:rsidRPr="00034864" w:rsidSect="005B188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957A" w14:textId="77777777" w:rsidR="00BF5770" w:rsidRDefault="00BF5770" w:rsidP="00034864">
      <w:pPr>
        <w:spacing w:after="0"/>
      </w:pPr>
      <w:r>
        <w:separator/>
      </w:r>
    </w:p>
  </w:endnote>
  <w:endnote w:type="continuationSeparator" w:id="0">
    <w:p w14:paraId="5F442C88" w14:textId="77777777" w:rsidR="00BF5770" w:rsidRDefault="00BF5770" w:rsidP="00034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AF16" w14:textId="77777777" w:rsidR="007F5D88" w:rsidRPr="0092276E" w:rsidRDefault="007F5D88" w:rsidP="007F5D88">
    <w:pPr>
      <w:tabs>
        <w:tab w:val="center" w:pos="4680"/>
        <w:tab w:val="right" w:pos="9360"/>
      </w:tabs>
      <w:rPr>
        <w:rFonts w:asciiTheme="minorHAnsi" w:hAnsiTheme="minorHAnsi" w:cstheme="minorHAnsi"/>
        <w:i/>
        <w:iCs/>
        <w:sz w:val="18"/>
        <w:szCs w:val="18"/>
      </w:rPr>
    </w:pPr>
    <w:r w:rsidRPr="0092276E">
      <w:rPr>
        <w:rFonts w:asciiTheme="minorHAnsi" w:hAnsiTheme="minorHAnsi" w:cstheme="minorHAnsi"/>
        <w:b/>
        <w:bCs/>
        <w:i/>
        <w:iCs/>
        <w:sz w:val="18"/>
        <w:szCs w:val="18"/>
      </w:rPr>
      <w:t>NOTE:</w:t>
    </w:r>
    <w:r w:rsidRPr="0092276E">
      <w:rPr>
        <w:rFonts w:asciiTheme="minorHAnsi" w:hAnsiTheme="minorHAnsi" w:cstheme="minorHAnsi"/>
        <w:i/>
        <w:iCs/>
        <w:sz w:val="18"/>
        <w:szCs w:val="18"/>
      </w:rPr>
      <w:t xml:space="preserve"> This work is licensed under the Creative Commons CC BY-SA by the endTB Research Partners. To view a copy of this license, visit: </w:t>
    </w:r>
    <w:hyperlink r:id="rId1" w:history="1">
      <w:r w:rsidRPr="0092276E">
        <w:rPr>
          <w:rStyle w:val="Hyperlink"/>
          <w:rFonts w:asciiTheme="minorHAnsi" w:hAnsiTheme="minorHAnsi" w:cstheme="minorHAnsi"/>
          <w:i/>
          <w:iCs/>
          <w:sz w:val="18"/>
          <w:szCs w:val="18"/>
        </w:rPr>
        <w:t>https://creativecommons.org/licenses/by-sa/4.0/</w:t>
      </w:r>
    </w:hyperlink>
    <w:r w:rsidRPr="0092276E">
      <w:rPr>
        <w:rFonts w:asciiTheme="minorHAnsi" w:hAnsiTheme="minorHAnsi" w:cstheme="minorHAnsi"/>
        <w:i/>
        <w:iCs/>
        <w:sz w:val="18"/>
        <w:szCs w:val="18"/>
      </w:rPr>
      <w:t>. More information about this copyright is available in the endTB website:</w:t>
    </w:r>
    <w:r w:rsidRPr="0092276E">
      <w:rPr>
        <w:rFonts w:asciiTheme="minorHAnsi" w:hAnsiTheme="minorHAnsi" w:cstheme="minorHAnsi"/>
      </w:rPr>
      <w:t xml:space="preserve"> </w:t>
    </w:r>
    <w:hyperlink r:id="rId2" w:history="1">
      <w:r w:rsidRPr="0092276E">
        <w:rPr>
          <w:rStyle w:val="Hyperlink"/>
          <w:rFonts w:asciiTheme="minorHAnsi" w:hAnsiTheme="minorHAnsi" w:cstheme="minorHAnsi"/>
          <w:i/>
          <w:iCs/>
          <w:sz w:val="18"/>
          <w:szCs w:val="18"/>
        </w:rPr>
        <w:t>https://endtb.org/</w:t>
      </w:r>
    </w:hyperlink>
    <w:r w:rsidRPr="0092276E">
      <w:rPr>
        <w:rFonts w:asciiTheme="minorHAnsi" w:hAnsiTheme="minorHAnsi" w:cstheme="minorHAnsi"/>
        <w:i/>
        <w:iCs/>
        <w:sz w:val="18"/>
        <w:szCs w:val="18"/>
      </w:rPr>
      <w:t xml:space="preserve"> in the “Toolkit” section.</w:t>
    </w:r>
  </w:p>
  <w:p w14:paraId="5F241ED8" w14:textId="1246B26F" w:rsidR="00E82BB1" w:rsidRPr="007F5D88" w:rsidRDefault="00F72D5B" w:rsidP="00F72D5B">
    <w:pPr>
      <w:pStyle w:val="Footer"/>
      <w:jc w:val="center"/>
      <w:rPr>
        <w:sz w:val="12"/>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p>
  <w:p w14:paraId="5395E453" w14:textId="77777777" w:rsidR="00E82BB1" w:rsidRPr="00BE7538" w:rsidRDefault="00E82BB1" w:rsidP="00BE7538">
    <w:pPr>
      <w:pStyle w:val="Footer"/>
      <w:rPr>
        <w:sz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5110" w14:textId="77777777" w:rsidR="00BF5770" w:rsidRDefault="00BF5770" w:rsidP="00034864">
      <w:pPr>
        <w:spacing w:after="0"/>
      </w:pPr>
      <w:r>
        <w:separator/>
      </w:r>
    </w:p>
  </w:footnote>
  <w:footnote w:type="continuationSeparator" w:id="0">
    <w:p w14:paraId="2AB6259D" w14:textId="77777777" w:rsidR="00BF5770" w:rsidRDefault="00BF5770" w:rsidP="00034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82BB1" w:rsidRPr="00D12300" w14:paraId="6FAD38D7" w14:textId="105EBB8D" w:rsidTr="00F72D5B">
      <w:trPr>
        <w:trHeight w:val="142"/>
      </w:trPr>
      <w:tc>
        <w:tcPr>
          <w:tcW w:w="2500" w:type="pct"/>
          <w:vAlign w:val="center"/>
        </w:tcPr>
        <w:p w14:paraId="035B2D1B" w14:textId="65B9F48B" w:rsidR="00E82BB1" w:rsidRPr="000C42F3" w:rsidRDefault="00E82BB1" w:rsidP="00F72D5B">
          <w:pPr>
            <w:pStyle w:val="Header"/>
            <w:jc w:val="left"/>
          </w:pPr>
          <w:r w:rsidRPr="000C42F3">
            <w:rPr>
              <w:b/>
            </w:rPr>
            <w:t>endTB Clinical Trial</w:t>
          </w:r>
          <w:r w:rsidR="00ED69BE" w:rsidRPr="000C42F3">
            <w:rPr>
              <w:b/>
            </w:rPr>
            <w:t>s</w:t>
          </w:r>
        </w:p>
      </w:tc>
      <w:tc>
        <w:tcPr>
          <w:tcW w:w="2500" w:type="pct"/>
          <w:vAlign w:val="center"/>
        </w:tcPr>
        <w:p w14:paraId="5BDE0686" w14:textId="373867CF" w:rsidR="00E82BB1" w:rsidRPr="000C42F3" w:rsidRDefault="00E82BB1" w:rsidP="00F72D5B">
          <w:pPr>
            <w:pStyle w:val="Header"/>
            <w:jc w:val="right"/>
          </w:pPr>
          <w:r w:rsidRPr="000C42F3">
            <w:rPr>
              <w:b/>
            </w:rPr>
            <w:t xml:space="preserve">SOP </w:t>
          </w:r>
          <w:r w:rsidR="004724D7" w:rsidRPr="000C42F3">
            <w:rPr>
              <w:b/>
            </w:rPr>
            <w:t>PV</w:t>
          </w:r>
          <w:r w:rsidR="005B188E" w:rsidRPr="000C42F3">
            <w:rPr>
              <w:b/>
            </w:rPr>
            <w:t>-</w:t>
          </w:r>
          <w:r w:rsidR="004724D7" w:rsidRPr="000C42F3">
            <w:rPr>
              <w:b/>
            </w:rPr>
            <w:t>001</w:t>
          </w:r>
          <w:r w:rsidR="005B188E" w:rsidRPr="000C42F3">
            <w:rPr>
              <w:b/>
            </w:rPr>
            <w:t>-</w:t>
          </w:r>
          <w:r w:rsidR="004724D7" w:rsidRPr="000C42F3">
            <w:rPr>
              <w:b/>
            </w:rPr>
            <w:t>CT</w:t>
          </w:r>
          <w:r w:rsidR="005B188E" w:rsidRPr="000C42F3">
            <w:rPr>
              <w:b/>
            </w:rPr>
            <w:t xml:space="preserve"> Version </w:t>
          </w:r>
          <w:r w:rsidR="00CA4621" w:rsidRPr="000C42F3">
            <w:rPr>
              <w:b/>
            </w:rPr>
            <w:t>4</w:t>
          </w:r>
          <w:r w:rsidR="00CA3067" w:rsidRPr="000C42F3">
            <w:rPr>
              <w:b/>
            </w:rPr>
            <w:t>.0</w:t>
          </w:r>
          <w:r w:rsidRPr="000C42F3">
            <w:rPr>
              <w:b/>
            </w:rPr>
            <w:t xml:space="preserve">, Date </w:t>
          </w:r>
          <w:r w:rsidR="00D12300" w:rsidRPr="000C42F3">
            <w:rPr>
              <w:b/>
            </w:rPr>
            <w:t>8-May</w:t>
          </w:r>
          <w:r w:rsidR="00CA4621" w:rsidRPr="000C42F3">
            <w:rPr>
              <w:b/>
            </w:rPr>
            <w:t>-2020</w:t>
          </w:r>
        </w:p>
      </w:tc>
    </w:tr>
  </w:tbl>
  <w:p w14:paraId="636A7B1A" w14:textId="77777777" w:rsidR="00E82BB1" w:rsidRPr="00D12300" w:rsidRDefault="00E82BB1" w:rsidP="00BC438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512"/>
    <w:multiLevelType w:val="hybridMultilevel"/>
    <w:tmpl w:val="A386CD90"/>
    <w:lvl w:ilvl="0" w:tplc="4A949900">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B424F6"/>
    <w:multiLevelType w:val="hybridMultilevel"/>
    <w:tmpl w:val="5F30464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9F658DA"/>
    <w:multiLevelType w:val="hybridMultilevel"/>
    <w:tmpl w:val="97D2D036"/>
    <w:lvl w:ilvl="0" w:tplc="24C617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1D3BA8"/>
    <w:multiLevelType w:val="hybridMultilevel"/>
    <w:tmpl w:val="B69876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12D1CE5"/>
    <w:multiLevelType w:val="hybridMultilevel"/>
    <w:tmpl w:val="6BFAC3D0"/>
    <w:lvl w:ilvl="0" w:tplc="100C000F">
      <w:start w:val="1"/>
      <w:numFmt w:val="decimal"/>
      <w:lvlText w:val="%1."/>
      <w:lvlJc w:val="left"/>
      <w:pPr>
        <w:ind w:left="1080" w:hanging="720"/>
      </w:pPr>
      <w:rPr>
        <w:rFonts w:hint="default"/>
      </w:rPr>
    </w:lvl>
    <w:lvl w:ilvl="1" w:tplc="100C000F">
      <w:start w:val="1"/>
      <w:numFmt w:val="decimal"/>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5AB68AF"/>
    <w:multiLevelType w:val="hybridMultilevel"/>
    <w:tmpl w:val="B9045AE8"/>
    <w:lvl w:ilvl="0" w:tplc="4A949900">
      <w:numFmt w:val="bullet"/>
      <w:lvlText w:val="•"/>
      <w:lvlJc w:val="left"/>
      <w:pPr>
        <w:ind w:left="1440" w:hanging="720"/>
      </w:pPr>
      <w:rPr>
        <w:rFonts w:ascii="Calibri" w:eastAsia="Calibri"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1A05694F"/>
    <w:multiLevelType w:val="hybridMultilevel"/>
    <w:tmpl w:val="AF32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5989"/>
    <w:multiLevelType w:val="hybridMultilevel"/>
    <w:tmpl w:val="5B484F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F5E1932"/>
    <w:multiLevelType w:val="multilevel"/>
    <w:tmpl w:val="E402E0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B15F97"/>
    <w:multiLevelType w:val="hybridMultilevel"/>
    <w:tmpl w:val="47980E8E"/>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2555104"/>
    <w:multiLevelType w:val="hybridMultilevel"/>
    <w:tmpl w:val="82A0A0C4"/>
    <w:lvl w:ilvl="0" w:tplc="F1B2EF20">
      <w:start w:val="3"/>
      <w:numFmt w:val="bullet"/>
      <w:lvlText w:val="•"/>
      <w:lvlJc w:val="left"/>
      <w:pPr>
        <w:ind w:left="1080" w:hanging="72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2BF3EF5"/>
    <w:multiLevelType w:val="hybridMultilevel"/>
    <w:tmpl w:val="07164C2C"/>
    <w:lvl w:ilvl="0" w:tplc="4A949900">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EDD0438"/>
    <w:multiLevelType w:val="hybridMultilevel"/>
    <w:tmpl w:val="213EC7C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0641C15"/>
    <w:multiLevelType w:val="hybridMultilevel"/>
    <w:tmpl w:val="1C682D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2325392"/>
    <w:multiLevelType w:val="hybridMultilevel"/>
    <w:tmpl w:val="B7CEDEE4"/>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7FB5EF5"/>
    <w:multiLevelType w:val="hybridMultilevel"/>
    <w:tmpl w:val="3EA82E94"/>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8060159"/>
    <w:multiLevelType w:val="hybridMultilevel"/>
    <w:tmpl w:val="FE5CA8E8"/>
    <w:lvl w:ilvl="0" w:tplc="100C000F">
      <w:start w:val="1"/>
      <w:numFmt w:val="decimal"/>
      <w:lvlText w:val="%1."/>
      <w:lvlJc w:val="left"/>
      <w:pPr>
        <w:ind w:left="1080" w:hanging="720"/>
      </w:pPr>
      <w:rPr>
        <w:rFonts w:hint="default"/>
      </w:rPr>
    </w:lvl>
    <w:lvl w:ilvl="1" w:tplc="100C0011">
      <w:start w:val="1"/>
      <w:numFmt w:val="decimal"/>
      <w:lvlText w:val="%2)"/>
      <w:lvlJc w:val="left"/>
      <w:pPr>
        <w:ind w:left="1440" w:hanging="360"/>
      </w:pPr>
      <w:rPr>
        <w:rFonts w:hint="default"/>
        <w:b/>
        <w:i w:val="0"/>
        <w:color w:val="365F91" w:themeColor="accent1" w:themeShade="BF"/>
        <w:sz w:val="20"/>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84C7768"/>
    <w:multiLevelType w:val="hybridMultilevel"/>
    <w:tmpl w:val="2FF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F420C"/>
    <w:multiLevelType w:val="hybridMultilevel"/>
    <w:tmpl w:val="F86830FE"/>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A8A7875"/>
    <w:multiLevelType w:val="hybridMultilevel"/>
    <w:tmpl w:val="51E2CF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C49003F"/>
    <w:multiLevelType w:val="hybridMultilevel"/>
    <w:tmpl w:val="3AFAE7E2"/>
    <w:lvl w:ilvl="0" w:tplc="4A949900">
      <w:numFmt w:val="bullet"/>
      <w:lvlText w:val="•"/>
      <w:lvlJc w:val="left"/>
      <w:pPr>
        <w:ind w:left="1080" w:hanging="72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FDF132B"/>
    <w:multiLevelType w:val="hybridMultilevel"/>
    <w:tmpl w:val="FA74EB1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BF23E3F"/>
    <w:multiLevelType w:val="hybridMultilevel"/>
    <w:tmpl w:val="548ABFE6"/>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DDA5CB8"/>
    <w:multiLevelType w:val="hybridMultilevel"/>
    <w:tmpl w:val="908E3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2B3094"/>
    <w:multiLevelType w:val="multilevel"/>
    <w:tmpl w:val="3E547C1A"/>
    <w:numStyleLink w:val="SOPFormat"/>
  </w:abstractNum>
  <w:abstractNum w:abstractNumId="25" w15:restartNumberingAfterBreak="0">
    <w:nsid w:val="53FB029B"/>
    <w:multiLevelType w:val="hybridMultilevel"/>
    <w:tmpl w:val="7270D56C"/>
    <w:lvl w:ilvl="0" w:tplc="28FC8F5C">
      <w:start w:val="1"/>
      <w:numFmt w:val="decimal"/>
      <w:lvlText w:val="%1."/>
      <w:lvlJc w:val="left"/>
      <w:pPr>
        <w:ind w:left="720" w:hanging="360"/>
      </w:pPr>
      <w:rPr>
        <w:b/>
      </w:rPr>
    </w:lvl>
    <w:lvl w:ilvl="1" w:tplc="F3ACA29C">
      <w:start w:val="25"/>
      <w:numFmt w:val="bullet"/>
      <w:lvlText w:val="-"/>
      <w:lvlJc w:val="left"/>
      <w:pPr>
        <w:ind w:left="1440" w:hanging="360"/>
      </w:pPr>
      <w:rPr>
        <w:rFonts w:ascii="Calibri" w:eastAsia="Calibri" w:hAnsi="Calibri" w:cs="Calibri"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57814EC"/>
    <w:multiLevelType w:val="hybridMultilevel"/>
    <w:tmpl w:val="A4E8D5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94E4BF5"/>
    <w:multiLevelType w:val="hybridMultilevel"/>
    <w:tmpl w:val="E3B08CF6"/>
    <w:lvl w:ilvl="0" w:tplc="5A70F4A8">
      <w:start w:val="1"/>
      <w:numFmt w:val="bullet"/>
      <w:lvlText w:val="-"/>
      <w:lvlJc w:val="left"/>
      <w:pPr>
        <w:ind w:left="720" w:hanging="360"/>
      </w:pPr>
      <w:rPr>
        <w:rFonts w:ascii="Bookman Old Style" w:eastAsia="Times New Roman" w:hAnsi="Bookman Old Style"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A094F82"/>
    <w:multiLevelType w:val="hybridMultilevel"/>
    <w:tmpl w:val="DE481A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C531733"/>
    <w:multiLevelType w:val="hybridMultilevel"/>
    <w:tmpl w:val="5D84F7EA"/>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C877FDB"/>
    <w:multiLevelType w:val="multilevel"/>
    <w:tmpl w:val="3E547C1A"/>
    <w:styleLink w:val="SOPFormat"/>
    <w:lvl w:ilvl="0">
      <w:start w:val="1"/>
      <w:numFmt w:val="decimal"/>
      <w:pStyle w:val="Heading1"/>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A22725"/>
    <w:multiLevelType w:val="hybridMultilevel"/>
    <w:tmpl w:val="1C48513A"/>
    <w:lvl w:ilvl="0" w:tplc="100C000F">
      <w:start w:val="1"/>
      <w:numFmt w:val="decimal"/>
      <w:lvlText w:val="%1."/>
      <w:lvlJc w:val="left"/>
      <w:pPr>
        <w:ind w:left="1080" w:hanging="720"/>
      </w:pPr>
      <w:rPr>
        <w:rFonts w:hint="default"/>
      </w:rPr>
    </w:lvl>
    <w:lvl w:ilvl="1" w:tplc="4A949900">
      <w:numFmt w:val="bullet"/>
      <w:lvlText w:val="•"/>
      <w:lvlJc w:val="left"/>
      <w:pPr>
        <w:ind w:left="1440" w:hanging="360"/>
      </w:pPr>
      <w:rPr>
        <w:rFonts w:ascii="Calibri" w:eastAsia="Calibri" w:hAnsi="Calibri" w:cs="Calibri" w:hint="default"/>
      </w:rPr>
    </w:lvl>
    <w:lvl w:ilvl="2" w:tplc="100C000B">
      <w:start w:val="1"/>
      <w:numFmt w:val="bullet"/>
      <w:lvlText w:val=""/>
      <w:lvlJc w:val="left"/>
      <w:pPr>
        <w:ind w:left="2160" w:hanging="180"/>
      </w:pPr>
      <w:rPr>
        <w:rFonts w:ascii="Wingdings" w:hAnsi="Wingding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152579A"/>
    <w:multiLevelType w:val="hybridMultilevel"/>
    <w:tmpl w:val="F5324924"/>
    <w:lvl w:ilvl="0" w:tplc="F1B2EF20">
      <w:start w:val="3"/>
      <w:numFmt w:val="bullet"/>
      <w:lvlText w:val="•"/>
      <w:lvlJc w:val="left"/>
      <w:pPr>
        <w:ind w:left="1440" w:hanging="720"/>
      </w:pPr>
      <w:rPr>
        <w:rFonts w:ascii="Calibri" w:eastAsia="Calibri"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3" w15:restartNumberingAfterBreak="0">
    <w:nsid w:val="62860B7A"/>
    <w:multiLevelType w:val="hybridMultilevel"/>
    <w:tmpl w:val="DD1AD4C0"/>
    <w:lvl w:ilvl="0" w:tplc="4A949900">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59A17DE"/>
    <w:multiLevelType w:val="hybridMultilevel"/>
    <w:tmpl w:val="23E6977E"/>
    <w:lvl w:ilvl="0" w:tplc="100C000F">
      <w:start w:val="1"/>
      <w:numFmt w:val="decimal"/>
      <w:lvlText w:val="%1."/>
      <w:lvlJc w:val="left"/>
      <w:pPr>
        <w:ind w:left="1080" w:hanging="720"/>
      </w:pPr>
      <w:rPr>
        <w:rFonts w:hint="default"/>
      </w:rPr>
    </w:lvl>
    <w:lvl w:ilvl="1" w:tplc="4A949900">
      <w:numFmt w:val="bullet"/>
      <w:lvlText w:val="•"/>
      <w:lvlJc w:val="left"/>
      <w:pPr>
        <w:ind w:left="1440" w:hanging="360"/>
      </w:pPr>
      <w:rPr>
        <w:rFonts w:ascii="Calibri" w:eastAsia="Calibri" w:hAnsi="Calibri" w:cs="Calibri" w:hint="default"/>
      </w:rPr>
    </w:lvl>
    <w:lvl w:ilvl="2" w:tplc="100C000B">
      <w:start w:val="1"/>
      <w:numFmt w:val="bullet"/>
      <w:lvlText w:val=""/>
      <w:lvlJc w:val="left"/>
      <w:pPr>
        <w:ind w:left="2160" w:hanging="180"/>
      </w:pPr>
      <w:rPr>
        <w:rFonts w:ascii="Wingdings" w:hAnsi="Wingding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6A9367BA"/>
    <w:multiLevelType w:val="hybridMultilevel"/>
    <w:tmpl w:val="CDE8D57A"/>
    <w:lvl w:ilvl="0" w:tplc="2AF2E766">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BFB4C80"/>
    <w:multiLevelType w:val="hybridMultilevel"/>
    <w:tmpl w:val="23CA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B7A71"/>
    <w:multiLevelType w:val="hybridMultilevel"/>
    <w:tmpl w:val="261C80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090057D"/>
    <w:multiLevelType w:val="hybridMultilevel"/>
    <w:tmpl w:val="97DC5FEC"/>
    <w:lvl w:ilvl="0" w:tplc="5540FB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83E21B4"/>
    <w:multiLevelType w:val="hybridMultilevel"/>
    <w:tmpl w:val="51E88048"/>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BE14CBF"/>
    <w:multiLevelType w:val="hybridMultilevel"/>
    <w:tmpl w:val="EBC20D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8512906">
    <w:abstractNumId w:val="23"/>
  </w:num>
  <w:num w:numId="2" w16cid:durableId="1146513822">
    <w:abstractNumId w:val="26"/>
  </w:num>
  <w:num w:numId="3" w16cid:durableId="1606500529">
    <w:abstractNumId w:val="3"/>
  </w:num>
  <w:num w:numId="4" w16cid:durableId="259224665">
    <w:abstractNumId w:val="19"/>
  </w:num>
  <w:num w:numId="5" w16cid:durableId="63993486">
    <w:abstractNumId w:val="17"/>
  </w:num>
  <w:num w:numId="6" w16cid:durableId="1339308214">
    <w:abstractNumId w:val="35"/>
  </w:num>
  <w:num w:numId="7" w16cid:durableId="1339578820">
    <w:abstractNumId w:val="8"/>
  </w:num>
  <w:num w:numId="8" w16cid:durableId="360133323">
    <w:abstractNumId w:val="13"/>
  </w:num>
  <w:num w:numId="9" w16cid:durableId="2055807506">
    <w:abstractNumId w:val="11"/>
  </w:num>
  <w:num w:numId="10" w16cid:durableId="916866590">
    <w:abstractNumId w:val="27"/>
  </w:num>
  <w:num w:numId="11" w16cid:durableId="675378755">
    <w:abstractNumId w:val="25"/>
  </w:num>
  <w:num w:numId="12" w16cid:durableId="1427728036">
    <w:abstractNumId w:val="5"/>
  </w:num>
  <w:num w:numId="13" w16cid:durableId="1542284032">
    <w:abstractNumId w:val="37"/>
  </w:num>
  <w:num w:numId="14" w16cid:durableId="444203335">
    <w:abstractNumId w:val="0"/>
  </w:num>
  <w:num w:numId="15" w16cid:durableId="2000039857">
    <w:abstractNumId w:val="33"/>
  </w:num>
  <w:num w:numId="16" w16cid:durableId="1909728077">
    <w:abstractNumId w:val="20"/>
  </w:num>
  <w:num w:numId="17" w16cid:durableId="1687245538">
    <w:abstractNumId w:val="12"/>
  </w:num>
  <w:num w:numId="18" w16cid:durableId="2135170481">
    <w:abstractNumId w:val="31"/>
  </w:num>
  <w:num w:numId="19" w16cid:durableId="1365902418">
    <w:abstractNumId w:val="4"/>
  </w:num>
  <w:num w:numId="20" w16cid:durableId="92894727">
    <w:abstractNumId w:val="1"/>
  </w:num>
  <w:num w:numId="21" w16cid:durableId="1415512275">
    <w:abstractNumId w:val="36"/>
  </w:num>
  <w:num w:numId="22" w16cid:durableId="1575117224">
    <w:abstractNumId w:val="6"/>
  </w:num>
  <w:num w:numId="23" w16cid:durableId="1915966825">
    <w:abstractNumId w:val="34"/>
  </w:num>
  <w:num w:numId="24" w16cid:durableId="1806849935">
    <w:abstractNumId w:val="21"/>
  </w:num>
  <w:num w:numId="25" w16cid:durableId="428965679">
    <w:abstractNumId w:val="40"/>
  </w:num>
  <w:num w:numId="26" w16cid:durableId="2067755140">
    <w:abstractNumId w:val="9"/>
  </w:num>
  <w:num w:numId="27" w16cid:durableId="2032024332">
    <w:abstractNumId w:val="10"/>
  </w:num>
  <w:num w:numId="28" w16cid:durableId="335814904">
    <w:abstractNumId w:val="22"/>
  </w:num>
  <w:num w:numId="29" w16cid:durableId="654838304">
    <w:abstractNumId w:val="32"/>
  </w:num>
  <w:num w:numId="30" w16cid:durableId="289943466">
    <w:abstractNumId w:val="15"/>
  </w:num>
  <w:num w:numId="31" w16cid:durableId="340087225">
    <w:abstractNumId w:val="18"/>
  </w:num>
  <w:num w:numId="32" w16cid:durableId="1400514768">
    <w:abstractNumId w:val="14"/>
  </w:num>
  <w:num w:numId="33" w16cid:durableId="2045715046">
    <w:abstractNumId w:val="29"/>
  </w:num>
  <w:num w:numId="34" w16cid:durableId="892809501">
    <w:abstractNumId w:val="28"/>
  </w:num>
  <w:num w:numId="35" w16cid:durableId="60687589">
    <w:abstractNumId w:val="7"/>
  </w:num>
  <w:num w:numId="36" w16cid:durableId="1353650538">
    <w:abstractNumId w:val="16"/>
  </w:num>
  <w:num w:numId="37" w16cid:durableId="1044402643">
    <w:abstractNumId w:val="39"/>
  </w:num>
  <w:num w:numId="38" w16cid:durableId="256135956">
    <w:abstractNumId w:val="2"/>
  </w:num>
  <w:num w:numId="39" w16cid:durableId="829370494">
    <w:abstractNumId w:val="30"/>
    <w:lvlOverride w:ilvl="0">
      <w:lvl w:ilvl="0">
        <w:start w:val="1"/>
        <w:numFmt w:val="decimal"/>
        <w:pStyle w:val="Heading1"/>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595627375">
    <w:abstractNumId w:val="24"/>
  </w:num>
  <w:num w:numId="41" w16cid:durableId="185943380">
    <w:abstractNumId w:val="30"/>
  </w:num>
  <w:num w:numId="42" w16cid:durableId="1173834564">
    <w:abstractNumId w:val="30"/>
    <w:lvlOverride w:ilvl="0">
      <w:lvl w:ilvl="0">
        <w:start w:val="1"/>
        <w:numFmt w:val="decimal"/>
        <w:pStyle w:val="Heading1"/>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2281544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64"/>
    <w:rsid w:val="00005823"/>
    <w:rsid w:val="00021B3A"/>
    <w:rsid w:val="0002305E"/>
    <w:rsid w:val="00034864"/>
    <w:rsid w:val="000348A3"/>
    <w:rsid w:val="00040BB6"/>
    <w:rsid w:val="00044372"/>
    <w:rsid w:val="000453A4"/>
    <w:rsid w:val="00052147"/>
    <w:rsid w:val="00056716"/>
    <w:rsid w:val="00061F5E"/>
    <w:rsid w:val="00063F89"/>
    <w:rsid w:val="00072566"/>
    <w:rsid w:val="00093C3C"/>
    <w:rsid w:val="000A6C6B"/>
    <w:rsid w:val="000B056E"/>
    <w:rsid w:val="000B4632"/>
    <w:rsid w:val="000C42F3"/>
    <w:rsid w:val="000C69C1"/>
    <w:rsid w:val="000C6D8E"/>
    <w:rsid w:val="000D661A"/>
    <w:rsid w:val="000F1386"/>
    <w:rsid w:val="00110F41"/>
    <w:rsid w:val="00113801"/>
    <w:rsid w:val="001209FD"/>
    <w:rsid w:val="00141D3C"/>
    <w:rsid w:val="00143D6B"/>
    <w:rsid w:val="00144E63"/>
    <w:rsid w:val="001507CD"/>
    <w:rsid w:val="001549F5"/>
    <w:rsid w:val="00162242"/>
    <w:rsid w:val="00170059"/>
    <w:rsid w:val="00171CA9"/>
    <w:rsid w:val="001736A8"/>
    <w:rsid w:val="001808ED"/>
    <w:rsid w:val="001840B5"/>
    <w:rsid w:val="001913FC"/>
    <w:rsid w:val="00192295"/>
    <w:rsid w:val="001957EC"/>
    <w:rsid w:val="001B3072"/>
    <w:rsid w:val="001D402C"/>
    <w:rsid w:val="001D4289"/>
    <w:rsid w:val="001E4B3B"/>
    <w:rsid w:val="001E56C5"/>
    <w:rsid w:val="001E65A4"/>
    <w:rsid w:val="001F21DF"/>
    <w:rsid w:val="001F2C22"/>
    <w:rsid w:val="001F37CA"/>
    <w:rsid w:val="00202B53"/>
    <w:rsid w:val="00207CAF"/>
    <w:rsid w:val="002127E9"/>
    <w:rsid w:val="002169EE"/>
    <w:rsid w:val="00226724"/>
    <w:rsid w:val="00233638"/>
    <w:rsid w:val="002351C3"/>
    <w:rsid w:val="002360FF"/>
    <w:rsid w:val="00240162"/>
    <w:rsid w:val="00245E38"/>
    <w:rsid w:val="002665C0"/>
    <w:rsid w:val="00275A5F"/>
    <w:rsid w:val="0027659A"/>
    <w:rsid w:val="00281DEA"/>
    <w:rsid w:val="00296B6D"/>
    <w:rsid w:val="002A43B0"/>
    <w:rsid w:val="002A4994"/>
    <w:rsid w:val="002C57B6"/>
    <w:rsid w:val="002C6E57"/>
    <w:rsid w:val="002E49E3"/>
    <w:rsid w:val="00303351"/>
    <w:rsid w:val="00322890"/>
    <w:rsid w:val="00323F21"/>
    <w:rsid w:val="00326E24"/>
    <w:rsid w:val="00340594"/>
    <w:rsid w:val="00354662"/>
    <w:rsid w:val="00354A71"/>
    <w:rsid w:val="00356AE1"/>
    <w:rsid w:val="00364320"/>
    <w:rsid w:val="003647F7"/>
    <w:rsid w:val="003665AD"/>
    <w:rsid w:val="0038283D"/>
    <w:rsid w:val="00383A65"/>
    <w:rsid w:val="00385400"/>
    <w:rsid w:val="003E410E"/>
    <w:rsid w:val="003E619E"/>
    <w:rsid w:val="00423F3C"/>
    <w:rsid w:val="004245CA"/>
    <w:rsid w:val="004255E4"/>
    <w:rsid w:val="0042752D"/>
    <w:rsid w:val="00446D73"/>
    <w:rsid w:val="00447863"/>
    <w:rsid w:val="00456C8E"/>
    <w:rsid w:val="004724D7"/>
    <w:rsid w:val="00475E40"/>
    <w:rsid w:val="0048021C"/>
    <w:rsid w:val="00481323"/>
    <w:rsid w:val="00495E43"/>
    <w:rsid w:val="00496738"/>
    <w:rsid w:val="004A2BAA"/>
    <w:rsid w:val="004B1CEA"/>
    <w:rsid w:val="004B2107"/>
    <w:rsid w:val="004B2B91"/>
    <w:rsid w:val="004B7D47"/>
    <w:rsid w:val="004D42BB"/>
    <w:rsid w:val="004D5C3A"/>
    <w:rsid w:val="004D6C68"/>
    <w:rsid w:val="004E294D"/>
    <w:rsid w:val="004E2C27"/>
    <w:rsid w:val="004E3B33"/>
    <w:rsid w:val="0051586B"/>
    <w:rsid w:val="00521C32"/>
    <w:rsid w:val="005240E3"/>
    <w:rsid w:val="00533CEB"/>
    <w:rsid w:val="0053682F"/>
    <w:rsid w:val="0053767E"/>
    <w:rsid w:val="00542F78"/>
    <w:rsid w:val="0054623B"/>
    <w:rsid w:val="00554423"/>
    <w:rsid w:val="00577F7D"/>
    <w:rsid w:val="00581D3D"/>
    <w:rsid w:val="005829A9"/>
    <w:rsid w:val="00582D1C"/>
    <w:rsid w:val="00587B1E"/>
    <w:rsid w:val="00590833"/>
    <w:rsid w:val="00591D0A"/>
    <w:rsid w:val="00593773"/>
    <w:rsid w:val="005B0B2F"/>
    <w:rsid w:val="005B188E"/>
    <w:rsid w:val="005C28C9"/>
    <w:rsid w:val="005D07FF"/>
    <w:rsid w:val="005D106E"/>
    <w:rsid w:val="005E177E"/>
    <w:rsid w:val="005E5D81"/>
    <w:rsid w:val="005F151D"/>
    <w:rsid w:val="005F499B"/>
    <w:rsid w:val="00600625"/>
    <w:rsid w:val="006153C2"/>
    <w:rsid w:val="00615F37"/>
    <w:rsid w:val="00621DBB"/>
    <w:rsid w:val="0062426D"/>
    <w:rsid w:val="0062430A"/>
    <w:rsid w:val="00625AA2"/>
    <w:rsid w:val="00625C76"/>
    <w:rsid w:val="00644468"/>
    <w:rsid w:val="006473DE"/>
    <w:rsid w:val="006507C6"/>
    <w:rsid w:val="00652052"/>
    <w:rsid w:val="00653FDA"/>
    <w:rsid w:val="0066334D"/>
    <w:rsid w:val="00665693"/>
    <w:rsid w:val="00666D89"/>
    <w:rsid w:val="00674E88"/>
    <w:rsid w:val="00687B18"/>
    <w:rsid w:val="006B5BF4"/>
    <w:rsid w:val="006D0CA7"/>
    <w:rsid w:val="006D115D"/>
    <w:rsid w:val="006D6FEE"/>
    <w:rsid w:val="006E1C01"/>
    <w:rsid w:val="006F09B5"/>
    <w:rsid w:val="00700F8F"/>
    <w:rsid w:val="00701EA3"/>
    <w:rsid w:val="00731F44"/>
    <w:rsid w:val="00740AFC"/>
    <w:rsid w:val="00743B87"/>
    <w:rsid w:val="0074701E"/>
    <w:rsid w:val="00760406"/>
    <w:rsid w:val="007621E5"/>
    <w:rsid w:val="0076413B"/>
    <w:rsid w:val="00771E96"/>
    <w:rsid w:val="00771FAD"/>
    <w:rsid w:val="00772D00"/>
    <w:rsid w:val="00775ACB"/>
    <w:rsid w:val="00775BAB"/>
    <w:rsid w:val="00785EC3"/>
    <w:rsid w:val="00792B3B"/>
    <w:rsid w:val="00793073"/>
    <w:rsid w:val="007A1C80"/>
    <w:rsid w:val="007A43D1"/>
    <w:rsid w:val="007A592A"/>
    <w:rsid w:val="007A6320"/>
    <w:rsid w:val="007B4594"/>
    <w:rsid w:val="007C4AA9"/>
    <w:rsid w:val="007C5962"/>
    <w:rsid w:val="007E1BEB"/>
    <w:rsid w:val="007F160A"/>
    <w:rsid w:val="007F4731"/>
    <w:rsid w:val="007F4B3A"/>
    <w:rsid w:val="007F5D88"/>
    <w:rsid w:val="00800256"/>
    <w:rsid w:val="00802A5E"/>
    <w:rsid w:val="00803921"/>
    <w:rsid w:val="0082106D"/>
    <w:rsid w:val="00821334"/>
    <w:rsid w:val="00824BB7"/>
    <w:rsid w:val="008316C7"/>
    <w:rsid w:val="00832BDD"/>
    <w:rsid w:val="00832C23"/>
    <w:rsid w:val="00833620"/>
    <w:rsid w:val="008338FA"/>
    <w:rsid w:val="008362C5"/>
    <w:rsid w:val="00843F66"/>
    <w:rsid w:val="008440E3"/>
    <w:rsid w:val="0085293A"/>
    <w:rsid w:val="00865C8E"/>
    <w:rsid w:val="00865F2E"/>
    <w:rsid w:val="00874750"/>
    <w:rsid w:val="008921A0"/>
    <w:rsid w:val="008C2493"/>
    <w:rsid w:val="008C71E6"/>
    <w:rsid w:val="008E74C7"/>
    <w:rsid w:val="008F2F93"/>
    <w:rsid w:val="00911D14"/>
    <w:rsid w:val="0091566D"/>
    <w:rsid w:val="0093106B"/>
    <w:rsid w:val="00933BC8"/>
    <w:rsid w:val="009422E9"/>
    <w:rsid w:val="0094406F"/>
    <w:rsid w:val="00946AED"/>
    <w:rsid w:val="00946F1A"/>
    <w:rsid w:val="009504F5"/>
    <w:rsid w:val="009604FB"/>
    <w:rsid w:val="00964E43"/>
    <w:rsid w:val="00966AD5"/>
    <w:rsid w:val="009748A6"/>
    <w:rsid w:val="009773C0"/>
    <w:rsid w:val="00981623"/>
    <w:rsid w:val="00984F45"/>
    <w:rsid w:val="009866E9"/>
    <w:rsid w:val="00992A18"/>
    <w:rsid w:val="0099340C"/>
    <w:rsid w:val="009A65F5"/>
    <w:rsid w:val="009B01E9"/>
    <w:rsid w:val="009B61A7"/>
    <w:rsid w:val="009C16E8"/>
    <w:rsid w:val="009C6D61"/>
    <w:rsid w:val="009D0FEF"/>
    <w:rsid w:val="009E6FEF"/>
    <w:rsid w:val="009F1609"/>
    <w:rsid w:val="009F2FE3"/>
    <w:rsid w:val="009F3784"/>
    <w:rsid w:val="009F5B7A"/>
    <w:rsid w:val="009F680C"/>
    <w:rsid w:val="00A066F6"/>
    <w:rsid w:val="00A07615"/>
    <w:rsid w:val="00A13DDE"/>
    <w:rsid w:val="00A234FE"/>
    <w:rsid w:val="00A32BB3"/>
    <w:rsid w:val="00A356B5"/>
    <w:rsid w:val="00A4182E"/>
    <w:rsid w:val="00A53DFC"/>
    <w:rsid w:val="00A57BA3"/>
    <w:rsid w:val="00A62A7B"/>
    <w:rsid w:val="00A641B3"/>
    <w:rsid w:val="00A759F4"/>
    <w:rsid w:val="00A91F79"/>
    <w:rsid w:val="00AA0EA0"/>
    <w:rsid w:val="00AA1F17"/>
    <w:rsid w:val="00AA2180"/>
    <w:rsid w:val="00AA49ED"/>
    <w:rsid w:val="00AA75EB"/>
    <w:rsid w:val="00AC625D"/>
    <w:rsid w:val="00AD4345"/>
    <w:rsid w:val="00AD4975"/>
    <w:rsid w:val="00AF6591"/>
    <w:rsid w:val="00AF764E"/>
    <w:rsid w:val="00B02AFD"/>
    <w:rsid w:val="00B0470C"/>
    <w:rsid w:val="00B07129"/>
    <w:rsid w:val="00B10105"/>
    <w:rsid w:val="00B23840"/>
    <w:rsid w:val="00B23F89"/>
    <w:rsid w:val="00B32FA9"/>
    <w:rsid w:val="00B33B81"/>
    <w:rsid w:val="00B375AD"/>
    <w:rsid w:val="00B45582"/>
    <w:rsid w:val="00B516BA"/>
    <w:rsid w:val="00B523DF"/>
    <w:rsid w:val="00B52DE2"/>
    <w:rsid w:val="00B6735F"/>
    <w:rsid w:val="00B679A7"/>
    <w:rsid w:val="00B70786"/>
    <w:rsid w:val="00B72477"/>
    <w:rsid w:val="00B75A72"/>
    <w:rsid w:val="00B8067B"/>
    <w:rsid w:val="00B812C0"/>
    <w:rsid w:val="00B940A8"/>
    <w:rsid w:val="00BA65AF"/>
    <w:rsid w:val="00BB6AB6"/>
    <w:rsid w:val="00BC4387"/>
    <w:rsid w:val="00BD54E9"/>
    <w:rsid w:val="00BD5732"/>
    <w:rsid w:val="00BE7538"/>
    <w:rsid w:val="00BF2CDE"/>
    <w:rsid w:val="00BF5770"/>
    <w:rsid w:val="00C24A62"/>
    <w:rsid w:val="00C32CC8"/>
    <w:rsid w:val="00C40AFE"/>
    <w:rsid w:val="00C4226C"/>
    <w:rsid w:val="00C57054"/>
    <w:rsid w:val="00C63567"/>
    <w:rsid w:val="00C67AE1"/>
    <w:rsid w:val="00C82269"/>
    <w:rsid w:val="00C87953"/>
    <w:rsid w:val="00C95423"/>
    <w:rsid w:val="00CA258A"/>
    <w:rsid w:val="00CA3067"/>
    <w:rsid w:val="00CA4621"/>
    <w:rsid w:val="00CB42AE"/>
    <w:rsid w:val="00CC119C"/>
    <w:rsid w:val="00CC4C7F"/>
    <w:rsid w:val="00CD2F62"/>
    <w:rsid w:val="00CF02B4"/>
    <w:rsid w:val="00CF2831"/>
    <w:rsid w:val="00CF4FCC"/>
    <w:rsid w:val="00CF5A65"/>
    <w:rsid w:val="00CF7EB0"/>
    <w:rsid w:val="00D01439"/>
    <w:rsid w:val="00D01A3D"/>
    <w:rsid w:val="00D12300"/>
    <w:rsid w:val="00D135BA"/>
    <w:rsid w:val="00D36437"/>
    <w:rsid w:val="00D3688B"/>
    <w:rsid w:val="00D40CD4"/>
    <w:rsid w:val="00D426A1"/>
    <w:rsid w:val="00D51AC7"/>
    <w:rsid w:val="00D521BF"/>
    <w:rsid w:val="00D52507"/>
    <w:rsid w:val="00D61E58"/>
    <w:rsid w:val="00D62704"/>
    <w:rsid w:val="00D670CE"/>
    <w:rsid w:val="00D671FD"/>
    <w:rsid w:val="00D978C2"/>
    <w:rsid w:val="00DA0BE5"/>
    <w:rsid w:val="00DB4985"/>
    <w:rsid w:val="00DB6872"/>
    <w:rsid w:val="00DC6ABE"/>
    <w:rsid w:val="00DD18A1"/>
    <w:rsid w:val="00DD1AF4"/>
    <w:rsid w:val="00DE097F"/>
    <w:rsid w:val="00DE50F7"/>
    <w:rsid w:val="00E05BE0"/>
    <w:rsid w:val="00E11B1A"/>
    <w:rsid w:val="00E16EDE"/>
    <w:rsid w:val="00E51924"/>
    <w:rsid w:val="00E537DB"/>
    <w:rsid w:val="00E6705E"/>
    <w:rsid w:val="00E705A3"/>
    <w:rsid w:val="00E727A1"/>
    <w:rsid w:val="00E82BB1"/>
    <w:rsid w:val="00E90239"/>
    <w:rsid w:val="00EB658A"/>
    <w:rsid w:val="00EC235A"/>
    <w:rsid w:val="00ED69BE"/>
    <w:rsid w:val="00EE37CE"/>
    <w:rsid w:val="00EF5772"/>
    <w:rsid w:val="00EF7E30"/>
    <w:rsid w:val="00F037D2"/>
    <w:rsid w:val="00F04002"/>
    <w:rsid w:val="00F04ECF"/>
    <w:rsid w:val="00F0723F"/>
    <w:rsid w:val="00F22350"/>
    <w:rsid w:val="00F23C87"/>
    <w:rsid w:val="00F33D11"/>
    <w:rsid w:val="00F346D6"/>
    <w:rsid w:val="00F36D7E"/>
    <w:rsid w:val="00F41FE2"/>
    <w:rsid w:val="00F42F53"/>
    <w:rsid w:val="00F43260"/>
    <w:rsid w:val="00F43D5E"/>
    <w:rsid w:val="00F448DC"/>
    <w:rsid w:val="00F45793"/>
    <w:rsid w:val="00F45FF3"/>
    <w:rsid w:val="00F54ED6"/>
    <w:rsid w:val="00F61009"/>
    <w:rsid w:val="00F63BC8"/>
    <w:rsid w:val="00F71AB9"/>
    <w:rsid w:val="00F72D5B"/>
    <w:rsid w:val="00F83621"/>
    <w:rsid w:val="00F90D70"/>
    <w:rsid w:val="00F9623A"/>
    <w:rsid w:val="00FB2092"/>
    <w:rsid w:val="00FB7BBD"/>
    <w:rsid w:val="00FC5CA1"/>
    <w:rsid w:val="00FE14C8"/>
    <w:rsid w:val="00FE38D4"/>
    <w:rsid w:val="00FE4000"/>
    <w:rsid w:val="00FE7ABD"/>
    <w:rsid w:val="00FF0637"/>
    <w:rsid w:val="00FF09F5"/>
    <w:rsid w:val="00FF5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EADF"/>
  <w15:docId w15:val="{82A31AE6-F275-4B3B-B94B-936A636E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E6"/>
    <w:pPr>
      <w:spacing w:before="120" w:after="120" w:line="24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4B7D47"/>
    <w:pPr>
      <w:keepNext/>
      <w:keepLines/>
      <w:numPr>
        <w:numId w:val="39"/>
      </w:numPr>
      <w:spacing w:before="0" w:after="200" w:line="276" w:lineRule="auto"/>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D01A3D"/>
    <w:pPr>
      <w:keepNext/>
      <w:keepLines/>
      <w:numPr>
        <w:ilvl w:val="1"/>
        <w:numId w:val="39"/>
      </w:numPr>
      <w:spacing w:before="24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1E65A4"/>
    <w:pPr>
      <w:keepNext/>
      <w:keepLines/>
      <w:numPr>
        <w:ilvl w:val="2"/>
        <w:numId w:val="39"/>
      </w:numPr>
      <w:spacing w:after="80" w:line="276" w:lineRule="auto"/>
      <w:ind w:left="1224" w:hanging="504"/>
      <w:contextualSpacing/>
      <w:jc w:val="left"/>
      <w:outlineLvl w:val="2"/>
    </w:pPr>
    <w:rPr>
      <w:rFonts w:eastAsiaTheme="majorEastAsia" w:cstheme="majorBidi"/>
      <w:b/>
      <w:bCs/>
      <w:i/>
      <w:sz w:val="24"/>
    </w:rPr>
  </w:style>
  <w:style w:type="paragraph" w:styleId="Heading4">
    <w:name w:val="heading 4"/>
    <w:basedOn w:val="Normal"/>
    <w:next w:val="Normal"/>
    <w:link w:val="Heading4Char"/>
    <w:uiPriority w:val="9"/>
    <w:unhideWhenUsed/>
    <w:qFormat/>
    <w:rsid w:val="001E65A4"/>
    <w:pPr>
      <w:keepNext/>
      <w:keepLines/>
      <w:numPr>
        <w:ilvl w:val="3"/>
        <w:numId w:val="39"/>
      </w:numPr>
      <w:spacing w:before="200" w:after="0" w:line="276" w:lineRule="auto"/>
      <w:ind w:left="1800" w:hanging="720"/>
      <w:jc w:val="left"/>
      <w:outlineLvl w:val="3"/>
    </w:pPr>
    <w:rPr>
      <w:rFonts w:eastAsiaTheme="majorEastAsia" w:cstheme="majorBidi"/>
      <w:bCs/>
      <w:i/>
      <w:iCs/>
      <w:sz w:val="24"/>
      <w:u w:val="single"/>
    </w:rPr>
  </w:style>
  <w:style w:type="paragraph" w:styleId="Heading5">
    <w:name w:val="heading 5"/>
    <w:basedOn w:val="Normal"/>
    <w:next w:val="Normal"/>
    <w:link w:val="Heading5Char"/>
    <w:uiPriority w:val="9"/>
    <w:semiHidden/>
    <w:unhideWhenUsed/>
    <w:qFormat/>
    <w:rsid w:val="00D670C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70C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70C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70C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70C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864"/>
    <w:pPr>
      <w:tabs>
        <w:tab w:val="center" w:pos="4680"/>
        <w:tab w:val="right" w:pos="9360"/>
      </w:tabs>
      <w:spacing w:after="0"/>
    </w:pPr>
  </w:style>
  <w:style w:type="character" w:customStyle="1" w:styleId="HeaderChar">
    <w:name w:val="Header Char"/>
    <w:basedOn w:val="DefaultParagraphFont"/>
    <w:link w:val="Header"/>
    <w:uiPriority w:val="99"/>
    <w:rsid w:val="00034864"/>
    <w:rPr>
      <w:rFonts w:ascii="Calibri" w:eastAsia="Calibri" w:hAnsi="Calibri" w:cs="Times New Roman"/>
    </w:rPr>
  </w:style>
  <w:style w:type="paragraph" w:styleId="Footer">
    <w:name w:val="footer"/>
    <w:basedOn w:val="Normal"/>
    <w:link w:val="FooterChar"/>
    <w:uiPriority w:val="99"/>
    <w:unhideWhenUsed/>
    <w:rsid w:val="00034864"/>
    <w:pPr>
      <w:tabs>
        <w:tab w:val="center" w:pos="4680"/>
        <w:tab w:val="right" w:pos="9360"/>
      </w:tabs>
      <w:spacing w:after="0"/>
    </w:pPr>
  </w:style>
  <w:style w:type="character" w:customStyle="1" w:styleId="FooterChar">
    <w:name w:val="Footer Char"/>
    <w:basedOn w:val="DefaultParagraphFont"/>
    <w:link w:val="Footer"/>
    <w:uiPriority w:val="99"/>
    <w:rsid w:val="00034864"/>
    <w:rPr>
      <w:rFonts w:ascii="Calibri" w:eastAsia="Calibri" w:hAnsi="Calibri" w:cs="Times New Roman"/>
    </w:rPr>
  </w:style>
  <w:style w:type="table" w:styleId="TableGrid">
    <w:name w:val="Table Grid"/>
    <w:basedOn w:val="TableNormal"/>
    <w:rsid w:val="0003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7D47"/>
    <w:rPr>
      <w:rFonts w:ascii="Calibri" w:eastAsiaTheme="majorEastAsia" w:hAnsi="Calibri" w:cstheme="majorBidi"/>
      <w:b/>
      <w:bCs/>
      <w:sz w:val="36"/>
      <w:szCs w:val="28"/>
    </w:rPr>
  </w:style>
  <w:style w:type="paragraph" w:styleId="BalloonText">
    <w:name w:val="Balloon Text"/>
    <w:basedOn w:val="Normal"/>
    <w:link w:val="BalloonTextChar"/>
    <w:uiPriority w:val="99"/>
    <w:semiHidden/>
    <w:unhideWhenUsed/>
    <w:rsid w:val="00A62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7B"/>
    <w:rPr>
      <w:rFonts w:ascii="Tahoma" w:eastAsia="Calibri" w:hAnsi="Tahoma" w:cs="Tahoma"/>
      <w:sz w:val="16"/>
      <w:szCs w:val="16"/>
    </w:rPr>
  </w:style>
  <w:style w:type="character" w:customStyle="1" w:styleId="Heading2Char">
    <w:name w:val="Heading 2 Char"/>
    <w:basedOn w:val="DefaultParagraphFont"/>
    <w:link w:val="Heading2"/>
    <w:uiPriority w:val="9"/>
    <w:rsid w:val="00D01A3D"/>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1E65A4"/>
    <w:rPr>
      <w:rFonts w:ascii="Calibri" w:eastAsiaTheme="majorEastAsia" w:hAnsi="Calibri" w:cstheme="majorBidi"/>
      <w:b/>
      <w:bCs/>
      <w:i/>
      <w:sz w:val="24"/>
    </w:rPr>
  </w:style>
  <w:style w:type="character" w:customStyle="1" w:styleId="Heading4Char">
    <w:name w:val="Heading 4 Char"/>
    <w:basedOn w:val="DefaultParagraphFont"/>
    <w:link w:val="Heading4"/>
    <w:uiPriority w:val="9"/>
    <w:rsid w:val="001E65A4"/>
    <w:rPr>
      <w:rFonts w:ascii="Calibri" w:eastAsiaTheme="majorEastAsia" w:hAnsi="Calibri" w:cstheme="majorBidi"/>
      <w:bCs/>
      <w:i/>
      <w:iCs/>
      <w:sz w:val="24"/>
      <w:u w:val="single"/>
    </w:rPr>
  </w:style>
  <w:style w:type="character" w:customStyle="1" w:styleId="Heading5Char">
    <w:name w:val="Heading 5 Char"/>
    <w:basedOn w:val="DefaultParagraphFont"/>
    <w:link w:val="Heading5"/>
    <w:uiPriority w:val="9"/>
    <w:semiHidden/>
    <w:rsid w:val="00D670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70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70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70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70C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093C3C"/>
    <w:pPr>
      <w:ind w:left="720"/>
      <w:contextualSpacing/>
    </w:pPr>
  </w:style>
  <w:style w:type="paragraph" w:styleId="Caption">
    <w:name w:val="caption"/>
    <w:basedOn w:val="Normal"/>
    <w:next w:val="Normal"/>
    <w:uiPriority w:val="35"/>
    <w:unhideWhenUsed/>
    <w:qFormat/>
    <w:rsid w:val="002C6E57"/>
    <w:rPr>
      <w:b/>
      <w:bCs/>
      <w:sz w:val="20"/>
      <w:szCs w:val="20"/>
      <w:lang w:val="fr-CH"/>
    </w:rPr>
  </w:style>
  <w:style w:type="character" w:styleId="CommentReference">
    <w:name w:val="annotation reference"/>
    <w:basedOn w:val="DefaultParagraphFont"/>
    <w:semiHidden/>
    <w:unhideWhenUsed/>
    <w:rsid w:val="00B523DF"/>
    <w:rPr>
      <w:sz w:val="16"/>
      <w:szCs w:val="16"/>
    </w:rPr>
  </w:style>
  <w:style w:type="paragraph" w:styleId="CommentText">
    <w:name w:val="annotation text"/>
    <w:basedOn w:val="Normal"/>
    <w:link w:val="CommentTextChar"/>
    <w:uiPriority w:val="99"/>
    <w:unhideWhenUsed/>
    <w:rsid w:val="00B523DF"/>
    <w:rPr>
      <w:rFonts w:ascii="Arial" w:eastAsia="Times New Roman" w:hAnsi="Arial"/>
      <w:sz w:val="20"/>
      <w:szCs w:val="20"/>
    </w:rPr>
  </w:style>
  <w:style w:type="character" w:customStyle="1" w:styleId="CommentTextChar">
    <w:name w:val="Comment Text Char"/>
    <w:basedOn w:val="DefaultParagraphFont"/>
    <w:link w:val="CommentText"/>
    <w:uiPriority w:val="99"/>
    <w:rsid w:val="00B523DF"/>
    <w:rPr>
      <w:rFonts w:ascii="Arial" w:eastAsia="Times New Roman" w:hAnsi="Arial" w:cs="Times New Roman"/>
      <w:sz w:val="20"/>
      <w:szCs w:val="20"/>
    </w:rPr>
  </w:style>
  <w:style w:type="character" w:styleId="Hyperlink">
    <w:name w:val="Hyperlink"/>
    <w:basedOn w:val="DefaultParagraphFont"/>
    <w:uiPriority w:val="99"/>
    <w:rsid w:val="001549F5"/>
    <w:rPr>
      <w:rFonts w:cs="Times New Roman"/>
      <w:color w:val="0000FF"/>
      <w:u w:val="single"/>
    </w:rPr>
  </w:style>
  <w:style w:type="paragraph" w:customStyle="1" w:styleId="endTBNormal">
    <w:name w:val="endTB Normal"/>
    <w:basedOn w:val="Normal"/>
    <w:link w:val="endTBNormalChar"/>
    <w:uiPriority w:val="99"/>
    <w:rsid w:val="001549F5"/>
    <w:pPr>
      <w:widowControl w:val="0"/>
      <w:spacing w:before="240" w:after="240"/>
      <w:contextualSpacing/>
    </w:pPr>
    <w:rPr>
      <w:rFonts w:ascii="Times New Roman" w:eastAsia="PMingLiU" w:hAnsi="Times New Roman"/>
      <w:color w:val="000000"/>
      <w:szCs w:val="20"/>
    </w:rPr>
  </w:style>
  <w:style w:type="character" w:customStyle="1" w:styleId="endTBNormalChar">
    <w:name w:val="endTB Normal Char"/>
    <w:basedOn w:val="DefaultParagraphFont"/>
    <w:link w:val="endTBNormal"/>
    <w:uiPriority w:val="99"/>
    <w:locked/>
    <w:rsid w:val="001549F5"/>
    <w:rPr>
      <w:rFonts w:ascii="Times New Roman" w:eastAsia="PMingLiU" w:hAnsi="Times New Roman" w:cs="Times New Roman"/>
      <w:color w:val="000000"/>
      <w:szCs w:val="20"/>
    </w:rPr>
  </w:style>
  <w:style w:type="paragraph" w:styleId="CommentSubject">
    <w:name w:val="annotation subject"/>
    <w:basedOn w:val="CommentText"/>
    <w:next w:val="CommentText"/>
    <w:link w:val="CommentSubjectChar"/>
    <w:uiPriority w:val="99"/>
    <w:semiHidden/>
    <w:unhideWhenUsed/>
    <w:rsid w:val="00DC6ABE"/>
    <w:rPr>
      <w:rFonts w:ascii="Calibri" w:eastAsia="Calibri" w:hAnsi="Calibri"/>
      <w:b/>
      <w:bCs/>
    </w:rPr>
  </w:style>
  <w:style w:type="character" w:customStyle="1" w:styleId="CommentSubjectChar">
    <w:name w:val="Comment Subject Char"/>
    <w:basedOn w:val="CommentTextChar"/>
    <w:link w:val="CommentSubject"/>
    <w:uiPriority w:val="99"/>
    <w:semiHidden/>
    <w:rsid w:val="00DC6ABE"/>
    <w:rPr>
      <w:rFonts w:ascii="Calibri" w:eastAsia="Calibri" w:hAnsi="Calibri" w:cs="Times New Roman"/>
      <w:b/>
      <w:bCs/>
      <w:sz w:val="20"/>
      <w:szCs w:val="20"/>
    </w:rPr>
  </w:style>
  <w:style w:type="paragraph" w:customStyle="1" w:styleId="Default">
    <w:name w:val="Default"/>
    <w:rsid w:val="00D135BA"/>
    <w:pPr>
      <w:autoSpaceDE w:val="0"/>
      <w:autoSpaceDN w:val="0"/>
      <w:adjustRightInd w:val="0"/>
      <w:spacing w:after="0" w:line="240" w:lineRule="auto"/>
    </w:pPr>
    <w:rPr>
      <w:rFonts w:ascii="Times New Roman" w:hAnsi="Times New Roman" w:cs="Times New Roman"/>
      <w:color w:val="000000"/>
      <w:sz w:val="24"/>
      <w:szCs w:val="24"/>
      <w:lang w:val="fr-CH"/>
    </w:rPr>
  </w:style>
  <w:style w:type="paragraph" w:styleId="Revision">
    <w:name w:val="Revision"/>
    <w:hidden/>
    <w:uiPriority w:val="99"/>
    <w:semiHidden/>
    <w:rsid w:val="00F43260"/>
    <w:pPr>
      <w:spacing w:after="0" w:line="240" w:lineRule="auto"/>
    </w:pPr>
    <w:rPr>
      <w:rFonts w:ascii="Calibri" w:eastAsia="Calibri" w:hAnsi="Calibri" w:cs="Times New Roman"/>
    </w:rPr>
  </w:style>
  <w:style w:type="numbering" w:customStyle="1" w:styleId="SOPFormat">
    <w:name w:val="SOP Format"/>
    <w:basedOn w:val="NoList"/>
    <w:uiPriority w:val="99"/>
    <w:rsid w:val="00D01A3D"/>
    <w:pPr>
      <w:numPr>
        <w:numId w:val="41"/>
      </w:numPr>
    </w:pPr>
  </w:style>
  <w:style w:type="character" w:styleId="FollowedHyperlink">
    <w:name w:val="FollowedHyperlink"/>
    <w:basedOn w:val="DefaultParagraphFont"/>
    <w:uiPriority w:val="99"/>
    <w:semiHidden/>
    <w:unhideWhenUsed/>
    <w:rsid w:val="00775BAB"/>
    <w:rPr>
      <w:color w:val="800080" w:themeColor="followedHyperlink"/>
      <w:u w:val="single"/>
    </w:rPr>
  </w:style>
  <w:style w:type="character" w:customStyle="1" w:styleId="highlight">
    <w:name w:val="highlight"/>
    <w:basedOn w:val="DefaultParagraphFont"/>
    <w:rsid w:val="002169EE"/>
  </w:style>
  <w:style w:type="paragraph" w:styleId="TOCHeading">
    <w:name w:val="TOC Heading"/>
    <w:basedOn w:val="Heading1"/>
    <w:next w:val="Normal"/>
    <w:uiPriority w:val="39"/>
    <w:unhideWhenUsed/>
    <w:qFormat/>
    <w:rsid w:val="00A356B5"/>
    <w:pPr>
      <w:numPr>
        <w:numId w:val="0"/>
      </w:num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A356B5"/>
    <w:pPr>
      <w:spacing w:after="100"/>
    </w:pPr>
  </w:style>
  <w:style w:type="paragraph" w:styleId="TOC2">
    <w:name w:val="toc 2"/>
    <w:basedOn w:val="Normal"/>
    <w:next w:val="Normal"/>
    <w:autoRedefine/>
    <w:uiPriority w:val="39"/>
    <w:unhideWhenUsed/>
    <w:rsid w:val="00A356B5"/>
    <w:pPr>
      <w:spacing w:after="100"/>
      <w:ind w:left="220"/>
    </w:pPr>
  </w:style>
  <w:style w:type="paragraph" w:styleId="TOC3">
    <w:name w:val="toc 3"/>
    <w:basedOn w:val="Normal"/>
    <w:next w:val="Normal"/>
    <w:autoRedefine/>
    <w:uiPriority w:val="39"/>
    <w:unhideWhenUsed/>
    <w:rsid w:val="00A356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7400">
      <w:bodyDiv w:val="1"/>
      <w:marLeft w:val="0"/>
      <w:marRight w:val="0"/>
      <w:marTop w:val="0"/>
      <w:marBottom w:val="0"/>
      <w:divBdr>
        <w:top w:val="none" w:sz="0" w:space="0" w:color="auto"/>
        <w:left w:val="none" w:sz="0" w:space="0" w:color="auto"/>
        <w:bottom w:val="none" w:sz="0" w:space="0" w:color="auto"/>
        <w:right w:val="none" w:sz="0" w:space="0" w:color="auto"/>
      </w:divBdr>
      <w:divsChild>
        <w:div w:id="1518156778">
          <w:marLeft w:val="0"/>
          <w:marRight w:val="0"/>
          <w:marTop w:val="0"/>
          <w:marBottom w:val="0"/>
          <w:divBdr>
            <w:top w:val="none" w:sz="0" w:space="0" w:color="auto"/>
            <w:left w:val="none" w:sz="0" w:space="0" w:color="auto"/>
            <w:bottom w:val="none" w:sz="0" w:space="0" w:color="auto"/>
            <w:right w:val="none" w:sz="0" w:space="0" w:color="auto"/>
          </w:divBdr>
        </w:div>
        <w:div w:id="712735502">
          <w:marLeft w:val="0"/>
          <w:marRight w:val="0"/>
          <w:marTop w:val="0"/>
          <w:marBottom w:val="0"/>
          <w:divBdr>
            <w:top w:val="none" w:sz="0" w:space="0" w:color="auto"/>
            <w:left w:val="none" w:sz="0" w:space="0" w:color="auto"/>
            <w:bottom w:val="none" w:sz="0" w:space="0" w:color="auto"/>
            <w:right w:val="none" w:sz="0" w:space="0" w:color="auto"/>
          </w:divBdr>
        </w:div>
        <w:div w:id="1987709607">
          <w:marLeft w:val="0"/>
          <w:marRight w:val="0"/>
          <w:marTop w:val="0"/>
          <w:marBottom w:val="0"/>
          <w:divBdr>
            <w:top w:val="none" w:sz="0" w:space="0" w:color="auto"/>
            <w:left w:val="none" w:sz="0" w:space="0" w:color="auto"/>
            <w:bottom w:val="none" w:sz="0" w:space="0" w:color="auto"/>
            <w:right w:val="none" w:sz="0" w:space="0" w:color="auto"/>
          </w:divBdr>
        </w:div>
        <w:div w:id="1080366182">
          <w:marLeft w:val="0"/>
          <w:marRight w:val="0"/>
          <w:marTop w:val="0"/>
          <w:marBottom w:val="0"/>
          <w:divBdr>
            <w:top w:val="none" w:sz="0" w:space="0" w:color="auto"/>
            <w:left w:val="none" w:sz="0" w:space="0" w:color="auto"/>
            <w:bottom w:val="none" w:sz="0" w:space="0" w:color="auto"/>
            <w:right w:val="none" w:sz="0" w:space="0" w:color="auto"/>
          </w:divBdr>
        </w:div>
        <w:div w:id="296761896">
          <w:marLeft w:val="0"/>
          <w:marRight w:val="0"/>
          <w:marTop w:val="0"/>
          <w:marBottom w:val="0"/>
          <w:divBdr>
            <w:top w:val="none" w:sz="0" w:space="0" w:color="auto"/>
            <w:left w:val="none" w:sz="0" w:space="0" w:color="auto"/>
            <w:bottom w:val="none" w:sz="0" w:space="0" w:color="auto"/>
            <w:right w:val="none" w:sz="0" w:space="0" w:color="auto"/>
          </w:divBdr>
        </w:div>
        <w:div w:id="752094974">
          <w:marLeft w:val="0"/>
          <w:marRight w:val="0"/>
          <w:marTop w:val="0"/>
          <w:marBottom w:val="0"/>
          <w:divBdr>
            <w:top w:val="none" w:sz="0" w:space="0" w:color="auto"/>
            <w:left w:val="none" w:sz="0" w:space="0" w:color="auto"/>
            <w:bottom w:val="none" w:sz="0" w:space="0" w:color="auto"/>
            <w:right w:val="none" w:sz="0" w:space="0" w:color="auto"/>
          </w:divBdr>
        </w:div>
        <w:div w:id="599879366">
          <w:marLeft w:val="0"/>
          <w:marRight w:val="0"/>
          <w:marTop w:val="0"/>
          <w:marBottom w:val="0"/>
          <w:divBdr>
            <w:top w:val="none" w:sz="0" w:space="0" w:color="auto"/>
            <w:left w:val="none" w:sz="0" w:space="0" w:color="auto"/>
            <w:bottom w:val="none" w:sz="0" w:space="0" w:color="auto"/>
            <w:right w:val="none" w:sz="0" w:space="0" w:color="auto"/>
          </w:divBdr>
        </w:div>
        <w:div w:id="1319310404">
          <w:marLeft w:val="0"/>
          <w:marRight w:val="0"/>
          <w:marTop w:val="0"/>
          <w:marBottom w:val="0"/>
          <w:divBdr>
            <w:top w:val="none" w:sz="0" w:space="0" w:color="auto"/>
            <w:left w:val="none" w:sz="0" w:space="0" w:color="auto"/>
            <w:bottom w:val="none" w:sz="0" w:space="0" w:color="auto"/>
            <w:right w:val="none" w:sz="0" w:space="0" w:color="auto"/>
          </w:divBdr>
        </w:div>
        <w:div w:id="61488869">
          <w:marLeft w:val="0"/>
          <w:marRight w:val="0"/>
          <w:marTop w:val="0"/>
          <w:marBottom w:val="0"/>
          <w:divBdr>
            <w:top w:val="none" w:sz="0" w:space="0" w:color="auto"/>
            <w:left w:val="none" w:sz="0" w:space="0" w:color="auto"/>
            <w:bottom w:val="none" w:sz="0" w:space="0" w:color="auto"/>
            <w:right w:val="none" w:sz="0" w:space="0" w:color="auto"/>
          </w:divBdr>
        </w:div>
        <w:div w:id="1810240890">
          <w:marLeft w:val="0"/>
          <w:marRight w:val="0"/>
          <w:marTop w:val="0"/>
          <w:marBottom w:val="0"/>
          <w:divBdr>
            <w:top w:val="none" w:sz="0" w:space="0" w:color="auto"/>
            <w:left w:val="none" w:sz="0" w:space="0" w:color="auto"/>
            <w:bottom w:val="none" w:sz="0" w:space="0" w:color="auto"/>
            <w:right w:val="none" w:sz="0" w:space="0" w:color="auto"/>
          </w:divBdr>
        </w:div>
        <w:div w:id="2755632">
          <w:marLeft w:val="0"/>
          <w:marRight w:val="0"/>
          <w:marTop w:val="0"/>
          <w:marBottom w:val="0"/>
          <w:divBdr>
            <w:top w:val="none" w:sz="0" w:space="0" w:color="auto"/>
            <w:left w:val="none" w:sz="0" w:space="0" w:color="auto"/>
            <w:bottom w:val="none" w:sz="0" w:space="0" w:color="auto"/>
            <w:right w:val="none" w:sz="0" w:space="0" w:color="auto"/>
          </w:divBdr>
        </w:div>
        <w:div w:id="232399887">
          <w:marLeft w:val="0"/>
          <w:marRight w:val="0"/>
          <w:marTop w:val="0"/>
          <w:marBottom w:val="0"/>
          <w:divBdr>
            <w:top w:val="none" w:sz="0" w:space="0" w:color="auto"/>
            <w:left w:val="none" w:sz="0" w:space="0" w:color="auto"/>
            <w:bottom w:val="none" w:sz="0" w:space="0" w:color="auto"/>
            <w:right w:val="none" w:sz="0" w:space="0" w:color="auto"/>
          </w:divBdr>
        </w:div>
        <w:div w:id="1741100973">
          <w:marLeft w:val="0"/>
          <w:marRight w:val="0"/>
          <w:marTop w:val="0"/>
          <w:marBottom w:val="0"/>
          <w:divBdr>
            <w:top w:val="none" w:sz="0" w:space="0" w:color="auto"/>
            <w:left w:val="none" w:sz="0" w:space="0" w:color="auto"/>
            <w:bottom w:val="none" w:sz="0" w:space="0" w:color="auto"/>
            <w:right w:val="none" w:sz="0" w:space="0" w:color="auto"/>
          </w:divBdr>
        </w:div>
        <w:div w:id="1748577292">
          <w:marLeft w:val="0"/>
          <w:marRight w:val="0"/>
          <w:marTop w:val="0"/>
          <w:marBottom w:val="0"/>
          <w:divBdr>
            <w:top w:val="none" w:sz="0" w:space="0" w:color="auto"/>
            <w:left w:val="none" w:sz="0" w:space="0" w:color="auto"/>
            <w:bottom w:val="none" w:sz="0" w:space="0" w:color="auto"/>
            <w:right w:val="none" w:sz="0" w:space="0" w:color="auto"/>
          </w:divBdr>
        </w:div>
        <w:div w:id="1605914592">
          <w:marLeft w:val="0"/>
          <w:marRight w:val="0"/>
          <w:marTop w:val="0"/>
          <w:marBottom w:val="0"/>
          <w:divBdr>
            <w:top w:val="none" w:sz="0" w:space="0" w:color="auto"/>
            <w:left w:val="none" w:sz="0" w:space="0" w:color="auto"/>
            <w:bottom w:val="none" w:sz="0" w:space="0" w:color="auto"/>
            <w:right w:val="none" w:sz="0" w:space="0" w:color="auto"/>
          </w:divBdr>
        </w:div>
        <w:div w:id="1381899033">
          <w:marLeft w:val="0"/>
          <w:marRight w:val="0"/>
          <w:marTop w:val="0"/>
          <w:marBottom w:val="0"/>
          <w:divBdr>
            <w:top w:val="none" w:sz="0" w:space="0" w:color="auto"/>
            <w:left w:val="none" w:sz="0" w:space="0" w:color="auto"/>
            <w:bottom w:val="none" w:sz="0" w:space="0" w:color="auto"/>
            <w:right w:val="none" w:sz="0" w:space="0" w:color="auto"/>
          </w:divBdr>
        </w:div>
        <w:div w:id="242880458">
          <w:marLeft w:val="0"/>
          <w:marRight w:val="0"/>
          <w:marTop w:val="0"/>
          <w:marBottom w:val="0"/>
          <w:divBdr>
            <w:top w:val="none" w:sz="0" w:space="0" w:color="auto"/>
            <w:left w:val="none" w:sz="0" w:space="0" w:color="auto"/>
            <w:bottom w:val="none" w:sz="0" w:space="0" w:color="auto"/>
            <w:right w:val="none" w:sz="0" w:space="0" w:color="auto"/>
          </w:divBdr>
        </w:div>
        <w:div w:id="1188250186">
          <w:marLeft w:val="0"/>
          <w:marRight w:val="0"/>
          <w:marTop w:val="0"/>
          <w:marBottom w:val="0"/>
          <w:divBdr>
            <w:top w:val="none" w:sz="0" w:space="0" w:color="auto"/>
            <w:left w:val="none" w:sz="0" w:space="0" w:color="auto"/>
            <w:bottom w:val="none" w:sz="0" w:space="0" w:color="auto"/>
            <w:right w:val="none" w:sz="0" w:space="0" w:color="auto"/>
          </w:divBdr>
        </w:div>
        <w:div w:id="450443399">
          <w:marLeft w:val="0"/>
          <w:marRight w:val="0"/>
          <w:marTop w:val="0"/>
          <w:marBottom w:val="0"/>
          <w:divBdr>
            <w:top w:val="none" w:sz="0" w:space="0" w:color="auto"/>
            <w:left w:val="none" w:sz="0" w:space="0" w:color="auto"/>
            <w:bottom w:val="none" w:sz="0" w:space="0" w:color="auto"/>
            <w:right w:val="none" w:sz="0" w:space="0" w:color="auto"/>
          </w:divBdr>
        </w:div>
        <w:div w:id="614144512">
          <w:marLeft w:val="0"/>
          <w:marRight w:val="0"/>
          <w:marTop w:val="0"/>
          <w:marBottom w:val="0"/>
          <w:divBdr>
            <w:top w:val="none" w:sz="0" w:space="0" w:color="auto"/>
            <w:left w:val="none" w:sz="0" w:space="0" w:color="auto"/>
            <w:bottom w:val="none" w:sz="0" w:space="0" w:color="auto"/>
            <w:right w:val="none" w:sz="0" w:space="0" w:color="auto"/>
          </w:divBdr>
        </w:div>
      </w:divsChild>
    </w:div>
    <w:div w:id="259417926">
      <w:bodyDiv w:val="1"/>
      <w:marLeft w:val="0"/>
      <w:marRight w:val="0"/>
      <w:marTop w:val="0"/>
      <w:marBottom w:val="0"/>
      <w:divBdr>
        <w:top w:val="none" w:sz="0" w:space="0" w:color="auto"/>
        <w:left w:val="none" w:sz="0" w:space="0" w:color="auto"/>
        <w:bottom w:val="none" w:sz="0" w:space="0" w:color="auto"/>
        <w:right w:val="none" w:sz="0" w:space="0" w:color="auto"/>
      </w:divBdr>
      <w:divsChild>
        <w:div w:id="690572230">
          <w:marLeft w:val="0"/>
          <w:marRight w:val="0"/>
          <w:marTop w:val="0"/>
          <w:marBottom w:val="0"/>
          <w:divBdr>
            <w:top w:val="none" w:sz="0" w:space="0" w:color="auto"/>
            <w:left w:val="none" w:sz="0" w:space="0" w:color="auto"/>
            <w:bottom w:val="none" w:sz="0" w:space="0" w:color="auto"/>
            <w:right w:val="none" w:sz="0" w:space="0" w:color="auto"/>
          </w:divBdr>
        </w:div>
        <w:div w:id="248202740">
          <w:marLeft w:val="0"/>
          <w:marRight w:val="0"/>
          <w:marTop w:val="0"/>
          <w:marBottom w:val="0"/>
          <w:divBdr>
            <w:top w:val="none" w:sz="0" w:space="0" w:color="auto"/>
            <w:left w:val="none" w:sz="0" w:space="0" w:color="auto"/>
            <w:bottom w:val="none" w:sz="0" w:space="0" w:color="auto"/>
            <w:right w:val="none" w:sz="0" w:space="0" w:color="auto"/>
          </w:divBdr>
        </w:div>
        <w:div w:id="883563225">
          <w:marLeft w:val="0"/>
          <w:marRight w:val="0"/>
          <w:marTop w:val="0"/>
          <w:marBottom w:val="0"/>
          <w:divBdr>
            <w:top w:val="none" w:sz="0" w:space="0" w:color="auto"/>
            <w:left w:val="none" w:sz="0" w:space="0" w:color="auto"/>
            <w:bottom w:val="none" w:sz="0" w:space="0" w:color="auto"/>
            <w:right w:val="none" w:sz="0" w:space="0" w:color="auto"/>
          </w:divBdr>
        </w:div>
        <w:div w:id="59836149">
          <w:marLeft w:val="0"/>
          <w:marRight w:val="0"/>
          <w:marTop w:val="0"/>
          <w:marBottom w:val="0"/>
          <w:divBdr>
            <w:top w:val="none" w:sz="0" w:space="0" w:color="auto"/>
            <w:left w:val="none" w:sz="0" w:space="0" w:color="auto"/>
            <w:bottom w:val="none" w:sz="0" w:space="0" w:color="auto"/>
            <w:right w:val="none" w:sz="0" w:space="0" w:color="auto"/>
          </w:divBdr>
        </w:div>
        <w:div w:id="1878396834">
          <w:marLeft w:val="0"/>
          <w:marRight w:val="0"/>
          <w:marTop w:val="0"/>
          <w:marBottom w:val="0"/>
          <w:divBdr>
            <w:top w:val="none" w:sz="0" w:space="0" w:color="auto"/>
            <w:left w:val="none" w:sz="0" w:space="0" w:color="auto"/>
            <w:bottom w:val="none" w:sz="0" w:space="0" w:color="auto"/>
            <w:right w:val="none" w:sz="0" w:space="0" w:color="auto"/>
          </w:divBdr>
        </w:div>
        <w:div w:id="1276060855">
          <w:marLeft w:val="0"/>
          <w:marRight w:val="0"/>
          <w:marTop w:val="0"/>
          <w:marBottom w:val="0"/>
          <w:divBdr>
            <w:top w:val="none" w:sz="0" w:space="0" w:color="auto"/>
            <w:left w:val="none" w:sz="0" w:space="0" w:color="auto"/>
            <w:bottom w:val="none" w:sz="0" w:space="0" w:color="auto"/>
            <w:right w:val="none" w:sz="0" w:space="0" w:color="auto"/>
          </w:divBdr>
        </w:div>
        <w:div w:id="421341450">
          <w:marLeft w:val="0"/>
          <w:marRight w:val="0"/>
          <w:marTop w:val="0"/>
          <w:marBottom w:val="0"/>
          <w:divBdr>
            <w:top w:val="none" w:sz="0" w:space="0" w:color="auto"/>
            <w:left w:val="none" w:sz="0" w:space="0" w:color="auto"/>
            <w:bottom w:val="none" w:sz="0" w:space="0" w:color="auto"/>
            <w:right w:val="none" w:sz="0" w:space="0" w:color="auto"/>
          </w:divBdr>
        </w:div>
        <w:div w:id="22942149">
          <w:marLeft w:val="0"/>
          <w:marRight w:val="0"/>
          <w:marTop w:val="0"/>
          <w:marBottom w:val="0"/>
          <w:divBdr>
            <w:top w:val="none" w:sz="0" w:space="0" w:color="auto"/>
            <w:left w:val="none" w:sz="0" w:space="0" w:color="auto"/>
            <w:bottom w:val="none" w:sz="0" w:space="0" w:color="auto"/>
            <w:right w:val="none" w:sz="0" w:space="0" w:color="auto"/>
          </w:divBdr>
        </w:div>
        <w:div w:id="1172336227">
          <w:marLeft w:val="0"/>
          <w:marRight w:val="0"/>
          <w:marTop w:val="0"/>
          <w:marBottom w:val="0"/>
          <w:divBdr>
            <w:top w:val="none" w:sz="0" w:space="0" w:color="auto"/>
            <w:left w:val="none" w:sz="0" w:space="0" w:color="auto"/>
            <w:bottom w:val="none" w:sz="0" w:space="0" w:color="auto"/>
            <w:right w:val="none" w:sz="0" w:space="0" w:color="auto"/>
          </w:divBdr>
        </w:div>
        <w:div w:id="1971354470">
          <w:marLeft w:val="0"/>
          <w:marRight w:val="0"/>
          <w:marTop w:val="0"/>
          <w:marBottom w:val="0"/>
          <w:divBdr>
            <w:top w:val="none" w:sz="0" w:space="0" w:color="auto"/>
            <w:left w:val="none" w:sz="0" w:space="0" w:color="auto"/>
            <w:bottom w:val="none" w:sz="0" w:space="0" w:color="auto"/>
            <w:right w:val="none" w:sz="0" w:space="0" w:color="auto"/>
          </w:divBdr>
        </w:div>
        <w:div w:id="754784518">
          <w:marLeft w:val="0"/>
          <w:marRight w:val="0"/>
          <w:marTop w:val="0"/>
          <w:marBottom w:val="0"/>
          <w:divBdr>
            <w:top w:val="none" w:sz="0" w:space="0" w:color="auto"/>
            <w:left w:val="none" w:sz="0" w:space="0" w:color="auto"/>
            <w:bottom w:val="none" w:sz="0" w:space="0" w:color="auto"/>
            <w:right w:val="none" w:sz="0" w:space="0" w:color="auto"/>
          </w:divBdr>
        </w:div>
        <w:div w:id="2092848371">
          <w:marLeft w:val="0"/>
          <w:marRight w:val="0"/>
          <w:marTop w:val="0"/>
          <w:marBottom w:val="0"/>
          <w:divBdr>
            <w:top w:val="none" w:sz="0" w:space="0" w:color="auto"/>
            <w:left w:val="none" w:sz="0" w:space="0" w:color="auto"/>
            <w:bottom w:val="none" w:sz="0" w:space="0" w:color="auto"/>
            <w:right w:val="none" w:sz="0" w:space="0" w:color="auto"/>
          </w:divBdr>
        </w:div>
        <w:div w:id="2129157947">
          <w:marLeft w:val="0"/>
          <w:marRight w:val="0"/>
          <w:marTop w:val="0"/>
          <w:marBottom w:val="0"/>
          <w:divBdr>
            <w:top w:val="none" w:sz="0" w:space="0" w:color="auto"/>
            <w:left w:val="none" w:sz="0" w:space="0" w:color="auto"/>
            <w:bottom w:val="none" w:sz="0" w:space="0" w:color="auto"/>
            <w:right w:val="none" w:sz="0" w:space="0" w:color="auto"/>
          </w:divBdr>
        </w:div>
        <w:div w:id="1947499425">
          <w:marLeft w:val="0"/>
          <w:marRight w:val="0"/>
          <w:marTop w:val="0"/>
          <w:marBottom w:val="0"/>
          <w:divBdr>
            <w:top w:val="none" w:sz="0" w:space="0" w:color="auto"/>
            <w:left w:val="none" w:sz="0" w:space="0" w:color="auto"/>
            <w:bottom w:val="none" w:sz="0" w:space="0" w:color="auto"/>
            <w:right w:val="none" w:sz="0" w:space="0" w:color="auto"/>
          </w:divBdr>
        </w:div>
      </w:divsChild>
    </w:div>
    <w:div w:id="1124155766">
      <w:bodyDiv w:val="1"/>
      <w:marLeft w:val="0"/>
      <w:marRight w:val="0"/>
      <w:marTop w:val="0"/>
      <w:marBottom w:val="0"/>
      <w:divBdr>
        <w:top w:val="none" w:sz="0" w:space="0" w:color="auto"/>
        <w:left w:val="none" w:sz="0" w:space="0" w:color="auto"/>
        <w:bottom w:val="none" w:sz="0" w:space="0" w:color="auto"/>
        <w:right w:val="none" w:sz="0" w:space="0" w:color="auto"/>
      </w:divBdr>
      <w:divsChild>
        <w:div w:id="973869220">
          <w:marLeft w:val="0"/>
          <w:marRight w:val="0"/>
          <w:marTop w:val="0"/>
          <w:marBottom w:val="0"/>
          <w:divBdr>
            <w:top w:val="none" w:sz="0" w:space="0" w:color="auto"/>
            <w:left w:val="none" w:sz="0" w:space="0" w:color="auto"/>
            <w:bottom w:val="none" w:sz="0" w:space="0" w:color="auto"/>
            <w:right w:val="none" w:sz="0" w:space="0" w:color="auto"/>
          </w:divBdr>
        </w:div>
        <w:div w:id="2142378133">
          <w:marLeft w:val="0"/>
          <w:marRight w:val="0"/>
          <w:marTop w:val="0"/>
          <w:marBottom w:val="0"/>
          <w:divBdr>
            <w:top w:val="none" w:sz="0" w:space="0" w:color="auto"/>
            <w:left w:val="none" w:sz="0" w:space="0" w:color="auto"/>
            <w:bottom w:val="none" w:sz="0" w:space="0" w:color="auto"/>
            <w:right w:val="none" w:sz="0" w:space="0" w:color="auto"/>
          </w:divBdr>
        </w:div>
        <w:div w:id="401562487">
          <w:marLeft w:val="0"/>
          <w:marRight w:val="0"/>
          <w:marTop w:val="0"/>
          <w:marBottom w:val="0"/>
          <w:divBdr>
            <w:top w:val="none" w:sz="0" w:space="0" w:color="auto"/>
            <w:left w:val="none" w:sz="0" w:space="0" w:color="auto"/>
            <w:bottom w:val="none" w:sz="0" w:space="0" w:color="auto"/>
            <w:right w:val="none" w:sz="0" w:space="0" w:color="auto"/>
          </w:divBdr>
        </w:div>
        <w:div w:id="146433570">
          <w:marLeft w:val="0"/>
          <w:marRight w:val="0"/>
          <w:marTop w:val="0"/>
          <w:marBottom w:val="0"/>
          <w:divBdr>
            <w:top w:val="none" w:sz="0" w:space="0" w:color="auto"/>
            <w:left w:val="none" w:sz="0" w:space="0" w:color="auto"/>
            <w:bottom w:val="none" w:sz="0" w:space="0" w:color="auto"/>
            <w:right w:val="none" w:sz="0" w:space="0" w:color="auto"/>
          </w:divBdr>
        </w:div>
        <w:div w:id="1578706823">
          <w:marLeft w:val="0"/>
          <w:marRight w:val="0"/>
          <w:marTop w:val="0"/>
          <w:marBottom w:val="0"/>
          <w:divBdr>
            <w:top w:val="none" w:sz="0" w:space="0" w:color="auto"/>
            <w:left w:val="none" w:sz="0" w:space="0" w:color="auto"/>
            <w:bottom w:val="none" w:sz="0" w:space="0" w:color="auto"/>
            <w:right w:val="none" w:sz="0" w:space="0" w:color="auto"/>
          </w:divBdr>
        </w:div>
        <w:div w:id="133452824">
          <w:marLeft w:val="0"/>
          <w:marRight w:val="0"/>
          <w:marTop w:val="0"/>
          <w:marBottom w:val="0"/>
          <w:divBdr>
            <w:top w:val="none" w:sz="0" w:space="0" w:color="auto"/>
            <w:left w:val="none" w:sz="0" w:space="0" w:color="auto"/>
            <w:bottom w:val="none" w:sz="0" w:space="0" w:color="auto"/>
            <w:right w:val="none" w:sz="0" w:space="0" w:color="auto"/>
          </w:divBdr>
        </w:div>
        <w:div w:id="737627937">
          <w:marLeft w:val="0"/>
          <w:marRight w:val="0"/>
          <w:marTop w:val="0"/>
          <w:marBottom w:val="0"/>
          <w:divBdr>
            <w:top w:val="none" w:sz="0" w:space="0" w:color="auto"/>
            <w:left w:val="none" w:sz="0" w:space="0" w:color="auto"/>
            <w:bottom w:val="none" w:sz="0" w:space="0" w:color="auto"/>
            <w:right w:val="none" w:sz="0" w:space="0" w:color="auto"/>
          </w:divBdr>
        </w:div>
        <w:div w:id="939407300">
          <w:marLeft w:val="0"/>
          <w:marRight w:val="0"/>
          <w:marTop w:val="0"/>
          <w:marBottom w:val="0"/>
          <w:divBdr>
            <w:top w:val="none" w:sz="0" w:space="0" w:color="auto"/>
            <w:left w:val="none" w:sz="0" w:space="0" w:color="auto"/>
            <w:bottom w:val="none" w:sz="0" w:space="0" w:color="auto"/>
            <w:right w:val="none" w:sz="0" w:space="0" w:color="auto"/>
          </w:divBdr>
        </w:div>
        <w:div w:id="2049867694">
          <w:marLeft w:val="0"/>
          <w:marRight w:val="0"/>
          <w:marTop w:val="0"/>
          <w:marBottom w:val="0"/>
          <w:divBdr>
            <w:top w:val="none" w:sz="0" w:space="0" w:color="auto"/>
            <w:left w:val="none" w:sz="0" w:space="0" w:color="auto"/>
            <w:bottom w:val="none" w:sz="0" w:space="0" w:color="auto"/>
            <w:right w:val="none" w:sz="0" w:space="0" w:color="auto"/>
          </w:divBdr>
        </w:div>
        <w:div w:id="1728071347">
          <w:marLeft w:val="0"/>
          <w:marRight w:val="0"/>
          <w:marTop w:val="0"/>
          <w:marBottom w:val="0"/>
          <w:divBdr>
            <w:top w:val="none" w:sz="0" w:space="0" w:color="auto"/>
            <w:left w:val="none" w:sz="0" w:space="0" w:color="auto"/>
            <w:bottom w:val="none" w:sz="0" w:space="0" w:color="auto"/>
            <w:right w:val="none" w:sz="0" w:space="0" w:color="auto"/>
          </w:divBdr>
        </w:div>
        <w:div w:id="1892686680">
          <w:marLeft w:val="0"/>
          <w:marRight w:val="0"/>
          <w:marTop w:val="0"/>
          <w:marBottom w:val="0"/>
          <w:divBdr>
            <w:top w:val="none" w:sz="0" w:space="0" w:color="auto"/>
            <w:left w:val="none" w:sz="0" w:space="0" w:color="auto"/>
            <w:bottom w:val="none" w:sz="0" w:space="0" w:color="auto"/>
            <w:right w:val="none" w:sz="0" w:space="0" w:color="auto"/>
          </w:divBdr>
        </w:div>
        <w:div w:id="116216927">
          <w:marLeft w:val="0"/>
          <w:marRight w:val="0"/>
          <w:marTop w:val="0"/>
          <w:marBottom w:val="0"/>
          <w:divBdr>
            <w:top w:val="none" w:sz="0" w:space="0" w:color="auto"/>
            <w:left w:val="none" w:sz="0" w:space="0" w:color="auto"/>
            <w:bottom w:val="none" w:sz="0" w:space="0" w:color="auto"/>
            <w:right w:val="none" w:sz="0" w:space="0" w:color="auto"/>
          </w:divBdr>
        </w:div>
        <w:div w:id="1345013815">
          <w:marLeft w:val="0"/>
          <w:marRight w:val="0"/>
          <w:marTop w:val="0"/>
          <w:marBottom w:val="0"/>
          <w:divBdr>
            <w:top w:val="none" w:sz="0" w:space="0" w:color="auto"/>
            <w:left w:val="none" w:sz="0" w:space="0" w:color="auto"/>
            <w:bottom w:val="none" w:sz="0" w:space="0" w:color="auto"/>
            <w:right w:val="none" w:sz="0" w:space="0" w:color="auto"/>
          </w:divBdr>
        </w:div>
        <w:div w:id="208891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unit.GVA@geneva.ms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Vunit.GVA@geneva.ms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Vunit.GVA@geneva.msf.org" TargetMode="External"/><Relationship Id="rId5" Type="http://schemas.openxmlformats.org/officeDocument/2006/relationships/numbering" Target="numbering.xml"/><Relationship Id="rId15" Type="http://schemas.openxmlformats.org/officeDocument/2006/relationships/hyperlink" Target="mailto:mrich@pih.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zo.guglielmetti@paris.msf.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BADA1-FB00-49EB-AF23-382B76F3730B}">
  <ds:schemaRefs>
    <ds:schemaRef ds:uri="http://schemas.openxmlformats.org/officeDocument/2006/bibliography"/>
  </ds:schemaRefs>
</ds:datastoreItem>
</file>

<file path=customXml/itemProps2.xml><?xml version="1.0" encoding="utf-8"?>
<ds:datastoreItem xmlns:ds="http://schemas.openxmlformats.org/officeDocument/2006/customXml" ds:itemID="{5D82D34C-B1FE-4A14-BCE4-A4F5861CE4D1}">
  <ds:schemaRefs>
    <ds:schemaRef ds:uri="http://schemas.microsoft.com/office/2006/metadata/properties"/>
    <ds:schemaRef ds:uri="http://schemas.microsoft.com/office/infopath/2007/PartnerControls"/>
    <ds:schemaRef ds:uri="20c1abfa-485b-41c9-a329-38772ca1fd48"/>
    <ds:schemaRef ds:uri="57d60e0b-bbcc-4e8c-ae17-1bc07bf7b2a6"/>
    <ds:schemaRef ds:uri="d1dc8e9d-c2d7-4f1e-a8b8-6d152e0fdc8f"/>
  </ds:schemaRefs>
</ds:datastoreItem>
</file>

<file path=customXml/itemProps3.xml><?xml version="1.0" encoding="utf-8"?>
<ds:datastoreItem xmlns:ds="http://schemas.openxmlformats.org/officeDocument/2006/customXml" ds:itemID="{5A6C5E23-DD45-4DCC-B51C-C4DFD280845A}">
  <ds:schemaRefs>
    <ds:schemaRef ds:uri="http://schemas.microsoft.com/sharepoint/v3/contenttype/forms"/>
  </ds:schemaRefs>
</ds:datastoreItem>
</file>

<file path=customXml/itemProps4.xml><?xml version="1.0" encoding="utf-8"?>
<ds:datastoreItem xmlns:ds="http://schemas.openxmlformats.org/officeDocument/2006/customXml" ds:itemID="{6B3FA7B0-CD82-45E1-A1CA-BE8D8B33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 Eva</dc:creator>
  <cp:lastModifiedBy>Marhaba Chaudhry</cp:lastModifiedBy>
  <cp:revision>13</cp:revision>
  <cp:lastPrinted>2020-05-13T12:35:00Z</cp:lastPrinted>
  <dcterms:created xsi:type="dcterms:W3CDTF">2020-05-13T12:33:00Z</dcterms:created>
  <dcterms:modified xsi:type="dcterms:W3CDTF">2024-10-25T08:47:00Z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ndTBStructureCountries">
    <vt:lpwstr>6;#N/A|7a4f8743-7bab-4f6a-8a0d-b24596741886</vt:lpwstr>
  </property>
  <property fmtid="{D5CDD505-2E9C-101B-9397-08002B2CF9AE}" pid="9" name="Order">
    <vt:r8>715800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