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CD486" w14:textId="77777777" w:rsidR="00034864" w:rsidRPr="00012A92" w:rsidRDefault="00034864" w:rsidP="00012A92">
      <w:pPr>
        <w:pStyle w:val="Heading1"/>
        <w:numPr>
          <w:ilvl w:val="0"/>
          <w:numId w:val="0"/>
        </w:numPr>
        <w:ind w:left="360"/>
      </w:pPr>
      <w:bookmarkStart w:id="0" w:name="_Toc180756494"/>
      <w:r w:rsidRPr="004E294D">
        <w:t>Standard Operating Procedures for</w:t>
      </w:r>
      <w:r w:rsidR="00A62A7B">
        <w:t>:</w:t>
      </w:r>
      <w:r w:rsidR="00012A92">
        <w:t xml:space="preserve">                                       </w:t>
      </w:r>
      <w:r w:rsidR="00A62A7B" w:rsidRPr="005C28C9">
        <w:t>Safety data</w:t>
      </w:r>
      <w:r w:rsidR="00B52A24">
        <w:t xml:space="preserve"> reconciliation</w:t>
      </w:r>
      <w:bookmarkEnd w:id="0"/>
    </w:p>
    <w:p w14:paraId="15A1EF3A" w14:textId="77777777" w:rsidR="005E177E" w:rsidRDefault="005E177E" w:rsidP="0002305E">
      <w:pPr>
        <w:spacing w:after="0"/>
        <w:jc w:val="center"/>
        <w:rPr>
          <w:b/>
          <w:sz w:val="32"/>
          <w:szCs w:val="32"/>
        </w:rPr>
      </w:pPr>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87"/>
        <w:gridCol w:w="3959"/>
      </w:tblGrid>
      <w:tr w:rsidR="00012A92" w:rsidRPr="00926897" w14:paraId="5999DA6E" w14:textId="77777777" w:rsidTr="00286B28">
        <w:tc>
          <w:tcPr>
            <w:tcW w:w="5387" w:type="dxa"/>
            <w:shd w:val="clear" w:color="auto" w:fill="F2F2F2"/>
          </w:tcPr>
          <w:p w14:paraId="7828F51B" w14:textId="77777777" w:rsidR="00012A92" w:rsidRPr="00926897" w:rsidRDefault="00012A92" w:rsidP="00296DCB">
            <w:pPr>
              <w:spacing w:after="0"/>
            </w:pPr>
            <w:r w:rsidRPr="00926897">
              <w:rPr>
                <w:b/>
                <w:sz w:val="24"/>
                <w:szCs w:val="24"/>
              </w:rPr>
              <w:t>SOP Number</w:t>
            </w:r>
            <w:r w:rsidRPr="00926897">
              <w:rPr>
                <w:sz w:val="24"/>
                <w:szCs w:val="24"/>
              </w:rPr>
              <w:t>: PV-002-CT</w:t>
            </w:r>
          </w:p>
        </w:tc>
        <w:tc>
          <w:tcPr>
            <w:tcW w:w="3959" w:type="dxa"/>
            <w:shd w:val="clear" w:color="auto" w:fill="F2F2F2"/>
          </w:tcPr>
          <w:p w14:paraId="56501747" w14:textId="39FD9615" w:rsidR="00012A92" w:rsidRPr="00926897" w:rsidRDefault="00012A92" w:rsidP="00BD1447">
            <w:pPr>
              <w:spacing w:after="0"/>
            </w:pPr>
            <w:r w:rsidRPr="00926897">
              <w:rPr>
                <w:b/>
                <w:sz w:val="24"/>
                <w:szCs w:val="24"/>
              </w:rPr>
              <w:t>Effective Date</w:t>
            </w:r>
            <w:r w:rsidR="00161B70" w:rsidRPr="00926897">
              <w:rPr>
                <w:sz w:val="24"/>
                <w:szCs w:val="24"/>
              </w:rPr>
              <w:t xml:space="preserve">: </w:t>
            </w:r>
            <w:r w:rsidR="0037069F" w:rsidRPr="00926897">
              <w:rPr>
                <w:sz w:val="24"/>
                <w:szCs w:val="24"/>
              </w:rPr>
              <w:t>01-Jun-2020</w:t>
            </w:r>
          </w:p>
        </w:tc>
      </w:tr>
      <w:tr w:rsidR="00012A92" w14:paraId="66072B71" w14:textId="77777777" w:rsidTr="00296DCB">
        <w:tc>
          <w:tcPr>
            <w:tcW w:w="9346" w:type="dxa"/>
            <w:gridSpan w:val="2"/>
            <w:shd w:val="clear" w:color="auto" w:fill="F2F2F2"/>
          </w:tcPr>
          <w:p w14:paraId="7E5D8D6B" w14:textId="45A54146" w:rsidR="00012A92" w:rsidRDefault="00012A92" w:rsidP="002D407F">
            <w:pPr>
              <w:spacing w:after="0"/>
            </w:pPr>
            <w:r w:rsidRPr="00926897">
              <w:rPr>
                <w:b/>
                <w:sz w:val="24"/>
                <w:szCs w:val="24"/>
              </w:rPr>
              <w:t>Version Number and Date</w:t>
            </w:r>
            <w:r w:rsidR="001667EA" w:rsidRPr="00926897">
              <w:rPr>
                <w:sz w:val="24"/>
                <w:szCs w:val="24"/>
              </w:rPr>
              <w:t xml:space="preserve">: </w:t>
            </w:r>
            <w:r w:rsidR="008342D9" w:rsidRPr="00926897">
              <w:rPr>
                <w:sz w:val="24"/>
                <w:szCs w:val="24"/>
              </w:rPr>
              <w:t>4.0</w:t>
            </w:r>
            <w:r w:rsidR="00BD1447" w:rsidRPr="00926897">
              <w:rPr>
                <w:sz w:val="24"/>
                <w:szCs w:val="24"/>
              </w:rPr>
              <w:t xml:space="preserve">, </w:t>
            </w:r>
            <w:r w:rsidR="0037069F" w:rsidRPr="00926897">
              <w:rPr>
                <w:sz w:val="24"/>
                <w:szCs w:val="24"/>
              </w:rPr>
              <w:t>08-May</w:t>
            </w:r>
            <w:r w:rsidR="008342D9" w:rsidRPr="00926897">
              <w:rPr>
                <w:sz w:val="24"/>
                <w:szCs w:val="24"/>
              </w:rPr>
              <w:t>-2020</w:t>
            </w:r>
          </w:p>
        </w:tc>
      </w:tr>
    </w:tbl>
    <w:p w14:paraId="3C1A8BB5" w14:textId="77777777" w:rsidR="00012A92" w:rsidRPr="00AD3ACD" w:rsidRDefault="00012A92" w:rsidP="00012A92">
      <w:pPr>
        <w:spacing w:after="0"/>
        <w:rPr>
          <w:sz w:val="10"/>
        </w:rPr>
      </w:pPr>
    </w:p>
    <w:sdt>
      <w:sdtPr>
        <w:id w:val="736598261"/>
        <w:docPartObj>
          <w:docPartGallery w:val="Table of Contents"/>
          <w:docPartUnique/>
        </w:docPartObj>
      </w:sdtPr>
      <w:sdtEndPr>
        <w:rPr>
          <w:rFonts w:ascii="Calibri" w:eastAsia="Calibri" w:hAnsi="Calibri" w:cs="Times New Roman"/>
          <w:b/>
          <w:bCs/>
          <w:noProof/>
          <w:color w:val="auto"/>
          <w:sz w:val="22"/>
          <w:szCs w:val="22"/>
        </w:rPr>
      </w:sdtEndPr>
      <w:sdtContent>
        <w:p w14:paraId="129524BD" w14:textId="38359869" w:rsidR="009800F8" w:rsidRDefault="009800F8" w:rsidP="009800F8">
          <w:pPr>
            <w:pStyle w:val="TOCHeading"/>
          </w:pPr>
          <w:r w:rsidRPr="009800F8">
            <w:rPr>
              <w:rFonts w:asciiTheme="minorHAnsi" w:hAnsiTheme="minorHAnsi" w:cstheme="minorHAnsi"/>
              <w:b/>
              <w:bCs/>
              <w:color w:val="auto"/>
              <w:sz w:val="24"/>
              <w:szCs w:val="24"/>
            </w:rPr>
            <w:t>Table of Contents</w:t>
          </w:r>
          <w:r>
            <w:fldChar w:fldCharType="begin"/>
          </w:r>
          <w:r>
            <w:instrText xml:space="preserve"> TOC \o "1-3" \h \z \u </w:instrText>
          </w:r>
          <w:r>
            <w:fldChar w:fldCharType="separate"/>
          </w:r>
        </w:p>
        <w:p w14:paraId="7EAF340F" w14:textId="79BC7E35" w:rsidR="009800F8" w:rsidRDefault="009800F8">
          <w:pPr>
            <w:pStyle w:val="TOC1"/>
            <w:tabs>
              <w:tab w:val="right" w:leader="dot" w:pos="9350"/>
            </w:tabs>
            <w:rPr>
              <w:noProof/>
            </w:rPr>
          </w:pPr>
        </w:p>
        <w:p w14:paraId="226D15A4" w14:textId="54A21D72" w:rsidR="009800F8" w:rsidRDefault="009800F8">
          <w:pPr>
            <w:pStyle w:val="TOC2"/>
            <w:tabs>
              <w:tab w:val="left" w:pos="720"/>
              <w:tab w:val="right" w:leader="dot" w:pos="9350"/>
            </w:tabs>
            <w:rPr>
              <w:noProof/>
            </w:rPr>
          </w:pPr>
          <w:hyperlink w:anchor="_Toc180756496" w:history="1">
            <w:r w:rsidRPr="00BE7AF0">
              <w:rPr>
                <w:rStyle w:val="Hyperlink"/>
                <w:noProof/>
              </w:rPr>
              <w:t>1.</w:t>
            </w:r>
            <w:r>
              <w:rPr>
                <w:noProof/>
              </w:rPr>
              <w:tab/>
            </w:r>
            <w:r w:rsidRPr="00BE7AF0">
              <w:rPr>
                <w:rStyle w:val="Hyperlink"/>
                <w:noProof/>
              </w:rPr>
              <w:t>PURPOSE</w:t>
            </w:r>
            <w:r>
              <w:rPr>
                <w:noProof/>
                <w:webHidden/>
              </w:rPr>
              <w:tab/>
            </w:r>
            <w:r>
              <w:rPr>
                <w:noProof/>
                <w:webHidden/>
              </w:rPr>
              <w:fldChar w:fldCharType="begin"/>
            </w:r>
            <w:r>
              <w:rPr>
                <w:noProof/>
                <w:webHidden/>
              </w:rPr>
              <w:instrText xml:space="preserve"> PAGEREF _Toc180756496 \h </w:instrText>
            </w:r>
            <w:r>
              <w:rPr>
                <w:noProof/>
                <w:webHidden/>
              </w:rPr>
            </w:r>
            <w:r>
              <w:rPr>
                <w:noProof/>
                <w:webHidden/>
              </w:rPr>
              <w:fldChar w:fldCharType="separate"/>
            </w:r>
            <w:r>
              <w:rPr>
                <w:noProof/>
                <w:webHidden/>
              </w:rPr>
              <w:t>2</w:t>
            </w:r>
            <w:r>
              <w:rPr>
                <w:noProof/>
                <w:webHidden/>
              </w:rPr>
              <w:fldChar w:fldCharType="end"/>
            </w:r>
          </w:hyperlink>
        </w:p>
        <w:p w14:paraId="4DE40786" w14:textId="09BEC403" w:rsidR="009800F8" w:rsidRDefault="009800F8">
          <w:pPr>
            <w:pStyle w:val="TOC2"/>
            <w:tabs>
              <w:tab w:val="left" w:pos="720"/>
              <w:tab w:val="right" w:leader="dot" w:pos="9350"/>
            </w:tabs>
            <w:rPr>
              <w:noProof/>
            </w:rPr>
          </w:pPr>
          <w:hyperlink w:anchor="_Toc180756497" w:history="1">
            <w:r w:rsidRPr="00BE7AF0">
              <w:rPr>
                <w:rStyle w:val="Hyperlink"/>
                <w:noProof/>
              </w:rPr>
              <w:t>2.</w:t>
            </w:r>
            <w:r>
              <w:rPr>
                <w:noProof/>
              </w:rPr>
              <w:tab/>
            </w:r>
            <w:r w:rsidRPr="00BE7AF0">
              <w:rPr>
                <w:rStyle w:val="Hyperlink"/>
                <w:noProof/>
              </w:rPr>
              <w:t>SCOPE</w:t>
            </w:r>
            <w:r>
              <w:rPr>
                <w:noProof/>
                <w:webHidden/>
              </w:rPr>
              <w:tab/>
            </w:r>
            <w:r>
              <w:rPr>
                <w:noProof/>
                <w:webHidden/>
              </w:rPr>
              <w:fldChar w:fldCharType="begin"/>
            </w:r>
            <w:r>
              <w:rPr>
                <w:noProof/>
                <w:webHidden/>
              </w:rPr>
              <w:instrText xml:space="preserve"> PAGEREF _Toc180756497 \h </w:instrText>
            </w:r>
            <w:r>
              <w:rPr>
                <w:noProof/>
                <w:webHidden/>
              </w:rPr>
            </w:r>
            <w:r>
              <w:rPr>
                <w:noProof/>
                <w:webHidden/>
              </w:rPr>
              <w:fldChar w:fldCharType="separate"/>
            </w:r>
            <w:r>
              <w:rPr>
                <w:noProof/>
                <w:webHidden/>
              </w:rPr>
              <w:t>2</w:t>
            </w:r>
            <w:r>
              <w:rPr>
                <w:noProof/>
                <w:webHidden/>
              </w:rPr>
              <w:fldChar w:fldCharType="end"/>
            </w:r>
          </w:hyperlink>
        </w:p>
        <w:p w14:paraId="40017C71" w14:textId="7E7BDC36" w:rsidR="009800F8" w:rsidRDefault="009800F8">
          <w:pPr>
            <w:pStyle w:val="TOC2"/>
            <w:tabs>
              <w:tab w:val="left" w:pos="720"/>
              <w:tab w:val="right" w:leader="dot" w:pos="9350"/>
            </w:tabs>
            <w:rPr>
              <w:noProof/>
            </w:rPr>
          </w:pPr>
          <w:hyperlink w:anchor="_Toc180756498" w:history="1">
            <w:r w:rsidRPr="00BE7AF0">
              <w:rPr>
                <w:rStyle w:val="Hyperlink"/>
                <w:noProof/>
              </w:rPr>
              <w:t>3.</w:t>
            </w:r>
            <w:r>
              <w:rPr>
                <w:noProof/>
              </w:rPr>
              <w:tab/>
            </w:r>
            <w:r w:rsidRPr="00BE7AF0">
              <w:rPr>
                <w:rStyle w:val="Hyperlink"/>
                <w:noProof/>
              </w:rPr>
              <w:t>RESPONSIBLE FUNCTIONS</w:t>
            </w:r>
            <w:r>
              <w:rPr>
                <w:noProof/>
                <w:webHidden/>
              </w:rPr>
              <w:tab/>
            </w:r>
            <w:r>
              <w:rPr>
                <w:noProof/>
                <w:webHidden/>
              </w:rPr>
              <w:fldChar w:fldCharType="begin"/>
            </w:r>
            <w:r>
              <w:rPr>
                <w:noProof/>
                <w:webHidden/>
              </w:rPr>
              <w:instrText xml:space="preserve"> PAGEREF _Toc180756498 \h </w:instrText>
            </w:r>
            <w:r>
              <w:rPr>
                <w:noProof/>
                <w:webHidden/>
              </w:rPr>
            </w:r>
            <w:r>
              <w:rPr>
                <w:noProof/>
                <w:webHidden/>
              </w:rPr>
              <w:fldChar w:fldCharType="separate"/>
            </w:r>
            <w:r>
              <w:rPr>
                <w:noProof/>
                <w:webHidden/>
              </w:rPr>
              <w:t>2</w:t>
            </w:r>
            <w:r>
              <w:rPr>
                <w:noProof/>
                <w:webHidden/>
              </w:rPr>
              <w:fldChar w:fldCharType="end"/>
            </w:r>
          </w:hyperlink>
        </w:p>
        <w:p w14:paraId="140FCFF3" w14:textId="1BD479BA" w:rsidR="009800F8" w:rsidRDefault="009800F8">
          <w:pPr>
            <w:pStyle w:val="TOC2"/>
            <w:tabs>
              <w:tab w:val="left" w:pos="720"/>
              <w:tab w:val="right" w:leader="dot" w:pos="9350"/>
            </w:tabs>
            <w:rPr>
              <w:noProof/>
            </w:rPr>
          </w:pPr>
          <w:hyperlink w:anchor="_Toc180756499" w:history="1">
            <w:r w:rsidRPr="00BE7AF0">
              <w:rPr>
                <w:rStyle w:val="Hyperlink"/>
                <w:noProof/>
              </w:rPr>
              <w:t>4.</w:t>
            </w:r>
            <w:r>
              <w:rPr>
                <w:noProof/>
              </w:rPr>
              <w:tab/>
            </w:r>
            <w:r w:rsidRPr="00BE7AF0">
              <w:rPr>
                <w:rStyle w:val="Hyperlink"/>
                <w:noProof/>
              </w:rPr>
              <w:t>DEFINITIONS and ABBREVIATIONS</w:t>
            </w:r>
            <w:r>
              <w:rPr>
                <w:noProof/>
                <w:webHidden/>
              </w:rPr>
              <w:tab/>
            </w:r>
            <w:r>
              <w:rPr>
                <w:noProof/>
                <w:webHidden/>
              </w:rPr>
              <w:fldChar w:fldCharType="begin"/>
            </w:r>
            <w:r>
              <w:rPr>
                <w:noProof/>
                <w:webHidden/>
              </w:rPr>
              <w:instrText xml:space="preserve"> PAGEREF _Toc180756499 \h </w:instrText>
            </w:r>
            <w:r>
              <w:rPr>
                <w:noProof/>
                <w:webHidden/>
              </w:rPr>
            </w:r>
            <w:r>
              <w:rPr>
                <w:noProof/>
                <w:webHidden/>
              </w:rPr>
              <w:fldChar w:fldCharType="separate"/>
            </w:r>
            <w:r>
              <w:rPr>
                <w:noProof/>
                <w:webHidden/>
              </w:rPr>
              <w:t>3</w:t>
            </w:r>
            <w:r>
              <w:rPr>
                <w:noProof/>
                <w:webHidden/>
              </w:rPr>
              <w:fldChar w:fldCharType="end"/>
            </w:r>
          </w:hyperlink>
        </w:p>
        <w:p w14:paraId="3DA94909" w14:textId="0C7F6D6F" w:rsidR="009800F8" w:rsidRDefault="009800F8">
          <w:pPr>
            <w:pStyle w:val="TOC3"/>
            <w:tabs>
              <w:tab w:val="left" w:pos="1200"/>
              <w:tab w:val="right" w:leader="dot" w:pos="9350"/>
            </w:tabs>
            <w:rPr>
              <w:noProof/>
            </w:rPr>
          </w:pPr>
          <w:hyperlink w:anchor="_Toc180756500" w:history="1">
            <w:r w:rsidRPr="00BE7AF0">
              <w:rPr>
                <w:rStyle w:val="Hyperlink"/>
                <w:noProof/>
              </w:rPr>
              <w:t>4.1</w:t>
            </w:r>
            <w:r>
              <w:rPr>
                <w:noProof/>
              </w:rPr>
              <w:tab/>
            </w:r>
            <w:r w:rsidRPr="00BE7AF0">
              <w:rPr>
                <w:rStyle w:val="Hyperlink"/>
                <w:noProof/>
              </w:rPr>
              <w:t>Adverse Event (AE)</w:t>
            </w:r>
            <w:r>
              <w:rPr>
                <w:noProof/>
                <w:webHidden/>
              </w:rPr>
              <w:tab/>
            </w:r>
            <w:r>
              <w:rPr>
                <w:noProof/>
                <w:webHidden/>
              </w:rPr>
              <w:fldChar w:fldCharType="begin"/>
            </w:r>
            <w:r>
              <w:rPr>
                <w:noProof/>
                <w:webHidden/>
              </w:rPr>
              <w:instrText xml:space="preserve"> PAGEREF _Toc180756500 \h </w:instrText>
            </w:r>
            <w:r>
              <w:rPr>
                <w:noProof/>
                <w:webHidden/>
              </w:rPr>
            </w:r>
            <w:r>
              <w:rPr>
                <w:noProof/>
                <w:webHidden/>
              </w:rPr>
              <w:fldChar w:fldCharType="separate"/>
            </w:r>
            <w:r>
              <w:rPr>
                <w:noProof/>
                <w:webHidden/>
              </w:rPr>
              <w:t>3</w:t>
            </w:r>
            <w:r>
              <w:rPr>
                <w:noProof/>
                <w:webHidden/>
              </w:rPr>
              <w:fldChar w:fldCharType="end"/>
            </w:r>
          </w:hyperlink>
        </w:p>
        <w:p w14:paraId="2263BB1C" w14:textId="1ADC214F" w:rsidR="009800F8" w:rsidRDefault="009800F8">
          <w:pPr>
            <w:pStyle w:val="TOC3"/>
            <w:tabs>
              <w:tab w:val="left" w:pos="1200"/>
              <w:tab w:val="right" w:leader="dot" w:pos="9350"/>
            </w:tabs>
            <w:rPr>
              <w:noProof/>
            </w:rPr>
          </w:pPr>
          <w:hyperlink w:anchor="_Toc180756501" w:history="1">
            <w:r w:rsidRPr="00BE7AF0">
              <w:rPr>
                <w:rStyle w:val="Hyperlink"/>
                <w:noProof/>
              </w:rPr>
              <w:t>4.2</w:t>
            </w:r>
            <w:r>
              <w:rPr>
                <w:noProof/>
              </w:rPr>
              <w:tab/>
            </w:r>
            <w:r w:rsidRPr="00BE7AF0">
              <w:rPr>
                <w:rStyle w:val="Hyperlink"/>
                <w:noProof/>
              </w:rPr>
              <w:t>Adverse Events of Special Interest (AESI)</w:t>
            </w:r>
            <w:r>
              <w:rPr>
                <w:noProof/>
                <w:webHidden/>
              </w:rPr>
              <w:tab/>
            </w:r>
            <w:r>
              <w:rPr>
                <w:noProof/>
                <w:webHidden/>
              </w:rPr>
              <w:fldChar w:fldCharType="begin"/>
            </w:r>
            <w:r>
              <w:rPr>
                <w:noProof/>
                <w:webHidden/>
              </w:rPr>
              <w:instrText xml:space="preserve"> PAGEREF _Toc180756501 \h </w:instrText>
            </w:r>
            <w:r>
              <w:rPr>
                <w:noProof/>
                <w:webHidden/>
              </w:rPr>
            </w:r>
            <w:r>
              <w:rPr>
                <w:noProof/>
                <w:webHidden/>
              </w:rPr>
              <w:fldChar w:fldCharType="separate"/>
            </w:r>
            <w:r>
              <w:rPr>
                <w:noProof/>
                <w:webHidden/>
              </w:rPr>
              <w:t>3</w:t>
            </w:r>
            <w:r>
              <w:rPr>
                <w:noProof/>
                <w:webHidden/>
              </w:rPr>
              <w:fldChar w:fldCharType="end"/>
            </w:r>
          </w:hyperlink>
        </w:p>
        <w:p w14:paraId="670DD6AB" w14:textId="6B97B181" w:rsidR="009800F8" w:rsidRDefault="009800F8">
          <w:pPr>
            <w:pStyle w:val="TOC3"/>
            <w:tabs>
              <w:tab w:val="left" w:pos="1200"/>
              <w:tab w:val="right" w:leader="dot" w:pos="9350"/>
            </w:tabs>
            <w:rPr>
              <w:noProof/>
            </w:rPr>
          </w:pPr>
          <w:hyperlink w:anchor="_Toc180756502" w:history="1">
            <w:r w:rsidRPr="00BE7AF0">
              <w:rPr>
                <w:rStyle w:val="Hyperlink"/>
                <w:noProof/>
              </w:rPr>
              <w:t>4.3</w:t>
            </w:r>
            <w:r>
              <w:rPr>
                <w:noProof/>
              </w:rPr>
              <w:tab/>
            </w:r>
            <w:r w:rsidRPr="00BE7AF0">
              <w:rPr>
                <w:rStyle w:val="Hyperlink"/>
                <w:noProof/>
              </w:rPr>
              <w:t>Line listing</w:t>
            </w:r>
            <w:r>
              <w:rPr>
                <w:noProof/>
                <w:webHidden/>
              </w:rPr>
              <w:tab/>
            </w:r>
            <w:r>
              <w:rPr>
                <w:noProof/>
                <w:webHidden/>
              </w:rPr>
              <w:fldChar w:fldCharType="begin"/>
            </w:r>
            <w:r>
              <w:rPr>
                <w:noProof/>
                <w:webHidden/>
              </w:rPr>
              <w:instrText xml:space="preserve"> PAGEREF _Toc180756502 \h </w:instrText>
            </w:r>
            <w:r>
              <w:rPr>
                <w:noProof/>
                <w:webHidden/>
              </w:rPr>
            </w:r>
            <w:r>
              <w:rPr>
                <w:noProof/>
                <w:webHidden/>
              </w:rPr>
              <w:fldChar w:fldCharType="separate"/>
            </w:r>
            <w:r>
              <w:rPr>
                <w:noProof/>
                <w:webHidden/>
              </w:rPr>
              <w:t>3</w:t>
            </w:r>
            <w:r>
              <w:rPr>
                <w:noProof/>
                <w:webHidden/>
              </w:rPr>
              <w:fldChar w:fldCharType="end"/>
            </w:r>
          </w:hyperlink>
        </w:p>
        <w:p w14:paraId="18F1527D" w14:textId="18A24284" w:rsidR="009800F8" w:rsidRDefault="009800F8">
          <w:pPr>
            <w:pStyle w:val="TOC3"/>
            <w:tabs>
              <w:tab w:val="left" w:pos="1200"/>
              <w:tab w:val="right" w:leader="dot" w:pos="9350"/>
            </w:tabs>
            <w:rPr>
              <w:noProof/>
            </w:rPr>
          </w:pPr>
          <w:hyperlink w:anchor="_Toc180756503" w:history="1">
            <w:r w:rsidRPr="00BE7AF0">
              <w:rPr>
                <w:rStyle w:val="Hyperlink"/>
                <w:noProof/>
              </w:rPr>
              <w:t>4.4</w:t>
            </w:r>
            <w:r>
              <w:rPr>
                <w:noProof/>
              </w:rPr>
              <w:tab/>
            </w:r>
            <w:r w:rsidRPr="00BE7AF0">
              <w:rPr>
                <w:rStyle w:val="Hyperlink"/>
                <w:noProof/>
              </w:rPr>
              <w:t>Overdose</w:t>
            </w:r>
            <w:r>
              <w:rPr>
                <w:noProof/>
                <w:webHidden/>
              </w:rPr>
              <w:tab/>
            </w:r>
            <w:r>
              <w:rPr>
                <w:noProof/>
                <w:webHidden/>
              </w:rPr>
              <w:fldChar w:fldCharType="begin"/>
            </w:r>
            <w:r>
              <w:rPr>
                <w:noProof/>
                <w:webHidden/>
              </w:rPr>
              <w:instrText xml:space="preserve"> PAGEREF _Toc180756503 \h </w:instrText>
            </w:r>
            <w:r>
              <w:rPr>
                <w:noProof/>
                <w:webHidden/>
              </w:rPr>
            </w:r>
            <w:r>
              <w:rPr>
                <w:noProof/>
                <w:webHidden/>
              </w:rPr>
              <w:fldChar w:fldCharType="separate"/>
            </w:r>
            <w:r>
              <w:rPr>
                <w:noProof/>
                <w:webHidden/>
              </w:rPr>
              <w:t>3</w:t>
            </w:r>
            <w:r>
              <w:rPr>
                <w:noProof/>
                <w:webHidden/>
              </w:rPr>
              <w:fldChar w:fldCharType="end"/>
            </w:r>
          </w:hyperlink>
        </w:p>
        <w:p w14:paraId="7CF63C41" w14:textId="44043067" w:rsidR="009800F8" w:rsidRDefault="009800F8">
          <w:pPr>
            <w:pStyle w:val="TOC3"/>
            <w:tabs>
              <w:tab w:val="left" w:pos="1200"/>
              <w:tab w:val="right" w:leader="dot" w:pos="9350"/>
            </w:tabs>
            <w:rPr>
              <w:noProof/>
            </w:rPr>
          </w:pPr>
          <w:hyperlink w:anchor="_Toc180756504" w:history="1">
            <w:r w:rsidRPr="00BE7AF0">
              <w:rPr>
                <w:rStyle w:val="Hyperlink"/>
                <w:noProof/>
              </w:rPr>
              <w:t>4.5</w:t>
            </w:r>
            <w:r>
              <w:rPr>
                <w:noProof/>
              </w:rPr>
              <w:tab/>
            </w:r>
            <w:r w:rsidRPr="00BE7AF0">
              <w:rPr>
                <w:rStyle w:val="Hyperlink"/>
                <w:noProof/>
              </w:rPr>
              <w:t>Serious Adverse Event (SAE)</w:t>
            </w:r>
            <w:r>
              <w:rPr>
                <w:noProof/>
                <w:webHidden/>
              </w:rPr>
              <w:tab/>
            </w:r>
            <w:r>
              <w:rPr>
                <w:noProof/>
                <w:webHidden/>
              </w:rPr>
              <w:fldChar w:fldCharType="begin"/>
            </w:r>
            <w:r>
              <w:rPr>
                <w:noProof/>
                <w:webHidden/>
              </w:rPr>
              <w:instrText xml:space="preserve"> PAGEREF _Toc180756504 \h </w:instrText>
            </w:r>
            <w:r>
              <w:rPr>
                <w:noProof/>
                <w:webHidden/>
              </w:rPr>
            </w:r>
            <w:r>
              <w:rPr>
                <w:noProof/>
                <w:webHidden/>
              </w:rPr>
              <w:fldChar w:fldCharType="separate"/>
            </w:r>
            <w:r>
              <w:rPr>
                <w:noProof/>
                <w:webHidden/>
              </w:rPr>
              <w:t>3</w:t>
            </w:r>
            <w:r>
              <w:rPr>
                <w:noProof/>
                <w:webHidden/>
              </w:rPr>
              <w:fldChar w:fldCharType="end"/>
            </w:r>
          </w:hyperlink>
        </w:p>
        <w:p w14:paraId="0D728852" w14:textId="2342F97F" w:rsidR="009800F8" w:rsidRDefault="009800F8">
          <w:pPr>
            <w:pStyle w:val="TOC2"/>
            <w:tabs>
              <w:tab w:val="left" w:pos="720"/>
              <w:tab w:val="right" w:leader="dot" w:pos="9350"/>
            </w:tabs>
            <w:rPr>
              <w:noProof/>
            </w:rPr>
          </w:pPr>
          <w:hyperlink w:anchor="_Toc180756505" w:history="1">
            <w:r w:rsidRPr="00BE7AF0">
              <w:rPr>
                <w:rStyle w:val="Hyperlink"/>
                <w:noProof/>
              </w:rPr>
              <w:t>5.</w:t>
            </w:r>
            <w:r>
              <w:rPr>
                <w:noProof/>
              </w:rPr>
              <w:tab/>
            </w:r>
            <w:r w:rsidRPr="00BE7AF0">
              <w:rPr>
                <w:rStyle w:val="Hyperlink"/>
                <w:noProof/>
              </w:rPr>
              <w:t>PROCEDURE</w:t>
            </w:r>
            <w:r>
              <w:rPr>
                <w:noProof/>
                <w:webHidden/>
              </w:rPr>
              <w:tab/>
            </w:r>
            <w:r>
              <w:rPr>
                <w:noProof/>
                <w:webHidden/>
              </w:rPr>
              <w:fldChar w:fldCharType="begin"/>
            </w:r>
            <w:r>
              <w:rPr>
                <w:noProof/>
                <w:webHidden/>
              </w:rPr>
              <w:instrText xml:space="preserve"> PAGEREF _Toc180756505 \h </w:instrText>
            </w:r>
            <w:r>
              <w:rPr>
                <w:noProof/>
                <w:webHidden/>
              </w:rPr>
            </w:r>
            <w:r>
              <w:rPr>
                <w:noProof/>
                <w:webHidden/>
              </w:rPr>
              <w:fldChar w:fldCharType="separate"/>
            </w:r>
            <w:r>
              <w:rPr>
                <w:noProof/>
                <w:webHidden/>
              </w:rPr>
              <w:t>4</w:t>
            </w:r>
            <w:r>
              <w:rPr>
                <w:noProof/>
                <w:webHidden/>
              </w:rPr>
              <w:fldChar w:fldCharType="end"/>
            </w:r>
          </w:hyperlink>
        </w:p>
        <w:p w14:paraId="7DE46B41" w14:textId="5780F280" w:rsidR="009800F8" w:rsidRDefault="009800F8">
          <w:pPr>
            <w:pStyle w:val="TOC3"/>
            <w:tabs>
              <w:tab w:val="left" w:pos="1200"/>
              <w:tab w:val="right" w:leader="dot" w:pos="9350"/>
            </w:tabs>
            <w:rPr>
              <w:noProof/>
            </w:rPr>
          </w:pPr>
          <w:hyperlink w:anchor="_Toc180756506" w:history="1">
            <w:r w:rsidRPr="00BE7AF0">
              <w:rPr>
                <w:rStyle w:val="Hyperlink"/>
                <w:noProof/>
              </w:rPr>
              <w:t>5.1</w:t>
            </w:r>
            <w:r>
              <w:rPr>
                <w:noProof/>
              </w:rPr>
              <w:tab/>
            </w:r>
            <w:r w:rsidRPr="00BE7AF0">
              <w:rPr>
                <w:rStyle w:val="Hyperlink"/>
                <w:noProof/>
              </w:rPr>
              <w:t>Safety data reconciliation plan</w:t>
            </w:r>
            <w:r>
              <w:rPr>
                <w:noProof/>
                <w:webHidden/>
              </w:rPr>
              <w:tab/>
            </w:r>
            <w:r>
              <w:rPr>
                <w:noProof/>
                <w:webHidden/>
              </w:rPr>
              <w:fldChar w:fldCharType="begin"/>
            </w:r>
            <w:r>
              <w:rPr>
                <w:noProof/>
                <w:webHidden/>
              </w:rPr>
              <w:instrText xml:space="preserve"> PAGEREF _Toc180756506 \h </w:instrText>
            </w:r>
            <w:r>
              <w:rPr>
                <w:noProof/>
                <w:webHidden/>
              </w:rPr>
            </w:r>
            <w:r>
              <w:rPr>
                <w:noProof/>
                <w:webHidden/>
              </w:rPr>
              <w:fldChar w:fldCharType="separate"/>
            </w:r>
            <w:r>
              <w:rPr>
                <w:noProof/>
                <w:webHidden/>
              </w:rPr>
              <w:t>4</w:t>
            </w:r>
            <w:r>
              <w:rPr>
                <w:noProof/>
                <w:webHidden/>
              </w:rPr>
              <w:fldChar w:fldCharType="end"/>
            </w:r>
          </w:hyperlink>
        </w:p>
        <w:p w14:paraId="3EF3A908" w14:textId="2DDE2FDE" w:rsidR="009800F8" w:rsidRDefault="009800F8">
          <w:pPr>
            <w:pStyle w:val="TOC3"/>
            <w:tabs>
              <w:tab w:val="left" w:pos="1200"/>
              <w:tab w:val="right" w:leader="dot" w:pos="9350"/>
            </w:tabs>
            <w:rPr>
              <w:noProof/>
            </w:rPr>
          </w:pPr>
          <w:hyperlink w:anchor="_Toc180756507" w:history="1">
            <w:r w:rsidRPr="00BE7AF0">
              <w:rPr>
                <w:rStyle w:val="Hyperlink"/>
                <w:noProof/>
              </w:rPr>
              <w:t>5.2</w:t>
            </w:r>
            <w:r>
              <w:rPr>
                <w:noProof/>
              </w:rPr>
              <w:tab/>
            </w:r>
            <w:r w:rsidRPr="00BE7AF0">
              <w:rPr>
                <w:rStyle w:val="Hyperlink"/>
                <w:noProof/>
              </w:rPr>
              <w:t>Safety data reconciliation workflow</w:t>
            </w:r>
            <w:r>
              <w:rPr>
                <w:noProof/>
                <w:webHidden/>
              </w:rPr>
              <w:tab/>
            </w:r>
            <w:r>
              <w:rPr>
                <w:noProof/>
                <w:webHidden/>
              </w:rPr>
              <w:fldChar w:fldCharType="begin"/>
            </w:r>
            <w:r>
              <w:rPr>
                <w:noProof/>
                <w:webHidden/>
              </w:rPr>
              <w:instrText xml:space="preserve"> PAGEREF _Toc180756507 \h </w:instrText>
            </w:r>
            <w:r>
              <w:rPr>
                <w:noProof/>
                <w:webHidden/>
              </w:rPr>
            </w:r>
            <w:r>
              <w:rPr>
                <w:noProof/>
                <w:webHidden/>
              </w:rPr>
              <w:fldChar w:fldCharType="separate"/>
            </w:r>
            <w:r>
              <w:rPr>
                <w:noProof/>
                <w:webHidden/>
              </w:rPr>
              <w:t>4</w:t>
            </w:r>
            <w:r>
              <w:rPr>
                <w:noProof/>
                <w:webHidden/>
              </w:rPr>
              <w:fldChar w:fldCharType="end"/>
            </w:r>
          </w:hyperlink>
        </w:p>
        <w:p w14:paraId="24A85AAB" w14:textId="0BF2E452" w:rsidR="009800F8" w:rsidRDefault="009800F8">
          <w:pPr>
            <w:pStyle w:val="TOC3"/>
            <w:tabs>
              <w:tab w:val="left" w:pos="1200"/>
              <w:tab w:val="right" w:leader="dot" w:pos="9350"/>
            </w:tabs>
            <w:rPr>
              <w:noProof/>
            </w:rPr>
          </w:pPr>
          <w:hyperlink w:anchor="_Toc180756508" w:history="1">
            <w:r w:rsidRPr="00BE7AF0">
              <w:rPr>
                <w:rStyle w:val="Hyperlink"/>
                <w:noProof/>
              </w:rPr>
              <w:t>5.3</w:t>
            </w:r>
            <w:r>
              <w:rPr>
                <w:noProof/>
              </w:rPr>
              <w:tab/>
            </w:r>
            <w:r w:rsidRPr="00BE7AF0">
              <w:rPr>
                <w:rStyle w:val="Hyperlink"/>
                <w:noProof/>
              </w:rPr>
              <w:t>Archiving</w:t>
            </w:r>
            <w:r>
              <w:rPr>
                <w:noProof/>
                <w:webHidden/>
              </w:rPr>
              <w:tab/>
            </w:r>
            <w:r>
              <w:rPr>
                <w:noProof/>
                <w:webHidden/>
              </w:rPr>
              <w:fldChar w:fldCharType="begin"/>
            </w:r>
            <w:r>
              <w:rPr>
                <w:noProof/>
                <w:webHidden/>
              </w:rPr>
              <w:instrText xml:space="preserve"> PAGEREF _Toc180756508 \h </w:instrText>
            </w:r>
            <w:r>
              <w:rPr>
                <w:noProof/>
                <w:webHidden/>
              </w:rPr>
            </w:r>
            <w:r>
              <w:rPr>
                <w:noProof/>
                <w:webHidden/>
              </w:rPr>
              <w:fldChar w:fldCharType="separate"/>
            </w:r>
            <w:r>
              <w:rPr>
                <w:noProof/>
                <w:webHidden/>
              </w:rPr>
              <w:t>6</w:t>
            </w:r>
            <w:r>
              <w:rPr>
                <w:noProof/>
                <w:webHidden/>
              </w:rPr>
              <w:fldChar w:fldCharType="end"/>
            </w:r>
          </w:hyperlink>
        </w:p>
        <w:p w14:paraId="69AB25E4" w14:textId="37617CAB" w:rsidR="009800F8" w:rsidRDefault="009800F8">
          <w:pPr>
            <w:pStyle w:val="TOC2"/>
            <w:tabs>
              <w:tab w:val="left" w:pos="720"/>
              <w:tab w:val="right" w:leader="dot" w:pos="9350"/>
            </w:tabs>
            <w:rPr>
              <w:noProof/>
            </w:rPr>
          </w:pPr>
          <w:hyperlink w:anchor="_Toc180756509" w:history="1">
            <w:r w:rsidRPr="00BE7AF0">
              <w:rPr>
                <w:rStyle w:val="Hyperlink"/>
                <w:noProof/>
              </w:rPr>
              <w:t>6.</w:t>
            </w:r>
            <w:r>
              <w:rPr>
                <w:noProof/>
              </w:rPr>
              <w:tab/>
            </w:r>
            <w:r w:rsidRPr="00BE7AF0">
              <w:rPr>
                <w:rStyle w:val="Hyperlink"/>
                <w:noProof/>
              </w:rPr>
              <w:t>REFERENCES</w:t>
            </w:r>
            <w:r>
              <w:rPr>
                <w:noProof/>
                <w:webHidden/>
              </w:rPr>
              <w:tab/>
            </w:r>
            <w:r>
              <w:rPr>
                <w:noProof/>
                <w:webHidden/>
              </w:rPr>
              <w:fldChar w:fldCharType="begin"/>
            </w:r>
            <w:r>
              <w:rPr>
                <w:noProof/>
                <w:webHidden/>
              </w:rPr>
              <w:instrText xml:space="preserve"> PAGEREF _Toc180756509 \h </w:instrText>
            </w:r>
            <w:r>
              <w:rPr>
                <w:noProof/>
                <w:webHidden/>
              </w:rPr>
            </w:r>
            <w:r>
              <w:rPr>
                <w:noProof/>
                <w:webHidden/>
              </w:rPr>
              <w:fldChar w:fldCharType="separate"/>
            </w:r>
            <w:r>
              <w:rPr>
                <w:noProof/>
                <w:webHidden/>
              </w:rPr>
              <w:t>6</w:t>
            </w:r>
            <w:r>
              <w:rPr>
                <w:noProof/>
                <w:webHidden/>
              </w:rPr>
              <w:fldChar w:fldCharType="end"/>
            </w:r>
          </w:hyperlink>
        </w:p>
        <w:p w14:paraId="65D97883" w14:textId="7E67FBE6" w:rsidR="009800F8" w:rsidRDefault="009800F8">
          <w:pPr>
            <w:pStyle w:val="TOC2"/>
            <w:tabs>
              <w:tab w:val="left" w:pos="720"/>
              <w:tab w:val="right" w:leader="dot" w:pos="9350"/>
            </w:tabs>
            <w:rPr>
              <w:noProof/>
            </w:rPr>
          </w:pPr>
          <w:hyperlink w:anchor="_Toc180756510" w:history="1">
            <w:r w:rsidRPr="00BE7AF0">
              <w:rPr>
                <w:rStyle w:val="Hyperlink"/>
                <w:noProof/>
              </w:rPr>
              <w:t>7.</w:t>
            </w:r>
            <w:r>
              <w:rPr>
                <w:noProof/>
              </w:rPr>
              <w:tab/>
            </w:r>
            <w:r w:rsidRPr="00BE7AF0">
              <w:rPr>
                <w:rStyle w:val="Hyperlink"/>
                <w:noProof/>
              </w:rPr>
              <w:t>RELATED TOOLS</w:t>
            </w:r>
            <w:r>
              <w:rPr>
                <w:noProof/>
                <w:webHidden/>
              </w:rPr>
              <w:tab/>
            </w:r>
            <w:r>
              <w:rPr>
                <w:noProof/>
                <w:webHidden/>
              </w:rPr>
              <w:fldChar w:fldCharType="begin"/>
            </w:r>
            <w:r>
              <w:rPr>
                <w:noProof/>
                <w:webHidden/>
              </w:rPr>
              <w:instrText xml:space="preserve"> PAGEREF _Toc180756510 \h </w:instrText>
            </w:r>
            <w:r>
              <w:rPr>
                <w:noProof/>
                <w:webHidden/>
              </w:rPr>
            </w:r>
            <w:r>
              <w:rPr>
                <w:noProof/>
                <w:webHidden/>
              </w:rPr>
              <w:fldChar w:fldCharType="separate"/>
            </w:r>
            <w:r>
              <w:rPr>
                <w:noProof/>
                <w:webHidden/>
              </w:rPr>
              <w:t>6</w:t>
            </w:r>
            <w:r>
              <w:rPr>
                <w:noProof/>
                <w:webHidden/>
              </w:rPr>
              <w:fldChar w:fldCharType="end"/>
            </w:r>
          </w:hyperlink>
        </w:p>
        <w:p w14:paraId="6B46849E" w14:textId="7637A1BC" w:rsidR="009800F8" w:rsidRDefault="009800F8">
          <w:r>
            <w:rPr>
              <w:b/>
              <w:bCs/>
              <w:noProof/>
            </w:rPr>
            <w:fldChar w:fldCharType="end"/>
          </w:r>
        </w:p>
      </w:sdtContent>
    </w:sdt>
    <w:p w14:paraId="79033757" w14:textId="77777777" w:rsidR="00012A92" w:rsidRDefault="00012A92" w:rsidP="00012A92">
      <w:pPr>
        <w:spacing w:after="0"/>
        <w:rPr>
          <w:sz w:val="10"/>
        </w:rPr>
      </w:pPr>
    </w:p>
    <w:p w14:paraId="3C1F20D9" w14:textId="77777777" w:rsidR="009800F8" w:rsidRDefault="009800F8" w:rsidP="00012A92">
      <w:pPr>
        <w:spacing w:after="0"/>
        <w:rPr>
          <w:sz w:val="10"/>
        </w:rPr>
      </w:pPr>
    </w:p>
    <w:p w14:paraId="42250682" w14:textId="77777777" w:rsidR="009800F8" w:rsidRDefault="009800F8" w:rsidP="00012A92">
      <w:pPr>
        <w:spacing w:after="0"/>
        <w:rPr>
          <w:sz w:val="10"/>
        </w:rPr>
      </w:pPr>
    </w:p>
    <w:p w14:paraId="7E11D5B1" w14:textId="77777777" w:rsidR="009800F8" w:rsidRDefault="009800F8" w:rsidP="00012A92">
      <w:pPr>
        <w:spacing w:after="0"/>
        <w:rPr>
          <w:sz w:val="10"/>
        </w:rPr>
      </w:pPr>
    </w:p>
    <w:p w14:paraId="69337F81" w14:textId="77777777" w:rsidR="009800F8" w:rsidRDefault="009800F8" w:rsidP="00012A92">
      <w:pPr>
        <w:spacing w:after="0"/>
        <w:rPr>
          <w:sz w:val="10"/>
        </w:rPr>
      </w:pPr>
    </w:p>
    <w:p w14:paraId="1C9ECF66" w14:textId="77777777" w:rsidR="009800F8" w:rsidRDefault="009800F8" w:rsidP="00012A92">
      <w:pPr>
        <w:spacing w:after="0"/>
        <w:rPr>
          <w:sz w:val="10"/>
        </w:rPr>
      </w:pPr>
    </w:p>
    <w:p w14:paraId="48C65192" w14:textId="77777777" w:rsidR="009800F8" w:rsidRPr="00926897" w:rsidRDefault="009800F8" w:rsidP="00012A92">
      <w:pPr>
        <w:spacing w:after="0"/>
        <w:rPr>
          <w:sz w:val="10"/>
        </w:rPr>
      </w:pPr>
    </w:p>
    <w:p w14:paraId="05714CA8" w14:textId="77777777" w:rsidR="00012A92" w:rsidRPr="00012A92" w:rsidRDefault="00012A92" w:rsidP="00012A92">
      <w:pPr>
        <w:pStyle w:val="Heading1"/>
        <w:numPr>
          <w:ilvl w:val="0"/>
          <w:numId w:val="0"/>
        </w:numPr>
        <w:ind w:left="360"/>
      </w:pPr>
      <w:bookmarkStart w:id="1" w:name="_Toc180756495"/>
      <w:r w:rsidRPr="004E294D">
        <w:lastRenderedPageBreak/>
        <w:t>Standard Operating Procedures for</w:t>
      </w:r>
      <w:r>
        <w:t xml:space="preserve">:                                       </w:t>
      </w:r>
      <w:r w:rsidRPr="005C28C9">
        <w:t>Safety data</w:t>
      </w:r>
      <w:r>
        <w:t xml:space="preserve"> reconciliation</w:t>
      </w:r>
      <w:bookmarkEnd w:id="1"/>
    </w:p>
    <w:p w14:paraId="6696699F" w14:textId="77777777" w:rsidR="005E177E" w:rsidRPr="00012A92" w:rsidRDefault="00F23C87" w:rsidP="00012A92">
      <w:pPr>
        <w:pStyle w:val="Heading2"/>
      </w:pPr>
      <w:bookmarkStart w:id="2" w:name="_Toc180756496"/>
      <w:r w:rsidRPr="00012A92">
        <w:t>PURPOSE</w:t>
      </w:r>
      <w:bookmarkEnd w:id="2"/>
    </w:p>
    <w:tbl>
      <w:tblPr>
        <w:tblStyle w:val="TableGrid"/>
        <w:tblW w:w="5000" w:type="pct"/>
        <w:tblLook w:val="04A0" w:firstRow="1" w:lastRow="0" w:firstColumn="1" w:lastColumn="0" w:noHBand="0" w:noVBand="1"/>
      </w:tblPr>
      <w:tblGrid>
        <w:gridCol w:w="9350"/>
      </w:tblGrid>
      <w:tr w:rsidR="0002305E" w:rsidRPr="00926897" w14:paraId="5D960C7F" w14:textId="77777777" w:rsidTr="005E5D81">
        <w:tc>
          <w:tcPr>
            <w:tcW w:w="5000" w:type="pct"/>
          </w:tcPr>
          <w:p w14:paraId="335EF97D" w14:textId="508E9B1C" w:rsidR="00011EA8" w:rsidRPr="00926897" w:rsidRDefault="000C6D8E" w:rsidP="00525DA7">
            <w:r w:rsidRPr="00926897">
              <w:t xml:space="preserve">This procedure describes </w:t>
            </w:r>
            <w:r w:rsidR="00011EA8" w:rsidRPr="00926897">
              <w:t xml:space="preserve">the process for reconciling safety data captured in the Pharmacovigilance Database (PVDB) with the data captured in the Clinical </w:t>
            </w:r>
            <w:r w:rsidR="00287B0B" w:rsidRPr="00926897">
              <w:t>T</w:t>
            </w:r>
            <w:r w:rsidR="00011EA8" w:rsidRPr="00926897">
              <w:t xml:space="preserve">rial </w:t>
            </w:r>
            <w:r w:rsidR="00287B0B" w:rsidRPr="00926897">
              <w:t>D</w:t>
            </w:r>
            <w:r w:rsidR="00011EA8" w:rsidRPr="00926897">
              <w:t>atabase</w:t>
            </w:r>
            <w:r w:rsidR="002B412B" w:rsidRPr="00926897">
              <w:t>s</w:t>
            </w:r>
            <w:r w:rsidR="00DB53D6" w:rsidRPr="00926897">
              <w:t xml:space="preserve">, </w:t>
            </w:r>
            <w:r w:rsidR="00525DA7" w:rsidRPr="00926897">
              <w:t>OpenClinica</w:t>
            </w:r>
            <w:r w:rsidR="00287B0B" w:rsidRPr="00926897">
              <w:t xml:space="preserve"> (</w:t>
            </w:r>
            <w:r w:rsidR="00525DA7" w:rsidRPr="00926897">
              <w:t>OC</w:t>
            </w:r>
            <w:r w:rsidR="00287B0B" w:rsidRPr="00926897">
              <w:t>)</w:t>
            </w:r>
            <w:r w:rsidR="00011EA8" w:rsidRPr="00926897">
              <w:t>.</w:t>
            </w:r>
          </w:p>
        </w:tc>
      </w:tr>
    </w:tbl>
    <w:p w14:paraId="606A470A" w14:textId="77777777" w:rsidR="00F23C87" w:rsidRPr="00926897" w:rsidRDefault="00F23C87" w:rsidP="00012A92">
      <w:pPr>
        <w:pStyle w:val="Heading2"/>
      </w:pPr>
      <w:bookmarkStart w:id="3" w:name="_Toc180756497"/>
      <w:r w:rsidRPr="00926897">
        <w:t>SCOPE</w:t>
      </w:r>
      <w:bookmarkEnd w:id="3"/>
    </w:p>
    <w:tbl>
      <w:tblPr>
        <w:tblStyle w:val="TableGrid"/>
        <w:tblW w:w="5000" w:type="pct"/>
        <w:tblLook w:val="04A0" w:firstRow="1" w:lastRow="0" w:firstColumn="1" w:lastColumn="0" w:noHBand="0" w:noVBand="1"/>
      </w:tblPr>
      <w:tblGrid>
        <w:gridCol w:w="9350"/>
      </w:tblGrid>
      <w:tr w:rsidR="0002305E" w:rsidRPr="00926897" w14:paraId="37CED4EF" w14:textId="77777777" w:rsidTr="005E5D81">
        <w:tc>
          <w:tcPr>
            <w:tcW w:w="5000" w:type="pct"/>
          </w:tcPr>
          <w:p w14:paraId="683441D7" w14:textId="5B7C5DB8" w:rsidR="0002305E" w:rsidRPr="00926897" w:rsidRDefault="009F2FE3" w:rsidP="008C71E6">
            <w:r w:rsidRPr="00926897">
              <w:t>This procedure applies to all sites involved in the endT</w:t>
            </w:r>
            <w:r w:rsidR="005C28C9" w:rsidRPr="00926897">
              <w:t>B</w:t>
            </w:r>
            <w:r w:rsidR="00A90251" w:rsidRPr="00926897">
              <w:t xml:space="preserve"> and endTB-Q</w:t>
            </w:r>
            <w:r w:rsidR="005C28C9" w:rsidRPr="00926897">
              <w:t xml:space="preserve"> interventional clinical trial</w:t>
            </w:r>
            <w:r w:rsidR="00A90251" w:rsidRPr="00926897">
              <w:t>s</w:t>
            </w:r>
            <w:r w:rsidR="005C28C9" w:rsidRPr="00926897">
              <w:t xml:space="preserve"> and to safety data pertaining to all patients enrolled in the endTB</w:t>
            </w:r>
            <w:r w:rsidR="00A90251" w:rsidRPr="00926897">
              <w:t xml:space="preserve"> and endTB-Q</w:t>
            </w:r>
            <w:r w:rsidR="005C28C9" w:rsidRPr="00926897">
              <w:t xml:space="preserve"> interventional clinical trial</w:t>
            </w:r>
            <w:r w:rsidR="00A90251" w:rsidRPr="00926897">
              <w:t>s</w:t>
            </w:r>
            <w:r w:rsidR="005C28C9" w:rsidRPr="00926897">
              <w:t>.</w:t>
            </w:r>
          </w:p>
        </w:tc>
      </w:tr>
    </w:tbl>
    <w:p w14:paraId="14CBAA05" w14:textId="77777777" w:rsidR="00F23C87" w:rsidRPr="00926897" w:rsidRDefault="00F23C87" w:rsidP="00012A92">
      <w:pPr>
        <w:pStyle w:val="Heading2"/>
      </w:pPr>
      <w:bookmarkStart w:id="4" w:name="_Toc180756498"/>
      <w:r w:rsidRPr="00926897">
        <w:t>RESPONSIBLE FUNCTIONS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566"/>
      </w:tblGrid>
      <w:tr w:rsidR="00A655AA" w:rsidRPr="00926897" w14:paraId="003F085A" w14:textId="77777777" w:rsidTr="001667EA">
        <w:tc>
          <w:tcPr>
            <w:tcW w:w="1489" w:type="pct"/>
            <w:shd w:val="clear" w:color="auto" w:fill="F2F2F2"/>
          </w:tcPr>
          <w:p w14:paraId="64464972" w14:textId="77777777" w:rsidR="00A655AA" w:rsidRPr="00926897" w:rsidRDefault="00A655AA" w:rsidP="007908E4">
            <w:pPr>
              <w:spacing w:before="80" w:after="80"/>
              <w:rPr>
                <w:rFonts w:cs="Arial"/>
                <w:b/>
                <w:sz w:val="20"/>
                <w:szCs w:val="24"/>
                <w:lang w:eastAsia="nl-BE"/>
              </w:rPr>
            </w:pPr>
            <w:r w:rsidRPr="00926897">
              <w:rPr>
                <w:rFonts w:cs="Arial"/>
                <w:b/>
                <w:sz w:val="20"/>
                <w:szCs w:val="24"/>
                <w:lang w:eastAsia="nl-BE"/>
              </w:rPr>
              <w:t>Function</w:t>
            </w:r>
          </w:p>
        </w:tc>
        <w:tc>
          <w:tcPr>
            <w:tcW w:w="3511" w:type="pct"/>
            <w:shd w:val="clear" w:color="auto" w:fill="F2F2F2"/>
          </w:tcPr>
          <w:p w14:paraId="777C8D20" w14:textId="77777777" w:rsidR="00A655AA" w:rsidRPr="00926897" w:rsidRDefault="00A655AA" w:rsidP="007908E4">
            <w:pPr>
              <w:spacing w:before="80" w:after="80"/>
              <w:rPr>
                <w:rFonts w:cs="Arial"/>
                <w:b/>
                <w:sz w:val="20"/>
                <w:szCs w:val="24"/>
                <w:lang w:eastAsia="nl-BE"/>
              </w:rPr>
            </w:pPr>
            <w:r w:rsidRPr="00926897">
              <w:rPr>
                <w:rFonts w:cs="Arial"/>
                <w:b/>
                <w:sz w:val="20"/>
                <w:szCs w:val="24"/>
                <w:lang w:eastAsia="nl-BE"/>
              </w:rPr>
              <w:t>Activities</w:t>
            </w:r>
          </w:p>
        </w:tc>
      </w:tr>
      <w:tr w:rsidR="00A655AA" w:rsidRPr="001F240A" w14:paraId="017FE1B3" w14:textId="77777777" w:rsidTr="001667EA">
        <w:tc>
          <w:tcPr>
            <w:tcW w:w="1489" w:type="pct"/>
            <w:shd w:val="clear" w:color="auto" w:fill="auto"/>
          </w:tcPr>
          <w:p w14:paraId="0D3024C3" w14:textId="7EE71B3F" w:rsidR="00A655AA" w:rsidRPr="00926897" w:rsidRDefault="00D914E1" w:rsidP="00DB53D6">
            <w:pPr>
              <w:spacing w:before="80" w:after="80"/>
              <w:rPr>
                <w:rFonts w:cs="Arial"/>
                <w:lang w:eastAsia="nl-BE"/>
              </w:rPr>
            </w:pPr>
            <w:r w:rsidRPr="00926897">
              <w:rPr>
                <w:rFonts w:cs="Arial"/>
                <w:lang w:eastAsia="nl-BE"/>
              </w:rPr>
              <w:t xml:space="preserve">Data </w:t>
            </w:r>
            <w:r w:rsidR="00DB53D6" w:rsidRPr="00926897">
              <w:rPr>
                <w:rFonts w:cs="Arial"/>
                <w:lang w:eastAsia="nl-BE"/>
              </w:rPr>
              <w:t>M</w:t>
            </w:r>
            <w:r w:rsidRPr="00926897">
              <w:rPr>
                <w:rFonts w:cs="Arial"/>
                <w:lang w:eastAsia="nl-BE"/>
              </w:rPr>
              <w:t xml:space="preserve">anagement </w:t>
            </w:r>
            <w:r w:rsidR="00DB53D6" w:rsidRPr="00926897">
              <w:rPr>
                <w:rFonts w:cs="Arial"/>
                <w:lang w:eastAsia="nl-BE"/>
              </w:rPr>
              <w:t>T</w:t>
            </w:r>
            <w:r w:rsidRPr="00926897">
              <w:rPr>
                <w:rFonts w:cs="Arial"/>
                <w:lang w:eastAsia="nl-BE"/>
              </w:rPr>
              <w:t>eam</w:t>
            </w:r>
            <w:r w:rsidR="001E482E" w:rsidRPr="00926897">
              <w:rPr>
                <w:rFonts w:cs="Arial"/>
                <w:lang w:eastAsia="nl-BE"/>
              </w:rPr>
              <w:t xml:space="preserve"> (DMT)</w:t>
            </w:r>
          </w:p>
        </w:tc>
        <w:tc>
          <w:tcPr>
            <w:tcW w:w="3511" w:type="pct"/>
            <w:shd w:val="clear" w:color="auto" w:fill="auto"/>
          </w:tcPr>
          <w:p w14:paraId="0AFF0BEF" w14:textId="77777777" w:rsidR="00A655AA" w:rsidRPr="00926897" w:rsidRDefault="00D07D2A" w:rsidP="007908E4">
            <w:pPr>
              <w:numPr>
                <w:ilvl w:val="0"/>
                <w:numId w:val="38"/>
              </w:numPr>
              <w:tabs>
                <w:tab w:val="left" w:pos="450"/>
                <w:tab w:val="left" w:pos="1440"/>
              </w:tabs>
              <w:spacing w:before="80" w:after="80"/>
              <w:ind w:left="459" w:hanging="425"/>
              <w:rPr>
                <w:rFonts w:cs="Arial"/>
                <w:lang w:eastAsia="nl-BE"/>
              </w:rPr>
            </w:pPr>
            <w:r w:rsidRPr="00926897">
              <w:rPr>
                <w:rFonts w:cs="Arial"/>
                <w:lang w:eastAsia="nl-BE"/>
              </w:rPr>
              <w:t>Safety data</w:t>
            </w:r>
            <w:r w:rsidR="00A655AA" w:rsidRPr="00926897">
              <w:rPr>
                <w:rFonts w:cs="Arial"/>
                <w:lang w:eastAsia="nl-BE"/>
              </w:rPr>
              <w:t xml:space="preserve"> reconciliation and identification of discrepancies,</w:t>
            </w:r>
          </w:p>
          <w:p w14:paraId="75798F6D" w14:textId="77777777" w:rsidR="00A655AA" w:rsidRPr="00926897" w:rsidRDefault="00A655AA" w:rsidP="007908E4">
            <w:pPr>
              <w:numPr>
                <w:ilvl w:val="0"/>
                <w:numId w:val="38"/>
              </w:numPr>
              <w:tabs>
                <w:tab w:val="left" w:pos="450"/>
                <w:tab w:val="left" w:pos="1440"/>
              </w:tabs>
              <w:spacing w:before="80" w:after="80"/>
              <w:ind w:left="459" w:hanging="425"/>
              <w:rPr>
                <w:rFonts w:cs="Arial"/>
                <w:lang w:eastAsia="nl-BE"/>
              </w:rPr>
            </w:pPr>
            <w:r w:rsidRPr="00926897">
              <w:rPr>
                <w:rFonts w:cs="Arial"/>
                <w:lang w:eastAsia="nl-BE"/>
              </w:rPr>
              <w:t xml:space="preserve">Reviews the </w:t>
            </w:r>
            <w:r w:rsidR="00D07D2A" w:rsidRPr="00926897">
              <w:rPr>
                <w:rFonts w:cs="Arial"/>
                <w:lang w:eastAsia="nl-BE"/>
              </w:rPr>
              <w:t>Safety data</w:t>
            </w:r>
            <w:r w:rsidRPr="00926897">
              <w:rPr>
                <w:rFonts w:cs="Arial"/>
                <w:lang w:eastAsia="nl-BE"/>
              </w:rPr>
              <w:t xml:space="preserve"> reconciliation plan,</w:t>
            </w:r>
          </w:p>
          <w:p w14:paraId="14A4839B" w14:textId="324DB27D" w:rsidR="00286B28" w:rsidRPr="00926897" w:rsidRDefault="00286B28" w:rsidP="007908E4">
            <w:pPr>
              <w:numPr>
                <w:ilvl w:val="0"/>
                <w:numId w:val="38"/>
              </w:numPr>
              <w:tabs>
                <w:tab w:val="left" w:pos="450"/>
                <w:tab w:val="left" w:pos="1440"/>
              </w:tabs>
              <w:spacing w:before="80" w:after="80"/>
              <w:ind w:left="459" w:hanging="425"/>
              <w:rPr>
                <w:rFonts w:cs="Arial"/>
                <w:lang w:eastAsia="nl-BE"/>
              </w:rPr>
            </w:pPr>
            <w:r w:rsidRPr="00926897">
              <w:rPr>
                <w:rFonts w:cs="Arial"/>
                <w:lang w:eastAsia="nl-BE"/>
              </w:rPr>
              <w:t xml:space="preserve">Produces the Safety data </w:t>
            </w:r>
            <w:r w:rsidR="00B27149" w:rsidRPr="00926897">
              <w:rPr>
                <w:rFonts w:cs="Arial"/>
                <w:lang w:eastAsia="nl-BE"/>
              </w:rPr>
              <w:t>comparison</w:t>
            </w:r>
            <w:r w:rsidR="00DB53D6" w:rsidRPr="00926897">
              <w:rPr>
                <w:rFonts w:cs="Arial"/>
                <w:lang w:eastAsia="nl-BE"/>
              </w:rPr>
              <w:t xml:space="preserve"> file</w:t>
            </w:r>
            <w:r w:rsidR="00D22BF6" w:rsidRPr="00926897">
              <w:rPr>
                <w:rFonts w:cs="Arial"/>
                <w:lang w:eastAsia="nl-BE"/>
              </w:rPr>
              <w:t>s</w:t>
            </w:r>
            <w:r w:rsidR="00DB53D6" w:rsidRPr="00926897">
              <w:rPr>
                <w:rFonts w:cs="Arial"/>
                <w:lang w:eastAsia="nl-BE"/>
              </w:rPr>
              <w:t>,</w:t>
            </w:r>
          </w:p>
          <w:p w14:paraId="538041B6" w14:textId="4991F819" w:rsidR="00A655AA" w:rsidRPr="00926897" w:rsidRDefault="00A655AA" w:rsidP="007908E4">
            <w:pPr>
              <w:numPr>
                <w:ilvl w:val="0"/>
                <w:numId w:val="38"/>
              </w:numPr>
              <w:tabs>
                <w:tab w:val="left" w:pos="450"/>
                <w:tab w:val="left" w:pos="1440"/>
              </w:tabs>
              <w:spacing w:before="80" w:after="80"/>
              <w:ind w:left="459" w:hanging="425"/>
              <w:rPr>
                <w:rFonts w:cs="Arial"/>
                <w:lang w:eastAsia="nl-BE"/>
              </w:rPr>
            </w:pPr>
            <w:r w:rsidRPr="00926897">
              <w:rPr>
                <w:rFonts w:cs="Arial"/>
                <w:lang w:eastAsia="nl-BE"/>
              </w:rPr>
              <w:t xml:space="preserve">Sends and follows-up queries to the site regarding discrepancies identified as inconsistencies in the </w:t>
            </w:r>
            <w:r w:rsidR="00D07D2A" w:rsidRPr="00926897">
              <w:rPr>
                <w:rFonts w:cs="Arial"/>
                <w:lang w:eastAsia="nl-BE"/>
              </w:rPr>
              <w:t xml:space="preserve">clinical trial </w:t>
            </w:r>
            <w:r w:rsidRPr="00926897">
              <w:rPr>
                <w:rFonts w:cs="Arial"/>
                <w:lang w:eastAsia="nl-BE"/>
              </w:rPr>
              <w:t>database</w:t>
            </w:r>
            <w:r w:rsidR="00707D9D" w:rsidRPr="00926897">
              <w:rPr>
                <w:rFonts w:cs="Arial"/>
                <w:lang w:eastAsia="nl-BE"/>
              </w:rPr>
              <w:t>s</w:t>
            </w:r>
            <w:r w:rsidR="00DB53D6" w:rsidRPr="00926897">
              <w:rPr>
                <w:rFonts w:cs="Arial"/>
                <w:lang w:eastAsia="nl-BE"/>
              </w:rPr>
              <w:t>, OpenClinica</w:t>
            </w:r>
            <w:r w:rsidR="00D07D2A" w:rsidRPr="00926897">
              <w:rPr>
                <w:rFonts w:cs="Arial"/>
                <w:lang w:eastAsia="nl-BE"/>
              </w:rPr>
              <w:t xml:space="preserve"> (</w:t>
            </w:r>
            <w:r w:rsidR="00DB53D6" w:rsidRPr="00926897">
              <w:rPr>
                <w:rFonts w:cs="Arial"/>
                <w:lang w:eastAsia="nl-BE"/>
              </w:rPr>
              <w:t>OC</w:t>
            </w:r>
            <w:r w:rsidR="00D07D2A" w:rsidRPr="00926897">
              <w:rPr>
                <w:rFonts w:cs="Arial"/>
                <w:lang w:eastAsia="nl-BE"/>
              </w:rPr>
              <w:t>)</w:t>
            </w:r>
            <w:r w:rsidRPr="00926897">
              <w:rPr>
                <w:rFonts w:cs="Arial"/>
                <w:lang w:eastAsia="nl-BE"/>
              </w:rPr>
              <w:t>,</w:t>
            </w:r>
          </w:p>
          <w:p w14:paraId="2A7C66C8" w14:textId="190BBC5F" w:rsidR="00A13A89" w:rsidRPr="00926897" w:rsidRDefault="00D07D2A" w:rsidP="00244390">
            <w:pPr>
              <w:numPr>
                <w:ilvl w:val="0"/>
                <w:numId w:val="38"/>
              </w:numPr>
              <w:tabs>
                <w:tab w:val="left" w:pos="450"/>
                <w:tab w:val="left" w:pos="1440"/>
              </w:tabs>
              <w:spacing w:before="80" w:after="80"/>
              <w:ind w:left="459" w:hanging="425"/>
              <w:rPr>
                <w:rFonts w:cs="Arial"/>
                <w:lang w:eastAsia="nl-BE"/>
              </w:rPr>
            </w:pPr>
            <w:r w:rsidRPr="00926897">
              <w:rPr>
                <w:rFonts w:cs="Arial"/>
                <w:lang w:eastAsia="nl-BE"/>
              </w:rPr>
              <w:t>Requests</w:t>
            </w:r>
            <w:r w:rsidR="00A655AA" w:rsidRPr="00926897">
              <w:rPr>
                <w:rFonts w:cs="Arial"/>
                <w:lang w:eastAsia="nl-BE"/>
              </w:rPr>
              <w:t xml:space="preserve"> </w:t>
            </w:r>
            <w:r w:rsidRPr="00926897">
              <w:rPr>
                <w:rFonts w:cs="Arial"/>
                <w:lang w:eastAsia="nl-BE"/>
              </w:rPr>
              <w:t xml:space="preserve">minor </w:t>
            </w:r>
            <w:r w:rsidR="00A655AA" w:rsidRPr="00926897">
              <w:rPr>
                <w:rFonts w:cs="Arial"/>
                <w:lang w:eastAsia="nl-BE"/>
              </w:rPr>
              <w:t xml:space="preserve">corrections in </w:t>
            </w:r>
            <w:r w:rsidR="00DB53D6" w:rsidRPr="00926897">
              <w:rPr>
                <w:rFonts w:cs="Arial"/>
                <w:lang w:eastAsia="nl-BE"/>
              </w:rPr>
              <w:t>OC</w:t>
            </w:r>
            <w:r w:rsidR="00A13A89" w:rsidRPr="00926897">
              <w:rPr>
                <w:rFonts w:cs="Arial"/>
                <w:lang w:eastAsia="nl-BE"/>
              </w:rPr>
              <w:t xml:space="preserve"> as needed</w:t>
            </w:r>
            <w:r w:rsidR="00A655AA" w:rsidRPr="00926897">
              <w:rPr>
                <w:rFonts w:cs="Arial"/>
                <w:lang w:eastAsia="nl-BE"/>
              </w:rPr>
              <w:t>.</w:t>
            </w:r>
          </w:p>
        </w:tc>
      </w:tr>
      <w:tr w:rsidR="00D07D2A" w:rsidRPr="001F240A" w14:paraId="70346165" w14:textId="77777777" w:rsidTr="001667EA">
        <w:tc>
          <w:tcPr>
            <w:tcW w:w="1489" w:type="pct"/>
            <w:shd w:val="clear" w:color="auto" w:fill="auto"/>
          </w:tcPr>
          <w:p w14:paraId="220237BE" w14:textId="77777777" w:rsidR="00D07D2A" w:rsidRPr="003F7B37" w:rsidRDefault="00D07D2A" w:rsidP="007908E4">
            <w:pPr>
              <w:spacing w:before="80" w:after="80"/>
              <w:jc w:val="left"/>
              <w:rPr>
                <w:rFonts w:cs="Arial"/>
                <w:lang w:eastAsia="nl-BE"/>
              </w:rPr>
            </w:pPr>
            <w:r w:rsidRPr="003F7B37">
              <w:rPr>
                <w:rFonts w:cs="Arial"/>
                <w:lang w:eastAsia="nl-BE"/>
              </w:rPr>
              <w:t xml:space="preserve">Site </w:t>
            </w:r>
            <w:r w:rsidR="00C02313" w:rsidRPr="003F7B37">
              <w:rPr>
                <w:rFonts w:cs="Arial"/>
                <w:lang w:eastAsia="nl-BE"/>
              </w:rPr>
              <w:t xml:space="preserve">Data Entry </w:t>
            </w:r>
            <w:r w:rsidR="003F7B37">
              <w:rPr>
                <w:rFonts w:cs="Arial"/>
                <w:lang w:eastAsia="nl-BE"/>
              </w:rPr>
              <w:t>Personnel</w:t>
            </w:r>
          </w:p>
        </w:tc>
        <w:tc>
          <w:tcPr>
            <w:tcW w:w="3511" w:type="pct"/>
            <w:shd w:val="clear" w:color="auto" w:fill="auto"/>
          </w:tcPr>
          <w:p w14:paraId="4A2131D7" w14:textId="69C53C1A" w:rsidR="00D07D2A" w:rsidRPr="003F7B37" w:rsidRDefault="00D07D2A" w:rsidP="007908E4">
            <w:pPr>
              <w:numPr>
                <w:ilvl w:val="0"/>
                <w:numId w:val="38"/>
              </w:numPr>
              <w:tabs>
                <w:tab w:val="left" w:pos="450"/>
                <w:tab w:val="left" w:pos="1440"/>
              </w:tabs>
              <w:spacing w:before="80" w:after="80"/>
              <w:ind w:left="459" w:hanging="425"/>
              <w:rPr>
                <w:rFonts w:cs="Arial"/>
                <w:lang w:eastAsia="nl-BE"/>
              </w:rPr>
            </w:pPr>
            <w:r w:rsidRPr="003F7B37">
              <w:rPr>
                <w:rFonts w:cs="Arial"/>
                <w:lang w:eastAsia="nl-BE"/>
              </w:rPr>
              <w:t xml:space="preserve">Data entry into </w:t>
            </w:r>
            <w:r w:rsidR="00525DA7">
              <w:rPr>
                <w:rFonts w:cs="Arial"/>
                <w:lang w:eastAsia="nl-BE"/>
              </w:rPr>
              <w:t>OC</w:t>
            </w:r>
            <w:r w:rsidRPr="003F7B37">
              <w:rPr>
                <w:rFonts w:cs="Arial"/>
                <w:lang w:eastAsia="nl-BE"/>
              </w:rPr>
              <w:t>,</w:t>
            </w:r>
          </w:p>
          <w:p w14:paraId="7681E4D3" w14:textId="3F3B6186" w:rsidR="00D07D2A" w:rsidRPr="003F7B37" w:rsidRDefault="00D07D2A" w:rsidP="00DB53D6">
            <w:pPr>
              <w:numPr>
                <w:ilvl w:val="0"/>
                <w:numId w:val="38"/>
              </w:numPr>
              <w:tabs>
                <w:tab w:val="left" w:pos="450"/>
                <w:tab w:val="left" w:pos="1440"/>
              </w:tabs>
              <w:spacing w:before="80" w:after="80"/>
              <w:ind w:left="459" w:hanging="425"/>
              <w:rPr>
                <w:rFonts w:cs="Arial"/>
                <w:lang w:eastAsia="nl-BE"/>
              </w:rPr>
            </w:pPr>
            <w:r w:rsidRPr="003F7B37">
              <w:rPr>
                <w:rFonts w:cs="Arial"/>
                <w:lang w:eastAsia="nl-BE"/>
              </w:rPr>
              <w:t xml:space="preserve">Performs corrections in </w:t>
            </w:r>
            <w:r w:rsidR="00525DA7">
              <w:rPr>
                <w:rFonts w:cs="Arial"/>
                <w:lang w:eastAsia="nl-BE"/>
              </w:rPr>
              <w:t>OC</w:t>
            </w:r>
            <w:r w:rsidR="00525DA7" w:rsidRPr="003F7B37">
              <w:rPr>
                <w:rFonts w:cs="Arial"/>
                <w:lang w:eastAsia="nl-BE"/>
              </w:rPr>
              <w:t xml:space="preserve"> </w:t>
            </w:r>
            <w:r w:rsidRPr="003F7B37">
              <w:rPr>
                <w:rFonts w:cs="Arial"/>
                <w:lang w:eastAsia="nl-BE"/>
              </w:rPr>
              <w:t>following Safety data reconciliation upon request of DM</w:t>
            </w:r>
            <w:r w:rsidR="00DB53D6">
              <w:rPr>
                <w:rFonts w:cs="Arial"/>
                <w:lang w:eastAsia="nl-BE"/>
              </w:rPr>
              <w:t>T</w:t>
            </w:r>
            <w:r w:rsidRPr="003F7B37">
              <w:rPr>
                <w:rFonts w:cs="Arial"/>
                <w:lang w:eastAsia="nl-BE"/>
              </w:rPr>
              <w:t xml:space="preserve"> or Site PI.</w:t>
            </w:r>
          </w:p>
        </w:tc>
      </w:tr>
      <w:tr w:rsidR="0019331D" w:rsidRPr="001F240A" w14:paraId="4B8A4649" w14:textId="77777777" w:rsidTr="001667EA">
        <w:trPr>
          <w:trHeight w:val="70"/>
        </w:trPr>
        <w:tc>
          <w:tcPr>
            <w:tcW w:w="1489" w:type="pct"/>
            <w:shd w:val="clear" w:color="auto" w:fill="auto"/>
          </w:tcPr>
          <w:p w14:paraId="24894B84" w14:textId="77777777" w:rsidR="0019331D" w:rsidRPr="003F7B37" w:rsidRDefault="00E05110">
            <w:pPr>
              <w:spacing w:before="80" w:after="80"/>
              <w:rPr>
                <w:rFonts w:cs="Arial"/>
                <w:lang w:eastAsia="nl-BE"/>
              </w:rPr>
            </w:pPr>
            <w:r w:rsidRPr="003F7B37">
              <w:rPr>
                <w:rFonts w:cs="Arial"/>
                <w:lang w:eastAsia="nl-BE"/>
              </w:rPr>
              <w:t>Internal</w:t>
            </w:r>
            <w:r w:rsidR="003F7B37">
              <w:rPr>
                <w:rFonts w:cs="Arial"/>
                <w:lang w:eastAsia="nl-BE"/>
              </w:rPr>
              <w:t xml:space="preserve"> M</w:t>
            </w:r>
            <w:r w:rsidR="0019331D" w:rsidRPr="003F7B37">
              <w:rPr>
                <w:rFonts w:cs="Arial"/>
                <w:lang w:eastAsia="nl-BE"/>
              </w:rPr>
              <w:t>onitor</w:t>
            </w:r>
            <w:r w:rsidRPr="003F7B37">
              <w:rPr>
                <w:rFonts w:cs="Arial"/>
                <w:lang w:eastAsia="nl-BE"/>
              </w:rPr>
              <w:t xml:space="preserve"> </w:t>
            </w:r>
          </w:p>
        </w:tc>
        <w:tc>
          <w:tcPr>
            <w:tcW w:w="3511" w:type="pct"/>
            <w:shd w:val="clear" w:color="auto" w:fill="auto"/>
          </w:tcPr>
          <w:p w14:paraId="4222C91D" w14:textId="3459C27B" w:rsidR="0019331D" w:rsidRPr="003F7B37" w:rsidRDefault="0019331D" w:rsidP="00DB53D6">
            <w:pPr>
              <w:numPr>
                <w:ilvl w:val="0"/>
                <w:numId w:val="44"/>
              </w:numPr>
              <w:tabs>
                <w:tab w:val="left" w:pos="460"/>
              </w:tabs>
              <w:spacing w:before="80" w:after="80"/>
              <w:ind w:left="460" w:hanging="425"/>
              <w:rPr>
                <w:rFonts w:cs="Arial"/>
                <w:lang w:eastAsia="nl-BE"/>
              </w:rPr>
            </w:pPr>
            <w:r w:rsidRPr="003F7B37">
              <w:rPr>
                <w:rFonts w:cs="Arial"/>
                <w:lang w:eastAsia="nl-BE"/>
              </w:rPr>
              <w:t>Regularly review</w:t>
            </w:r>
            <w:r w:rsidR="00DB53D6">
              <w:rPr>
                <w:rFonts w:cs="Arial"/>
                <w:lang w:eastAsia="nl-BE"/>
              </w:rPr>
              <w:t>s</w:t>
            </w:r>
            <w:r w:rsidRPr="003F7B37">
              <w:rPr>
                <w:rFonts w:cs="Arial"/>
                <w:lang w:eastAsia="nl-BE"/>
              </w:rPr>
              <w:t xml:space="preserve"> </w:t>
            </w:r>
            <w:r w:rsidR="00525DA7">
              <w:rPr>
                <w:rFonts w:cs="Arial"/>
                <w:lang w:eastAsia="nl-BE"/>
              </w:rPr>
              <w:t>OC</w:t>
            </w:r>
            <w:r w:rsidR="00525DA7" w:rsidRPr="003F7B37">
              <w:rPr>
                <w:rFonts w:cs="Arial"/>
                <w:lang w:eastAsia="nl-BE"/>
              </w:rPr>
              <w:t xml:space="preserve"> </w:t>
            </w:r>
            <w:r w:rsidR="00B27149">
              <w:rPr>
                <w:rFonts w:cs="Arial"/>
                <w:lang w:eastAsia="nl-BE"/>
              </w:rPr>
              <w:t xml:space="preserve">outside of reconciliation periods </w:t>
            </w:r>
            <w:r w:rsidRPr="003F7B37">
              <w:rPr>
                <w:rFonts w:cs="Arial"/>
                <w:lang w:eastAsia="nl-BE"/>
              </w:rPr>
              <w:t>and ensures consistency and medical coherence of the recorded information.</w:t>
            </w:r>
          </w:p>
        </w:tc>
      </w:tr>
      <w:tr w:rsidR="00A655AA" w:rsidRPr="001F240A" w14:paraId="57B9FFE5" w14:textId="77777777" w:rsidTr="001667EA">
        <w:tc>
          <w:tcPr>
            <w:tcW w:w="1489" w:type="pct"/>
            <w:shd w:val="clear" w:color="auto" w:fill="auto"/>
          </w:tcPr>
          <w:p w14:paraId="12B735D0" w14:textId="363D87B9" w:rsidR="00A655AA" w:rsidRPr="001667EA" w:rsidRDefault="00A655AA" w:rsidP="00286B28">
            <w:pPr>
              <w:spacing w:before="80" w:after="80"/>
              <w:rPr>
                <w:rFonts w:cs="Arial"/>
                <w:lang w:eastAsia="nl-BE"/>
              </w:rPr>
            </w:pPr>
            <w:r w:rsidRPr="001667EA">
              <w:rPr>
                <w:rFonts w:cs="Arial"/>
                <w:lang w:eastAsia="nl-BE"/>
              </w:rPr>
              <w:t xml:space="preserve">Pharmacovigilance Officer </w:t>
            </w:r>
            <w:r w:rsidR="00A13A89">
              <w:rPr>
                <w:rFonts w:cs="Arial"/>
                <w:lang w:eastAsia="nl-BE"/>
              </w:rPr>
              <w:t>and deputy</w:t>
            </w:r>
            <w:r w:rsidR="00286B28">
              <w:rPr>
                <w:rFonts w:cs="Arial"/>
                <w:lang w:eastAsia="nl-BE"/>
              </w:rPr>
              <w:t xml:space="preserve"> </w:t>
            </w:r>
            <w:r w:rsidR="00286B28" w:rsidRPr="001667EA">
              <w:rPr>
                <w:rFonts w:cs="Arial"/>
                <w:lang w:eastAsia="nl-BE"/>
              </w:rPr>
              <w:t>(PVO)</w:t>
            </w:r>
          </w:p>
        </w:tc>
        <w:tc>
          <w:tcPr>
            <w:tcW w:w="3511" w:type="pct"/>
            <w:shd w:val="clear" w:color="auto" w:fill="auto"/>
          </w:tcPr>
          <w:p w14:paraId="1998377E" w14:textId="4B73E317" w:rsidR="00C02313" w:rsidRPr="00926897" w:rsidRDefault="00A655AA" w:rsidP="007908E4">
            <w:pPr>
              <w:numPr>
                <w:ilvl w:val="0"/>
                <w:numId w:val="44"/>
              </w:numPr>
              <w:tabs>
                <w:tab w:val="left" w:pos="460"/>
              </w:tabs>
              <w:spacing w:before="80" w:after="80"/>
              <w:ind w:left="460" w:hanging="425"/>
              <w:rPr>
                <w:rFonts w:cs="Arial"/>
                <w:lang w:eastAsia="nl-BE"/>
              </w:rPr>
            </w:pPr>
            <w:r w:rsidRPr="00926897">
              <w:rPr>
                <w:rFonts w:cs="Arial"/>
                <w:lang w:eastAsia="nl-BE"/>
              </w:rPr>
              <w:t>SAE</w:t>
            </w:r>
            <w:r w:rsidR="00176ACE" w:rsidRPr="00926897">
              <w:rPr>
                <w:rFonts w:cs="Arial"/>
                <w:lang w:eastAsia="nl-BE"/>
              </w:rPr>
              <w:t>, AESI, pregnancy and overdose</w:t>
            </w:r>
            <w:r w:rsidRPr="00926897">
              <w:rPr>
                <w:rFonts w:cs="Arial"/>
                <w:lang w:eastAsia="nl-BE"/>
              </w:rPr>
              <w:t xml:space="preserve"> data entry into the </w:t>
            </w:r>
            <w:r w:rsidR="004827C3" w:rsidRPr="00926897">
              <w:rPr>
                <w:rFonts w:cs="Arial"/>
                <w:lang w:eastAsia="nl-BE"/>
              </w:rPr>
              <w:t xml:space="preserve">pharmacovigilance </w:t>
            </w:r>
            <w:r w:rsidRPr="00926897">
              <w:rPr>
                <w:rFonts w:cs="Arial"/>
                <w:lang w:eastAsia="nl-BE"/>
              </w:rPr>
              <w:t>database</w:t>
            </w:r>
            <w:r w:rsidR="00C02313" w:rsidRPr="00926897">
              <w:rPr>
                <w:rFonts w:cs="Arial"/>
                <w:lang w:eastAsia="nl-BE"/>
              </w:rPr>
              <w:t xml:space="preserve"> (PVDB)</w:t>
            </w:r>
            <w:r w:rsidRPr="00926897">
              <w:rPr>
                <w:rFonts w:cs="Arial"/>
                <w:lang w:eastAsia="nl-BE"/>
              </w:rPr>
              <w:t>,</w:t>
            </w:r>
          </w:p>
          <w:p w14:paraId="7F95A8D2" w14:textId="77777777" w:rsidR="00C02313" w:rsidRPr="00926897" w:rsidRDefault="00A655AA" w:rsidP="007908E4">
            <w:pPr>
              <w:numPr>
                <w:ilvl w:val="0"/>
                <w:numId w:val="44"/>
              </w:numPr>
              <w:tabs>
                <w:tab w:val="left" w:pos="460"/>
              </w:tabs>
              <w:spacing w:before="80" w:after="80"/>
              <w:ind w:left="460" w:hanging="425"/>
              <w:rPr>
                <w:rFonts w:cs="Arial"/>
                <w:lang w:eastAsia="nl-BE"/>
              </w:rPr>
            </w:pPr>
            <w:r w:rsidRPr="00926897">
              <w:rPr>
                <w:rFonts w:cs="Arial"/>
                <w:lang w:eastAsia="nl-BE"/>
              </w:rPr>
              <w:t xml:space="preserve">Initiates </w:t>
            </w:r>
            <w:r w:rsidR="00C02313" w:rsidRPr="00926897">
              <w:rPr>
                <w:rFonts w:cs="Arial"/>
                <w:lang w:eastAsia="nl-BE"/>
              </w:rPr>
              <w:t>Safety data</w:t>
            </w:r>
            <w:r w:rsidRPr="00926897">
              <w:rPr>
                <w:rFonts w:cs="Arial"/>
                <w:lang w:eastAsia="nl-BE"/>
              </w:rPr>
              <w:t xml:space="preserve"> reconciliation process,</w:t>
            </w:r>
          </w:p>
          <w:p w14:paraId="2B7A8E81" w14:textId="486C5C73" w:rsidR="00C02313" w:rsidRPr="00926897" w:rsidRDefault="00A655AA" w:rsidP="007908E4">
            <w:pPr>
              <w:numPr>
                <w:ilvl w:val="0"/>
                <w:numId w:val="44"/>
              </w:numPr>
              <w:tabs>
                <w:tab w:val="left" w:pos="460"/>
              </w:tabs>
              <w:spacing w:before="80" w:after="80"/>
              <w:ind w:left="460" w:hanging="425"/>
              <w:rPr>
                <w:rFonts w:cs="Arial"/>
                <w:lang w:eastAsia="nl-BE"/>
              </w:rPr>
            </w:pPr>
            <w:r w:rsidRPr="00926897">
              <w:rPr>
                <w:rFonts w:cs="Arial"/>
                <w:lang w:eastAsia="nl-BE"/>
              </w:rPr>
              <w:t xml:space="preserve">Creates and maintains up-to-date </w:t>
            </w:r>
            <w:r w:rsidR="00A13A89" w:rsidRPr="00926897">
              <w:rPr>
                <w:rFonts w:cs="Arial"/>
                <w:lang w:eastAsia="nl-BE"/>
              </w:rPr>
              <w:t xml:space="preserve">the </w:t>
            </w:r>
            <w:r w:rsidR="00C02313" w:rsidRPr="00926897">
              <w:rPr>
                <w:rFonts w:cs="Arial"/>
                <w:lang w:eastAsia="nl-BE"/>
              </w:rPr>
              <w:t>Safety data</w:t>
            </w:r>
            <w:r w:rsidRPr="00926897">
              <w:rPr>
                <w:rFonts w:cs="Arial"/>
                <w:lang w:eastAsia="nl-BE"/>
              </w:rPr>
              <w:t xml:space="preserve"> reconciliation plan for the stud</w:t>
            </w:r>
            <w:r w:rsidR="00D22BF6" w:rsidRPr="00926897">
              <w:rPr>
                <w:rFonts w:cs="Arial"/>
                <w:lang w:eastAsia="nl-BE"/>
              </w:rPr>
              <w:t>ies</w:t>
            </w:r>
            <w:r w:rsidRPr="00926897">
              <w:rPr>
                <w:rFonts w:cs="Arial"/>
                <w:lang w:eastAsia="nl-BE"/>
              </w:rPr>
              <w:t>,</w:t>
            </w:r>
          </w:p>
          <w:p w14:paraId="17B9BB6A" w14:textId="4FA8F5E5" w:rsidR="00A655AA" w:rsidRPr="00926897" w:rsidRDefault="00A655AA" w:rsidP="007908E4">
            <w:pPr>
              <w:numPr>
                <w:ilvl w:val="0"/>
                <w:numId w:val="44"/>
              </w:numPr>
              <w:tabs>
                <w:tab w:val="left" w:pos="460"/>
              </w:tabs>
              <w:spacing w:before="80" w:after="80"/>
              <w:ind w:left="460" w:hanging="425"/>
              <w:rPr>
                <w:rFonts w:cs="Arial"/>
                <w:lang w:eastAsia="nl-BE"/>
              </w:rPr>
            </w:pPr>
            <w:r w:rsidRPr="00926897">
              <w:rPr>
                <w:rFonts w:cs="Arial"/>
                <w:lang w:eastAsia="nl-BE"/>
              </w:rPr>
              <w:t xml:space="preserve">Extracts safety data </w:t>
            </w:r>
            <w:r w:rsidR="00DB53D6" w:rsidRPr="00926897">
              <w:rPr>
                <w:rFonts w:cs="Arial"/>
                <w:lang w:eastAsia="nl-BE"/>
              </w:rPr>
              <w:t>from the PV</w:t>
            </w:r>
            <w:r w:rsidR="00286B28" w:rsidRPr="00926897">
              <w:rPr>
                <w:rFonts w:cs="Arial"/>
                <w:lang w:eastAsia="nl-BE"/>
              </w:rPr>
              <w:t xml:space="preserve">DB </w:t>
            </w:r>
            <w:r w:rsidRPr="00926897">
              <w:rPr>
                <w:rFonts w:cs="Arial"/>
                <w:lang w:eastAsia="nl-BE"/>
              </w:rPr>
              <w:t xml:space="preserve">and sends to the </w:t>
            </w:r>
            <w:r w:rsidR="00525DA7" w:rsidRPr="00926897">
              <w:rPr>
                <w:rFonts w:cs="Arial"/>
                <w:lang w:eastAsia="nl-BE"/>
              </w:rPr>
              <w:t>DMT</w:t>
            </w:r>
            <w:r w:rsidR="00286B28" w:rsidRPr="00926897">
              <w:rPr>
                <w:rFonts w:cs="Arial"/>
                <w:lang w:eastAsia="nl-BE"/>
              </w:rPr>
              <w:t xml:space="preserve"> </w:t>
            </w:r>
            <w:r w:rsidRPr="00926897">
              <w:rPr>
                <w:rFonts w:cs="Arial"/>
                <w:lang w:eastAsia="nl-BE"/>
              </w:rPr>
              <w:t xml:space="preserve">for </w:t>
            </w:r>
            <w:r w:rsidR="00B27149" w:rsidRPr="00926897">
              <w:rPr>
                <w:rFonts w:cs="Arial"/>
                <w:lang w:eastAsia="nl-BE"/>
              </w:rPr>
              <w:t>comparison</w:t>
            </w:r>
            <w:r w:rsidR="00CC40E0" w:rsidRPr="00926897">
              <w:rPr>
                <w:rFonts w:cs="Arial"/>
                <w:lang w:eastAsia="nl-BE"/>
              </w:rPr>
              <w:t xml:space="preserve"> with OC</w:t>
            </w:r>
            <w:r w:rsidRPr="00926897">
              <w:rPr>
                <w:rFonts w:cs="Arial"/>
                <w:lang w:eastAsia="nl-BE"/>
              </w:rPr>
              <w:t>,</w:t>
            </w:r>
          </w:p>
          <w:p w14:paraId="20861085" w14:textId="1E77E68E" w:rsidR="00286B28" w:rsidRPr="00926897" w:rsidRDefault="00B27149" w:rsidP="007908E4">
            <w:pPr>
              <w:numPr>
                <w:ilvl w:val="0"/>
                <w:numId w:val="44"/>
              </w:numPr>
              <w:tabs>
                <w:tab w:val="left" w:pos="460"/>
              </w:tabs>
              <w:spacing w:before="80" w:after="80"/>
              <w:ind w:left="460" w:hanging="425"/>
              <w:rPr>
                <w:rFonts w:cs="Arial"/>
                <w:lang w:eastAsia="nl-BE"/>
              </w:rPr>
            </w:pPr>
            <w:r w:rsidRPr="00926897">
              <w:rPr>
                <w:rFonts w:cs="Arial"/>
                <w:lang w:eastAsia="nl-BE"/>
              </w:rPr>
              <w:t>Manually r</w:t>
            </w:r>
            <w:r w:rsidR="00286B28" w:rsidRPr="00926897">
              <w:rPr>
                <w:rFonts w:cs="Arial"/>
                <w:lang w:eastAsia="nl-BE"/>
              </w:rPr>
              <w:t xml:space="preserve">eviews the </w:t>
            </w:r>
            <w:r w:rsidRPr="00926897">
              <w:rPr>
                <w:rFonts w:cs="Arial"/>
                <w:lang w:eastAsia="nl-BE"/>
              </w:rPr>
              <w:t>comparison</w:t>
            </w:r>
            <w:r w:rsidR="00DB53D6" w:rsidRPr="00926897">
              <w:rPr>
                <w:rFonts w:cs="Arial"/>
                <w:lang w:eastAsia="nl-BE"/>
              </w:rPr>
              <w:t xml:space="preserve"> file</w:t>
            </w:r>
            <w:r w:rsidR="00D22BF6" w:rsidRPr="00926897">
              <w:rPr>
                <w:rFonts w:cs="Arial"/>
                <w:lang w:eastAsia="nl-BE"/>
              </w:rPr>
              <w:t>s</w:t>
            </w:r>
            <w:r w:rsidR="00DB53D6" w:rsidRPr="00926897">
              <w:rPr>
                <w:rFonts w:cs="Arial"/>
                <w:lang w:eastAsia="nl-BE"/>
              </w:rPr>
              <w:t xml:space="preserve"> and integrates it in Safety data reconciliation report</w:t>
            </w:r>
            <w:r w:rsidR="00D22BF6" w:rsidRPr="00926897">
              <w:rPr>
                <w:rFonts w:cs="Arial"/>
                <w:lang w:eastAsia="nl-BE"/>
              </w:rPr>
              <w:t>s</w:t>
            </w:r>
            <w:r w:rsidR="00286B28" w:rsidRPr="00926897">
              <w:rPr>
                <w:rFonts w:cs="Arial"/>
                <w:lang w:eastAsia="nl-BE"/>
              </w:rPr>
              <w:t>,</w:t>
            </w:r>
          </w:p>
          <w:p w14:paraId="4B578F19" w14:textId="123A0397" w:rsidR="00A655AA" w:rsidRPr="00926897" w:rsidRDefault="00A655AA" w:rsidP="007908E4">
            <w:pPr>
              <w:numPr>
                <w:ilvl w:val="0"/>
                <w:numId w:val="44"/>
              </w:numPr>
              <w:tabs>
                <w:tab w:val="left" w:pos="460"/>
              </w:tabs>
              <w:spacing w:before="80" w:after="80"/>
              <w:ind w:left="460" w:hanging="425"/>
              <w:rPr>
                <w:rFonts w:cs="Arial"/>
                <w:lang w:eastAsia="nl-BE"/>
              </w:rPr>
            </w:pPr>
            <w:r w:rsidRPr="00926897">
              <w:rPr>
                <w:rFonts w:cs="Arial"/>
                <w:lang w:eastAsia="nl-BE"/>
              </w:rPr>
              <w:lastRenderedPageBreak/>
              <w:t xml:space="preserve">Sends and follows-up queries to the site regarding discrepancies identified as inconsistencies in the </w:t>
            </w:r>
            <w:r w:rsidR="00C02313" w:rsidRPr="00926897">
              <w:rPr>
                <w:rFonts w:cs="Arial"/>
                <w:lang w:eastAsia="nl-BE"/>
              </w:rPr>
              <w:t>PVDB</w:t>
            </w:r>
            <w:r w:rsidRPr="00926897">
              <w:rPr>
                <w:rFonts w:cs="Arial"/>
                <w:lang w:eastAsia="nl-BE"/>
              </w:rPr>
              <w:t>,</w:t>
            </w:r>
          </w:p>
          <w:p w14:paraId="791997C2" w14:textId="6351E8C5" w:rsidR="00A655AA" w:rsidRPr="00926897" w:rsidRDefault="00A655AA" w:rsidP="00286B28">
            <w:pPr>
              <w:numPr>
                <w:ilvl w:val="0"/>
                <w:numId w:val="44"/>
              </w:numPr>
              <w:tabs>
                <w:tab w:val="left" w:pos="460"/>
                <w:tab w:val="left" w:pos="1440"/>
              </w:tabs>
              <w:spacing w:before="80" w:after="80"/>
              <w:ind w:left="460" w:hanging="425"/>
              <w:rPr>
                <w:rFonts w:cs="Arial"/>
                <w:lang w:eastAsia="nl-BE"/>
              </w:rPr>
            </w:pPr>
            <w:r w:rsidRPr="00926897">
              <w:rPr>
                <w:rFonts w:cs="Arial"/>
                <w:lang w:eastAsia="nl-BE"/>
              </w:rPr>
              <w:t xml:space="preserve">Performs corrections in the </w:t>
            </w:r>
            <w:r w:rsidR="00C02313" w:rsidRPr="00926897">
              <w:rPr>
                <w:rFonts w:cs="Arial"/>
                <w:lang w:eastAsia="nl-BE"/>
              </w:rPr>
              <w:t>PVDB</w:t>
            </w:r>
            <w:r w:rsidRPr="00926897">
              <w:rPr>
                <w:rFonts w:cs="Arial"/>
                <w:lang w:eastAsia="nl-BE"/>
              </w:rPr>
              <w:t>,</w:t>
            </w:r>
          </w:p>
          <w:p w14:paraId="65DFD9F9" w14:textId="78D49233" w:rsidR="00A655AA" w:rsidRPr="00926897" w:rsidRDefault="00286B28" w:rsidP="007908E4">
            <w:pPr>
              <w:numPr>
                <w:ilvl w:val="0"/>
                <w:numId w:val="44"/>
              </w:numPr>
              <w:tabs>
                <w:tab w:val="left" w:pos="460"/>
              </w:tabs>
              <w:spacing w:before="80" w:after="80"/>
              <w:ind w:left="460" w:hanging="425"/>
              <w:rPr>
                <w:rFonts w:cs="Arial"/>
                <w:sz w:val="20"/>
                <w:szCs w:val="24"/>
                <w:lang w:eastAsia="nl-BE"/>
              </w:rPr>
            </w:pPr>
            <w:r w:rsidRPr="00926897">
              <w:rPr>
                <w:rFonts w:cs="Arial"/>
                <w:lang w:eastAsia="nl-BE"/>
              </w:rPr>
              <w:t>Finalizes the Safety data reconciliation report</w:t>
            </w:r>
            <w:r w:rsidR="00D22BF6" w:rsidRPr="00926897">
              <w:rPr>
                <w:rFonts w:cs="Arial"/>
                <w:lang w:eastAsia="nl-BE"/>
              </w:rPr>
              <w:t>s</w:t>
            </w:r>
            <w:r w:rsidRPr="00926897">
              <w:rPr>
                <w:rFonts w:cs="Arial"/>
                <w:lang w:eastAsia="nl-BE"/>
              </w:rPr>
              <w:t xml:space="preserve"> with manual reconciliation information.</w:t>
            </w:r>
          </w:p>
        </w:tc>
      </w:tr>
      <w:tr w:rsidR="00A655AA" w:rsidRPr="001F240A" w14:paraId="724919B4" w14:textId="77777777" w:rsidTr="001667EA">
        <w:tc>
          <w:tcPr>
            <w:tcW w:w="1489" w:type="pct"/>
            <w:shd w:val="clear" w:color="auto" w:fill="auto"/>
          </w:tcPr>
          <w:p w14:paraId="159AD740" w14:textId="7D8E6AA9" w:rsidR="00A655AA" w:rsidRPr="001667EA" w:rsidDel="0020184B" w:rsidRDefault="00C02313" w:rsidP="007908E4">
            <w:pPr>
              <w:spacing w:before="80" w:after="80"/>
              <w:jc w:val="left"/>
              <w:rPr>
                <w:rFonts w:asciiTheme="minorHAnsi" w:hAnsiTheme="minorHAnsi" w:cs="Arial"/>
                <w:lang w:eastAsia="nl-BE"/>
              </w:rPr>
            </w:pPr>
            <w:r w:rsidRPr="001667EA">
              <w:rPr>
                <w:rFonts w:asciiTheme="minorHAnsi" w:hAnsiTheme="minorHAnsi" w:cs="Arial"/>
                <w:lang w:eastAsia="nl-BE"/>
              </w:rPr>
              <w:lastRenderedPageBreak/>
              <w:t xml:space="preserve">Site Principal </w:t>
            </w:r>
            <w:r w:rsidR="00A655AA" w:rsidRPr="001667EA">
              <w:rPr>
                <w:rFonts w:asciiTheme="minorHAnsi" w:hAnsiTheme="minorHAnsi" w:cs="Arial"/>
                <w:lang w:eastAsia="nl-BE"/>
              </w:rPr>
              <w:t>Investigators</w:t>
            </w:r>
            <w:r w:rsidRPr="001667EA">
              <w:rPr>
                <w:rFonts w:asciiTheme="minorHAnsi" w:hAnsiTheme="minorHAnsi" w:cs="Arial"/>
                <w:lang w:eastAsia="nl-BE"/>
              </w:rPr>
              <w:t xml:space="preserve"> (PI)</w:t>
            </w:r>
            <w:r w:rsidR="00177F4D">
              <w:rPr>
                <w:rFonts w:asciiTheme="minorHAnsi" w:hAnsiTheme="minorHAnsi" w:cs="Arial"/>
                <w:lang w:eastAsia="nl-BE"/>
              </w:rPr>
              <w:t xml:space="preserve"> and investigators</w:t>
            </w:r>
          </w:p>
        </w:tc>
        <w:tc>
          <w:tcPr>
            <w:tcW w:w="3511" w:type="pct"/>
            <w:shd w:val="clear" w:color="auto" w:fill="auto"/>
          </w:tcPr>
          <w:p w14:paraId="77CD405B" w14:textId="6C011297" w:rsidR="00A655AA" w:rsidRPr="00926897" w:rsidRDefault="00A655AA" w:rsidP="007908E4">
            <w:pPr>
              <w:numPr>
                <w:ilvl w:val="0"/>
                <w:numId w:val="39"/>
              </w:numPr>
              <w:tabs>
                <w:tab w:val="left" w:pos="450"/>
                <w:tab w:val="left" w:pos="1440"/>
              </w:tabs>
              <w:spacing w:before="80" w:after="80"/>
              <w:ind w:left="318" w:hanging="318"/>
              <w:rPr>
                <w:rFonts w:asciiTheme="minorHAnsi" w:hAnsiTheme="minorHAnsi" w:cs="Arial"/>
                <w:lang w:eastAsia="nl-BE"/>
              </w:rPr>
            </w:pPr>
            <w:r w:rsidRPr="00926897">
              <w:rPr>
                <w:rFonts w:asciiTheme="minorHAnsi" w:hAnsiTheme="minorHAnsi" w:cs="Arial"/>
                <w:lang w:eastAsia="nl-BE"/>
              </w:rPr>
              <w:t xml:space="preserve">Timely responds to queries from the </w:t>
            </w:r>
            <w:r w:rsidR="00C02313" w:rsidRPr="00926897">
              <w:rPr>
                <w:rFonts w:asciiTheme="minorHAnsi" w:hAnsiTheme="minorHAnsi" w:cs="Arial"/>
                <w:lang w:eastAsia="nl-BE"/>
              </w:rPr>
              <w:t>DM</w:t>
            </w:r>
            <w:r w:rsidR="004709C5" w:rsidRPr="00926897">
              <w:rPr>
                <w:rFonts w:asciiTheme="minorHAnsi" w:hAnsiTheme="minorHAnsi" w:cs="Arial"/>
                <w:lang w:eastAsia="nl-BE"/>
              </w:rPr>
              <w:t>T</w:t>
            </w:r>
            <w:r w:rsidRPr="00926897">
              <w:rPr>
                <w:rFonts w:asciiTheme="minorHAnsi" w:hAnsiTheme="minorHAnsi" w:cs="Arial"/>
                <w:lang w:eastAsia="nl-BE"/>
              </w:rPr>
              <w:t xml:space="preserve"> or the PV</w:t>
            </w:r>
            <w:r w:rsidR="00C02313" w:rsidRPr="00926897">
              <w:rPr>
                <w:rFonts w:asciiTheme="minorHAnsi" w:hAnsiTheme="minorHAnsi" w:cs="Arial"/>
                <w:lang w:eastAsia="nl-BE"/>
              </w:rPr>
              <w:t>O</w:t>
            </w:r>
            <w:r w:rsidRPr="00926897">
              <w:rPr>
                <w:rFonts w:asciiTheme="minorHAnsi" w:hAnsiTheme="minorHAnsi" w:cs="Arial"/>
                <w:lang w:eastAsia="nl-BE"/>
              </w:rPr>
              <w:t>.</w:t>
            </w:r>
          </w:p>
          <w:p w14:paraId="70406AAB" w14:textId="3BD02C24" w:rsidR="00D3708F" w:rsidRPr="00926897" w:rsidRDefault="00673525" w:rsidP="00EB1D99">
            <w:pPr>
              <w:numPr>
                <w:ilvl w:val="0"/>
                <w:numId w:val="39"/>
              </w:numPr>
              <w:tabs>
                <w:tab w:val="left" w:pos="450"/>
                <w:tab w:val="left" w:pos="1440"/>
              </w:tabs>
              <w:spacing w:before="80" w:after="80"/>
              <w:ind w:left="318" w:hanging="318"/>
              <w:rPr>
                <w:rFonts w:asciiTheme="minorHAnsi" w:hAnsiTheme="minorHAnsi" w:cs="Arial"/>
                <w:lang w:eastAsia="nl-BE"/>
              </w:rPr>
            </w:pPr>
            <w:r w:rsidRPr="00926897">
              <w:rPr>
                <w:rFonts w:asciiTheme="minorHAnsi" w:hAnsiTheme="minorHAnsi" w:cs="Arial"/>
                <w:lang w:eastAsia="nl-BE"/>
              </w:rPr>
              <w:t>Amends</w:t>
            </w:r>
            <w:r w:rsidR="00D3708F" w:rsidRPr="00926897">
              <w:rPr>
                <w:rFonts w:asciiTheme="minorHAnsi" w:hAnsiTheme="minorHAnsi" w:cs="Arial"/>
                <w:lang w:eastAsia="nl-BE"/>
              </w:rPr>
              <w:t xml:space="preserve"> the source documents to reflect any correction </w:t>
            </w:r>
            <w:r w:rsidR="00B27149" w:rsidRPr="00926897">
              <w:rPr>
                <w:rFonts w:asciiTheme="minorHAnsi" w:hAnsiTheme="minorHAnsi" w:cs="Arial"/>
                <w:lang w:eastAsia="nl-BE"/>
              </w:rPr>
              <w:t xml:space="preserve">the site Data Entry personnel needs to reflect in </w:t>
            </w:r>
            <w:r w:rsidR="00EB1D99" w:rsidRPr="00926897">
              <w:rPr>
                <w:rFonts w:asciiTheme="minorHAnsi" w:hAnsiTheme="minorHAnsi" w:cs="Arial"/>
                <w:lang w:eastAsia="nl-BE"/>
              </w:rPr>
              <w:t>OC,</w:t>
            </w:r>
            <w:r w:rsidR="00B27149" w:rsidRPr="00926897">
              <w:rPr>
                <w:rFonts w:asciiTheme="minorHAnsi" w:hAnsiTheme="minorHAnsi" w:cs="Arial"/>
                <w:lang w:eastAsia="nl-BE"/>
              </w:rPr>
              <w:t xml:space="preserve"> </w:t>
            </w:r>
            <w:r w:rsidR="00D3708F" w:rsidRPr="00926897">
              <w:rPr>
                <w:rFonts w:asciiTheme="minorHAnsi" w:hAnsiTheme="minorHAnsi" w:cs="Arial"/>
                <w:lang w:eastAsia="nl-BE"/>
              </w:rPr>
              <w:t>if applicable.</w:t>
            </w:r>
          </w:p>
        </w:tc>
      </w:tr>
      <w:tr w:rsidR="00BA429A" w:rsidRPr="001F240A" w14:paraId="49D24BA9" w14:textId="77777777" w:rsidTr="001667EA">
        <w:tc>
          <w:tcPr>
            <w:tcW w:w="1489" w:type="pct"/>
            <w:shd w:val="clear" w:color="auto" w:fill="auto"/>
          </w:tcPr>
          <w:p w14:paraId="771DD68F" w14:textId="2B4FD3F9" w:rsidR="00BA429A" w:rsidRPr="00926897" w:rsidRDefault="00EB1D99" w:rsidP="004B2429">
            <w:pPr>
              <w:spacing w:before="80" w:after="80"/>
              <w:rPr>
                <w:rFonts w:asciiTheme="minorHAnsi" w:hAnsiTheme="minorHAnsi" w:cs="Arial"/>
                <w:lang w:eastAsia="nl-BE"/>
              </w:rPr>
            </w:pPr>
            <w:r w:rsidRPr="00926897">
              <w:rPr>
                <w:rFonts w:asciiTheme="minorHAnsi" w:hAnsiTheme="minorHAnsi" w:cs="Arial"/>
                <w:lang w:eastAsia="nl-BE"/>
              </w:rPr>
              <w:t>Study Site Coordinator</w:t>
            </w:r>
            <w:r w:rsidR="00BA429A" w:rsidRPr="00926897">
              <w:rPr>
                <w:rFonts w:asciiTheme="minorHAnsi" w:hAnsiTheme="minorHAnsi" w:cs="Arial"/>
                <w:lang w:eastAsia="nl-BE"/>
              </w:rPr>
              <w:t xml:space="preserve"> (SSC)</w:t>
            </w:r>
            <w:r w:rsidR="004B2429" w:rsidRPr="00926897">
              <w:rPr>
                <w:rFonts w:asciiTheme="minorHAnsi" w:hAnsiTheme="minorHAnsi" w:cs="Arial"/>
                <w:lang w:eastAsia="nl-BE"/>
              </w:rPr>
              <w:t xml:space="preserve"> </w:t>
            </w:r>
          </w:p>
        </w:tc>
        <w:tc>
          <w:tcPr>
            <w:tcW w:w="3511" w:type="pct"/>
            <w:shd w:val="clear" w:color="auto" w:fill="auto"/>
          </w:tcPr>
          <w:p w14:paraId="4EBD28C7" w14:textId="1B56634D" w:rsidR="00BA429A" w:rsidRPr="00926897" w:rsidRDefault="00BA429A" w:rsidP="00244390">
            <w:pPr>
              <w:numPr>
                <w:ilvl w:val="0"/>
                <w:numId w:val="39"/>
              </w:numPr>
              <w:tabs>
                <w:tab w:val="left" w:pos="450"/>
                <w:tab w:val="left" w:pos="1440"/>
              </w:tabs>
              <w:spacing w:before="80" w:after="80"/>
              <w:ind w:left="409" w:hanging="409"/>
              <w:rPr>
                <w:rFonts w:asciiTheme="minorHAnsi" w:hAnsiTheme="minorHAnsi" w:cs="Arial"/>
                <w:lang w:eastAsia="nl-BE"/>
              </w:rPr>
            </w:pPr>
            <w:r w:rsidRPr="00926897">
              <w:rPr>
                <w:rFonts w:asciiTheme="minorHAnsi" w:hAnsiTheme="minorHAnsi" w:cs="Arial"/>
                <w:lang w:eastAsia="nl-BE"/>
              </w:rPr>
              <w:t>Support</w:t>
            </w:r>
            <w:r w:rsidR="00EB1D99" w:rsidRPr="00926897">
              <w:rPr>
                <w:rFonts w:asciiTheme="minorHAnsi" w:hAnsiTheme="minorHAnsi" w:cs="Arial"/>
                <w:lang w:eastAsia="nl-BE"/>
              </w:rPr>
              <w:t>s</w:t>
            </w:r>
            <w:r w:rsidRPr="00926897">
              <w:rPr>
                <w:rFonts w:asciiTheme="minorHAnsi" w:hAnsiTheme="minorHAnsi" w:cs="Arial"/>
                <w:lang w:eastAsia="nl-BE"/>
              </w:rPr>
              <w:t xml:space="preserve"> the Site PI in respon</w:t>
            </w:r>
            <w:r w:rsidR="00B27149" w:rsidRPr="00926897">
              <w:rPr>
                <w:rFonts w:asciiTheme="minorHAnsi" w:hAnsiTheme="minorHAnsi" w:cs="Arial"/>
                <w:lang w:eastAsia="nl-BE"/>
              </w:rPr>
              <w:t xml:space="preserve">ding to the reconciliation queries </w:t>
            </w:r>
            <w:r w:rsidRPr="00926897">
              <w:rPr>
                <w:rFonts w:asciiTheme="minorHAnsi" w:hAnsiTheme="minorHAnsi" w:cs="Arial"/>
                <w:lang w:eastAsia="nl-BE"/>
              </w:rPr>
              <w:t xml:space="preserve">and </w:t>
            </w:r>
            <w:r w:rsidR="00B27149" w:rsidRPr="00926897">
              <w:rPr>
                <w:rFonts w:asciiTheme="minorHAnsi" w:hAnsiTheme="minorHAnsi" w:cs="Arial"/>
                <w:lang w:eastAsia="nl-BE"/>
              </w:rPr>
              <w:t xml:space="preserve">in </w:t>
            </w:r>
            <w:r w:rsidRPr="00926897">
              <w:rPr>
                <w:rFonts w:asciiTheme="minorHAnsi" w:hAnsiTheme="minorHAnsi" w:cs="Arial"/>
                <w:lang w:eastAsia="nl-BE"/>
              </w:rPr>
              <w:t>document</w:t>
            </w:r>
            <w:r w:rsidR="00B27149" w:rsidRPr="00926897">
              <w:rPr>
                <w:rFonts w:asciiTheme="minorHAnsi" w:hAnsiTheme="minorHAnsi" w:cs="Arial"/>
                <w:lang w:eastAsia="nl-BE"/>
              </w:rPr>
              <w:t>ing the related</w:t>
            </w:r>
            <w:r w:rsidRPr="00926897">
              <w:rPr>
                <w:rFonts w:asciiTheme="minorHAnsi" w:hAnsiTheme="minorHAnsi" w:cs="Arial"/>
                <w:lang w:eastAsia="nl-BE"/>
              </w:rPr>
              <w:t xml:space="preserve"> updates.</w:t>
            </w:r>
          </w:p>
        </w:tc>
      </w:tr>
      <w:tr w:rsidR="00A655AA" w:rsidRPr="001F240A" w14:paraId="678F97D9" w14:textId="77777777" w:rsidTr="001667EA">
        <w:tc>
          <w:tcPr>
            <w:tcW w:w="1489" w:type="pct"/>
            <w:shd w:val="clear" w:color="auto" w:fill="auto"/>
          </w:tcPr>
          <w:p w14:paraId="796C0AB2" w14:textId="20608373" w:rsidR="00A655AA" w:rsidRPr="00926897" w:rsidRDefault="00900FA2" w:rsidP="007908E4">
            <w:pPr>
              <w:spacing w:before="80" w:after="80"/>
              <w:rPr>
                <w:rFonts w:asciiTheme="minorHAnsi" w:hAnsiTheme="minorHAnsi" w:cs="Arial"/>
                <w:lang w:eastAsia="nl-BE"/>
              </w:rPr>
            </w:pPr>
            <w:r w:rsidRPr="00926897">
              <w:rPr>
                <w:rFonts w:asciiTheme="minorHAnsi" w:hAnsiTheme="minorHAnsi" w:cs="Arial"/>
                <w:lang w:eastAsia="nl-BE"/>
              </w:rPr>
              <w:t>Clinical Trial Manager</w:t>
            </w:r>
            <w:r w:rsidR="003F7B37" w:rsidRPr="00926897">
              <w:rPr>
                <w:rFonts w:asciiTheme="minorHAnsi" w:hAnsiTheme="minorHAnsi" w:cs="Arial"/>
                <w:lang w:eastAsia="nl-BE"/>
              </w:rPr>
              <w:t xml:space="preserve"> (</w:t>
            </w:r>
            <w:r w:rsidRPr="00926897">
              <w:rPr>
                <w:rFonts w:asciiTheme="minorHAnsi" w:hAnsiTheme="minorHAnsi" w:cs="Arial"/>
                <w:lang w:eastAsia="nl-BE"/>
              </w:rPr>
              <w:t>CTM</w:t>
            </w:r>
            <w:r w:rsidR="003F7B37" w:rsidRPr="00926897">
              <w:rPr>
                <w:rFonts w:asciiTheme="minorHAnsi" w:hAnsiTheme="minorHAnsi" w:cs="Arial"/>
                <w:lang w:eastAsia="nl-BE"/>
              </w:rPr>
              <w:t>)</w:t>
            </w:r>
          </w:p>
        </w:tc>
        <w:tc>
          <w:tcPr>
            <w:tcW w:w="3511" w:type="pct"/>
            <w:shd w:val="clear" w:color="auto" w:fill="auto"/>
          </w:tcPr>
          <w:p w14:paraId="40E335B1" w14:textId="77777777" w:rsidR="00A655AA" w:rsidRPr="00926897" w:rsidRDefault="00A655AA" w:rsidP="007908E4">
            <w:pPr>
              <w:numPr>
                <w:ilvl w:val="0"/>
                <w:numId w:val="39"/>
              </w:numPr>
              <w:tabs>
                <w:tab w:val="left" w:pos="450"/>
                <w:tab w:val="left" w:pos="1440"/>
              </w:tabs>
              <w:spacing w:before="80" w:after="80"/>
              <w:ind w:hanging="720"/>
              <w:rPr>
                <w:rFonts w:asciiTheme="minorHAnsi" w:hAnsiTheme="minorHAnsi" w:cs="Arial"/>
                <w:lang w:eastAsia="nl-BE"/>
              </w:rPr>
            </w:pPr>
            <w:r w:rsidRPr="00926897">
              <w:rPr>
                <w:rFonts w:asciiTheme="minorHAnsi" w:hAnsiTheme="minorHAnsi" w:cs="Arial"/>
                <w:lang w:eastAsia="nl-BE"/>
              </w:rPr>
              <w:t xml:space="preserve">Approves the </w:t>
            </w:r>
            <w:r w:rsidR="00C02313" w:rsidRPr="00926897">
              <w:rPr>
                <w:rFonts w:asciiTheme="minorHAnsi" w:hAnsiTheme="minorHAnsi" w:cs="Arial"/>
                <w:lang w:eastAsia="nl-BE"/>
              </w:rPr>
              <w:t>Safety data</w:t>
            </w:r>
            <w:r w:rsidRPr="00926897">
              <w:rPr>
                <w:rFonts w:asciiTheme="minorHAnsi" w:hAnsiTheme="minorHAnsi" w:cs="Arial"/>
                <w:lang w:eastAsia="nl-BE"/>
              </w:rPr>
              <w:t xml:space="preserve"> reconciliation plan.</w:t>
            </w:r>
          </w:p>
        </w:tc>
      </w:tr>
      <w:tr w:rsidR="00A655AA" w:rsidRPr="001F240A" w14:paraId="7994A828" w14:textId="77777777" w:rsidTr="001667EA">
        <w:tc>
          <w:tcPr>
            <w:tcW w:w="1489" w:type="pct"/>
            <w:shd w:val="clear" w:color="auto" w:fill="auto"/>
          </w:tcPr>
          <w:p w14:paraId="0AC143CA" w14:textId="206325A8" w:rsidR="00A655AA" w:rsidRPr="00926897" w:rsidRDefault="00EB1D99" w:rsidP="007908E4">
            <w:pPr>
              <w:spacing w:before="80" w:after="80"/>
              <w:rPr>
                <w:rFonts w:asciiTheme="minorHAnsi" w:hAnsiTheme="minorHAnsi" w:cs="Arial"/>
                <w:lang w:eastAsia="nl-BE"/>
              </w:rPr>
            </w:pPr>
            <w:r w:rsidRPr="00926897">
              <w:rPr>
                <w:rFonts w:asciiTheme="minorHAnsi" w:hAnsiTheme="minorHAnsi" w:cs="Arial"/>
                <w:lang w:eastAsia="nl-BE"/>
              </w:rPr>
              <w:t xml:space="preserve">Central </w:t>
            </w:r>
            <w:r w:rsidR="00C02313" w:rsidRPr="00926897">
              <w:rPr>
                <w:rFonts w:asciiTheme="minorHAnsi" w:hAnsiTheme="minorHAnsi" w:cs="Arial"/>
                <w:lang w:eastAsia="nl-BE"/>
              </w:rPr>
              <w:t>Study</w:t>
            </w:r>
            <w:r w:rsidR="003F7B37" w:rsidRPr="00926897">
              <w:rPr>
                <w:rFonts w:asciiTheme="minorHAnsi" w:hAnsiTheme="minorHAnsi" w:cs="Arial"/>
                <w:lang w:eastAsia="nl-BE"/>
              </w:rPr>
              <w:t xml:space="preserve"> </w:t>
            </w:r>
            <w:r w:rsidR="00C02313" w:rsidRPr="00926897">
              <w:rPr>
                <w:rFonts w:asciiTheme="minorHAnsi" w:hAnsiTheme="minorHAnsi" w:cs="Arial"/>
                <w:lang w:eastAsia="nl-BE"/>
              </w:rPr>
              <w:t>Principal Investigators (PI)</w:t>
            </w:r>
          </w:p>
        </w:tc>
        <w:tc>
          <w:tcPr>
            <w:tcW w:w="3511" w:type="pct"/>
            <w:shd w:val="clear" w:color="auto" w:fill="auto"/>
          </w:tcPr>
          <w:p w14:paraId="33525BB3" w14:textId="77777777" w:rsidR="00A655AA" w:rsidRPr="00926897" w:rsidRDefault="00A655AA" w:rsidP="007908E4">
            <w:pPr>
              <w:numPr>
                <w:ilvl w:val="0"/>
                <w:numId w:val="39"/>
              </w:numPr>
              <w:tabs>
                <w:tab w:val="left" w:pos="450"/>
                <w:tab w:val="left" w:pos="1440"/>
              </w:tabs>
              <w:spacing w:before="80" w:after="80"/>
              <w:ind w:hanging="720"/>
              <w:rPr>
                <w:rFonts w:asciiTheme="minorHAnsi" w:hAnsiTheme="minorHAnsi" w:cs="Arial"/>
                <w:lang w:eastAsia="nl-BE"/>
              </w:rPr>
            </w:pPr>
            <w:r w:rsidRPr="00926897">
              <w:rPr>
                <w:rFonts w:asciiTheme="minorHAnsi" w:hAnsiTheme="minorHAnsi" w:cs="Arial"/>
                <w:lang w:eastAsia="nl-BE"/>
              </w:rPr>
              <w:t>Decide on unsolvable discrepancies.</w:t>
            </w:r>
          </w:p>
        </w:tc>
      </w:tr>
    </w:tbl>
    <w:p w14:paraId="57040755" w14:textId="77777777" w:rsidR="00F23C87" w:rsidRPr="00012A92" w:rsidRDefault="004E294D" w:rsidP="00025B21">
      <w:pPr>
        <w:pStyle w:val="Heading2"/>
      </w:pPr>
      <w:bookmarkStart w:id="5" w:name="_Toc180756499"/>
      <w:r w:rsidRPr="00012A92">
        <w:t>DEFINITIONS and ABBREVIATIONS</w:t>
      </w:r>
      <w:bookmarkEnd w:id="5"/>
    </w:p>
    <w:p w14:paraId="509A2B02" w14:textId="77777777" w:rsidR="00B75A72" w:rsidRPr="00012A92" w:rsidRDefault="00946F1A" w:rsidP="00025B21">
      <w:pPr>
        <w:pStyle w:val="Heading3"/>
      </w:pPr>
      <w:bookmarkStart w:id="6" w:name="_Toc180756500"/>
      <w:r w:rsidRPr="00012A92">
        <w:t>Adverse Event (AE)</w:t>
      </w:r>
      <w:bookmarkEnd w:id="6"/>
    </w:p>
    <w:p w14:paraId="4570D17B" w14:textId="77777777" w:rsidR="00946F1A" w:rsidRDefault="00946F1A" w:rsidP="00946F1A">
      <w:r>
        <w:t>Any untoward medical occurrence or worsening of a pre-existing medical condition in a clinical trial subject administered a medicinal (investigational) product and which does not necessarily have a causal relationship with this treatment. An AE can therefore be any unfavourable or unintended sign (including laboratory test abnormalities), symptom, or disease temporally associated with the use of a medicinal (investigational) product whether or not considered related to the investigational product.</w:t>
      </w:r>
    </w:p>
    <w:p w14:paraId="142128CA" w14:textId="77777777" w:rsidR="00B75A72" w:rsidRPr="00012A92" w:rsidRDefault="00946F1A" w:rsidP="00025B21">
      <w:pPr>
        <w:pStyle w:val="Heading3"/>
      </w:pPr>
      <w:bookmarkStart w:id="7" w:name="_Ref427675518"/>
      <w:bookmarkStart w:id="8" w:name="_Toc180756501"/>
      <w:r w:rsidRPr="00012A92">
        <w:t>Adverse Events of Special Interest (AESI)</w:t>
      </w:r>
      <w:bookmarkEnd w:id="7"/>
      <w:bookmarkEnd w:id="8"/>
    </w:p>
    <w:p w14:paraId="57267D56" w14:textId="77777777" w:rsidR="00946F1A" w:rsidRPr="00926897" w:rsidRDefault="00946F1A" w:rsidP="00946F1A">
      <w:r>
        <w:t>Adverse Event</w:t>
      </w:r>
      <w:r w:rsidR="005E5D81">
        <w:t>s</w:t>
      </w:r>
      <w:r>
        <w:t xml:space="preserve"> of scientific and medical concern </w:t>
      </w:r>
      <w:r w:rsidR="005E5D81">
        <w:t>with</w:t>
      </w:r>
      <w:r>
        <w:t xml:space="preserve"> the investigational </w:t>
      </w:r>
      <w:r w:rsidR="005E5D81">
        <w:t>medicinal product</w:t>
      </w:r>
      <w:r>
        <w:t xml:space="preserve">(s), for which ongoing monitoring and rapid communication by the Investigator to the Sponsor is appropriate. Such events require further </w:t>
      </w:r>
      <w:r w:rsidRPr="00926897">
        <w:t>investigation in order to characterize and understand them.</w:t>
      </w:r>
    </w:p>
    <w:p w14:paraId="6F6FE3F3" w14:textId="6C14CC59" w:rsidR="00244390" w:rsidRPr="00926897" w:rsidRDefault="00F54BA7" w:rsidP="00946F1A">
      <w:r w:rsidRPr="00926897">
        <w:t xml:space="preserve">In the frame of the endTB </w:t>
      </w:r>
      <w:r w:rsidR="00707D9D" w:rsidRPr="00926897">
        <w:t xml:space="preserve">and endTB-Q </w:t>
      </w:r>
      <w:r w:rsidRPr="00926897">
        <w:t>interventional clinical trial</w:t>
      </w:r>
      <w:r w:rsidR="00707D9D" w:rsidRPr="00926897">
        <w:t>s</w:t>
      </w:r>
      <w:r w:rsidRPr="00926897">
        <w:t>, AESI include the list of conditions mentioned in the Clinical Trial Protocol</w:t>
      </w:r>
      <w:r w:rsidR="00D408BA" w:rsidRPr="00926897">
        <w:t>s</w:t>
      </w:r>
      <w:r w:rsidRPr="00926897">
        <w:t>.</w:t>
      </w:r>
    </w:p>
    <w:p w14:paraId="513D92CE" w14:textId="23738B2C" w:rsidR="003B6815" w:rsidRPr="00926897" w:rsidRDefault="00F54BA7" w:rsidP="00025B21">
      <w:pPr>
        <w:pStyle w:val="Heading3"/>
      </w:pPr>
      <w:r w:rsidRPr="00926897">
        <w:rPr>
          <w:sz w:val="22"/>
        </w:rPr>
        <w:t xml:space="preserve"> </w:t>
      </w:r>
      <w:bookmarkStart w:id="9" w:name="_Ref427675504"/>
      <w:bookmarkStart w:id="10" w:name="_Toc180756502"/>
      <w:r w:rsidR="0082649B" w:rsidRPr="00926897">
        <w:t>Line</w:t>
      </w:r>
      <w:r w:rsidR="003B6815" w:rsidRPr="00926897">
        <w:t xml:space="preserve"> </w:t>
      </w:r>
      <w:r w:rsidR="0082649B" w:rsidRPr="00926897">
        <w:t>listing</w:t>
      </w:r>
      <w:bookmarkEnd w:id="10"/>
    </w:p>
    <w:p w14:paraId="4235C419" w14:textId="77777777" w:rsidR="0082649B" w:rsidRDefault="000A1E3C" w:rsidP="007908E4">
      <w:r>
        <w:t>Extraction of the Pharmacovigilance Database (PVDB) where PVDB entries are presented as lines</w:t>
      </w:r>
      <w:r w:rsidR="00582B17">
        <w:t xml:space="preserve"> of text</w:t>
      </w:r>
      <w:r>
        <w:t>.</w:t>
      </w:r>
    </w:p>
    <w:p w14:paraId="23B0D610" w14:textId="77777777" w:rsidR="007414C9" w:rsidRPr="00012A92" w:rsidRDefault="007414C9" w:rsidP="00025B21">
      <w:pPr>
        <w:pStyle w:val="Heading3"/>
      </w:pPr>
      <w:bookmarkStart w:id="11" w:name="_Toc180756503"/>
      <w:r w:rsidRPr="00012A92">
        <w:t>Overdose</w:t>
      </w:r>
      <w:bookmarkEnd w:id="11"/>
    </w:p>
    <w:p w14:paraId="5210FBA1" w14:textId="77777777" w:rsidR="00C103C0" w:rsidRPr="00D671FD" w:rsidRDefault="00C103C0" w:rsidP="00C103C0">
      <w:r>
        <w:t xml:space="preserve">Administration of a quantity of a medicinal product given per administration or cumulatively which is above the maximum recommended dose according to the authorized product information or other in-use references (e.g. WHO guidelines). </w:t>
      </w:r>
      <w:r w:rsidRPr="00D671FD">
        <w:t>The determination of an overdose will be left to the discretion of the clinical investigator, based on the total dose administered, the emergence of any clinical signs and symptoms suggestive of a toxic administration, as well as his own clinical judgment as it applies to each individual case.</w:t>
      </w:r>
    </w:p>
    <w:p w14:paraId="709224D4" w14:textId="77777777" w:rsidR="00F41FE2" w:rsidRPr="00012A92" w:rsidRDefault="00F41FE2" w:rsidP="00025B21">
      <w:pPr>
        <w:pStyle w:val="Heading3"/>
      </w:pPr>
      <w:bookmarkStart w:id="12" w:name="_Toc180756504"/>
      <w:r w:rsidRPr="00012A92">
        <w:lastRenderedPageBreak/>
        <w:t>Serious Adverse Event (SAE)</w:t>
      </w:r>
      <w:bookmarkEnd w:id="9"/>
      <w:bookmarkEnd w:id="12"/>
    </w:p>
    <w:p w14:paraId="319BD4F3" w14:textId="77777777" w:rsidR="00F41FE2" w:rsidRDefault="00946F1A" w:rsidP="00F41FE2">
      <w:r>
        <w:t>Any untoward medic</w:t>
      </w:r>
      <w:r w:rsidR="00F41FE2">
        <w:t>al occurrence that at any dose:</w:t>
      </w:r>
    </w:p>
    <w:p w14:paraId="4245328A" w14:textId="77777777" w:rsidR="00F41FE2" w:rsidRDefault="00F41FE2" w:rsidP="00F41FE2">
      <w:pPr>
        <w:pStyle w:val="ListParagraph"/>
        <w:numPr>
          <w:ilvl w:val="0"/>
          <w:numId w:val="28"/>
        </w:numPr>
        <w:ind w:left="284" w:hanging="284"/>
        <w:contextualSpacing w:val="0"/>
      </w:pPr>
      <w:r>
        <w:t>is leading to death;</w:t>
      </w:r>
    </w:p>
    <w:p w14:paraId="73B09DD0" w14:textId="77777777" w:rsidR="00F41FE2" w:rsidRDefault="00F41FE2" w:rsidP="00F41FE2">
      <w:pPr>
        <w:pStyle w:val="ListParagraph"/>
        <w:numPr>
          <w:ilvl w:val="0"/>
          <w:numId w:val="27"/>
        </w:numPr>
        <w:ind w:left="284" w:hanging="284"/>
        <w:contextualSpacing w:val="0"/>
      </w:pPr>
      <w:r>
        <w:t xml:space="preserve">is life-threatening (defined as a subject at immediate risk of death at the time of the event; it does not refer to an event which hypothetically might have caused death if it were more severe); </w:t>
      </w:r>
    </w:p>
    <w:p w14:paraId="59A331EB" w14:textId="74F059BB" w:rsidR="00F41FE2" w:rsidRPr="00926897" w:rsidRDefault="00F41FE2" w:rsidP="00244390">
      <w:pPr>
        <w:pStyle w:val="ListParagraph"/>
        <w:numPr>
          <w:ilvl w:val="0"/>
          <w:numId w:val="27"/>
        </w:numPr>
        <w:ind w:left="284" w:hanging="284"/>
        <w:contextualSpacing w:val="0"/>
      </w:pPr>
      <w:r>
        <w:t xml:space="preserve">Requires inpatient hospitalization </w:t>
      </w:r>
      <w:r w:rsidRPr="00926897">
        <w:t xml:space="preserve">or prolongation of existing hospitalization, </w:t>
      </w:r>
      <w:r w:rsidR="00EC64EE" w:rsidRPr="00926897">
        <w:t>with the exceptions described in the Clinical Trial Protocol</w:t>
      </w:r>
      <w:r w:rsidR="00D408BA" w:rsidRPr="00926897">
        <w:t>s</w:t>
      </w:r>
      <w:r w:rsidR="00EC64EE" w:rsidRPr="00926897">
        <w:t>;</w:t>
      </w:r>
    </w:p>
    <w:p w14:paraId="64BED9DD" w14:textId="77777777" w:rsidR="00F41FE2" w:rsidRPr="00926897" w:rsidRDefault="00F41FE2" w:rsidP="00F41FE2">
      <w:pPr>
        <w:pStyle w:val="ListParagraph"/>
        <w:numPr>
          <w:ilvl w:val="0"/>
          <w:numId w:val="27"/>
        </w:numPr>
        <w:ind w:left="284" w:hanging="284"/>
        <w:contextualSpacing w:val="0"/>
      </w:pPr>
      <w:r w:rsidRPr="00926897">
        <w:t>results in a persistent or significant incapacity or substantial disruption of the ability to conduct normal life functions;</w:t>
      </w:r>
    </w:p>
    <w:p w14:paraId="08B8D6CB" w14:textId="77777777" w:rsidR="00F41FE2" w:rsidRDefault="00F41FE2" w:rsidP="00F41FE2">
      <w:pPr>
        <w:pStyle w:val="ListParagraph"/>
        <w:numPr>
          <w:ilvl w:val="0"/>
          <w:numId w:val="27"/>
        </w:numPr>
        <w:ind w:left="284" w:hanging="284"/>
        <w:contextualSpacing w:val="0"/>
      </w:pPr>
      <w:r>
        <w:t>results in congenital anomaly or birth defect;</w:t>
      </w:r>
    </w:p>
    <w:p w14:paraId="3614E59D" w14:textId="77777777" w:rsidR="00F41FE2" w:rsidRDefault="00F41FE2" w:rsidP="00F41FE2">
      <w:pPr>
        <w:pStyle w:val="ListParagraph"/>
        <w:numPr>
          <w:ilvl w:val="0"/>
          <w:numId w:val="27"/>
        </w:numPr>
        <w:ind w:left="284" w:hanging="284"/>
        <w:contextualSpacing w:val="0"/>
      </w:pPr>
      <w:r>
        <w:t>is otherwise considered an important medical event that may not result in death, be immediately life-threatening, or require hospitalization may be considered a serious adverse experience when, based upon appropriate medical judgment, the event may jeopardize the subject and may require medical or surgical intervention to prevent one of the outcomes listed above. Examples of such medical events include allergic bronchospasm requiring intensive treatment in an emergency room or at home, blood dyscrasias or convulsions that do not result in inpatient hospitalization, or the development of drug dependency or drug abuse.</w:t>
      </w:r>
    </w:p>
    <w:p w14:paraId="5AB996E5" w14:textId="77777777" w:rsidR="00F41FE2" w:rsidRDefault="00F41FE2" w:rsidP="00F41FE2">
      <w:pPr>
        <w:pStyle w:val="ListParagraph"/>
        <w:numPr>
          <w:ilvl w:val="1"/>
          <w:numId w:val="27"/>
        </w:numPr>
        <w:ind w:left="851" w:hanging="567"/>
        <w:contextualSpacing w:val="0"/>
      </w:pPr>
      <w:r>
        <w:t>Suspected transmission of an infectious agent (pathogenic or nonpathogenic) via the study drug(s) should always be considered an SAE.</w:t>
      </w:r>
    </w:p>
    <w:p w14:paraId="1CDEA762" w14:textId="77777777" w:rsidR="00A84C66" w:rsidRDefault="00F41FE2" w:rsidP="00946F1A">
      <w:r>
        <w:t>A Grade 4 AE or laboratory abnormality does not necessarily indicate an SAE, unless the occurrence meets one or more of the above definitions.</w:t>
      </w:r>
    </w:p>
    <w:p w14:paraId="24C82C6D" w14:textId="77777777" w:rsidR="00F23C87" w:rsidRPr="00012A92" w:rsidRDefault="00F43D5E" w:rsidP="00025B21">
      <w:pPr>
        <w:pStyle w:val="Heading2"/>
      </w:pPr>
      <w:bookmarkStart w:id="13" w:name="_Toc180756505"/>
      <w:r w:rsidRPr="00012A92">
        <w:t>PROCEDURE</w:t>
      </w:r>
      <w:bookmarkEnd w:id="13"/>
    </w:p>
    <w:p w14:paraId="2E5D1290" w14:textId="77777777" w:rsidR="00F23C87" w:rsidRPr="00012A92" w:rsidRDefault="00207CAF" w:rsidP="00025B21">
      <w:pPr>
        <w:pStyle w:val="Heading3"/>
      </w:pPr>
      <w:bookmarkStart w:id="14" w:name="_Toc180756506"/>
      <w:r w:rsidRPr="00012A92">
        <w:t xml:space="preserve">Safety data </w:t>
      </w:r>
      <w:r w:rsidR="00084593" w:rsidRPr="00012A92">
        <w:t>reconciliation plan</w:t>
      </w:r>
      <w:bookmarkEnd w:id="14"/>
    </w:p>
    <w:p w14:paraId="439DE44C" w14:textId="77777777" w:rsidR="00A655AA" w:rsidRDefault="00A655AA" w:rsidP="00A655AA">
      <w:r>
        <w:t>Before study initiation, the PVO is respon</w:t>
      </w:r>
      <w:r w:rsidR="00084593">
        <w:t xml:space="preserve">sible for the preparation of a Safety data </w:t>
      </w:r>
      <w:r>
        <w:t>reconciliation plan highlighting:</w:t>
      </w:r>
    </w:p>
    <w:p w14:paraId="1B4C041D" w14:textId="77777777" w:rsidR="00A655AA" w:rsidRDefault="00A655AA" w:rsidP="00084593">
      <w:pPr>
        <w:pStyle w:val="ListParagraph"/>
        <w:numPr>
          <w:ilvl w:val="0"/>
          <w:numId w:val="41"/>
        </w:numPr>
        <w:ind w:left="1077"/>
        <w:contextualSpacing w:val="0"/>
      </w:pPr>
      <w:r>
        <w:t xml:space="preserve">The planning of </w:t>
      </w:r>
      <w:r w:rsidR="001804B2">
        <w:t xml:space="preserve">safety data </w:t>
      </w:r>
      <w:r>
        <w:t>reconciliations,</w:t>
      </w:r>
    </w:p>
    <w:p w14:paraId="4E469178" w14:textId="77777777" w:rsidR="00A655AA" w:rsidRDefault="00A655AA" w:rsidP="00084593">
      <w:pPr>
        <w:pStyle w:val="ListParagraph"/>
        <w:numPr>
          <w:ilvl w:val="0"/>
          <w:numId w:val="41"/>
        </w:numPr>
        <w:ind w:left="1077"/>
        <w:contextualSpacing w:val="0"/>
      </w:pPr>
      <w:r>
        <w:t xml:space="preserve">The scope of </w:t>
      </w:r>
      <w:r w:rsidR="001804B2">
        <w:t xml:space="preserve">safety data </w:t>
      </w:r>
      <w:r>
        <w:t>reconciliations,</w:t>
      </w:r>
    </w:p>
    <w:p w14:paraId="044786A2" w14:textId="70F12BF4" w:rsidR="00A655AA" w:rsidRDefault="00A655AA" w:rsidP="00084593">
      <w:pPr>
        <w:pStyle w:val="ListParagraph"/>
        <w:numPr>
          <w:ilvl w:val="0"/>
          <w:numId w:val="41"/>
        </w:numPr>
        <w:ind w:left="1077"/>
        <w:contextualSpacing w:val="0"/>
      </w:pPr>
      <w:r>
        <w:t>The harmonized definitions or mapping of definitions, and</w:t>
      </w:r>
    </w:p>
    <w:p w14:paraId="4704A6C1" w14:textId="77777777" w:rsidR="00A655AA" w:rsidRDefault="00A655AA" w:rsidP="00084593">
      <w:pPr>
        <w:pStyle w:val="ListParagraph"/>
        <w:numPr>
          <w:ilvl w:val="0"/>
          <w:numId w:val="41"/>
        </w:numPr>
        <w:ind w:left="1077"/>
        <w:contextualSpacing w:val="0"/>
      </w:pPr>
      <w:r>
        <w:t>The format for reconciliation and query follow-up.</w:t>
      </w:r>
    </w:p>
    <w:p w14:paraId="187E12E8" w14:textId="0974D33A" w:rsidR="00A655AA" w:rsidRPr="00926897" w:rsidRDefault="00A655AA" w:rsidP="00A655AA">
      <w:r w:rsidRPr="007908E4">
        <w:t xml:space="preserve">The </w:t>
      </w:r>
      <w:r w:rsidR="001804B2" w:rsidRPr="007908E4">
        <w:t xml:space="preserve">Safety data </w:t>
      </w:r>
      <w:r w:rsidRPr="007908E4">
        <w:t xml:space="preserve">reconciliation plan should be reviewed by the </w:t>
      </w:r>
      <w:r w:rsidR="007B4CC5">
        <w:t>DMT</w:t>
      </w:r>
      <w:r w:rsidR="007B4CC5" w:rsidRPr="007908E4">
        <w:t xml:space="preserve"> and</w:t>
      </w:r>
      <w:r w:rsidRPr="007908E4">
        <w:t xml:space="preserve"> </w:t>
      </w:r>
      <w:r w:rsidRPr="00926897">
        <w:t xml:space="preserve">approved by the </w:t>
      </w:r>
      <w:r w:rsidR="00872987" w:rsidRPr="00926897">
        <w:t>CTM</w:t>
      </w:r>
      <w:r w:rsidRPr="00926897">
        <w:t>.</w:t>
      </w:r>
    </w:p>
    <w:p w14:paraId="37A80B20" w14:textId="43AF4E40" w:rsidR="00A655AA" w:rsidRDefault="00A655AA" w:rsidP="00A655AA">
      <w:r w:rsidRPr="00926897">
        <w:t xml:space="preserve">The PVO is responsible to maintain the </w:t>
      </w:r>
      <w:r w:rsidR="001804B2" w:rsidRPr="00926897">
        <w:t xml:space="preserve">Safety data </w:t>
      </w:r>
      <w:r w:rsidRPr="00926897">
        <w:t>reconciliation plan up-to-date in accordance with the study plan and the needs from the trial team</w:t>
      </w:r>
      <w:r w:rsidR="00D408BA" w:rsidRPr="00926897">
        <w:t>s</w:t>
      </w:r>
      <w:r w:rsidRPr="00926897">
        <w:t xml:space="preserve"> or external bodies (e.g. DSMB, Regulatory</w:t>
      </w:r>
      <w:r>
        <w:t xml:space="preserve"> Authorities).</w:t>
      </w:r>
    </w:p>
    <w:p w14:paraId="44BF90FC" w14:textId="77777777" w:rsidR="00A655AA" w:rsidRPr="00012A92" w:rsidRDefault="00A655AA" w:rsidP="00025B21">
      <w:pPr>
        <w:pStyle w:val="Heading3"/>
      </w:pPr>
      <w:bookmarkStart w:id="15" w:name="_Toc180756507"/>
      <w:r w:rsidRPr="00012A92">
        <w:lastRenderedPageBreak/>
        <w:t>S</w:t>
      </w:r>
      <w:r w:rsidR="006E1DFE" w:rsidRPr="00012A92">
        <w:t>afety data r</w:t>
      </w:r>
      <w:r w:rsidRPr="00012A92">
        <w:t xml:space="preserve">econciliation </w:t>
      </w:r>
      <w:r w:rsidR="006E1DFE" w:rsidRPr="00012A92">
        <w:t>w</w:t>
      </w:r>
      <w:r w:rsidRPr="00012A92">
        <w:t>orkflow</w:t>
      </w:r>
      <w:bookmarkEnd w:id="15"/>
    </w:p>
    <w:p w14:paraId="0429DC88" w14:textId="77777777" w:rsidR="006A0430" w:rsidRPr="00012A92" w:rsidRDefault="006A0430" w:rsidP="00025B21">
      <w:pPr>
        <w:pStyle w:val="Heading4"/>
      </w:pPr>
      <w:r w:rsidRPr="00012A92">
        <w:t>Overview of the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452C9C" w:rsidRPr="00926897" w14:paraId="3794A780" w14:textId="77777777" w:rsidTr="007908E4">
        <w:trPr>
          <w:tblHeader/>
        </w:trPr>
        <w:tc>
          <w:tcPr>
            <w:tcW w:w="1667" w:type="pct"/>
            <w:vAlign w:val="center"/>
          </w:tcPr>
          <w:p w14:paraId="54FDFDBC" w14:textId="77777777" w:rsidR="00452C9C" w:rsidRPr="00926897" w:rsidRDefault="00452C9C" w:rsidP="006A0430">
            <w:pPr>
              <w:spacing w:before="80" w:after="80"/>
              <w:rPr>
                <w:b/>
              </w:rPr>
            </w:pPr>
            <w:r w:rsidRPr="00926897">
              <w:rPr>
                <w:b/>
              </w:rPr>
              <w:t>Action</w:t>
            </w:r>
            <w:r w:rsidR="007908E4" w:rsidRPr="00926897">
              <w:rPr>
                <w:b/>
              </w:rPr>
              <w:t>s</w:t>
            </w:r>
          </w:p>
        </w:tc>
        <w:tc>
          <w:tcPr>
            <w:tcW w:w="1667" w:type="pct"/>
            <w:vAlign w:val="center"/>
          </w:tcPr>
          <w:p w14:paraId="2EFBF535" w14:textId="77777777" w:rsidR="00452C9C" w:rsidRPr="00926897" w:rsidRDefault="00452C9C" w:rsidP="006A0430">
            <w:pPr>
              <w:spacing w:before="80" w:after="80"/>
              <w:rPr>
                <w:b/>
              </w:rPr>
            </w:pPr>
            <w:r w:rsidRPr="00926897">
              <w:rPr>
                <w:b/>
              </w:rPr>
              <w:t>Timelines</w:t>
            </w:r>
          </w:p>
        </w:tc>
        <w:tc>
          <w:tcPr>
            <w:tcW w:w="1666" w:type="pct"/>
            <w:vAlign w:val="center"/>
          </w:tcPr>
          <w:p w14:paraId="12FAB8EA" w14:textId="77777777" w:rsidR="00452C9C" w:rsidRPr="00926897" w:rsidRDefault="00452C9C" w:rsidP="0093756F">
            <w:pPr>
              <w:spacing w:before="80" w:after="80"/>
              <w:rPr>
                <w:b/>
              </w:rPr>
            </w:pPr>
            <w:r w:rsidRPr="00926897">
              <w:rPr>
                <w:b/>
              </w:rPr>
              <w:t>Responsible</w:t>
            </w:r>
            <w:r w:rsidR="007908E4" w:rsidRPr="00926897">
              <w:rPr>
                <w:b/>
              </w:rPr>
              <w:t xml:space="preserve"> functions</w:t>
            </w:r>
          </w:p>
        </w:tc>
      </w:tr>
      <w:tr w:rsidR="00452C9C" w:rsidRPr="00926897" w14:paraId="07799F2E" w14:textId="77777777" w:rsidTr="001667EA">
        <w:tc>
          <w:tcPr>
            <w:tcW w:w="1667" w:type="pct"/>
            <w:vAlign w:val="center"/>
          </w:tcPr>
          <w:p w14:paraId="5CEA9FB5" w14:textId="3B3245CD" w:rsidR="00452C9C" w:rsidRPr="00926897" w:rsidRDefault="00452C9C" w:rsidP="00452C9C">
            <w:pPr>
              <w:pStyle w:val="ListParagraph"/>
              <w:numPr>
                <w:ilvl w:val="0"/>
                <w:numId w:val="43"/>
              </w:numPr>
              <w:spacing w:before="80" w:after="80"/>
              <w:ind w:left="284" w:hanging="284"/>
              <w:rPr>
                <w:b/>
              </w:rPr>
            </w:pPr>
            <w:r w:rsidRPr="00926897">
              <w:t>Safety data reconciliation</w:t>
            </w:r>
            <w:r w:rsidR="00DF058D" w:rsidRPr="00926897">
              <w:t>s</w:t>
            </w:r>
            <w:r w:rsidRPr="00926897">
              <w:t xml:space="preserve"> initiation</w:t>
            </w:r>
            <w:r w:rsidR="00A7695C" w:rsidRPr="00926897">
              <w:t xml:space="preserve"> (</w:t>
            </w:r>
            <w:r w:rsidR="00E15A98" w:rsidRPr="00926897">
              <w:t xml:space="preserve">for the purpose of data </w:t>
            </w:r>
            <w:r w:rsidR="00A7695C" w:rsidRPr="00926897">
              <w:t xml:space="preserve">cleaning, </w:t>
            </w:r>
            <w:r w:rsidR="00E15A98" w:rsidRPr="00926897">
              <w:t xml:space="preserve">QC, </w:t>
            </w:r>
            <w:r w:rsidR="00A7695C" w:rsidRPr="00926897">
              <w:t>coding</w:t>
            </w:r>
            <w:r w:rsidR="00E15A98" w:rsidRPr="00926897">
              <w:t>, etc.</w:t>
            </w:r>
            <w:r w:rsidR="00A7695C" w:rsidRPr="00926897">
              <w:t>)</w:t>
            </w:r>
          </w:p>
        </w:tc>
        <w:tc>
          <w:tcPr>
            <w:tcW w:w="1667" w:type="pct"/>
          </w:tcPr>
          <w:p w14:paraId="2FFDC429" w14:textId="3FF3B21B" w:rsidR="00452C9C" w:rsidRPr="00926897" w:rsidRDefault="006A27B2" w:rsidP="006A0430">
            <w:pPr>
              <w:spacing w:before="80" w:after="80"/>
              <w:rPr>
                <w:b/>
              </w:rPr>
            </w:pPr>
            <w:r w:rsidRPr="00926897">
              <w:t xml:space="preserve">3 </w:t>
            </w:r>
            <w:r w:rsidR="00452C9C" w:rsidRPr="00926897">
              <w:t xml:space="preserve">weeks </w:t>
            </w:r>
            <w:r w:rsidR="00452C9C" w:rsidRPr="00926897">
              <w:rPr>
                <w:u w:val="single"/>
              </w:rPr>
              <w:t>before</w:t>
            </w:r>
            <w:r w:rsidR="00452C9C" w:rsidRPr="00926897">
              <w:t xml:space="preserve"> planned cut-off date per Safety data reconciliation plan</w:t>
            </w:r>
          </w:p>
        </w:tc>
        <w:tc>
          <w:tcPr>
            <w:tcW w:w="1666" w:type="pct"/>
            <w:vAlign w:val="center"/>
          </w:tcPr>
          <w:p w14:paraId="355B37D4" w14:textId="77777777" w:rsidR="00452C9C" w:rsidRPr="00926897" w:rsidRDefault="00452C9C" w:rsidP="0093756F">
            <w:pPr>
              <w:spacing w:before="80" w:after="80"/>
              <w:rPr>
                <w:b/>
              </w:rPr>
            </w:pPr>
            <w:r w:rsidRPr="00926897">
              <w:t>PVO</w:t>
            </w:r>
          </w:p>
        </w:tc>
      </w:tr>
      <w:tr w:rsidR="007908E4" w:rsidRPr="00926897" w14:paraId="21D16710" w14:textId="77777777" w:rsidTr="007908E4">
        <w:trPr>
          <w:trHeight w:val="70"/>
        </w:trPr>
        <w:tc>
          <w:tcPr>
            <w:tcW w:w="5000" w:type="pct"/>
            <w:gridSpan w:val="3"/>
            <w:vAlign w:val="center"/>
          </w:tcPr>
          <w:p w14:paraId="5FDC4F0C" w14:textId="77777777" w:rsidR="007908E4" w:rsidRPr="00926897" w:rsidRDefault="007908E4" w:rsidP="007908E4">
            <w:pPr>
              <w:spacing w:before="20" w:after="20"/>
              <w:jc w:val="center"/>
              <w:rPr>
                <w:b/>
                <w:i/>
              </w:rPr>
            </w:pPr>
            <w:r w:rsidRPr="00926897">
              <w:rPr>
                <w:b/>
                <w:i/>
              </w:rPr>
              <w:t>…. CUT OFF DATE ….</w:t>
            </w:r>
          </w:p>
        </w:tc>
      </w:tr>
      <w:tr w:rsidR="00A7695C" w:rsidRPr="00926897" w14:paraId="49430957" w14:textId="77777777" w:rsidTr="007908E4">
        <w:tc>
          <w:tcPr>
            <w:tcW w:w="1667" w:type="pct"/>
            <w:vAlign w:val="center"/>
          </w:tcPr>
          <w:p w14:paraId="796B9345" w14:textId="1D586200" w:rsidR="00A7695C" w:rsidRPr="00926897" w:rsidRDefault="00A7695C" w:rsidP="00452C9C">
            <w:pPr>
              <w:pStyle w:val="ListParagraph"/>
              <w:numPr>
                <w:ilvl w:val="0"/>
                <w:numId w:val="43"/>
              </w:numPr>
              <w:spacing w:before="80" w:after="80"/>
              <w:ind w:left="284" w:hanging="284"/>
              <w:rPr>
                <w:b/>
              </w:rPr>
            </w:pPr>
            <w:r w:rsidRPr="00926897">
              <w:t>PVDB line listing extraction</w:t>
            </w:r>
            <w:r w:rsidR="00DF058D" w:rsidRPr="00926897">
              <w:t>s</w:t>
            </w:r>
            <w:r w:rsidRPr="00926897">
              <w:t>, Quality Check and transmission</w:t>
            </w:r>
          </w:p>
        </w:tc>
        <w:tc>
          <w:tcPr>
            <w:tcW w:w="1667" w:type="pct"/>
            <w:vMerge w:val="restart"/>
            <w:vAlign w:val="center"/>
          </w:tcPr>
          <w:p w14:paraId="2EFDC2B1" w14:textId="77777777" w:rsidR="00A7695C" w:rsidRPr="00926897" w:rsidRDefault="00A7695C" w:rsidP="00A7695C">
            <w:pPr>
              <w:spacing w:before="80" w:after="80"/>
              <w:rPr>
                <w:b/>
              </w:rPr>
            </w:pPr>
            <w:r w:rsidRPr="00926897">
              <w:t xml:space="preserve">Within 1 week </w:t>
            </w:r>
            <w:r w:rsidRPr="00926897">
              <w:rPr>
                <w:u w:val="single"/>
              </w:rPr>
              <w:t>after</w:t>
            </w:r>
            <w:r w:rsidRPr="00926897">
              <w:t xml:space="preserve"> cut-off date</w:t>
            </w:r>
          </w:p>
        </w:tc>
        <w:tc>
          <w:tcPr>
            <w:tcW w:w="1666" w:type="pct"/>
            <w:vAlign w:val="center"/>
          </w:tcPr>
          <w:p w14:paraId="5822C742" w14:textId="77777777" w:rsidR="00A7695C" w:rsidRPr="00926897" w:rsidRDefault="00A7695C" w:rsidP="0093756F">
            <w:pPr>
              <w:spacing w:before="80" w:after="80"/>
              <w:rPr>
                <w:b/>
              </w:rPr>
            </w:pPr>
            <w:r w:rsidRPr="00926897">
              <w:t>PVO</w:t>
            </w:r>
          </w:p>
        </w:tc>
      </w:tr>
      <w:tr w:rsidR="00A7695C" w:rsidRPr="00926897" w14:paraId="31A07BE9" w14:textId="77777777" w:rsidTr="007908E4">
        <w:tc>
          <w:tcPr>
            <w:tcW w:w="1667" w:type="pct"/>
            <w:vAlign w:val="center"/>
          </w:tcPr>
          <w:p w14:paraId="2BCA2AB2" w14:textId="12ACA483" w:rsidR="00A7695C" w:rsidRPr="00926897" w:rsidRDefault="001E482E" w:rsidP="00376F91">
            <w:pPr>
              <w:pStyle w:val="ListParagraph"/>
              <w:numPr>
                <w:ilvl w:val="0"/>
                <w:numId w:val="43"/>
              </w:numPr>
              <w:spacing w:before="80" w:after="80"/>
              <w:ind w:left="284" w:hanging="284"/>
              <w:rPr>
                <w:b/>
              </w:rPr>
            </w:pPr>
            <w:r w:rsidRPr="00926897">
              <w:t xml:space="preserve">OC </w:t>
            </w:r>
            <w:r w:rsidR="00A7695C" w:rsidRPr="00926897">
              <w:t>extraction</w:t>
            </w:r>
            <w:r w:rsidR="00DF058D" w:rsidRPr="00926897">
              <w:t>s</w:t>
            </w:r>
          </w:p>
        </w:tc>
        <w:tc>
          <w:tcPr>
            <w:tcW w:w="1667" w:type="pct"/>
            <w:vMerge/>
            <w:vAlign w:val="center"/>
          </w:tcPr>
          <w:p w14:paraId="05D4AB36" w14:textId="77777777" w:rsidR="00A7695C" w:rsidRPr="00926897" w:rsidRDefault="00A7695C" w:rsidP="00376F91">
            <w:pPr>
              <w:spacing w:before="80" w:after="80"/>
              <w:ind w:left="284" w:hanging="284"/>
              <w:rPr>
                <w:b/>
              </w:rPr>
            </w:pPr>
          </w:p>
        </w:tc>
        <w:tc>
          <w:tcPr>
            <w:tcW w:w="1666" w:type="pct"/>
            <w:vAlign w:val="center"/>
          </w:tcPr>
          <w:p w14:paraId="4AB8E11A" w14:textId="358CA249" w:rsidR="00A7695C" w:rsidRPr="00926897" w:rsidRDefault="001E482E" w:rsidP="001E482E">
            <w:pPr>
              <w:spacing w:before="80" w:after="80"/>
              <w:ind w:left="284" w:hanging="284"/>
              <w:rPr>
                <w:b/>
              </w:rPr>
            </w:pPr>
            <w:r w:rsidRPr="00926897">
              <w:t>DMT</w:t>
            </w:r>
          </w:p>
        </w:tc>
      </w:tr>
      <w:tr w:rsidR="00A7695C" w:rsidRPr="00926897" w14:paraId="1AD6F074" w14:textId="77777777" w:rsidTr="007908E4">
        <w:tc>
          <w:tcPr>
            <w:tcW w:w="1667" w:type="pct"/>
            <w:vAlign w:val="center"/>
          </w:tcPr>
          <w:p w14:paraId="74BE6ED6" w14:textId="043003AB" w:rsidR="00A7695C" w:rsidRPr="00926897" w:rsidRDefault="00A7695C" w:rsidP="00452C9C">
            <w:pPr>
              <w:pStyle w:val="ListParagraph"/>
              <w:numPr>
                <w:ilvl w:val="0"/>
                <w:numId w:val="43"/>
              </w:numPr>
              <w:spacing w:before="80" w:after="80"/>
              <w:ind w:left="284" w:hanging="284"/>
              <w:rPr>
                <w:b/>
              </w:rPr>
            </w:pPr>
            <w:r w:rsidRPr="00926897">
              <w:t>Merge of data and comparison</w:t>
            </w:r>
            <w:r w:rsidR="00DF058D" w:rsidRPr="00926897">
              <w:t>s</w:t>
            </w:r>
            <w:r w:rsidRPr="00926897">
              <w:t xml:space="preserve"> (automatic and manual)</w:t>
            </w:r>
          </w:p>
        </w:tc>
        <w:tc>
          <w:tcPr>
            <w:tcW w:w="1667" w:type="pct"/>
            <w:vMerge/>
            <w:vAlign w:val="center"/>
          </w:tcPr>
          <w:p w14:paraId="48AEF5BD" w14:textId="77777777" w:rsidR="00A7695C" w:rsidRPr="00926897" w:rsidRDefault="00A7695C" w:rsidP="00A7695C">
            <w:pPr>
              <w:spacing w:before="80" w:after="80"/>
              <w:rPr>
                <w:b/>
              </w:rPr>
            </w:pPr>
          </w:p>
        </w:tc>
        <w:tc>
          <w:tcPr>
            <w:tcW w:w="1666" w:type="pct"/>
            <w:vAlign w:val="center"/>
          </w:tcPr>
          <w:p w14:paraId="7B162002" w14:textId="37EE2D06" w:rsidR="00A7695C" w:rsidRPr="00926897" w:rsidRDefault="001E482E" w:rsidP="0093756F">
            <w:pPr>
              <w:spacing w:before="80" w:after="80"/>
              <w:rPr>
                <w:b/>
              </w:rPr>
            </w:pPr>
            <w:r w:rsidRPr="00926897">
              <w:t>DMT</w:t>
            </w:r>
          </w:p>
        </w:tc>
      </w:tr>
      <w:tr w:rsidR="001B0276" w:rsidRPr="00926897" w14:paraId="25FFA9C1" w14:textId="77777777" w:rsidTr="007908E4">
        <w:tc>
          <w:tcPr>
            <w:tcW w:w="1667" w:type="pct"/>
            <w:vAlign w:val="center"/>
          </w:tcPr>
          <w:p w14:paraId="42D35234" w14:textId="77777777" w:rsidR="001B0276" w:rsidRPr="00926897" w:rsidRDefault="001B0276" w:rsidP="00452C9C">
            <w:pPr>
              <w:pStyle w:val="ListParagraph"/>
              <w:numPr>
                <w:ilvl w:val="0"/>
                <w:numId w:val="43"/>
              </w:numPr>
              <w:spacing w:before="80" w:after="80"/>
              <w:ind w:left="284" w:hanging="284"/>
              <w:rPr>
                <w:b/>
              </w:rPr>
            </w:pPr>
            <w:r w:rsidRPr="00926897">
              <w:t>Discussion on discrepancies and determination of actions (queries)</w:t>
            </w:r>
          </w:p>
        </w:tc>
        <w:tc>
          <w:tcPr>
            <w:tcW w:w="1667" w:type="pct"/>
            <w:vMerge w:val="restart"/>
            <w:vAlign w:val="center"/>
          </w:tcPr>
          <w:p w14:paraId="40057A58" w14:textId="2FC5E403" w:rsidR="001B0276" w:rsidRPr="00926897" w:rsidRDefault="001B0276" w:rsidP="001B0276">
            <w:pPr>
              <w:spacing w:before="80" w:after="80"/>
              <w:rPr>
                <w:b/>
              </w:rPr>
            </w:pPr>
            <w:r w:rsidRPr="00926897">
              <w:t>Within 2 week</w:t>
            </w:r>
            <w:r w:rsidR="00656E01" w:rsidRPr="00926897">
              <w:t>s</w:t>
            </w:r>
            <w:r w:rsidRPr="00926897">
              <w:t xml:space="preserve"> </w:t>
            </w:r>
            <w:r w:rsidRPr="00926897">
              <w:rPr>
                <w:u w:val="single"/>
              </w:rPr>
              <w:t>after</w:t>
            </w:r>
            <w:r w:rsidRPr="00926897">
              <w:t xml:space="preserve"> cut-off date</w:t>
            </w:r>
            <w:r w:rsidR="003271E4" w:rsidRPr="00926897">
              <w:t xml:space="preserve"> or per time frame</w:t>
            </w:r>
            <w:r w:rsidR="00F92AA3" w:rsidRPr="00926897">
              <w:t xml:space="preserve"> agreed between the involved functions</w:t>
            </w:r>
          </w:p>
        </w:tc>
        <w:tc>
          <w:tcPr>
            <w:tcW w:w="1667" w:type="pct"/>
            <w:vAlign w:val="center"/>
          </w:tcPr>
          <w:p w14:paraId="2D335990" w14:textId="4F5354A4" w:rsidR="001B0276" w:rsidRPr="00926897" w:rsidRDefault="00EB1D99" w:rsidP="00BA429A">
            <w:pPr>
              <w:spacing w:before="80" w:after="80"/>
              <w:rPr>
                <w:b/>
              </w:rPr>
            </w:pPr>
            <w:r w:rsidRPr="00926897">
              <w:t xml:space="preserve">DMT, </w:t>
            </w:r>
            <w:r w:rsidR="001B0276" w:rsidRPr="00926897">
              <w:t>PVO</w:t>
            </w:r>
            <w:r w:rsidR="00BA429A" w:rsidRPr="00926897">
              <w:t xml:space="preserve"> and Site investigators with the support of the Study Site Coordinators as needed.</w:t>
            </w:r>
          </w:p>
        </w:tc>
      </w:tr>
      <w:tr w:rsidR="001B0276" w:rsidRPr="00926897" w14:paraId="670A2072" w14:textId="77777777" w:rsidTr="007908E4">
        <w:tc>
          <w:tcPr>
            <w:tcW w:w="1667" w:type="pct"/>
            <w:vAlign w:val="center"/>
          </w:tcPr>
          <w:p w14:paraId="5C200CAE" w14:textId="77777777" w:rsidR="001B0276" w:rsidRPr="00926897" w:rsidRDefault="001B0276" w:rsidP="00452C9C">
            <w:pPr>
              <w:pStyle w:val="ListParagraph"/>
              <w:numPr>
                <w:ilvl w:val="0"/>
                <w:numId w:val="43"/>
              </w:numPr>
              <w:spacing w:before="80" w:after="80"/>
              <w:ind w:left="284" w:hanging="284"/>
              <w:rPr>
                <w:b/>
              </w:rPr>
            </w:pPr>
            <w:r w:rsidRPr="00926897">
              <w:t>Discrepancies closure</w:t>
            </w:r>
          </w:p>
        </w:tc>
        <w:tc>
          <w:tcPr>
            <w:tcW w:w="1667" w:type="pct"/>
            <w:vMerge/>
            <w:vAlign w:val="center"/>
          </w:tcPr>
          <w:p w14:paraId="5493588F" w14:textId="77777777" w:rsidR="001B0276" w:rsidRPr="00926897" w:rsidRDefault="001B0276" w:rsidP="006A0430">
            <w:pPr>
              <w:spacing w:before="80" w:after="80"/>
              <w:rPr>
                <w:b/>
              </w:rPr>
            </w:pPr>
          </w:p>
        </w:tc>
        <w:tc>
          <w:tcPr>
            <w:tcW w:w="1667" w:type="pct"/>
            <w:vAlign w:val="center"/>
          </w:tcPr>
          <w:p w14:paraId="33B94EA0" w14:textId="0C38DFE2" w:rsidR="001B0276" w:rsidRPr="00926897" w:rsidRDefault="001E482E" w:rsidP="00EB1D99">
            <w:pPr>
              <w:spacing w:before="80" w:after="80"/>
              <w:rPr>
                <w:b/>
              </w:rPr>
            </w:pPr>
            <w:r w:rsidRPr="00926897">
              <w:t>DM</w:t>
            </w:r>
            <w:r w:rsidR="00EB1D99" w:rsidRPr="00926897">
              <w:t>T</w:t>
            </w:r>
            <w:r w:rsidR="008D1BE6" w:rsidRPr="00926897">
              <w:t xml:space="preserve"> </w:t>
            </w:r>
            <w:r w:rsidR="001B0276" w:rsidRPr="00926897">
              <w:t>and PVO</w:t>
            </w:r>
          </w:p>
        </w:tc>
      </w:tr>
      <w:tr w:rsidR="00452C9C" w:rsidRPr="00D23489" w14:paraId="6F181A7C" w14:textId="77777777" w:rsidTr="007414C9">
        <w:trPr>
          <w:trHeight w:val="375"/>
        </w:trPr>
        <w:tc>
          <w:tcPr>
            <w:tcW w:w="1667" w:type="pct"/>
            <w:vAlign w:val="center"/>
          </w:tcPr>
          <w:p w14:paraId="0A8BAAD5" w14:textId="62B4551E" w:rsidR="00452C9C" w:rsidRPr="00926897" w:rsidRDefault="00452C9C" w:rsidP="00452C9C">
            <w:pPr>
              <w:pStyle w:val="ListParagraph"/>
              <w:numPr>
                <w:ilvl w:val="0"/>
                <w:numId w:val="43"/>
              </w:numPr>
              <w:spacing w:before="80" w:after="80"/>
              <w:ind w:left="284" w:hanging="284"/>
              <w:rPr>
                <w:b/>
              </w:rPr>
            </w:pPr>
            <w:r w:rsidRPr="00926897">
              <w:t>Safety data reconciliation report</w:t>
            </w:r>
            <w:r w:rsidR="00DF058D" w:rsidRPr="00926897">
              <w:t>s</w:t>
            </w:r>
            <w:r w:rsidRPr="00926897">
              <w:t xml:space="preserve"> archiving</w:t>
            </w:r>
          </w:p>
        </w:tc>
        <w:tc>
          <w:tcPr>
            <w:tcW w:w="1667" w:type="pct"/>
            <w:vAlign w:val="center"/>
          </w:tcPr>
          <w:p w14:paraId="2B2552B2" w14:textId="77777777" w:rsidR="00452C9C" w:rsidRPr="00926897" w:rsidRDefault="00452C9C" w:rsidP="00365E65">
            <w:pPr>
              <w:spacing w:before="80" w:after="80"/>
              <w:rPr>
                <w:b/>
              </w:rPr>
            </w:pPr>
            <w:r w:rsidRPr="00926897">
              <w:t xml:space="preserve">Within 1 week </w:t>
            </w:r>
            <w:r w:rsidR="00365E65" w:rsidRPr="00926897">
              <w:t>after</w:t>
            </w:r>
            <w:r w:rsidRPr="00926897">
              <w:t xml:space="preserve"> discrepancies closure</w:t>
            </w:r>
          </w:p>
        </w:tc>
        <w:tc>
          <w:tcPr>
            <w:tcW w:w="1667" w:type="pct"/>
            <w:vAlign w:val="center"/>
          </w:tcPr>
          <w:p w14:paraId="51E23BAC" w14:textId="602F2C6C" w:rsidR="00452C9C" w:rsidRPr="001667EA" w:rsidRDefault="00452C9C" w:rsidP="0093756F">
            <w:pPr>
              <w:spacing w:before="80" w:after="80"/>
              <w:rPr>
                <w:b/>
              </w:rPr>
            </w:pPr>
            <w:r w:rsidRPr="00926897">
              <w:t>PVO</w:t>
            </w:r>
          </w:p>
        </w:tc>
      </w:tr>
    </w:tbl>
    <w:p w14:paraId="0ABD018F" w14:textId="77777777" w:rsidR="00A655AA" w:rsidRPr="00012A92" w:rsidRDefault="00A655AA" w:rsidP="00025B21">
      <w:pPr>
        <w:pStyle w:val="Heading4"/>
      </w:pPr>
      <w:r w:rsidRPr="00012A92">
        <w:t xml:space="preserve">Before </w:t>
      </w:r>
      <w:r w:rsidR="00813B90" w:rsidRPr="00012A92">
        <w:t>safety data</w:t>
      </w:r>
      <w:r w:rsidRPr="00012A92">
        <w:t xml:space="preserve"> reconciliation</w:t>
      </w:r>
    </w:p>
    <w:p w14:paraId="0FF17DD4" w14:textId="588128DD" w:rsidR="00A655AA" w:rsidRDefault="00A655AA" w:rsidP="00A655AA">
      <w:proofErr w:type="gramStart"/>
      <w:r>
        <w:t xml:space="preserve">In </w:t>
      </w:r>
      <w:r w:rsidR="00D23489">
        <w:t>the</w:t>
      </w:r>
      <w:r>
        <w:t xml:space="preserve"> event </w:t>
      </w:r>
      <w:r w:rsidR="00D23489">
        <w:t>that</w:t>
      </w:r>
      <w:proofErr w:type="gramEnd"/>
      <w:r>
        <w:t xml:space="preserve"> </w:t>
      </w:r>
      <w:r w:rsidRPr="007414C9">
        <w:t>an SAE</w:t>
      </w:r>
      <w:r w:rsidR="00DA695F" w:rsidRPr="007414C9">
        <w:t>/</w:t>
      </w:r>
      <w:r w:rsidR="00813B90" w:rsidRPr="007414C9">
        <w:t>AESI</w:t>
      </w:r>
      <w:r w:rsidR="009B7E9A">
        <w:t>/Pregnancy/Overdose</w:t>
      </w:r>
      <w:r w:rsidR="00D515FE" w:rsidRPr="007414C9">
        <w:t xml:space="preserve"> </w:t>
      </w:r>
      <w:r w:rsidRPr="007414C9">
        <w:t>occur</w:t>
      </w:r>
      <w:r w:rsidR="00D23489">
        <w:t>s</w:t>
      </w:r>
      <w:r>
        <w:t xml:space="preserve">, the </w:t>
      </w:r>
      <w:r w:rsidR="00813B90">
        <w:t>Site Principal Investigator (PI)</w:t>
      </w:r>
      <w:r>
        <w:t xml:space="preserve"> </w:t>
      </w:r>
      <w:r w:rsidR="00177F4D">
        <w:t xml:space="preserve">or delegate </w:t>
      </w:r>
      <w:r>
        <w:t>fills an SAE</w:t>
      </w:r>
      <w:r w:rsidR="00376F91">
        <w:t xml:space="preserve"> </w:t>
      </w:r>
      <w:r>
        <w:t xml:space="preserve">report form </w:t>
      </w:r>
      <w:r w:rsidR="009B7E9A">
        <w:t xml:space="preserve">(and/or a Pregnancy report form) </w:t>
      </w:r>
      <w:r>
        <w:t xml:space="preserve">and submits it to the Sponsor’s Pharmacovigilance (PV) </w:t>
      </w:r>
      <w:r w:rsidR="00536C15">
        <w:t>u</w:t>
      </w:r>
      <w:r>
        <w:t xml:space="preserve">nit within 24 hours of </w:t>
      </w:r>
      <w:r w:rsidR="00F80579">
        <w:t xml:space="preserve">event’s </w:t>
      </w:r>
      <w:r w:rsidR="00536C15">
        <w:t>awareness (see SOP PV-001</w:t>
      </w:r>
      <w:r w:rsidR="008E76D8">
        <w:t>-CT</w:t>
      </w:r>
      <w:r>
        <w:t>).</w:t>
      </w:r>
    </w:p>
    <w:p w14:paraId="3E74EE4E" w14:textId="77777777" w:rsidR="00A655AA" w:rsidRDefault="00A655AA" w:rsidP="00A655AA">
      <w:r>
        <w:t>Upon receipt of an SAE report form</w:t>
      </w:r>
      <w:r w:rsidR="00F80579">
        <w:t xml:space="preserve"> (or a Pregnancy report form)</w:t>
      </w:r>
      <w:r>
        <w:t xml:space="preserve">, the PVO enters all </w:t>
      </w:r>
      <w:r w:rsidR="00F940E7">
        <w:t>reported</w:t>
      </w:r>
      <w:r>
        <w:t xml:space="preserve"> information into the sponsor’s </w:t>
      </w:r>
      <w:r w:rsidR="00F940E7">
        <w:t>pharmacovigilance</w:t>
      </w:r>
      <w:r>
        <w:t xml:space="preserve"> database (</w:t>
      </w:r>
      <w:r w:rsidR="00F940E7">
        <w:t xml:space="preserve">PVDB; </w:t>
      </w:r>
      <w:r>
        <w:t>see</w:t>
      </w:r>
      <w:r w:rsidR="00F940E7">
        <w:t xml:space="preserve"> PV unit</w:t>
      </w:r>
      <w:r>
        <w:t xml:space="preserve"> SOP PV-TB-P01). The data are processed, checked for quality and consistency, medically reviewed and reported appropriately within time frames allowing for regulatory compliance.</w:t>
      </w:r>
    </w:p>
    <w:p w14:paraId="26E6FA55" w14:textId="751631FB" w:rsidR="00A655AA" w:rsidRPr="00926897" w:rsidRDefault="00A655AA" w:rsidP="00A655AA">
      <w:r>
        <w:t xml:space="preserve">The </w:t>
      </w:r>
      <w:r w:rsidR="00F940E7" w:rsidRPr="00926897">
        <w:t>Site PI</w:t>
      </w:r>
      <w:r w:rsidRPr="00926897">
        <w:t xml:space="preserve"> also documents </w:t>
      </w:r>
      <w:r w:rsidR="00F940E7" w:rsidRPr="00926897">
        <w:t>SAE/AESI</w:t>
      </w:r>
      <w:r w:rsidR="00F80579" w:rsidRPr="00926897">
        <w:t>/Pregnancy</w:t>
      </w:r>
      <w:r w:rsidR="00DF058D" w:rsidRPr="00926897">
        <w:t xml:space="preserve"> </w:t>
      </w:r>
      <w:r w:rsidRPr="00926897">
        <w:t xml:space="preserve">information in the </w:t>
      </w:r>
      <w:r w:rsidR="00F80579" w:rsidRPr="00926897">
        <w:t>‘</w:t>
      </w:r>
      <w:r w:rsidRPr="00926897">
        <w:t>Adverse Event</w:t>
      </w:r>
      <w:r w:rsidR="00F80579" w:rsidRPr="00926897">
        <w:t>’</w:t>
      </w:r>
      <w:r w:rsidRPr="00926897">
        <w:t xml:space="preserve"> form in the </w:t>
      </w:r>
      <w:r w:rsidR="00D0046D" w:rsidRPr="00926897">
        <w:t>c</w:t>
      </w:r>
      <w:r w:rsidR="00D515FE" w:rsidRPr="00926897">
        <w:t xml:space="preserve">linical </w:t>
      </w:r>
      <w:r w:rsidR="004C6652" w:rsidRPr="00926897">
        <w:t>trial database</w:t>
      </w:r>
      <w:r w:rsidR="004C440C" w:rsidRPr="00926897">
        <w:t>s</w:t>
      </w:r>
      <w:r w:rsidR="00EB1D99" w:rsidRPr="00926897">
        <w:t>, OpenClinica</w:t>
      </w:r>
      <w:r w:rsidR="004C6652" w:rsidRPr="00926897">
        <w:t xml:space="preserve"> </w:t>
      </w:r>
      <w:r w:rsidR="00EB1D99" w:rsidRPr="00926897">
        <w:t>(</w:t>
      </w:r>
      <w:r w:rsidR="001E482E" w:rsidRPr="00926897">
        <w:t>OC</w:t>
      </w:r>
      <w:r w:rsidR="00EB1D99" w:rsidRPr="00926897">
        <w:t>)</w:t>
      </w:r>
      <w:r w:rsidR="00BA3114" w:rsidRPr="00926897">
        <w:rPr>
          <w:rStyle w:val="FootnoteReference"/>
        </w:rPr>
        <w:footnoteReference w:id="1"/>
      </w:r>
      <w:r w:rsidRPr="00926897">
        <w:t>.</w:t>
      </w:r>
      <w:r w:rsidR="00DF058D" w:rsidRPr="00926897">
        <w:t xml:space="preserve"> </w:t>
      </w:r>
      <w:r w:rsidRPr="00926897">
        <w:t xml:space="preserve">In general, </w:t>
      </w:r>
      <w:r w:rsidR="00E1312B" w:rsidRPr="00926897">
        <w:t xml:space="preserve">OC </w:t>
      </w:r>
      <w:r w:rsidRPr="00926897">
        <w:t xml:space="preserve">completion should occur </w:t>
      </w:r>
      <w:r w:rsidR="00EB1D99" w:rsidRPr="00926897">
        <w:t>within 3 calendar days from the visit</w:t>
      </w:r>
      <w:r w:rsidRPr="00926897">
        <w:t xml:space="preserve">. The </w:t>
      </w:r>
      <w:r w:rsidR="00E1312B" w:rsidRPr="00926897">
        <w:t xml:space="preserve">OC </w:t>
      </w:r>
      <w:r w:rsidR="004C6652" w:rsidRPr="00926897">
        <w:t>data</w:t>
      </w:r>
      <w:r w:rsidRPr="00926897">
        <w:t xml:space="preserve"> are cross-checked with local paper files for consistency and quality by a</w:t>
      </w:r>
      <w:r w:rsidR="008E76D8" w:rsidRPr="00926897">
        <w:t>n</w:t>
      </w:r>
      <w:r w:rsidRPr="00926897">
        <w:t xml:space="preserve"> </w:t>
      </w:r>
      <w:r w:rsidR="008E76D8" w:rsidRPr="00926897">
        <w:t xml:space="preserve">internal </w:t>
      </w:r>
      <w:r w:rsidRPr="00926897">
        <w:t xml:space="preserve">monitor </w:t>
      </w:r>
      <w:r w:rsidR="005F51AF" w:rsidRPr="00926897">
        <w:t>on a regular basis</w:t>
      </w:r>
      <w:r w:rsidRPr="00926897">
        <w:t>.</w:t>
      </w:r>
    </w:p>
    <w:p w14:paraId="394BD8E7" w14:textId="10A9A296" w:rsidR="00D870D0" w:rsidRDefault="00D870D0" w:rsidP="00A655AA">
      <w:r w:rsidRPr="00926897">
        <w:lastRenderedPageBreak/>
        <w:t xml:space="preserve">Monthly, the AE/SAE/AESI information </w:t>
      </w:r>
      <w:r w:rsidR="002B0B7A" w:rsidRPr="00926897">
        <w:t xml:space="preserve">from </w:t>
      </w:r>
      <w:r w:rsidR="00E1312B" w:rsidRPr="00926897">
        <w:t>OC</w:t>
      </w:r>
      <w:r w:rsidR="002B0B7A" w:rsidRPr="00926897">
        <w:t xml:space="preserve"> </w:t>
      </w:r>
      <w:r w:rsidRPr="00926897">
        <w:t>is coded by the PVO (refer to the MedDRA coding working instruction</w:t>
      </w:r>
      <w:r w:rsidR="00BA41DF" w:rsidRPr="00926897">
        <w:t>, reference PV-TB-I08</w:t>
      </w:r>
      <w:r w:rsidRPr="00926897">
        <w:t>).</w:t>
      </w:r>
    </w:p>
    <w:p w14:paraId="2B33523C" w14:textId="086AF471" w:rsidR="006A27B2" w:rsidRDefault="00A655AA" w:rsidP="00A655AA">
      <w:r>
        <w:t xml:space="preserve">Periodically and in accordance with the </w:t>
      </w:r>
      <w:r w:rsidR="00164265">
        <w:t>Safety data</w:t>
      </w:r>
      <w:r>
        <w:t xml:space="preserve"> reconciliation plan, the PVO initiates the reconciliation process by sending an email to all involved functions 2 weeks before the planned cut-off date for the reconciliation.</w:t>
      </w:r>
    </w:p>
    <w:p w14:paraId="5573A5BC" w14:textId="77777777" w:rsidR="00A655AA" w:rsidRPr="00012A92" w:rsidRDefault="00164265" w:rsidP="00025B21">
      <w:pPr>
        <w:pStyle w:val="Heading4"/>
      </w:pPr>
      <w:r w:rsidRPr="00012A92">
        <w:t>During safety data</w:t>
      </w:r>
      <w:r w:rsidR="00A655AA" w:rsidRPr="00012A92">
        <w:t xml:space="preserve"> reconciliation</w:t>
      </w:r>
    </w:p>
    <w:p w14:paraId="50A9F4AA" w14:textId="39BE5EF7" w:rsidR="00A655AA" w:rsidRPr="00926897" w:rsidRDefault="00A655AA" w:rsidP="00A655AA">
      <w:r>
        <w:t xml:space="preserve">The PVO is </w:t>
      </w:r>
      <w:r w:rsidRPr="00926897">
        <w:t xml:space="preserve">responsible for the extraction of </w:t>
      </w:r>
      <w:r w:rsidR="00EA11E7" w:rsidRPr="00926897">
        <w:t>safety</w:t>
      </w:r>
      <w:r w:rsidRPr="00926897">
        <w:t xml:space="preserve"> data from the </w:t>
      </w:r>
      <w:r w:rsidR="00EA11E7" w:rsidRPr="00926897">
        <w:t>PVDB</w:t>
      </w:r>
      <w:r w:rsidRPr="00926897">
        <w:t xml:space="preserve"> up to the cut-off date in accordance with the </w:t>
      </w:r>
      <w:r w:rsidR="00EA11E7" w:rsidRPr="00926897">
        <w:t xml:space="preserve">Safety data </w:t>
      </w:r>
      <w:r w:rsidRPr="00926897">
        <w:t>reconciliation plan. The PVO checks the line listing</w:t>
      </w:r>
      <w:r w:rsidR="00DA4A20" w:rsidRPr="00926897">
        <w:t>s</w:t>
      </w:r>
      <w:r w:rsidRPr="00926897">
        <w:t xml:space="preserve"> and sends </w:t>
      </w:r>
      <w:r w:rsidR="00DA4A20" w:rsidRPr="00926897">
        <w:t>them</w:t>
      </w:r>
      <w:r w:rsidRPr="00926897">
        <w:t xml:space="preserve"> to the </w:t>
      </w:r>
      <w:r w:rsidR="00E1312B" w:rsidRPr="00926897">
        <w:t>DMT</w:t>
      </w:r>
      <w:r w:rsidRPr="00926897">
        <w:t>.</w:t>
      </w:r>
    </w:p>
    <w:p w14:paraId="231BEFA8" w14:textId="579017E6" w:rsidR="00A655AA" w:rsidRPr="00926897" w:rsidRDefault="00EA11E7" w:rsidP="00A655AA">
      <w:r w:rsidRPr="00926897">
        <w:t xml:space="preserve">The </w:t>
      </w:r>
      <w:r w:rsidR="00E1312B" w:rsidRPr="00926897">
        <w:t>DMT</w:t>
      </w:r>
      <w:r w:rsidR="00EB1D99" w:rsidRPr="00926897">
        <w:t xml:space="preserve"> </w:t>
      </w:r>
      <w:r w:rsidR="00A655AA" w:rsidRPr="00926897">
        <w:t xml:space="preserve">extracts the </w:t>
      </w:r>
      <w:r w:rsidRPr="00926897">
        <w:t>safety</w:t>
      </w:r>
      <w:r w:rsidR="00A655AA" w:rsidRPr="00926897">
        <w:t xml:space="preserve"> data from </w:t>
      </w:r>
      <w:r w:rsidR="00E1312B" w:rsidRPr="00926897">
        <w:t>OC</w:t>
      </w:r>
      <w:r w:rsidR="004C6652" w:rsidRPr="00926897">
        <w:t xml:space="preserve"> </w:t>
      </w:r>
      <w:r w:rsidR="00A655AA" w:rsidRPr="00926897">
        <w:t>up to the cut-off date.</w:t>
      </w:r>
    </w:p>
    <w:p w14:paraId="62FD6BC2" w14:textId="037DF25A" w:rsidR="00244390" w:rsidRPr="00926897" w:rsidRDefault="00A655AA" w:rsidP="00A655AA">
      <w:r w:rsidRPr="00926897">
        <w:t>The contents of both extractions (</w:t>
      </w:r>
      <w:r w:rsidR="00EA11E7" w:rsidRPr="00926897">
        <w:t>PVDB</w:t>
      </w:r>
      <w:r w:rsidRPr="00926897">
        <w:t xml:space="preserve"> vs. </w:t>
      </w:r>
      <w:r w:rsidR="00E1312B" w:rsidRPr="00926897">
        <w:t>OC</w:t>
      </w:r>
      <w:r w:rsidRPr="00926897">
        <w:t xml:space="preserve">) are </w:t>
      </w:r>
      <w:r w:rsidR="008C4E30" w:rsidRPr="00926897">
        <w:t>semi-</w:t>
      </w:r>
      <w:r w:rsidRPr="00926897">
        <w:t xml:space="preserve">automatically compared </w:t>
      </w:r>
      <w:r w:rsidR="005B09EA" w:rsidRPr="00926897">
        <w:t>using Stata</w:t>
      </w:r>
      <w:r w:rsidRPr="00926897">
        <w:t xml:space="preserve">. The </w:t>
      </w:r>
      <w:r w:rsidR="00E1312B" w:rsidRPr="00926897">
        <w:t>DMT</w:t>
      </w:r>
      <w:r w:rsidR="00EB1D99" w:rsidRPr="00926897">
        <w:t xml:space="preserve"> </w:t>
      </w:r>
      <w:r w:rsidR="005B09EA" w:rsidRPr="00926897">
        <w:t xml:space="preserve">creates </w:t>
      </w:r>
      <w:r w:rsidR="00DA4A20" w:rsidRPr="00926897">
        <w:t>two</w:t>
      </w:r>
      <w:r w:rsidR="00EA11E7" w:rsidRPr="00926897">
        <w:t xml:space="preserve"> </w:t>
      </w:r>
      <w:r w:rsidR="00EB1D99" w:rsidRPr="00926897">
        <w:t>comparison file</w:t>
      </w:r>
      <w:r w:rsidR="00DA4A20" w:rsidRPr="00926897">
        <w:t>s, one for each study</w:t>
      </w:r>
      <w:r w:rsidR="00EB1D99" w:rsidRPr="00926897">
        <w:t>.</w:t>
      </w:r>
      <w:r w:rsidR="00244390" w:rsidRPr="00926897">
        <w:t xml:space="preserve"> </w:t>
      </w:r>
    </w:p>
    <w:p w14:paraId="01C5C7F7" w14:textId="49261029" w:rsidR="00A655AA" w:rsidRPr="00926897" w:rsidRDefault="00EB1D99" w:rsidP="00A655AA">
      <w:r w:rsidRPr="00926897">
        <w:t xml:space="preserve">The PVO includes in </w:t>
      </w:r>
      <w:r w:rsidR="00DA4A20" w:rsidRPr="00926897">
        <w:t>two</w:t>
      </w:r>
      <w:r w:rsidRPr="00926897">
        <w:t xml:space="preserve"> </w:t>
      </w:r>
      <w:r w:rsidR="00EA11E7" w:rsidRPr="00926897">
        <w:t xml:space="preserve">Safety data </w:t>
      </w:r>
      <w:r w:rsidR="00A655AA" w:rsidRPr="00926897">
        <w:t>reconciliation report</w:t>
      </w:r>
      <w:r w:rsidR="00DA4A20" w:rsidRPr="00926897">
        <w:t>s</w:t>
      </w:r>
      <w:r w:rsidR="00A655AA" w:rsidRPr="00926897">
        <w:t xml:space="preserve"> </w:t>
      </w:r>
      <w:r w:rsidRPr="00926897">
        <w:t>the PVDB extraction</w:t>
      </w:r>
      <w:r w:rsidR="003E703E" w:rsidRPr="00926897">
        <w:t>s</w:t>
      </w:r>
      <w:r w:rsidRPr="00926897">
        <w:t>, the comparison file</w:t>
      </w:r>
      <w:r w:rsidR="003E703E" w:rsidRPr="00926897">
        <w:t>s</w:t>
      </w:r>
      <w:r w:rsidR="00A655AA" w:rsidRPr="00926897">
        <w:t xml:space="preserve"> and the list of discrepancies</w:t>
      </w:r>
      <w:r w:rsidR="00E07DB8" w:rsidRPr="00926897">
        <w:t xml:space="preserve"> identified</w:t>
      </w:r>
      <w:r w:rsidR="00A655AA" w:rsidRPr="00926897">
        <w:t>.</w:t>
      </w:r>
    </w:p>
    <w:p w14:paraId="1B951098" w14:textId="0518968B" w:rsidR="00A655AA" w:rsidRPr="00926897" w:rsidRDefault="00A655AA" w:rsidP="00A655AA">
      <w:r w:rsidRPr="00926897">
        <w:t xml:space="preserve">The </w:t>
      </w:r>
      <w:r w:rsidR="008C4E30" w:rsidRPr="00926897">
        <w:t>PVO</w:t>
      </w:r>
      <w:r w:rsidR="00177F4D" w:rsidRPr="00926897">
        <w:t xml:space="preserve"> with the support of the </w:t>
      </w:r>
      <w:r w:rsidR="00E1312B" w:rsidRPr="00926897">
        <w:t>DMT</w:t>
      </w:r>
      <w:r w:rsidR="008C4E30" w:rsidRPr="00926897">
        <w:t xml:space="preserve"> </w:t>
      </w:r>
      <w:r w:rsidRPr="00926897">
        <w:t>is responsible to rate the discrepancies as:</w:t>
      </w:r>
    </w:p>
    <w:p w14:paraId="40AA6419" w14:textId="77777777" w:rsidR="00A655AA" w:rsidRPr="00926897" w:rsidRDefault="00A655AA" w:rsidP="00EA11E7">
      <w:pPr>
        <w:pStyle w:val="ListParagraph"/>
        <w:numPr>
          <w:ilvl w:val="0"/>
          <w:numId w:val="41"/>
        </w:numPr>
        <w:ind w:left="709" w:hanging="352"/>
        <w:contextualSpacing w:val="0"/>
      </w:pPr>
      <w:r w:rsidRPr="00926897">
        <w:rPr>
          <w:b/>
        </w:rPr>
        <w:t>Minor</w:t>
      </w:r>
      <w:r w:rsidRPr="00926897">
        <w:t xml:space="preserve">: discrepancy origin is easily identifiable and does not result in a difference in terms of content; e.g. use of a dash instead of a </w:t>
      </w:r>
      <w:r w:rsidR="008528C1" w:rsidRPr="00926897">
        <w:t>space</w:t>
      </w:r>
      <w:r w:rsidRPr="00926897">
        <w:t>, typos, and spaces.</w:t>
      </w:r>
    </w:p>
    <w:p w14:paraId="63CEEB7F" w14:textId="77777777" w:rsidR="00A655AA" w:rsidRPr="00926897" w:rsidRDefault="00A655AA" w:rsidP="00EA11E7">
      <w:pPr>
        <w:pStyle w:val="ListParagraph"/>
        <w:numPr>
          <w:ilvl w:val="0"/>
          <w:numId w:val="41"/>
        </w:numPr>
        <w:ind w:left="709" w:hanging="352"/>
        <w:contextualSpacing w:val="0"/>
      </w:pPr>
      <w:r w:rsidRPr="00926897">
        <w:rPr>
          <w:b/>
        </w:rPr>
        <w:t>Major</w:t>
      </w:r>
      <w:r w:rsidRPr="00926897">
        <w:t xml:space="preserve">: discrepancy in content for which a clarification by the </w:t>
      </w:r>
      <w:r w:rsidR="00EA11E7" w:rsidRPr="00926897">
        <w:t>Site PI</w:t>
      </w:r>
      <w:r w:rsidRPr="00926897">
        <w:t xml:space="preserve"> is needed.</w:t>
      </w:r>
    </w:p>
    <w:p w14:paraId="142D4DDE" w14:textId="4981B292" w:rsidR="00A655AA" w:rsidRDefault="00A655AA" w:rsidP="00A655AA">
      <w:r w:rsidRPr="00926897">
        <w:t xml:space="preserve">For each discrepancy, the PVO </w:t>
      </w:r>
      <w:r w:rsidR="00177F4D" w:rsidRPr="00926897">
        <w:t xml:space="preserve">with the support of the </w:t>
      </w:r>
      <w:r w:rsidR="00E1312B" w:rsidRPr="00926897">
        <w:t>DMT</w:t>
      </w:r>
      <w:r w:rsidR="00177F4D" w:rsidRPr="00926897">
        <w:t xml:space="preserve"> </w:t>
      </w:r>
      <w:r w:rsidRPr="00926897">
        <w:t xml:space="preserve">determines whether correction is needed in </w:t>
      </w:r>
      <w:r w:rsidR="00E1312B" w:rsidRPr="00926897">
        <w:t>OC</w:t>
      </w:r>
      <w:r w:rsidR="00585BC4" w:rsidRPr="00926897">
        <w:t xml:space="preserve"> </w:t>
      </w:r>
      <w:r w:rsidRPr="00926897">
        <w:t xml:space="preserve">or in the </w:t>
      </w:r>
      <w:r w:rsidR="00EA11E7" w:rsidRPr="00926897">
        <w:t>PVDB</w:t>
      </w:r>
      <w:r w:rsidRPr="00926897">
        <w:t xml:space="preserve">. The </w:t>
      </w:r>
      <w:r w:rsidR="008C4E30" w:rsidRPr="00926897">
        <w:t>PVO</w:t>
      </w:r>
      <w:r w:rsidR="00177F4D" w:rsidRPr="00926897">
        <w:t xml:space="preserve"> with the support of the </w:t>
      </w:r>
      <w:r w:rsidR="00E1312B" w:rsidRPr="00926897">
        <w:t>DMT</w:t>
      </w:r>
      <w:r w:rsidRPr="00926897">
        <w:t xml:space="preserve"> is responsible for reflecting this information into the S</w:t>
      </w:r>
      <w:r w:rsidR="00EA11E7" w:rsidRPr="00926897">
        <w:t xml:space="preserve">afety data </w:t>
      </w:r>
      <w:r w:rsidRPr="00926897">
        <w:t>reconciliation report</w:t>
      </w:r>
      <w:r w:rsidR="003E703E" w:rsidRPr="00926897">
        <w:t>s</w:t>
      </w:r>
      <w:r w:rsidRPr="00926897">
        <w:t>.</w:t>
      </w:r>
    </w:p>
    <w:p w14:paraId="2910F240" w14:textId="5379BA0B" w:rsidR="00565A41" w:rsidRDefault="00A655AA" w:rsidP="00A655AA">
      <w:r>
        <w:t>The major discrepancies are raised as queries back to the study sites fo</w:t>
      </w:r>
      <w:r w:rsidR="008528C1">
        <w:t>r clarification and resolution</w:t>
      </w:r>
      <w:r>
        <w:t xml:space="preserve">. The responsible party, the PVO for changes in the </w:t>
      </w:r>
      <w:r w:rsidR="00BF4218">
        <w:t>PVDB</w:t>
      </w:r>
      <w:r>
        <w:t xml:space="preserve"> and the DM</w:t>
      </w:r>
      <w:r w:rsidR="00EB1D99">
        <w:t>T</w:t>
      </w:r>
      <w:r>
        <w:t xml:space="preserve"> for </w:t>
      </w:r>
      <w:r w:rsidR="00EB1D99">
        <w:t>OC</w:t>
      </w:r>
      <w:r>
        <w:t xml:space="preserve">, should send the </w:t>
      </w:r>
      <w:r w:rsidR="008C4E30">
        <w:t xml:space="preserve">queries </w:t>
      </w:r>
      <w:r>
        <w:t xml:space="preserve">and follow-up on </w:t>
      </w:r>
      <w:r w:rsidR="008C4E30">
        <w:t>queries</w:t>
      </w:r>
      <w:r w:rsidR="0083613C">
        <w:t xml:space="preserve"> (refer to </w:t>
      </w:r>
      <w:r w:rsidR="0083613C" w:rsidRPr="0083613C">
        <w:t>SOP DM-001-CT</w:t>
      </w:r>
      <w:r w:rsidR="0083613C">
        <w:t>)</w:t>
      </w:r>
      <w:r>
        <w:t xml:space="preserve">. </w:t>
      </w:r>
    </w:p>
    <w:p w14:paraId="0A2A485C" w14:textId="71CB3F1C" w:rsidR="00A655AA" w:rsidRDefault="00A655AA" w:rsidP="00A655AA">
      <w:r>
        <w:t xml:space="preserve">Upon receipt of clarification, the </w:t>
      </w:r>
      <w:r w:rsidR="00690AD0" w:rsidRPr="008528C1">
        <w:t xml:space="preserve">Data Entry Officer (in the name of the </w:t>
      </w:r>
      <w:r w:rsidR="00BF4218" w:rsidRPr="008528C1">
        <w:t>Site PI</w:t>
      </w:r>
      <w:r w:rsidR="00690AD0" w:rsidRPr="008528C1">
        <w:t>)</w:t>
      </w:r>
      <w:r>
        <w:t xml:space="preserve"> </w:t>
      </w:r>
      <w:r w:rsidR="00690AD0">
        <w:t xml:space="preserve">performs </w:t>
      </w:r>
      <w:r>
        <w:t xml:space="preserve">the changes in </w:t>
      </w:r>
      <w:r w:rsidR="00E1312B">
        <w:t xml:space="preserve">OC </w:t>
      </w:r>
      <w:r>
        <w:t xml:space="preserve">and the PVO in the </w:t>
      </w:r>
      <w:r w:rsidR="00BF4218">
        <w:t>PVDB</w:t>
      </w:r>
      <w:r>
        <w:t>.</w:t>
      </w:r>
      <w:r w:rsidR="008C4E30">
        <w:t xml:space="preserve"> The Site PI </w:t>
      </w:r>
      <w:r w:rsidR="00177F4D">
        <w:t xml:space="preserve">or delegate </w:t>
      </w:r>
      <w:r w:rsidR="008C4E30">
        <w:t>modifies the source documents accordingly if applicable.</w:t>
      </w:r>
    </w:p>
    <w:p w14:paraId="1326B35D" w14:textId="77777777" w:rsidR="00565A41" w:rsidRDefault="00A655AA" w:rsidP="00565A41">
      <w:pPr>
        <w:pBdr>
          <w:top w:val="single" w:sz="4" w:space="1" w:color="auto"/>
          <w:left w:val="single" w:sz="4" w:space="4" w:color="auto"/>
          <w:bottom w:val="single" w:sz="4" w:space="1" w:color="auto"/>
          <w:right w:val="single" w:sz="4" w:space="4" w:color="auto"/>
        </w:pBdr>
      </w:pPr>
      <w:r>
        <w:t xml:space="preserve">In the situations where an SAE would not have been reported as such to the PV unit, the PVO is responsible to </w:t>
      </w:r>
      <w:r w:rsidRPr="00565A41">
        <w:rPr>
          <w:b/>
        </w:rPr>
        <w:t>immediately</w:t>
      </w:r>
      <w:r>
        <w:t xml:space="preserve"> query the site and requests an SAE report form </w:t>
      </w:r>
      <w:r w:rsidRPr="00565A41">
        <w:rPr>
          <w:b/>
        </w:rPr>
        <w:t>within 24 hours of query receipt at the site</w:t>
      </w:r>
      <w:r>
        <w:t xml:space="preserve">. </w:t>
      </w:r>
    </w:p>
    <w:p w14:paraId="4EBBA444" w14:textId="652B720E" w:rsidR="00A655AA" w:rsidRDefault="00A655AA" w:rsidP="00565A41">
      <w:pPr>
        <w:pBdr>
          <w:top w:val="single" w:sz="4" w:space="1" w:color="auto"/>
          <w:left w:val="single" w:sz="4" w:space="4" w:color="auto"/>
          <w:bottom w:val="single" w:sz="4" w:space="1" w:color="auto"/>
          <w:right w:val="single" w:sz="4" w:space="4" w:color="auto"/>
        </w:pBdr>
      </w:pPr>
      <w:r>
        <w:t xml:space="preserve">Same applies in the situations where an SAE is found to be fatal in </w:t>
      </w:r>
      <w:r w:rsidR="00E1312B">
        <w:t>OC</w:t>
      </w:r>
      <w:r>
        <w:t xml:space="preserve"> while this information was not reported to the PV unit.</w:t>
      </w:r>
    </w:p>
    <w:p w14:paraId="0F99A85C" w14:textId="38521BF3" w:rsidR="00A655AA" w:rsidRPr="00926897" w:rsidRDefault="00A655AA" w:rsidP="00A655AA">
      <w:r>
        <w:t>The minor discrepancies are solved</w:t>
      </w:r>
      <w:r w:rsidR="00427E0A">
        <w:t xml:space="preserve"> directly</w:t>
      </w:r>
      <w:r>
        <w:t xml:space="preserve"> by the PVO for changes in the </w:t>
      </w:r>
      <w:r w:rsidR="00565A41">
        <w:t>PVDB</w:t>
      </w:r>
      <w:r>
        <w:t xml:space="preserve"> and </w:t>
      </w:r>
      <w:r w:rsidR="00427E0A">
        <w:t xml:space="preserve">requested by </w:t>
      </w:r>
      <w:r>
        <w:t>the DM</w:t>
      </w:r>
      <w:r w:rsidR="00427E0A">
        <w:t>T</w:t>
      </w:r>
      <w:r>
        <w:t xml:space="preserve"> for </w:t>
      </w:r>
      <w:r w:rsidR="00427E0A">
        <w:t>OC</w:t>
      </w:r>
      <w:r w:rsidR="0083613C">
        <w:t xml:space="preserve"> (</w:t>
      </w:r>
      <w:r w:rsidR="0083613C" w:rsidRPr="00926897">
        <w:t>refer to SOP DM-001-CT)</w:t>
      </w:r>
      <w:r w:rsidRPr="00926897">
        <w:t>.</w:t>
      </w:r>
    </w:p>
    <w:p w14:paraId="14DC9B3B" w14:textId="0FAC6555" w:rsidR="00A655AA" w:rsidRPr="00926897" w:rsidRDefault="00A655AA" w:rsidP="00A655AA">
      <w:r w:rsidRPr="00926897">
        <w:t xml:space="preserve">Upon closure of a discrepancy, the </w:t>
      </w:r>
      <w:r w:rsidR="009F06DB" w:rsidRPr="00926897">
        <w:t xml:space="preserve">PVO </w:t>
      </w:r>
      <w:r w:rsidR="00177F4D" w:rsidRPr="00926897">
        <w:t xml:space="preserve">with the support of the </w:t>
      </w:r>
      <w:r w:rsidR="00E1312B" w:rsidRPr="00926897">
        <w:t>DMT</w:t>
      </w:r>
      <w:r w:rsidR="00177F4D" w:rsidRPr="00926897">
        <w:t xml:space="preserve"> </w:t>
      </w:r>
      <w:r w:rsidRPr="00926897">
        <w:t>documents this information in the S</w:t>
      </w:r>
      <w:r w:rsidR="00565A41" w:rsidRPr="00926897">
        <w:t>afety data</w:t>
      </w:r>
      <w:r w:rsidRPr="00926897">
        <w:t xml:space="preserve"> reconciliation report</w:t>
      </w:r>
      <w:r w:rsidR="003E703E" w:rsidRPr="00926897">
        <w:t>s</w:t>
      </w:r>
      <w:r w:rsidRPr="00926897">
        <w:t>.</w:t>
      </w:r>
    </w:p>
    <w:p w14:paraId="6E3BD6AF" w14:textId="63B81CA2" w:rsidR="00A655AA" w:rsidRDefault="00A655AA" w:rsidP="00A655AA">
      <w:r w:rsidRPr="00926897">
        <w:t xml:space="preserve">If, for any reason, a </w:t>
      </w:r>
      <w:r w:rsidR="008F565D" w:rsidRPr="00926897">
        <w:t xml:space="preserve">major </w:t>
      </w:r>
      <w:r w:rsidRPr="00926897">
        <w:t xml:space="preserve">discrepancy cannot be solved by the </w:t>
      </w:r>
      <w:r w:rsidR="003C59AC" w:rsidRPr="00926897">
        <w:t xml:space="preserve">Site PI </w:t>
      </w:r>
      <w:r w:rsidRPr="00926897">
        <w:t>and the PVO</w:t>
      </w:r>
      <w:r w:rsidR="00177F4D" w:rsidRPr="00926897">
        <w:t xml:space="preserve"> (with the support of the </w:t>
      </w:r>
      <w:r w:rsidR="00E1312B" w:rsidRPr="00926897">
        <w:t>DMT</w:t>
      </w:r>
      <w:r w:rsidR="00177F4D" w:rsidRPr="00926897">
        <w:t>)</w:t>
      </w:r>
      <w:r w:rsidRPr="00926897">
        <w:t xml:space="preserve">, the </w:t>
      </w:r>
      <w:r w:rsidR="00DA545F" w:rsidRPr="00926897">
        <w:t>c</w:t>
      </w:r>
      <w:r w:rsidR="00565A41" w:rsidRPr="00926897">
        <w:t>entral Study PIs are</w:t>
      </w:r>
      <w:r w:rsidRPr="00926897">
        <w:t xml:space="preserve"> ultimately responsible to decide on the final action regarding this </w:t>
      </w:r>
      <w:r w:rsidRPr="00926897">
        <w:lastRenderedPageBreak/>
        <w:t xml:space="preserve">discrepancy. The </w:t>
      </w:r>
      <w:r w:rsidR="009F06DB" w:rsidRPr="00926897">
        <w:t xml:space="preserve">PVO </w:t>
      </w:r>
      <w:r w:rsidR="00177F4D" w:rsidRPr="00926897">
        <w:t xml:space="preserve">with the support of the </w:t>
      </w:r>
      <w:r w:rsidR="00D46796" w:rsidRPr="00926897">
        <w:t>DMT</w:t>
      </w:r>
      <w:r w:rsidR="00177F4D" w:rsidRPr="00926897">
        <w:t xml:space="preserve"> </w:t>
      </w:r>
      <w:r w:rsidRPr="00926897">
        <w:t xml:space="preserve">is responsible to document this decision in the </w:t>
      </w:r>
      <w:r w:rsidR="00565A41" w:rsidRPr="00926897">
        <w:t xml:space="preserve">Safety data </w:t>
      </w:r>
      <w:r w:rsidRPr="00926897">
        <w:t>reconciliation report</w:t>
      </w:r>
      <w:r w:rsidR="003E703E" w:rsidRPr="00926897">
        <w:t>s</w:t>
      </w:r>
      <w:r w:rsidRPr="00926897">
        <w:t>.</w:t>
      </w:r>
    </w:p>
    <w:p w14:paraId="08A7F6E2" w14:textId="77777777" w:rsidR="00A655AA" w:rsidRPr="00012A92" w:rsidRDefault="00A655AA" w:rsidP="00025B21">
      <w:pPr>
        <w:pStyle w:val="Heading4"/>
      </w:pPr>
      <w:r w:rsidRPr="00012A92">
        <w:t xml:space="preserve">After </w:t>
      </w:r>
      <w:r w:rsidR="00565A41" w:rsidRPr="00012A92">
        <w:t xml:space="preserve">safety data </w:t>
      </w:r>
      <w:r w:rsidRPr="00012A92">
        <w:t>reconciliation</w:t>
      </w:r>
    </w:p>
    <w:p w14:paraId="2EB6E098" w14:textId="1213F068" w:rsidR="00A655AA" w:rsidRPr="00926897" w:rsidRDefault="00C071FF" w:rsidP="00A655AA">
      <w:r>
        <w:t xml:space="preserve">Safety data </w:t>
      </w:r>
      <w:r w:rsidR="00A655AA">
        <w:t xml:space="preserve">reconciliation is </w:t>
      </w:r>
      <w:r w:rsidR="00A655AA" w:rsidRPr="00926897">
        <w:t xml:space="preserve">considered complete when all discrepancies have been solved. The </w:t>
      </w:r>
      <w:r w:rsidR="003C59AC" w:rsidRPr="00926897">
        <w:t xml:space="preserve">PVO </w:t>
      </w:r>
      <w:r w:rsidR="00A655AA" w:rsidRPr="00926897">
        <w:t xml:space="preserve">then files the </w:t>
      </w:r>
      <w:r w:rsidR="006A0430" w:rsidRPr="00926897">
        <w:t xml:space="preserve">Safety data </w:t>
      </w:r>
      <w:r w:rsidR="00A655AA" w:rsidRPr="00926897">
        <w:t>reconciliation report</w:t>
      </w:r>
      <w:r w:rsidR="003E703E" w:rsidRPr="00926897">
        <w:t>s</w:t>
      </w:r>
      <w:r w:rsidR="00A655AA" w:rsidRPr="00926897">
        <w:t xml:space="preserve"> and transmits </w:t>
      </w:r>
      <w:r w:rsidR="003E703E" w:rsidRPr="00926897">
        <w:t>them</w:t>
      </w:r>
      <w:r w:rsidR="00A655AA" w:rsidRPr="00926897">
        <w:t xml:space="preserve"> to the </w:t>
      </w:r>
      <w:r w:rsidR="00D46796" w:rsidRPr="00926897">
        <w:t>DMT</w:t>
      </w:r>
      <w:r w:rsidR="00A655AA" w:rsidRPr="00926897">
        <w:t xml:space="preserve">, the </w:t>
      </w:r>
      <w:r w:rsidR="008F565D" w:rsidRPr="00926897">
        <w:t xml:space="preserve">Clinical Trial Manager and Central Study Coordinators </w:t>
      </w:r>
      <w:r w:rsidR="00A655AA" w:rsidRPr="00926897">
        <w:t xml:space="preserve">for their </w:t>
      </w:r>
      <w:r w:rsidR="006A0430" w:rsidRPr="00926897">
        <w:t xml:space="preserve">records and/or </w:t>
      </w:r>
      <w:r w:rsidR="00A655AA" w:rsidRPr="00926897">
        <w:t>information.</w:t>
      </w:r>
      <w:r w:rsidR="007D2C63" w:rsidRPr="00926897">
        <w:t xml:space="preserve"> Central study coordinators and internal monitors are encouraged to review the reports.</w:t>
      </w:r>
    </w:p>
    <w:p w14:paraId="38D2EC4E" w14:textId="77777777" w:rsidR="00A655AA" w:rsidRPr="00926897" w:rsidRDefault="00A655AA" w:rsidP="00025B21">
      <w:pPr>
        <w:pStyle w:val="Heading3"/>
      </w:pPr>
      <w:bookmarkStart w:id="16" w:name="_Toc180756508"/>
      <w:r w:rsidRPr="00926897">
        <w:t>Archiving</w:t>
      </w:r>
      <w:bookmarkEnd w:id="16"/>
    </w:p>
    <w:p w14:paraId="0EC031F3" w14:textId="0838F35F" w:rsidR="00A655AA" w:rsidRPr="00A655AA" w:rsidRDefault="00A655AA" w:rsidP="00A655AA">
      <w:r w:rsidRPr="00926897">
        <w:t>The S</w:t>
      </w:r>
      <w:r w:rsidR="002B2D67" w:rsidRPr="00926897">
        <w:t>afety data</w:t>
      </w:r>
      <w:r w:rsidRPr="00926897">
        <w:t xml:space="preserve"> reconciliation plan and the </w:t>
      </w:r>
      <w:r w:rsidR="002B2D67" w:rsidRPr="00926897">
        <w:t xml:space="preserve">Safety data </w:t>
      </w:r>
      <w:r w:rsidRPr="00926897">
        <w:t xml:space="preserve">reconciliation reports are archived </w:t>
      </w:r>
      <w:r w:rsidR="003C59AC" w:rsidRPr="00926897">
        <w:t xml:space="preserve">by the PVO </w:t>
      </w:r>
      <w:r w:rsidR="00500310" w:rsidRPr="00926897">
        <w:t>in the Trial Master File</w:t>
      </w:r>
      <w:r w:rsidRPr="00926897">
        <w:t xml:space="preserve"> and </w:t>
      </w:r>
      <w:r w:rsidR="007D2C63" w:rsidRPr="00926897">
        <w:t xml:space="preserve">in </w:t>
      </w:r>
      <w:r w:rsidR="009E5BCC" w:rsidRPr="00926897">
        <w:t xml:space="preserve">the </w:t>
      </w:r>
      <w:r w:rsidR="007D2C63" w:rsidRPr="00926897">
        <w:t>MSF</w:t>
      </w:r>
      <w:r w:rsidR="009E5BCC" w:rsidRPr="00926897">
        <w:t xml:space="preserve"> Pharmacovigilance SharePoint</w:t>
      </w:r>
      <w:r w:rsidR="007D2C63" w:rsidRPr="00926897">
        <w:t>.</w:t>
      </w:r>
    </w:p>
    <w:p w14:paraId="7E48E0EF" w14:textId="77777777" w:rsidR="00F23C87" w:rsidRPr="00012A92" w:rsidRDefault="004E294D" w:rsidP="00025B21">
      <w:pPr>
        <w:pStyle w:val="Heading2"/>
      </w:pPr>
      <w:bookmarkStart w:id="17" w:name="_Toc180756509"/>
      <w:r w:rsidRPr="00012A92">
        <w:t>REFERENCES</w:t>
      </w:r>
      <w:bookmarkEnd w:id="17"/>
    </w:p>
    <w:p w14:paraId="4CEA30BA" w14:textId="77777777" w:rsidR="00F23C87" w:rsidRDefault="00B23F89" w:rsidP="00B23F89">
      <w:pPr>
        <w:pStyle w:val="ListParagraph"/>
        <w:numPr>
          <w:ilvl w:val="0"/>
          <w:numId w:val="37"/>
        </w:numPr>
        <w:ind w:left="426" w:hanging="426"/>
      </w:pPr>
      <w:r>
        <w:t>ICH Guideline for Good Clinical Practice (E6R1).</w:t>
      </w:r>
    </w:p>
    <w:p w14:paraId="4F5C2BCE" w14:textId="77777777" w:rsidR="00B23F89" w:rsidRDefault="00B23F89" w:rsidP="00B23F89">
      <w:pPr>
        <w:pStyle w:val="ListParagraph"/>
        <w:numPr>
          <w:ilvl w:val="0"/>
          <w:numId w:val="37"/>
        </w:numPr>
        <w:ind w:left="426" w:hanging="426"/>
      </w:pPr>
      <w:r>
        <w:t>ICH Clinical Safety Data Management: Definitions and Standards for Expedited Reporting (E2A).</w:t>
      </w:r>
    </w:p>
    <w:p w14:paraId="1E096EAE" w14:textId="010DBE61" w:rsidR="0002305E" w:rsidRPr="00012A92" w:rsidRDefault="008F565D" w:rsidP="00025B21">
      <w:pPr>
        <w:pStyle w:val="Heading2"/>
      </w:pPr>
      <w:bookmarkStart w:id="18" w:name="_Toc180756510"/>
      <w:r>
        <w:t>RELATED TOOLS</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335"/>
      </w:tblGrid>
      <w:tr w:rsidR="0002305E" w:rsidRPr="004E4E0A" w14:paraId="5A691923" w14:textId="77777777" w:rsidTr="00D670CE">
        <w:tc>
          <w:tcPr>
            <w:tcW w:w="5000" w:type="pct"/>
            <w:gridSpan w:val="2"/>
            <w:shd w:val="clear" w:color="auto" w:fill="F2F2F2"/>
            <w:vAlign w:val="center"/>
          </w:tcPr>
          <w:p w14:paraId="6AE7D1D0" w14:textId="074D3FB8" w:rsidR="0002305E" w:rsidRPr="0002305E" w:rsidRDefault="008F565D" w:rsidP="00D670CE">
            <w:pPr>
              <w:spacing w:before="40" w:after="40"/>
              <w:jc w:val="left"/>
              <w:rPr>
                <w:rFonts w:cs="Arial"/>
                <w:b/>
              </w:rPr>
            </w:pPr>
            <w:r>
              <w:rPr>
                <w:rFonts w:cs="Arial"/>
                <w:b/>
              </w:rPr>
              <w:t>Related tools</w:t>
            </w:r>
            <w:r w:rsidR="0002305E" w:rsidRPr="0002305E">
              <w:rPr>
                <w:rFonts w:cs="Arial"/>
                <w:b/>
              </w:rPr>
              <w:t xml:space="preserve"> for completion</w:t>
            </w:r>
            <w:r>
              <w:rPr>
                <w:rFonts w:cs="Arial"/>
                <w:b/>
              </w:rPr>
              <w:t xml:space="preserve"> of the activities</w:t>
            </w:r>
          </w:p>
        </w:tc>
      </w:tr>
      <w:tr w:rsidR="0002305E" w:rsidRPr="004E4E0A" w14:paraId="5F9D6871" w14:textId="77777777" w:rsidTr="00F90D70">
        <w:tc>
          <w:tcPr>
            <w:tcW w:w="543" w:type="pct"/>
            <w:shd w:val="clear" w:color="auto" w:fill="auto"/>
            <w:vAlign w:val="center"/>
          </w:tcPr>
          <w:p w14:paraId="0CF6483B" w14:textId="77777777" w:rsidR="0002305E" w:rsidRPr="0002305E" w:rsidRDefault="0002305E" w:rsidP="00D670CE">
            <w:pPr>
              <w:spacing w:before="40" w:after="40"/>
              <w:jc w:val="left"/>
              <w:rPr>
                <w:rFonts w:cs="Arial"/>
                <w:b/>
              </w:rPr>
            </w:pPr>
            <w:r w:rsidRPr="0002305E">
              <w:rPr>
                <w:rFonts w:cs="Arial"/>
                <w:b/>
              </w:rPr>
              <w:t>Number</w:t>
            </w:r>
          </w:p>
        </w:tc>
        <w:tc>
          <w:tcPr>
            <w:tcW w:w="4457" w:type="pct"/>
            <w:shd w:val="clear" w:color="auto" w:fill="auto"/>
            <w:vAlign w:val="center"/>
          </w:tcPr>
          <w:p w14:paraId="5F3DC437" w14:textId="77777777" w:rsidR="0002305E" w:rsidRPr="0002305E" w:rsidRDefault="0002305E" w:rsidP="00D670CE">
            <w:pPr>
              <w:spacing w:before="40" w:after="40"/>
              <w:jc w:val="left"/>
              <w:rPr>
                <w:rFonts w:cs="Arial"/>
                <w:b/>
              </w:rPr>
            </w:pPr>
            <w:r w:rsidRPr="0002305E">
              <w:rPr>
                <w:rFonts w:cs="Arial"/>
                <w:b/>
              </w:rPr>
              <w:t>Title</w:t>
            </w:r>
          </w:p>
        </w:tc>
      </w:tr>
      <w:tr w:rsidR="00F90D70" w:rsidRPr="004E4E0A" w14:paraId="59717428" w14:textId="77777777" w:rsidTr="00C95423">
        <w:tc>
          <w:tcPr>
            <w:tcW w:w="543" w:type="pct"/>
            <w:shd w:val="clear" w:color="auto" w:fill="auto"/>
            <w:vAlign w:val="center"/>
          </w:tcPr>
          <w:p w14:paraId="34BC978F" w14:textId="77777777" w:rsidR="00F90D70" w:rsidRPr="0002305E" w:rsidRDefault="00F90D70" w:rsidP="00C95423">
            <w:pPr>
              <w:spacing w:before="40" w:after="40"/>
              <w:jc w:val="center"/>
              <w:rPr>
                <w:rFonts w:cs="Arial"/>
                <w:b/>
              </w:rPr>
            </w:pPr>
            <w:r>
              <w:rPr>
                <w:rFonts w:cs="Arial"/>
                <w:b/>
              </w:rPr>
              <w:t>1</w:t>
            </w:r>
          </w:p>
        </w:tc>
        <w:tc>
          <w:tcPr>
            <w:tcW w:w="4457" w:type="pct"/>
            <w:shd w:val="clear" w:color="auto" w:fill="auto"/>
            <w:vAlign w:val="center"/>
          </w:tcPr>
          <w:p w14:paraId="420F20FD" w14:textId="77777777" w:rsidR="00F90D70" w:rsidRPr="0002305E" w:rsidRDefault="00737304" w:rsidP="000D0522">
            <w:pPr>
              <w:spacing w:before="40" w:after="40"/>
              <w:jc w:val="left"/>
              <w:rPr>
                <w:rFonts w:cs="Arial"/>
              </w:rPr>
            </w:pPr>
            <w:r>
              <w:rPr>
                <w:rFonts w:cs="Arial"/>
              </w:rPr>
              <w:t>Safety data reconciliation plan for endTB interventional clinical trial</w:t>
            </w:r>
          </w:p>
        </w:tc>
      </w:tr>
      <w:tr w:rsidR="006B2B5A" w:rsidRPr="004E4E0A" w14:paraId="12426AD5" w14:textId="77777777" w:rsidTr="00C95423">
        <w:tc>
          <w:tcPr>
            <w:tcW w:w="543" w:type="pct"/>
            <w:shd w:val="clear" w:color="auto" w:fill="auto"/>
            <w:vAlign w:val="center"/>
          </w:tcPr>
          <w:p w14:paraId="1F189D17" w14:textId="1909371C" w:rsidR="006B2B5A" w:rsidRDefault="006B2B5A" w:rsidP="00C95423">
            <w:pPr>
              <w:spacing w:before="40" w:after="40"/>
              <w:jc w:val="center"/>
              <w:rPr>
                <w:rFonts w:cs="Arial"/>
                <w:b/>
              </w:rPr>
            </w:pPr>
            <w:r>
              <w:rPr>
                <w:rFonts w:cs="Arial"/>
                <w:b/>
              </w:rPr>
              <w:t>2</w:t>
            </w:r>
          </w:p>
        </w:tc>
        <w:tc>
          <w:tcPr>
            <w:tcW w:w="4457" w:type="pct"/>
            <w:shd w:val="clear" w:color="auto" w:fill="auto"/>
            <w:vAlign w:val="center"/>
          </w:tcPr>
          <w:p w14:paraId="0E4F4623" w14:textId="5040A8A3" w:rsidR="006B2B5A" w:rsidRDefault="006B2B5A" w:rsidP="000D0522">
            <w:pPr>
              <w:spacing w:before="40" w:after="40"/>
              <w:jc w:val="left"/>
              <w:rPr>
                <w:rFonts w:cs="Arial"/>
              </w:rPr>
            </w:pPr>
            <w:r w:rsidRPr="006B2B5A">
              <w:rPr>
                <w:rFonts w:cs="Arial"/>
              </w:rPr>
              <w:t>MedDRA coding in the endTB clinical trial</w:t>
            </w:r>
          </w:p>
        </w:tc>
      </w:tr>
    </w:tbl>
    <w:p w14:paraId="70821219" w14:textId="77777777" w:rsidR="00034864" w:rsidRPr="00034864" w:rsidRDefault="00034864" w:rsidP="00C95423"/>
    <w:sectPr w:rsidR="00034864" w:rsidRPr="00034864" w:rsidSect="009207B1">
      <w:headerReference w:type="default" r:id="rId11"/>
      <w:footerReference w:type="default" r:id="rId12"/>
      <w:pgSz w:w="12240" w:h="15840"/>
      <w:pgMar w:top="1440" w:right="1440" w:bottom="1440" w:left="1440" w:header="720" w:footer="4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6C2EC" w14:textId="77777777" w:rsidR="009615C0" w:rsidRDefault="009615C0" w:rsidP="00034864">
      <w:pPr>
        <w:spacing w:after="0"/>
      </w:pPr>
      <w:r>
        <w:separator/>
      </w:r>
    </w:p>
  </w:endnote>
  <w:endnote w:type="continuationSeparator" w:id="0">
    <w:p w14:paraId="368AA784" w14:textId="77777777" w:rsidR="009615C0" w:rsidRDefault="009615C0" w:rsidP="00034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B3B6" w14:textId="77777777" w:rsidR="009800F8" w:rsidRPr="0092276E" w:rsidRDefault="009800F8" w:rsidP="009800F8">
    <w:pPr>
      <w:tabs>
        <w:tab w:val="center" w:pos="4680"/>
        <w:tab w:val="right" w:pos="9360"/>
      </w:tabs>
      <w:rPr>
        <w:rFonts w:asciiTheme="minorHAnsi" w:hAnsiTheme="minorHAnsi" w:cstheme="minorHAnsi"/>
        <w:i/>
        <w:iCs/>
        <w:sz w:val="18"/>
        <w:szCs w:val="18"/>
      </w:rPr>
    </w:pPr>
    <w:r w:rsidRPr="0092276E">
      <w:rPr>
        <w:rFonts w:asciiTheme="minorHAnsi" w:hAnsiTheme="minorHAnsi" w:cstheme="minorHAnsi"/>
        <w:b/>
        <w:bCs/>
        <w:i/>
        <w:iCs/>
        <w:sz w:val="18"/>
        <w:szCs w:val="18"/>
      </w:rPr>
      <w:t>NOTE:</w:t>
    </w:r>
    <w:r w:rsidRPr="0092276E">
      <w:rPr>
        <w:rFonts w:asciiTheme="minorHAnsi" w:hAnsiTheme="minorHAnsi" w:cstheme="minorHAnsi"/>
        <w:i/>
        <w:iCs/>
        <w:sz w:val="18"/>
        <w:szCs w:val="18"/>
      </w:rPr>
      <w:t xml:space="preserve"> This work is licensed under the Creative Commons CC BY-SA by the endTB Research Partners. To view a copy of this license, visit: </w:t>
    </w:r>
    <w:hyperlink r:id="rId1" w:history="1">
      <w:r w:rsidRPr="0092276E">
        <w:rPr>
          <w:rStyle w:val="Hyperlink"/>
          <w:rFonts w:asciiTheme="minorHAnsi" w:hAnsiTheme="minorHAnsi" w:cstheme="minorHAnsi"/>
          <w:i/>
          <w:iCs/>
          <w:sz w:val="18"/>
          <w:szCs w:val="18"/>
        </w:rPr>
        <w:t>https://creativecommons.org/licenses/by-sa/4.0/</w:t>
      </w:r>
    </w:hyperlink>
    <w:r w:rsidRPr="0092276E">
      <w:rPr>
        <w:rFonts w:asciiTheme="minorHAnsi" w:hAnsiTheme="minorHAnsi" w:cstheme="minorHAnsi"/>
        <w:i/>
        <w:iCs/>
        <w:sz w:val="18"/>
        <w:szCs w:val="18"/>
      </w:rPr>
      <w:t>. More information about this copyright is available in the endTB website:</w:t>
    </w:r>
    <w:r w:rsidRPr="0092276E">
      <w:rPr>
        <w:rFonts w:asciiTheme="minorHAnsi" w:hAnsiTheme="minorHAnsi" w:cstheme="minorHAnsi"/>
      </w:rPr>
      <w:t xml:space="preserve"> </w:t>
    </w:r>
    <w:hyperlink r:id="rId2" w:history="1">
      <w:r w:rsidRPr="0092276E">
        <w:rPr>
          <w:rStyle w:val="Hyperlink"/>
          <w:rFonts w:asciiTheme="minorHAnsi" w:hAnsiTheme="minorHAnsi" w:cstheme="minorHAnsi"/>
          <w:i/>
          <w:iCs/>
          <w:sz w:val="18"/>
          <w:szCs w:val="18"/>
        </w:rPr>
        <w:t>https://endtb.org/</w:t>
      </w:r>
    </w:hyperlink>
    <w:r w:rsidRPr="0092276E">
      <w:rPr>
        <w:rFonts w:asciiTheme="minorHAnsi" w:hAnsiTheme="minorHAnsi" w:cstheme="minorHAnsi"/>
        <w:i/>
        <w:iCs/>
        <w:sz w:val="18"/>
        <w:szCs w:val="18"/>
      </w:rPr>
      <w:t xml:space="preserve"> in the “Toolkit” section.</w:t>
    </w:r>
  </w:p>
  <w:p w14:paraId="30724A99" w14:textId="255D1C79" w:rsidR="005E177E" w:rsidRPr="009800F8" w:rsidRDefault="009800F8" w:rsidP="009800F8">
    <w:pPr>
      <w:pStyle w:val="Footer"/>
      <w:jc w:val="center"/>
      <w:rPr>
        <w:sz w:val="12"/>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4A462F85" w14:textId="77777777" w:rsidR="00BE7538" w:rsidRPr="00BE7538" w:rsidRDefault="00BE7538" w:rsidP="00BE7538">
    <w:pPr>
      <w:pStyle w:val="Footer"/>
      <w:rPr>
        <w:sz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ECC7" w14:textId="77777777" w:rsidR="009615C0" w:rsidRDefault="009615C0" w:rsidP="00034864">
      <w:pPr>
        <w:spacing w:after="0"/>
      </w:pPr>
      <w:r>
        <w:separator/>
      </w:r>
    </w:p>
  </w:footnote>
  <w:footnote w:type="continuationSeparator" w:id="0">
    <w:p w14:paraId="4E27A68F" w14:textId="77777777" w:rsidR="009615C0" w:rsidRDefault="009615C0" w:rsidP="00034864">
      <w:pPr>
        <w:spacing w:after="0"/>
      </w:pPr>
      <w:r>
        <w:continuationSeparator/>
      </w:r>
    </w:p>
  </w:footnote>
  <w:footnote w:id="1">
    <w:p w14:paraId="6F8850AF" w14:textId="7F5111DA" w:rsidR="00BA3114" w:rsidRPr="00BA3114" w:rsidRDefault="00BA3114">
      <w:pPr>
        <w:pStyle w:val="FootnoteText"/>
      </w:pPr>
      <w:r w:rsidRPr="00926897">
        <w:rPr>
          <w:rStyle w:val="FootnoteReference"/>
        </w:rPr>
        <w:footnoteRef/>
      </w:r>
      <w:r w:rsidRPr="00926897">
        <w:t xml:space="preserve"> The Site PI documents Overdoses in the Drug (ancillary or study drugs) form in OC.</w:t>
      </w:r>
      <w:r w:rsidRPr="00F80579">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C4387" w:rsidRPr="0037069F" w14:paraId="4F460817" w14:textId="77777777" w:rsidTr="00456C8E">
      <w:tc>
        <w:tcPr>
          <w:tcW w:w="2500" w:type="pct"/>
        </w:tcPr>
        <w:p w14:paraId="30C198EF" w14:textId="0482469D" w:rsidR="00BC4387" w:rsidRPr="00926897" w:rsidRDefault="00BC4387" w:rsidP="00BC4387">
          <w:pPr>
            <w:pStyle w:val="Header"/>
            <w:jc w:val="left"/>
          </w:pPr>
          <w:r w:rsidRPr="00926897">
            <w:rPr>
              <w:b/>
            </w:rPr>
            <w:t>endTB Clinical Trial</w:t>
          </w:r>
          <w:r w:rsidR="0056359B" w:rsidRPr="00926897">
            <w:rPr>
              <w:b/>
            </w:rPr>
            <w:t>s</w:t>
          </w:r>
        </w:p>
      </w:tc>
      <w:tc>
        <w:tcPr>
          <w:tcW w:w="2500" w:type="pct"/>
        </w:tcPr>
        <w:p w14:paraId="0E14CE96" w14:textId="68CB19F4" w:rsidR="00BC4387" w:rsidRPr="0037069F" w:rsidRDefault="00BC4387" w:rsidP="002D407F">
          <w:pPr>
            <w:pStyle w:val="Header"/>
          </w:pPr>
          <w:r w:rsidRPr="00926897">
            <w:rPr>
              <w:b/>
            </w:rPr>
            <w:t>SOP PV-00</w:t>
          </w:r>
          <w:r w:rsidR="00942E58" w:rsidRPr="00926897">
            <w:rPr>
              <w:b/>
            </w:rPr>
            <w:t>2</w:t>
          </w:r>
          <w:r w:rsidR="00985E07" w:rsidRPr="00926897">
            <w:rPr>
              <w:b/>
            </w:rPr>
            <w:t>-CT</w:t>
          </w:r>
          <w:r w:rsidR="008C24C9" w:rsidRPr="00926897">
            <w:rPr>
              <w:b/>
            </w:rPr>
            <w:t xml:space="preserve"> Version </w:t>
          </w:r>
          <w:r w:rsidR="008342D9" w:rsidRPr="00926897">
            <w:rPr>
              <w:b/>
            </w:rPr>
            <w:t>4</w:t>
          </w:r>
          <w:r w:rsidR="00A53155" w:rsidRPr="00926897">
            <w:rPr>
              <w:b/>
            </w:rPr>
            <w:t>.0</w:t>
          </w:r>
          <w:r w:rsidRPr="00926897">
            <w:rPr>
              <w:b/>
            </w:rPr>
            <w:t xml:space="preserve">, Date </w:t>
          </w:r>
          <w:r w:rsidR="0037069F" w:rsidRPr="00926897">
            <w:rPr>
              <w:b/>
            </w:rPr>
            <w:t>08</w:t>
          </w:r>
          <w:r w:rsidR="008342D9" w:rsidRPr="00926897">
            <w:rPr>
              <w:b/>
            </w:rPr>
            <w:t>-</w:t>
          </w:r>
          <w:r w:rsidR="0037069F" w:rsidRPr="00926897">
            <w:rPr>
              <w:b/>
            </w:rPr>
            <w:t>May</w:t>
          </w:r>
          <w:r w:rsidR="008342D9" w:rsidRPr="00926897">
            <w:rPr>
              <w:b/>
            </w:rPr>
            <w:t>-2020</w:t>
          </w:r>
        </w:p>
      </w:tc>
    </w:tr>
  </w:tbl>
  <w:p w14:paraId="4CB12BA7" w14:textId="77777777" w:rsidR="00034864" w:rsidRPr="0037069F" w:rsidRDefault="00034864" w:rsidP="00BC438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6512"/>
    <w:multiLevelType w:val="hybridMultilevel"/>
    <w:tmpl w:val="A386CD90"/>
    <w:lvl w:ilvl="0" w:tplc="4A949900">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B424F6"/>
    <w:multiLevelType w:val="hybridMultilevel"/>
    <w:tmpl w:val="5F30464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A1D3BA8"/>
    <w:multiLevelType w:val="hybridMultilevel"/>
    <w:tmpl w:val="B69876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12D1CE5"/>
    <w:multiLevelType w:val="hybridMultilevel"/>
    <w:tmpl w:val="6BFAC3D0"/>
    <w:lvl w:ilvl="0" w:tplc="100C000F">
      <w:start w:val="1"/>
      <w:numFmt w:val="decimal"/>
      <w:lvlText w:val="%1."/>
      <w:lvlJc w:val="left"/>
      <w:pPr>
        <w:ind w:left="1080" w:hanging="720"/>
      </w:pPr>
      <w:rPr>
        <w:rFonts w:hint="default"/>
      </w:rPr>
    </w:lvl>
    <w:lvl w:ilvl="1" w:tplc="100C000F">
      <w:start w:val="1"/>
      <w:numFmt w:val="decimal"/>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5AB68AF"/>
    <w:multiLevelType w:val="hybridMultilevel"/>
    <w:tmpl w:val="B9045AE8"/>
    <w:lvl w:ilvl="0" w:tplc="4A949900">
      <w:numFmt w:val="bullet"/>
      <w:lvlText w:val="•"/>
      <w:lvlJc w:val="left"/>
      <w:pPr>
        <w:ind w:left="1440" w:hanging="720"/>
      </w:pPr>
      <w:rPr>
        <w:rFonts w:ascii="Calibri" w:eastAsia="Calibri" w:hAnsi="Calibri" w:cs="Calibr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15:restartNumberingAfterBreak="0">
    <w:nsid w:val="1A05694F"/>
    <w:multiLevelType w:val="hybridMultilevel"/>
    <w:tmpl w:val="AF32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F0D65"/>
    <w:multiLevelType w:val="hybridMultilevel"/>
    <w:tmpl w:val="3D4289D6"/>
    <w:lvl w:ilvl="0" w:tplc="DC70483A">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DD65989"/>
    <w:multiLevelType w:val="hybridMultilevel"/>
    <w:tmpl w:val="5B484F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F5E1932"/>
    <w:multiLevelType w:val="multilevel"/>
    <w:tmpl w:val="181412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0B15F97"/>
    <w:multiLevelType w:val="hybridMultilevel"/>
    <w:tmpl w:val="47980E8E"/>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2555104"/>
    <w:multiLevelType w:val="hybridMultilevel"/>
    <w:tmpl w:val="82A0A0C4"/>
    <w:lvl w:ilvl="0" w:tplc="F1B2EF20">
      <w:start w:val="3"/>
      <w:numFmt w:val="bullet"/>
      <w:lvlText w:val="•"/>
      <w:lvlJc w:val="left"/>
      <w:pPr>
        <w:ind w:left="1080" w:hanging="72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2BF3EF5"/>
    <w:multiLevelType w:val="hybridMultilevel"/>
    <w:tmpl w:val="07164C2C"/>
    <w:lvl w:ilvl="0" w:tplc="4A949900">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8447723"/>
    <w:multiLevelType w:val="hybridMultilevel"/>
    <w:tmpl w:val="982AF7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EDD0438"/>
    <w:multiLevelType w:val="hybridMultilevel"/>
    <w:tmpl w:val="213EC7C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30641C15"/>
    <w:multiLevelType w:val="hybridMultilevel"/>
    <w:tmpl w:val="1C682D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2325392"/>
    <w:multiLevelType w:val="hybridMultilevel"/>
    <w:tmpl w:val="B7CEDEE4"/>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7FB5EF5"/>
    <w:multiLevelType w:val="hybridMultilevel"/>
    <w:tmpl w:val="3EA82E94"/>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8060159"/>
    <w:multiLevelType w:val="hybridMultilevel"/>
    <w:tmpl w:val="FE5CA8E8"/>
    <w:lvl w:ilvl="0" w:tplc="100C000F">
      <w:start w:val="1"/>
      <w:numFmt w:val="decimal"/>
      <w:lvlText w:val="%1."/>
      <w:lvlJc w:val="left"/>
      <w:pPr>
        <w:ind w:left="1080" w:hanging="720"/>
      </w:pPr>
      <w:rPr>
        <w:rFonts w:hint="default"/>
      </w:rPr>
    </w:lvl>
    <w:lvl w:ilvl="1" w:tplc="100C0011">
      <w:start w:val="1"/>
      <w:numFmt w:val="decimal"/>
      <w:lvlText w:val="%2)"/>
      <w:lvlJc w:val="left"/>
      <w:pPr>
        <w:ind w:left="1440" w:hanging="360"/>
      </w:pPr>
      <w:rPr>
        <w:rFonts w:hint="default"/>
        <w:b/>
        <w:i w:val="0"/>
        <w:color w:val="365F91" w:themeColor="accent1" w:themeShade="BF"/>
        <w:sz w:val="20"/>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84C7768"/>
    <w:multiLevelType w:val="hybridMultilevel"/>
    <w:tmpl w:val="2FF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F420C"/>
    <w:multiLevelType w:val="hybridMultilevel"/>
    <w:tmpl w:val="F86830FE"/>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A174195"/>
    <w:multiLevelType w:val="hybridMultilevel"/>
    <w:tmpl w:val="6DA01C98"/>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A225A64"/>
    <w:multiLevelType w:val="hybridMultilevel"/>
    <w:tmpl w:val="7932EA7A"/>
    <w:lvl w:ilvl="0" w:tplc="2F682214">
      <w:start w:val="1"/>
      <w:numFmt w:val="decimal"/>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A8A7875"/>
    <w:multiLevelType w:val="hybridMultilevel"/>
    <w:tmpl w:val="51E2CF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C49003F"/>
    <w:multiLevelType w:val="hybridMultilevel"/>
    <w:tmpl w:val="3AFAE7E2"/>
    <w:lvl w:ilvl="0" w:tplc="4A949900">
      <w:numFmt w:val="bullet"/>
      <w:lvlText w:val="•"/>
      <w:lvlJc w:val="left"/>
      <w:pPr>
        <w:ind w:left="1080" w:hanging="72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FDF132B"/>
    <w:multiLevelType w:val="hybridMultilevel"/>
    <w:tmpl w:val="FA74EB1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49922164"/>
    <w:multiLevelType w:val="multilevel"/>
    <w:tmpl w:val="3B629CB4"/>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isLgl/>
      <w:lvlText w:val="%2."/>
      <w:lvlJc w:val="left"/>
      <w:pPr>
        <w:ind w:left="720" w:hanging="360"/>
      </w:pPr>
      <w:rPr>
        <w:rFonts w:ascii="Calibri" w:hAnsi="Calibri" w:hint="default"/>
        <w:b/>
        <w:i w:val="0"/>
        <w:sz w:val="24"/>
      </w:rPr>
    </w:lvl>
    <w:lvl w:ilvl="2">
      <w:start w:val="1"/>
      <w:numFmt w:val="decimal"/>
      <w:pStyle w:val="Heading3"/>
      <w:isLgl/>
      <w:lvlText w:val="%2.%3"/>
      <w:lvlJc w:val="left"/>
      <w:pPr>
        <w:ind w:left="1080" w:hanging="360"/>
      </w:pPr>
      <w:rPr>
        <w:rFonts w:ascii="Calibri" w:hAnsi="Calibri" w:hint="default"/>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F23E3F"/>
    <w:multiLevelType w:val="hybridMultilevel"/>
    <w:tmpl w:val="548ABFE6"/>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4DDA5CB8"/>
    <w:multiLevelType w:val="hybridMultilevel"/>
    <w:tmpl w:val="908E3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E20127"/>
    <w:multiLevelType w:val="hybridMultilevel"/>
    <w:tmpl w:val="505091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3FB029B"/>
    <w:multiLevelType w:val="hybridMultilevel"/>
    <w:tmpl w:val="7270D56C"/>
    <w:lvl w:ilvl="0" w:tplc="28FC8F5C">
      <w:start w:val="1"/>
      <w:numFmt w:val="decimal"/>
      <w:lvlText w:val="%1."/>
      <w:lvlJc w:val="left"/>
      <w:pPr>
        <w:ind w:left="720" w:hanging="360"/>
      </w:pPr>
      <w:rPr>
        <w:b/>
      </w:rPr>
    </w:lvl>
    <w:lvl w:ilvl="1" w:tplc="F3ACA29C">
      <w:start w:val="25"/>
      <w:numFmt w:val="bullet"/>
      <w:lvlText w:val="-"/>
      <w:lvlJc w:val="left"/>
      <w:pPr>
        <w:ind w:left="1440" w:hanging="360"/>
      </w:pPr>
      <w:rPr>
        <w:rFonts w:ascii="Calibri" w:eastAsia="Calibri" w:hAnsi="Calibri" w:cs="Calibri"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557814EC"/>
    <w:multiLevelType w:val="hybridMultilevel"/>
    <w:tmpl w:val="A4E8D5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594E4BF5"/>
    <w:multiLevelType w:val="hybridMultilevel"/>
    <w:tmpl w:val="5AF02E58"/>
    <w:lvl w:ilvl="0" w:tplc="D0C81536">
      <w:start w:val="1"/>
      <w:numFmt w:val="bullet"/>
      <w:lvlText w:val="-"/>
      <w:lvlJc w:val="left"/>
      <w:pPr>
        <w:ind w:left="720" w:hanging="360"/>
      </w:pPr>
      <w:rPr>
        <w:rFonts w:ascii="Bookman Old Style" w:eastAsia="Times New Roman" w:hAnsi="Bookman Old Style" w:hint="default"/>
        <w:color w:val="0000FF"/>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A094F82"/>
    <w:multiLevelType w:val="hybridMultilevel"/>
    <w:tmpl w:val="DE481A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5C531733"/>
    <w:multiLevelType w:val="hybridMultilevel"/>
    <w:tmpl w:val="5D84F7EA"/>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5EA22725"/>
    <w:multiLevelType w:val="hybridMultilevel"/>
    <w:tmpl w:val="1C48513A"/>
    <w:lvl w:ilvl="0" w:tplc="100C000F">
      <w:start w:val="1"/>
      <w:numFmt w:val="decimal"/>
      <w:lvlText w:val="%1."/>
      <w:lvlJc w:val="left"/>
      <w:pPr>
        <w:ind w:left="1080" w:hanging="720"/>
      </w:pPr>
      <w:rPr>
        <w:rFonts w:hint="default"/>
      </w:rPr>
    </w:lvl>
    <w:lvl w:ilvl="1" w:tplc="4A949900">
      <w:numFmt w:val="bullet"/>
      <w:lvlText w:val="•"/>
      <w:lvlJc w:val="left"/>
      <w:pPr>
        <w:ind w:left="1440" w:hanging="360"/>
      </w:pPr>
      <w:rPr>
        <w:rFonts w:ascii="Calibri" w:eastAsia="Calibri" w:hAnsi="Calibri" w:cs="Calibri" w:hint="default"/>
      </w:rPr>
    </w:lvl>
    <w:lvl w:ilvl="2" w:tplc="100C000B">
      <w:start w:val="1"/>
      <w:numFmt w:val="bullet"/>
      <w:lvlText w:val=""/>
      <w:lvlJc w:val="left"/>
      <w:pPr>
        <w:ind w:left="2160" w:hanging="180"/>
      </w:pPr>
      <w:rPr>
        <w:rFonts w:ascii="Wingdings" w:hAnsi="Wingding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ED72E72"/>
    <w:multiLevelType w:val="hybridMultilevel"/>
    <w:tmpl w:val="F6C0C4C8"/>
    <w:lvl w:ilvl="0" w:tplc="100C0001">
      <w:start w:val="1"/>
      <w:numFmt w:val="bullet"/>
      <w:lvlText w:val=""/>
      <w:lvlJc w:val="left"/>
      <w:pPr>
        <w:ind w:left="502"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152579A"/>
    <w:multiLevelType w:val="hybridMultilevel"/>
    <w:tmpl w:val="F5324924"/>
    <w:lvl w:ilvl="0" w:tplc="F1B2EF20">
      <w:start w:val="3"/>
      <w:numFmt w:val="bullet"/>
      <w:lvlText w:val="•"/>
      <w:lvlJc w:val="left"/>
      <w:pPr>
        <w:ind w:left="1440" w:hanging="720"/>
      </w:pPr>
      <w:rPr>
        <w:rFonts w:ascii="Calibri" w:eastAsia="Calibri" w:hAnsi="Calibri" w:cs="Calibr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8" w15:restartNumberingAfterBreak="0">
    <w:nsid w:val="62860B7A"/>
    <w:multiLevelType w:val="hybridMultilevel"/>
    <w:tmpl w:val="DD1AD4C0"/>
    <w:lvl w:ilvl="0" w:tplc="4A949900">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659A17DE"/>
    <w:multiLevelType w:val="hybridMultilevel"/>
    <w:tmpl w:val="23E6977E"/>
    <w:lvl w:ilvl="0" w:tplc="100C000F">
      <w:start w:val="1"/>
      <w:numFmt w:val="decimal"/>
      <w:lvlText w:val="%1."/>
      <w:lvlJc w:val="left"/>
      <w:pPr>
        <w:ind w:left="1080" w:hanging="720"/>
      </w:pPr>
      <w:rPr>
        <w:rFonts w:hint="default"/>
      </w:rPr>
    </w:lvl>
    <w:lvl w:ilvl="1" w:tplc="4A949900">
      <w:numFmt w:val="bullet"/>
      <w:lvlText w:val="•"/>
      <w:lvlJc w:val="left"/>
      <w:pPr>
        <w:ind w:left="1440" w:hanging="360"/>
      </w:pPr>
      <w:rPr>
        <w:rFonts w:ascii="Calibri" w:eastAsia="Calibri" w:hAnsi="Calibri" w:cs="Calibri" w:hint="default"/>
      </w:rPr>
    </w:lvl>
    <w:lvl w:ilvl="2" w:tplc="100C000B">
      <w:start w:val="1"/>
      <w:numFmt w:val="bullet"/>
      <w:lvlText w:val=""/>
      <w:lvlJc w:val="left"/>
      <w:pPr>
        <w:ind w:left="2160" w:hanging="180"/>
      </w:pPr>
      <w:rPr>
        <w:rFonts w:ascii="Wingdings" w:hAnsi="Wingding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A9367BA"/>
    <w:multiLevelType w:val="hybridMultilevel"/>
    <w:tmpl w:val="CDE8D57A"/>
    <w:lvl w:ilvl="0" w:tplc="2AF2E766">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6BFB4C80"/>
    <w:multiLevelType w:val="hybridMultilevel"/>
    <w:tmpl w:val="23CA4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5B7A71"/>
    <w:multiLevelType w:val="hybridMultilevel"/>
    <w:tmpl w:val="261C80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783E21B4"/>
    <w:multiLevelType w:val="hybridMultilevel"/>
    <w:tmpl w:val="51E88048"/>
    <w:lvl w:ilvl="0" w:tplc="F1B2EF20">
      <w:start w:val="3"/>
      <w:numFmt w:val="bullet"/>
      <w:lvlText w:val="•"/>
      <w:lvlJc w:val="left"/>
      <w:pPr>
        <w:ind w:left="1080" w:hanging="72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7BE14CBF"/>
    <w:multiLevelType w:val="hybridMultilevel"/>
    <w:tmpl w:val="EBC20D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15:restartNumberingAfterBreak="0">
    <w:nsid w:val="7C034DF6"/>
    <w:multiLevelType w:val="multilevel"/>
    <w:tmpl w:val="3B629CB4"/>
    <w:numStyleLink w:val="SOPFormat"/>
  </w:abstractNum>
  <w:num w:numId="1" w16cid:durableId="1006904958">
    <w:abstractNumId w:val="27"/>
  </w:num>
  <w:num w:numId="2" w16cid:durableId="1173295734">
    <w:abstractNumId w:val="30"/>
  </w:num>
  <w:num w:numId="3" w16cid:durableId="1503349226">
    <w:abstractNumId w:val="2"/>
  </w:num>
  <w:num w:numId="4" w16cid:durableId="1917938246">
    <w:abstractNumId w:val="22"/>
  </w:num>
  <w:num w:numId="5" w16cid:durableId="2089187271">
    <w:abstractNumId w:val="18"/>
  </w:num>
  <w:num w:numId="6" w16cid:durableId="1303193953">
    <w:abstractNumId w:val="40"/>
  </w:num>
  <w:num w:numId="7" w16cid:durableId="373962671">
    <w:abstractNumId w:val="8"/>
  </w:num>
  <w:num w:numId="8" w16cid:durableId="1078748482">
    <w:abstractNumId w:val="14"/>
  </w:num>
  <w:num w:numId="9" w16cid:durableId="262417953">
    <w:abstractNumId w:val="11"/>
  </w:num>
  <w:num w:numId="10" w16cid:durableId="909271155">
    <w:abstractNumId w:val="31"/>
  </w:num>
  <w:num w:numId="11" w16cid:durableId="534736362">
    <w:abstractNumId w:val="29"/>
  </w:num>
  <w:num w:numId="12" w16cid:durableId="247228425">
    <w:abstractNumId w:val="4"/>
  </w:num>
  <w:num w:numId="13" w16cid:durableId="1957061211">
    <w:abstractNumId w:val="42"/>
  </w:num>
  <w:num w:numId="14" w16cid:durableId="698430410">
    <w:abstractNumId w:val="0"/>
  </w:num>
  <w:num w:numId="15" w16cid:durableId="721448020">
    <w:abstractNumId w:val="38"/>
  </w:num>
  <w:num w:numId="16" w16cid:durableId="1097364496">
    <w:abstractNumId w:val="23"/>
  </w:num>
  <w:num w:numId="17" w16cid:durableId="1025986120">
    <w:abstractNumId w:val="13"/>
  </w:num>
  <w:num w:numId="18" w16cid:durableId="1660763700">
    <w:abstractNumId w:val="35"/>
  </w:num>
  <w:num w:numId="19" w16cid:durableId="160582028">
    <w:abstractNumId w:val="3"/>
  </w:num>
  <w:num w:numId="20" w16cid:durableId="1838381516">
    <w:abstractNumId w:val="1"/>
  </w:num>
  <w:num w:numId="21" w16cid:durableId="524756399">
    <w:abstractNumId w:val="41"/>
  </w:num>
  <w:num w:numId="22" w16cid:durableId="555160975">
    <w:abstractNumId w:val="5"/>
  </w:num>
  <w:num w:numId="23" w16cid:durableId="909539967">
    <w:abstractNumId w:val="39"/>
  </w:num>
  <w:num w:numId="24" w16cid:durableId="294025356">
    <w:abstractNumId w:val="24"/>
  </w:num>
  <w:num w:numId="25" w16cid:durableId="1112825883">
    <w:abstractNumId w:val="44"/>
  </w:num>
  <w:num w:numId="26" w16cid:durableId="1660034662">
    <w:abstractNumId w:val="9"/>
  </w:num>
  <w:num w:numId="27" w16cid:durableId="886919097">
    <w:abstractNumId w:val="10"/>
  </w:num>
  <w:num w:numId="28" w16cid:durableId="1220285485">
    <w:abstractNumId w:val="26"/>
  </w:num>
  <w:num w:numId="29" w16cid:durableId="1567497575">
    <w:abstractNumId w:val="37"/>
  </w:num>
  <w:num w:numId="30" w16cid:durableId="2083797203">
    <w:abstractNumId w:val="16"/>
  </w:num>
  <w:num w:numId="31" w16cid:durableId="162622026">
    <w:abstractNumId w:val="19"/>
  </w:num>
  <w:num w:numId="32" w16cid:durableId="122695383">
    <w:abstractNumId w:val="15"/>
  </w:num>
  <w:num w:numId="33" w16cid:durableId="479150832">
    <w:abstractNumId w:val="34"/>
  </w:num>
  <w:num w:numId="34" w16cid:durableId="889847943">
    <w:abstractNumId w:val="33"/>
  </w:num>
  <w:num w:numId="35" w16cid:durableId="935333645">
    <w:abstractNumId w:val="7"/>
  </w:num>
  <w:num w:numId="36" w16cid:durableId="828985587">
    <w:abstractNumId w:val="17"/>
  </w:num>
  <w:num w:numId="37" w16cid:durableId="1520045923">
    <w:abstractNumId w:val="43"/>
  </w:num>
  <w:num w:numId="38" w16cid:durableId="1938251815">
    <w:abstractNumId w:val="36"/>
  </w:num>
  <w:num w:numId="39" w16cid:durableId="989291267">
    <w:abstractNumId w:val="28"/>
  </w:num>
  <w:num w:numId="40" w16cid:durableId="1408381240">
    <w:abstractNumId w:val="20"/>
  </w:num>
  <w:num w:numId="41" w16cid:durableId="1766684165">
    <w:abstractNumId w:val="6"/>
  </w:num>
  <w:num w:numId="42" w16cid:durableId="363363060">
    <w:abstractNumId w:val="32"/>
  </w:num>
  <w:num w:numId="43" w16cid:durableId="808478199">
    <w:abstractNumId w:val="21"/>
  </w:num>
  <w:num w:numId="44" w16cid:durableId="2059667787">
    <w:abstractNumId w:val="12"/>
  </w:num>
  <w:num w:numId="45" w16cid:durableId="849759379">
    <w:abstractNumId w:val="8"/>
  </w:num>
  <w:num w:numId="46" w16cid:durableId="83042034">
    <w:abstractNumId w:val="25"/>
  </w:num>
  <w:num w:numId="47" w16cid:durableId="121211468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64"/>
    <w:rsid w:val="000115D6"/>
    <w:rsid w:val="00011EA8"/>
    <w:rsid w:val="00012A92"/>
    <w:rsid w:val="00021B3A"/>
    <w:rsid w:val="0002305E"/>
    <w:rsid w:val="000240FC"/>
    <w:rsid w:val="00025B21"/>
    <w:rsid w:val="00025E77"/>
    <w:rsid w:val="0003441D"/>
    <w:rsid w:val="00034482"/>
    <w:rsid w:val="00034864"/>
    <w:rsid w:val="000348A3"/>
    <w:rsid w:val="00044372"/>
    <w:rsid w:val="00052147"/>
    <w:rsid w:val="00052882"/>
    <w:rsid w:val="00063064"/>
    <w:rsid w:val="00072566"/>
    <w:rsid w:val="00084593"/>
    <w:rsid w:val="00093C3C"/>
    <w:rsid w:val="00095401"/>
    <w:rsid w:val="000A0DDD"/>
    <w:rsid w:val="000A1E3C"/>
    <w:rsid w:val="000C492B"/>
    <w:rsid w:val="000C6D8E"/>
    <w:rsid w:val="00103965"/>
    <w:rsid w:val="00103FBD"/>
    <w:rsid w:val="00110F41"/>
    <w:rsid w:val="001126AF"/>
    <w:rsid w:val="0012393F"/>
    <w:rsid w:val="001260C7"/>
    <w:rsid w:val="00126BCE"/>
    <w:rsid w:val="001372BD"/>
    <w:rsid w:val="00141D3C"/>
    <w:rsid w:val="001549F5"/>
    <w:rsid w:val="00161B70"/>
    <w:rsid w:val="00164265"/>
    <w:rsid w:val="001650FC"/>
    <w:rsid w:val="001667EA"/>
    <w:rsid w:val="00176ACE"/>
    <w:rsid w:val="00177F4D"/>
    <w:rsid w:val="001804B2"/>
    <w:rsid w:val="00187039"/>
    <w:rsid w:val="00192295"/>
    <w:rsid w:val="0019331D"/>
    <w:rsid w:val="001B0276"/>
    <w:rsid w:val="001B3072"/>
    <w:rsid w:val="001C5070"/>
    <w:rsid w:val="001E482E"/>
    <w:rsid w:val="001F21DF"/>
    <w:rsid w:val="00207CAF"/>
    <w:rsid w:val="0021635A"/>
    <w:rsid w:val="00241C5C"/>
    <w:rsid w:val="00244390"/>
    <w:rsid w:val="002534B6"/>
    <w:rsid w:val="00275A5F"/>
    <w:rsid w:val="00286B28"/>
    <w:rsid w:val="00287B0B"/>
    <w:rsid w:val="002B0B7A"/>
    <w:rsid w:val="002B2D67"/>
    <w:rsid w:val="002B412B"/>
    <w:rsid w:val="002C4AA8"/>
    <w:rsid w:val="002C6E57"/>
    <w:rsid w:val="002D407F"/>
    <w:rsid w:val="00315902"/>
    <w:rsid w:val="003271E4"/>
    <w:rsid w:val="00347716"/>
    <w:rsid w:val="00354A71"/>
    <w:rsid w:val="003570D7"/>
    <w:rsid w:val="00365E65"/>
    <w:rsid w:val="0037069F"/>
    <w:rsid w:val="00373F91"/>
    <w:rsid w:val="00376F91"/>
    <w:rsid w:val="003B5155"/>
    <w:rsid w:val="003B6815"/>
    <w:rsid w:val="003C59AC"/>
    <w:rsid w:val="003E703E"/>
    <w:rsid w:val="003F7B37"/>
    <w:rsid w:val="00402D57"/>
    <w:rsid w:val="00413275"/>
    <w:rsid w:val="0041525F"/>
    <w:rsid w:val="00424670"/>
    <w:rsid w:val="00427E0A"/>
    <w:rsid w:val="00441EBD"/>
    <w:rsid w:val="00452C9C"/>
    <w:rsid w:val="00456C8E"/>
    <w:rsid w:val="004623DB"/>
    <w:rsid w:val="00467092"/>
    <w:rsid w:val="004709C5"/>
    <w:rsid w:val="00470ABB"/>
    <w:rsid w:val="00475E40"/>
    <w:rsid w:val="004827C3"/>
    <w:rsid w:val="0049662D"/>
    <w:rsid w:val="004B2429"/>
    <w:rsid w:val="004B2B91"/>
    <w:rsid w:val="004C440C"/>
    <w:rsid w:val="004C6652"/>
    <w:rsid w:val="004D42BB"/>
    <w:rsid w:val="004D621D"/>
    <w:rsid w:val="004D6C68"/>
    <w:rsid w:val="004E294D"/>
    <w:rsid w:val="004F0CDD"/>
    <w:rsid w:val="004F4271"/>
    <w:rsid w:val="00500310"/>
    <w:rsid w:val="0051064D"/>
    <w:rsid w:val="005240E3"/>
    <w:rsid w:val="00525DA7"/>
    <w:rsid w:val="0053239D"/>
    <w:rsid w:val="00536C15"/>
    <w:rsid w:val="00554423"/>
    <w:rsid w:val="0056359B"/>
    <w:rsid w:val="00565A41"/>
    <w:rsid w:val="00577ED9"/>
    <w:rsid w:val="00582B17"/>
    <w:rsid w:val="00582D1C"/>
    <w:rsid w:val="00584BFF"/>
    <w:rsid w:val="00585BC4"/>
    <w:rsid w:val="00587B1E"/>
    <w:rsid w:val="005A2F05"/>
    <w:rsid w:val="005A639A"/>
    <w:rsid w:val="005B09EA"/>
    <w:rsid w:val="005B0B2F"/>
    <w:rsid w:val="005B0D49"/>
    <w:rsid w:val="005C28C9"/>
    <w:rsid w:val="005E177E"/>
    <w:rsid w:val="005E5D81"/>
    <w:rsid w:val="005F499B"/>
    <w:rsid w:val="005F51AF"/>
    <w:rsid w:val="006026CE"/>
    <w:rsid w:val="00611006"/>
    <w:rsid w:val="006153C2"/>
    <w:rsid w:val="006473DE"/>
    <w:rsid w:val="006507C6"/>
    <w:rsid w:val="00652052"/>
    <w:rsid w:val="00656E01"/>
    <w:rsid w:val="00665693"/>
    <w:rsid w:val="00667D38"/>
    <w:rsid w:val="006700AE"/>
    <w:rsid w:val="00673525"/>
    <w:rsid w:val="00687B18"/>
    <w:rsid w:val="00690AD0"/>
    <w:rsid w:val="00695069"/>
    <w:rsid w:val="006A0430"/>
    <w:rsid w:val="006A27B2"/>
    <w:rsid w:val="006B2B5A"/>
    <w:rsid w:val="006E1DFE"/>
    <w:rsid w:val="006E75E7"/>
    <w:rsid w:val="006F09B5"/>
    <w:rsid w:val="00704CB3"/>
    <w:rsid w:val="00705982"/>
    <w:rsid w:val="00707D9D"/>
    <w:rsid w:val="00716A30"/>
    <w:rsid w:val="007333CA"/>
    <w:rsid w:val="00737304"/>
    <w:rsid w:val="00740F56"/>
    <w:rsid w:val="007414C9"/>
    <w:rsid w:val="00771E96"/>
    <w:rsid w:val="00771FAD"/>
    <w:rsid w:val="00782DB6"/>
    <w:rsid w:val="007908E4"/>
    <w:rsid w:val="007A243E"/>
    <w:rsid w:val="007B3327"/>
    <w:rsid w:val="007B4CC5"/>
    <w:rsid w:val="007C5962"/>
    <w:rsid w:val="007D2C63"/>
    <w:rsid w:val="007F160A"/>
    <w:rsid w:val="007F46ED"/>
    <w:rsid w:val="007F4731"/>
    <w:rsid w:val="00803921"/>
    <w:rsid w:val="00803941"/>
    <w:rsid w:val="00813B90"/>
    <w:rsid w:val="00817E40"/>
    <w:rsid w:val="00821334"/>
    <w:rsid w:val="00825302"/>
    <w:rsid w:val="0082649B"/>
    <w:rsid w:val="008342D9"/>
    <w:rsid w:val="0083613C"/>
    <w:rsid w:val="00844AC6"/>
    <w:rsid w:val="008528C1"/>
    <w:rsid w:val="008622EC"/>
    <w:rsid w:val="00872987"/>
    <w:rsid w:val="008C0E12"/>
    <w:rsid w:val="008C24C9"/>
    <w:rsid w:val="008C4E30"/>
    <w:rsid w:val="008C6E38"/>
    <w:rsid w:val="008C71E6"/>
    <w:rsid w:val="008D1BE6"/>
    <w:rsid w:val="008D2168"/>
    <w:rsid w:val="008D7A09"/>
    <w:rsid w:val="008E20A3"/>
    <w:rsid w:val="008E76D8"/>
    <w:rsid w:val="008F15AF"/>
    <w:rsid w:val="008F2F93"/>
    <w:rsid w:val="008F565D"/>
    <w:rsid w:val="00900FA2"/>
    <w:rsid w:val="00913C8F"/>
    <w:rsid w:val="009207B1"/>
    <w:rsid w:val="009247C1"/>
    <w:rsid w:val="00926897"/>
    <w:rsid w:val="009422E9"/>
    <w:rsid w:val="00942E58"/>
    <w:rsid w:val="0094406F"/>
    <w:rsid w:val="00946F1A"/>
    <w:rsid w:val="009473FF"/>
    <w:rsid w:val="009504F5"/>
    <w:rsid w:val="00956F77"/>
    <w:rsid w:val="009615C0"/>
    <w:rsid w:val="00962B0E"/>
    <w:rsid w:val="00966D70"/>
    <w:rsid w:val="009773C0"/>
    <w:rsid w:val="009800F8"/>
    <w:rsid w:val="00984F45"/>
    <w:rsid w:val="00985E07"/>
    <w:rsid w:val="0099340C"/>
    <w:rsid w:val="00996C6B"/>
    <w:rsid w:val="009B4399"/>
    <w:rsid w:val="009B740D"/>
    <w:rsid w:val="009B7C86"/>
    <w:rsid w:val="009B7E9A"/>
    <w:rsid w:val="009D7001"/>
    <w:rsid w:val="009E5BCC"/>
    <w:rsid w:val="009F06DB"/>
    <w:rsid w:val="009F2FE3"/>
    <w:rsid w:val="009F353E"/>
    <w:rsid w:val="00A13A89"/>
    <w:rsid w:val="00A20596"/>
    <w:rsid w:val="00A35EBB"/>
    <w:rsid w:val="00A5167F"/>
    <w:rsid w:val="00A53155"/>
    <w:rsid w:val="00A53DFC"/>
    <w:rsid w:val="00A6153F"/>
    <w:rsid w:val="00A62A7B"/>
    <w:rsid w:val="00A641B3"/>
    <w:rsid w:val="00A655AA"/>
    <w:rsid w:val="00A73DB7"/>
    <w:rsid w:val="00A7695C"/>
    <w:rsid w:val="00A84C29"/>
    <w:rsid w:val="00A84C66"/>
    <w:rsid w:val="00A90251"/>
    <w:rsid w:val="00AB6DF2"/>
    <w:rsid w:val="00AC17AE"/>
    <w:rsid w:val="00AD0C31"/>
    <w:rsid w:val="00AD3ACD"/>
    <w:rsid w:val="00AD4345"/>
    <w:rsid w:val="00AE21F4"/>
    <w:rsid w:val="00AF3C68"/>
    <w:rsid w:val="00AF6591"/>
    <w:rsid w:val="00B07129"/>
    <w:rsid w:val="00B23F89"/>
    <w:rsid w:val="00B27149"/>
    <w:rsid w:val="00B32FA9"/>
    <w:rsid w:val="00B447AE"/>
    <w:rsid w:val="00B46142"/>
    <w:rsid w:val="00B516BA"/>
    <w:rsid w:val="00B523DF"/>
    <w:rsid w:val="00B528BE"/>
    <w:rsid w:val="00B52A24"/>
    <w:rsid w:val="00B55426"/>
    <w:rsid w:val="00B6735F"/>
    <w:rsid w:val="00B70786"/>
    <w:rsid w:val="00B75A72"/>
    <w:rsid w:val="00B8067B"/>
    <w:rsid w:val="00B812C0"/>
    <w:rsid w:val="00BA3114"/>
    <w:rsid w:val="00BA41DF"/>
    <w:rsid w:val="00BA429A"/>
    <w:rsid w:val="00BC4387"/>
    <w:rsid w:val="00BD1447"/>
    <w:rsid w:val="00BD54E9"/>
    <w:rsid w:val="00BE7538"/>
    <w:rsid w:val="00BF4218"/>
    <w:rsid w:val="00C00D21"/>
    <w:rsid w:val="00C02313"/>
    <w:rsid w:val="00C071FF"/>
    <w:rsid w:val="00C103C0"/>
    <w:rsid w:val="00C123E1"/>
    <w:rsid w:val="00C33D9E"/>
    <w:rsid w:val="00C452B5"/>
    <w:rsid w:val="00C5752B"/>
    <w:rsid w:val="00C60B90"/>
    <w:rsid w:val="00C85A05"/>
    <w:rsid w:val="00C87953"/>
    <w:rsid w:val="00C95423"/>
    <w:rsid w:val="00CA2F5D"/>
    <w:rsid w:val="00CC40E0"/>
    <w:rsid w:val="00CE2B1C"/>
    <w:rsid w:val="00CE2BE7"/>
    <w:rsid w:val="00CF7595"/>
    <w:rsid w:val="00D0046D"/>
    <w:rsid w:val="00D05293"/>
    <w:rsid w:val="00D0543A"/>
    <w:rsid w:val="00D07D2A"/>
    <w:rsid w:val="00D12DFD"/>
    <w:rsid w:val="00D22BF6"/>
    <w:rsid w:val="00D23489"/>
    <w:rsid w:val="00D3708F"/>
    <w:rsid w:val="00D408BA"/>
    <w:rsid w:val="00D46796"/>
    <w:rsid w:val="00D515FE"/>
    <w:rsid w:val="00D51AC7"/>
    <w:rsid w:val="00D52507"/>
    <w:rsid w:val="00D55C4B"/>
    <w:rsid w:val="00D60382"/>
    <w:rsid w:val="00D62704"/>
    <w:rsid w:val="00D670CE"/>
    <w:rsid w:val="00D72E0C"/>
    <w:rsid w:val="00D82533"/>
    <w:rsid w:val="00D84A6E"/>
    <w:rsid w:val="00D870D0"/>
    <w:rsid w:val="00D90730"/>
    <w:rsid w:val="00D914E1"/>
    <w:rsid w:val="00D93790"/>
    <w:rsid w:val="00DA4A20"/>
    <w:rsid w:val="00DA545F"/>
    <w:rsid w:val="00DA695F"/>
    <w:rsid w:val="00DB53D6"/>
    <w:rsid w:val="00DC1597"/>
    <w:rsid w:val="00DC2AFC"/>
    <w:rsid w:val="00DC4D7F"/>
    <w:rsid w:val="00DC6ABE"/>
    <w:rsid w:val="00DC6D59"/>
    <w:rsid w:val="00DD18A1"/>
    <w:rsid w:val="00DF058D"/>
    <w:rsid w:val="00E05110"/>
    <w:rsid w:val="00E05BE0"/>
    <w:rsid w:val="00E07DB8"/>
    <w:rsid w:val="00E118FA"/>
    <w:rsid w:val="00E1312B"/>
    <w:rsid w:val="00E149FE"/>
    <w:rsid w:val="00E15A98"/>
    <w:rsid w:val="00E4713E"/>
    <w:rsid w:val="00E52057"/>
    <w:rsid w:val="00E705A3"/>
    <w:rsid w:val="00E90239"/>
    <w:rsid w:val="00EA11E7"/>
    <w:rsid w:val="00EB1D99"/>
    <w:rsid w:val="00EC64EE"/>
    <w:rsid w:val="00EC7045"/>
    <w:rsid w:val="00ED2C71"/>
    <w:rsid w:val="00EE4B31"/>
    <w:rsid w:val="00EE6C70"/>
    <w:rsid w:val="00F1495C"/>
    <w:rsid w:val="00F23C87"/>
    <w:rsid w:val="00F346D6"/>
    <w:rsid w:val="00F4170F"/>
    <w:rsid w:val="00F41FE2"/>
    <w:rsid w:val="00F43D5E"/>
    <w:rsid w:val="00F45FF3"/>
    <w:rsid w:val="00F54BA7"/>
    <w:rsid w:val="00F61D92"/>
    <w:rsid w:val="00F80579"/>
    <w:rsid w:val="00F90D70"/>
    <w:rsid w:val="00F92AA3"/>
    <w:rsid w:val="00F940E7"/>
    <w:rsid w:val="00FA2EB0"/>
    <w:rsid w:val="00FA447C"/>
    <w:rsid w:val="00FE14C8"/>
    <w:rsid w:val="00FE4000"/>
    <w:rsid w:val="00FF0637"/>
    <w:rsid w:val="00FF6F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FBE259"/>
  <w15:docId w15:val="{A2C19BE7-1A2A-40B8-9FC8-8934F04F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E6"/>
    <w:pPr>
      <w:spacing w:before="120" w:after="120" w:line="240"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012A92"/>
    <w:pPr>
      <w:keepNext/>
      <w:keepLines/>
      <w:numPr>
        <w:numId w:val="47"/>
      </w:numPr>
      <w:spacing w:line="276" w:lineRule="auto"/>
      <w:jc w:val="center"/>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012A92"/>
    <w:pPr>
      <w:keepNext/>
      <w:keepLines/>
      <w:numPr>
        <w:ilvl w:val="1"/>
        <w:numId w:val="47"/>
      </w:numPr>
      <w:spacing w:before="360" w:after="80" w:line="276" w:lineRule="auto"/>
      <w:contextualSpacing/>
      <w:jc w:val="left"/>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012A92"/>
    <w:pPr>
      <w:keepNext/>
      <w:keepLines/>
      <w:numPr>
        <w:ilvl w:val="2"/>
        <w:numId w:val="47"/>
      </w:numPr>
      <w:spacing w:after="80" w:line="276" w:lineRule="auto"/>
      <w:ind w:left="1224" w:hanging="504"/>
      <w:contextualSpacing/>
      <w:jc w:val="left"/>
      <w:outlineLvl w:val="2"/>
    </w:pPr>
    <w:rPr>
      <w:rFonts w:eastAsiaTheme="majorEastAsia" w:cstheme="majorBidi"/>
      <w:b/>
      <w:bCs/>
      <w:i/>
      <w:sz w:val="24"/>
    </w:rPr>
  </w:style>
  <w:style w:type="paragraph" w:styleId="Heading4">
    <w:name w:val="heading 4"/>
    <w:basedOn w:val="Normal"/>
    <w:next w:val="Normal"/>
    <w:link w:val="Heading4Char"/>
    <w:uiPriority w:val="9"/>
    <w:unhideWhenUsed/>
    <w:qFormat/>
    <w:rsid w:val="00025B21"/>
    <w:pPr>
      <w:keepNext/>
      <w:keepLines/>
      <w:numPr>
        <w:ilvl w:val="3"/>
        <w:numId w:val="47"/>
      </w:numPr>
      <w:spacing w:before="200" w:line="276" w:lineRule="auto"/>
      <w:ind w:left="1800" w:hanging="720"/>
      <w:outlineLvl w:val="3"/>
    </w:pPr>
    <w:rPr>
      <w:rFonts w:eastAsiaTheme="majorEastAsia" w:cstheme="majorBidi"/>
      <w:bCs/>
      <w:i/>
      <w:iCs/>
      <w:sz w:val="24"/>
      <w:u w:val="single"/>
    </w:rPr>
  </w:style>
  <w:style w:type="paragraph" w:styleId="Heading5">
    <w:name w:val="heading 5"/>
    <w:basedOn w:val="Normal"/>
    <w:next w:val="Normal"/>
    <w:link w:val="Heading5Char"/>
    <w:uiPriority w:val="9"/>
    <w:semiHidden/>
    <w:unhideWhenUsed/>
    <w:qFormat/>
    <w:rsid w:val="00D670CE"/>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70CE"/>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70CE"/>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70CE"/>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70CE"/>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864"/>
    <w:pPr>
      <w:tabs>
        <w:tab w:val="center" w:pos="4680"/>
        <w:tab w:val="right" w:pos="9360"/>
      </w:tabs>
      <w:spacing w:after="0"/>
    </w:pPr>
  </w:style>
  <w:style w:type="character" w:customStyle="1" w:styleId="HeaderChar">
    <w:name w:val="Header Char"/>
    <w:basedOn w:val="DefaultParagraphFont"/>
    <w:link w:val="Header"/>
    <w:uiPriority w:val="99"/>
    <w:rsid w:val="00034864"/>
    <w:rPr>
      <w:rFonts w:ascii="Calibri" w:eastAsia="Calibri" w:hAnsi="Calibri" w:cs="Times New Roman"/>
    </w:rPr>
  </w:style>
  <w:style w:type="paragraph" w:styleId="Footer">
    <w:name w:val="footer"/>
    <w:basedOn w:val="Normal"/>
    <w:link w:val="FooterChar"/>
    <w:uiPriority w:val="99"/>
    <w:unhideWhenUsed/>
    <w:rsid w:val="00034864"/>
    <w:pPr>
      <w:tabs>
        <w:tab w:val="center" w:pos="4680"/>
        <w:tab w:val="right" w:pos="9360"/>
      </w:tabs>
      <w:spacing w:after="0"/>
    </w:pPr>
  </w:style>
  <w:style w:type="character" w:customStyle="1" w:styleId="FooterChar">
    <w:name w:val="Footer Char"/>
    <w:basedOn w:val="DefaultParagraphFont"/>
    <w:link w:val="Footer"/>
    <w:uiPriority w:val="99"/>
    <w:rsid w:val="00034864"/>
    <w:rPr>
      <w:rFonts w:ascii="Calibri" w:eastAsia="Calibri" w:hAnsi="Calibri" w:cs="Times New Roman"/>
    </w:rPr>
  </w:style>
  <w:style w:type="table" w:styleId="TableGrid">
    <w:name w:val="Table Grid"/>
    <w:basedOn w:val="TableNormal"/>
    <w:rsid w:val="0003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A92"/>
    <w:rPr>
      <w:rFonts w:ascii="Calibri" w:eastAsiaTheme="majorEastAsia" w:hAnsi="Calibri" w:cstheme="majorBidi"/>
      <w:b/>
      <w:bCs/>
      <w:sz w:val="36"/>
      <w:szCs w:val="28"/>
    </w:rPr>
  </w:style>
  <w:style w:type="paragraph" w:styleId="BalloonText">
    <w:name w:val="Balloon Text"/>
    <w:basedOn w:val="Normal"/>
    <w:link w:val="BalloonTextChar"/>
    <w:uiPriority w:val="99"/>
    <w:semiHidden/>
    <w:unhideWhenUsed/>
    <w:rsid w:val="00A62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7B"/>
    <w:rPr>
      <w:rFonts w:ascii="Tahoma" w:eastAsia="Calibri" w:hAnsi="Tahoma" w:cs="Tahoma"/>
      <w:sz w:val="16"/>
      <w:szCs w:val="16"/>
    </w:rPr>
  </w:style>
  <w:style w:type="character" w:customStyle="1" w:styleId="Heading2Char">
    <w:name w:val="Heading 2 Char"/>
    <w:basedOn w:val="DefaultParagraphFont"/>
    <w:link w:val="Heading2"/>
    <w:uiPriority w:val="9"/>
    <w:rsid w:val="00012A92"/>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012A92"/>
    <w:rPr>
      <w:rFonts w:ascii="Calibri" w:eastAsiaTheme="majorEastAsia" w:hAnsi="Calibri" w:cstheme="majorBidi"/>
      <w:b/>
      <w:bCs/>
      <w:i/>
      <w:sz w:val="24"/>
    </w:rPr>
  </w:style>
  <w:style w:type="character" w:customStyle="1" w:styleId="Heading4Char">
    <w:name w:val="Heading 4 Char"/>
    <w:basedOn w:val="DefaultParagraphFont"/>
    <w:link w:val="Heading4"/>
    <w:uiPriority w:val="9"/>
    <w:rsid w:val="00025B21"/>
    <w:rPr>
      <w:rFonts w:ascii="Calibri" w:eastAsiaTheme="majorEastAsia" w:hAnsi="Calibri" w:cstheme="majorBidi"/>
      <w:bCs/>
      <w:i/>
      <w:iCs/>
      <w:sz w:val="24"/>
      <w:u w:val="single"/>
    </w:rPr>
  </w:style>
  <w:style w:type="character" w:customStyle="1" w:styleId="Heading5Char">
    <w:name w:val="Heading 5 Char"/>
    <w:basedOn w:val="DefaultParagraphFont"/>
    <w:link w:val="Heading5"/>
    <w:uiPriority w:val="9"/>
    <w:semiHidden/>
    <w:rsid w:val="00D670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70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70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70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70C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093C3C"/>
    <w:pPr>
      <w:ind w:left="720"/>
      <w:contextualSpacing/>
    </w:pPr>
  </w:style>
  <w:style w:type="paragraph" w:styleId="Caption">
    <w:name w:val="caption"/>
    <w:basedOn w:val="Normal"/>
    <w:next w:val="Normal"/>
    <w:uiPriority w:val="35"/>
    <w:unhideWhenUsed/>
    <w:qFormat/>
    <w:rsid w:val="002C6E57"/>
    <w:rPr>
      <w:b/>
      <w:bCs/>
      <w:sz w:val="20"/>
      <w:szCs w:val="20"/>
      <w:lang w:val="fr-CH"/>
    </w:rPr>
  </w:style>
  <w:style w:type="character" w:styleId="CommentReference">
    <w:name w:val="annotation reference"/>
    <w:basedOn w:val="DefaultParagraphFont"/>
    <w:semiHidden/>
    <w:unhideWhenUsed/>
    <w:rsid w:val="00B523DF"/>
    <w:rPr>
      <w:sz w:val="16"/>
      <w:szCs w:val="16"/>
    </w:rPr>
  </w:style>
  <w:style w:type="paragraph" w:styleId="CommentText">
    <w:name w:val="annotation text"/>
    <w:basedOn w:val="Normal"/>
    <w:link w:val="CommentTextChar"/>
    <w:uiPriority w:val="99"/>
    <w:unhideWhenUsed/>
    <w:rsid w:val="00B523DF"/>
    <w:rPr>
      <w:rFonts w:ascii="Arial" w:eastAsia="Times New Roman" w:hAnsi="Arial"/>
      <w:sz w:val="20"/>
      <w:szCs w:val="20"/>
    </w:rPr>
  </w:style>
  <w:style w:type="character" w:customStyle="1" w:styleId="CommentTextChar">
    <w:name w:val="Comment Text Char"/>
    <w:basedOn w:val="DefaultParagraphFont"/>
    <w:link w:val="CommentText"/>
    <w:uiPriority w:val="99"/>
    <w:rsid w:val="00B523DF"/>
    <w:rPr>
      <w:rFonts w:ascii="Arial" w:eastAsia="Times New Roman" w:hAnsi="Arial" w:cs="Times New Roman"/>
      <w:sz w:val="20"/>
      <w:szCs w:val="20"/>
    </w:rPr>
  </w:style>
  <w:style w:type="character" w:styleId="Hyperlink">
    <w:name w:val="Hyperlink"/>
    <w:basedOn w:val="DefaultParagraphFont"/>
    <w:uiPriority w:val="99"/>
    <w:rsid w:val="001549F5"/>
    <w:rPr>
      <w:rFonts w:cs="Times New Roman"/>
      <w:color w:val="0000FF"/>
      <w:u w:val="single"/>
    </w:rPr>
  </w:style>
  <w:style w:type="paragraph" w:customStyle="1" w:styleId="endTBNormal">
    <w:name w:val="endTB Normal"/>
    <w:basedOn w:val="Normal"/>
    <w:link w:val="endTBNormalChar"/>
    <w:uiPriority w:val="99"/>
    <w:rsid w:val="001549F5"/>
    <w:pPr>
      <w:widowControl w:val="0"/>
      <w:spacing w:before="240" w:after="240"/>
      <w:contextualSpacing/>
    </w:pPr>
    <w:rPr>
      <w:rFonts w:ascii="Times New Roman" w:eastAsia="PMingLiU" w:hAnsi="Times New Roman"/>
      <w:color w:val="000000"/>
      <w:szCs w:val="20"/>
    </w:rPr>
  </w:style>
  <w:style w:type="character" w:customStyle="1" w:styleId="endTBNormalChar">
    <w:name w:val="endTB Normal Char"/>
    <w:basedOn w:val="DefaultParagraphFont"/>
    <w:link w:val="endTBNormal"/>
    <w:uiPriority w:val="99"/>
    <w:locked/>
    <w:rsid w:val="001549F5"/>
    <w:rPr>
      <w:rFonts w:ascii="Times New Roman" w:eastAsia="PMingLiU" w:hAnsi="Times New Roman" w:cs="Times New Roman"/>
      <w:color w:val="000000"/>
      <w:szCs w:val="20"/>
    </w:rPr>
  </w:style>
  <w:style w:type="paragraph" w:styleId="CommentSubject">
    <w:name w:val="annotation subject"/>
    <w:basedOn w:val="CommentText"/>
    <w:next w:val="CommentText"/>
    <w:link w:val="CommentSubjectChar"/>
    <w:uiPriority w:val="99"/>
    <w:semiHidden/>
    <w:unhideWhenUsed/>
    <w:rsid w:val="00DC6ABE"/>
    <w:rPr>
      <w:rFonts w:ascii="Calibri" w:eastAsia="Calibri" w:hAnsi="Calibri"/>
      <w:b/>
      <w:bCs/>
    </w:rPr>
  </w:style>
  <w:style w:type="character" w:customStyle="1" w:styleId="CommentSubjectChar">
    <w:name w:val="Comment Subject Char"/>
    <w:basedOn w:val="CommentTextChar"/>
    <w:link w:val="CommentSubject"/>
    <w:uiPriority w:val="99"/>
    <w:semiHidden/>
    <w:rsid w:val="00DC6ABE"/>
    <w:rPr>
      <w:rFonts w:ascii="Calibri" w:eastAsia="Calibri" w:hAnsi="Calibri" w:cs="Times New Roman"/>
      <w:b/>
      <w:bCs/>
      <w:sz w:val="20"/>
      <w:szCs w:val="20"/>
    </w:rPr>
  </w:style>
  <w:style w:type="numbering" w:customStyle="1" w:styleId="SOPFormat">
    <w:name w:val="SOP Format"/>
    <w:basedOn w:val="NoList"/>
    <w:uiPriority w:val="99"/>
    <w:rsid w:val="00012A92"/>
    <w:pPr>
      <w:numPr>
        <w:numId w:val="46"/>
      </w:numPr>
    </w:pPr>
  </w:style>
  <w:style w:type="paragraph" w:styleId="FootnoteText">
    <w:name w:val="footnote text"/>
    <w:basedOn w:val="Normal"/>
    <w:link w:val="FootnoteTextChar"/>
    <w:uiPriority w:val="99"/>
    <w:semiHidden/>
    <w:unhideWhenUsed/>
    <w:rsid w:val="00BA3114"/>
    <w:pPr>
      <w:spacing w:before="0" w:after="0"/>
    </w:pPr>
    <w:rPr>
      <w:sz w:val="20"/>
      <w:szCs w:val="20"/>
    </w:rPr>
  </w:style>
  <w:style w:type="character" w:customStyle="1" w:styleId="FootnoteTextChar">
    <w:name w:val="Footnote Text Char"/>
    <w:basedOn w:val="DefaultParagraphFont"/>
    <w:link w:val="FootnoteText"/>
    <w:uiPriority w:val="99"/>
    <w:semiHidden/>
    <w:rsid w:val="00BA311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A3114"/>
    <w:rPr>
      <w:vertAlign w:val="superscript"/>
    </w:rPr>
  </w:style>
  <w:style w:type="paragraph" w:styleId="TOCHeading">
    <w:name w:val="TOC Heading"/>
    <w:basedOn w:val="Heading1"/>
    <w:next w:val="Normal"/>
    <w:uiPriority w:val="39"/>
    <w:unhideWhenUsed/>
    <w:qFormat/>
    <w:rsid w:val="009800F8"/>
    <w:pPr>
      <w:numPr>
        <w:numId w:val="0"/>
      </w:num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9800F8"/>
    <w:pPr>
      <w:spacing w:after="100"/>
    </w:pPr>
  </w:style>
  <w:style w:type="paragraph" w:styleId="TOC2">
    <w:name w:val="toc 2"/>
    <w:basedOn w:val="Normal"/>
    <w:next w:val="Normal"/>
    <w:autoRedefine/>
    <w:uiPriority w:val="39"/>
    <w:unhideWhenUsed/>
    <w:rsid w:val="009800F8"/>
    <w:pPr>
      <w:spacing w:after="100"/>
      <w:ind w:left="220"/>
    </w:pPr>
  </w:style>
  <w:style w:type="paragraph" w:styleId="TOC3">
    <w:name w:val="toc 3"/>
    <w:basedOn w:val="Normal"/>
    <w:next w:val="Normal"/>
    <w:autoRedefine/>
    <w:uiPriority w:val="39"/>
    <w:unhideWhenUsed/>
    <w:rsid w:val="009800F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BFB03-BA0B-48FE-8D6B-E035D5AF5D79}">
  <ds:schemaRefs>
    <ds:schemaRef ds:uri="http://schemas.microsoft.com/sharepoint/v3/contenttype/forms"/>
  </ds:schemaRefs>
</ds:datastoreItem>
</file>

<file path=customXml/itemProps2.xml><?xml version="1.0" encoding="utf-8"?>
<ds:datastoreItem xmlns:ds="http://schemas.openxmlformats.org/officeDocument/2006/customXml" ds:itemID="{BD03AC4D-3CD8-4AC3-B2DB-B98ED375C132}">
  <ds:schemaRefs>
    <ds:schemaRef ds:uri="57d60e0b-bbcc-4e8c-ae17-1bc07bf7b2a6"/>
    <ds:schemaRef ds:uri="http://purl.org/dc/elements/1.1/"/>
    <ds:schemaRef ds:uri="http://schemas.microsoft.com/office/2006/metadata/properties"/>
    <ds:schemaRef ds:uri="http://purl.org/dc/terms/"/>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d1dc8e9d-c2d7-4f1e-a8b8-6d152e0fdc8f"/>
    <ds:schemaRef ds:uri="http://www.w3.org/XML/1998/namespace"/>
    <ds:schemaRef ds:uri="http://purl.org/dc/dcmitype/"/>
  </ds:schemaRefs>
</ds:datastoreItem>
</file>

<file path=customXml/itemProps3.xml><?xml version="1.0" encoding="utf-8"?>
<ds:datastoreItem xmlns:ds="http://schemas.openxmlformats.org/officeDocument/2006/customXml" ds:itemID="{2D1D5791-DE5D-478C-A9AA-55151B00A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90E33-C2AF-4446-B933-12D3335A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2030</Words>
  <Characters>11576</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Eva</dc:creator>
  <cp:lastModifiedBy>Marhaba Chaudhry</cp:lastModifiedBy>
  <cp:revision>6</cp:revision>
  <cp:lastPrinted>2020-05-13T12:38:00Z</cp:lastPrinted>
  <dcterms:created xsi:type="dcterms:W3CDTF">2020-05-13T12:36:00Z</dcterms:created>
  <dcterms:modified xsi:type="dcterms:W3CDTF">2024-10-25T08:48:00Z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0x0101008A725E7E39776844B9FB9FC2FCA9A30F</vt:lpwstr>
  </property>
  <property fmtid="{D5CDD505-2E9C-101B-9397-08002B2CF9AE}" pid="3" name="endTBStructureCentral">
    <vt:lpwstr>11;#Central Team Study Documents|c26d24db-2eb7-4d6d-a675-9a6cb139809d</vt:lpwstr>
  </property>
  <property fmtid="{D5CDD505-2E9C-101B-9397-08002B2CF9AE}" pid="4" name="endTBStructureCountries">
    <vt:lpwstr>6;#N/A|7a4f8743-7bab-4f6a-8a0d-b24596741886</vt:lpwstr>
  </property>
  <property fmtid="{D5CDD505-2E9C-101B-9397-08002B2CF9AE}" pid="5" name="endTBClinicalTrial">
    <vt:lpwstr>All</vt:lpwstr>
  </property>
  <property fmtid="{D5CDD505-2E9C-101B-9397-08002B2CF9AE}" pid="6" name="endTBCountry">
    <vt:lpwstr>Central team</vt:lpwstr>
  </property>
  <property fmtid="{D5CDD505-2E9C-101B-9397-08002B2CF9AE}" pid="7" name="endTBStatusDocument">
    <vt:lpwstr>Final</vt:lpwstr>
  </property>
  <property fmtid="{D5CDD505-2E9C-101B-9397-08002B2CF9AE}" pid="8" name="endTBAuthor">
    <vt:lpwstr/>
  </property>
  <property fmtid="{D5CDD505-2E9C-101B-9397-08002B2CF9AE}" pid="9" name="endTBApprover">
    <vt:lpwstr/>
  </property>
  <property fmtid="{D5CDD505-2E9C-101B-9397-08002B2CF9AE}" pid="10" name="b133059517bd4b6ba2826fe941cfd2cb">
    <vt:lpwstr>N/A|7a4f8743-7bab-4f6a-8a0d-b24596741886</vt:lpwstr>
  </property>
  <property fmtid="{D5CDD505-2E9C-101B-9397-08002B2CF9AE}" pid="11" name="ie6fc752e8314f23b9add3aacdf734e2">
    <vt:lpwstr>Central Team Study Documents|c26d24db-2eb7-4d6d-a675-9a6cb139809d</vt:lpwstr>
  </property>
  <property fmtid="{D5CDD505-2E9C-101B-9397-08002B2CF9AE}" pid="12" name="endTBReviewer">
    <vt:lpwstr/>
  </property>
  <property fmtid="{D5CDD505-2E9C-101B-9397-08002B2CF9AE}" pid="13" name="MediaServiceImageTags">
    <vt:lpwstr/>
  </property>
</Properties>
</file>