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F46CE" w14:textId="77777777" w:rsidR="00432DF4" w:rsidRPr="00225F0F" w:rsidRDefault="00432DF4" w:rsidP="00FF03C9">
      <w:pPr>
        <w:rPr>
          <w:lang w:val="en-GB"/>
        </w:rPr>
      </w:pPr>
    </w:p>
    <w:p w14:paraId="1B4F46CF" w14:textId="77777777" w:rsidR="00A01B28" w:rsidRPr="00225F0F" w:rsidRDefault="00A01B28" w:rsidP="00FF03C9">
      <w:pPr>
        <w:rPr>
          <w:lang w:val="en-GB"/>
        </w:rPr>
      </w:pPr>
    </w:p>
    <w:p w14:paraId="1B4F46D2" w14:textId="77777777" w:rsidR="00432DF4" w:rsidRPr="00225F0F" w:rsidRDefault="00432DF4" w:rsidP="00FF03C9">
      <w:pPr>
        <w:rPr>
          <w:lang w:val="en-GB"/>
        </w:rPr>
      </w:pPr>
    </w:p>
    <w:p w14:paraId="1B4F46D3" w14:textId="77777777" w:rsidR="00432DF4" w:rsidRPr="00225F0F" w:rsidRDefault="00432DF4" w:rsidP="00FF03C9">
      <w:pPr>
        <w:pStyle w:val="Heading1"/>
        <w:numPr>
          <w:ilvl w:val="0"/>
          <w:numId w:val="0"/>
        </w:numPr>
        <w:jc w:val="center"/>
        <w:rPr>
          <w:sz w:val="52"/>
          <w:szCs w:val="28"/>
          <w:lang w:val="en-GB"/>
        </w:rPr>
      </w:pPr>
      <w:bookmarkStart w:id="0" w:name="_Toc40272677"/>
      <w:r w:rsidRPr="00225F0F">
        <w:rPr>
          <w:sz w:val="52"/>
          <w:szCs w:val="28"/>
          <w:lang w:val="en-GB"/>
        </w:rPr>
        <w:t>Safety Monitoring Plan</w:t>
      </w:r>
      <w:bookmarkEnd w:id="0"/>
    </w:p>
    <w:p w14:paraId="1B4F46D4" w14:textId="77777777" w:rsidR="00E97E5A" w:rsidRPr="00225F0F" w:rsidRDefault="00E97E5A" w:rsidP="00FF03C9">
      <w:pPr>
        <w:jc w:val="center"/>
        <w:rPr>
          <w:lang w:val="en-GB"/>
        </w:rPr>
      </w:pPr>
    </w:p>
    <w:p w14:paraId="1B4F46D6" w14:textId="77777777" w:rsidR="00E97E5A" w:rsidRPr="00C61E96" w:rsidRDefault="00E97E5A" w:rsidP="00FF03C9">
      <w:pPr>
        <w:pStyle w:val="Heading1"/>
        <w:numPr>
          <w:ilvl w:val="0"/>
          <w:numId w:val="0"/>
        </w:numPr>
        <w:jc w:val="center"/>
        <w:rPr>
          <w:sz w:val="36"/>
          <w:szCs w:val="28"/>
          <w:lang w:val="en-GB"/>
        </w:rPr>
      </w:pPr>
      <w:bookmarkStart w:id="1" w:name="_Toc471638268"/>
      <w:bookmarkStart w:id="2" w:name="_Toc471639841"/>
      <w:bookmarkStart w:id="3" w:name="_Toc471718661"/>
      <w:bookmarkStart w:id="4" w:name="_Toc471832446"/>
      <w:bookmarkStart w:id="5" w:name="_Toc38878159"/>
      <w:bookmarkStart w:id="6" w:name="_Toc39847856"/>
      <w:bookmarkStart w:id="7" w:name="_Toc40272678"/>
      <w:r w:rsidRPr="00225F0F">
        <w:rPr>
          <w:sz w:val="36"/>
          <w:szCs w:val="28"/>
          <w:lang w:val="en-GB"/>
        </w:rPr>
        <w:t xml:space="preserve">endTB (Evaluating Newly approved Drugs for multidrug-resistant </w:t>
      </w:r>
      <w:r w:rsidRPr="00C61E96">
        <w:rPr>
          <w:sz w:val="36"/>
          <w:szCs w:val="28"/>
          <w:lang w:val="en-GB"/>
        </w:rPr>
        <w:t>TB): A Clinical Trial</w:t>
      </w:r>
      <w:bookmarkEnd w:id="1"/>
      <w:bookmarkEnd w:id="2"/>
      <w:bookmarkEnd w:id="3"/>
      <w:bookmarkEnd w:id="4"/>
      <w:bookmarkEnd w:id="5"/>
      <w:bookmarkEnd w:id="6"/>
      <w:bookmarkEnd w:id="7"/>
    </w:p>
    <w:p w14:paraId="1B4F46D8" w14:textId="546908E1" w:rsidR="00E97E5A" w:rsidRPr="00C61E96" w:rsidRDefault="00E97E5A" w:rsidP="00FF03C9">
      <w:pPr>
        <w:pStyle w:val="Heading1"/>
        <w:numPr>
          <w:ilvl w:val="0"/>
          <w:numId w:val="0"/>
        </w:numPr>
        <w:jc w:val="center"/>
        <w:rPr>
          <w:sz w:val="32"/>
          <w:szCs w:val="28"/>
          <w:lang w:val="en-GB"/>
        </w:rPr>
      </w:pPr>
      <w:bookmarkStart w:id="8" w:name="_Toc471638269"/>
      <w:bookmarkStart w:id="9" w:name="_Toc471639842"/>
      <w:bookmarkStart w:id="10" w:name="_Toc471718662"/>
      <w:bookmarkStart w:id="11" w:name="_Toc471832447"/>
      <w:bookmarkStart w:id="12" w:name="_Toc38878160"/>
      <w:bookmarkStart w:id="13" w:name="_Toc39847857"/>
      <w:bookmarkStart w:id="14" w:name="_Toc40272679"/>
      <w:r w:rsidRPr="00C61E96">
        <w:rPr>
          <w:sz w:val="32"/>
          <w:szCs w:val="28"/>
          <w:lang w:val="en-GB"/>
        </w:rPr>
        <w:t>Protocol Number: NCT02754765</w:t>
      </w:r>
      <w:bookmarkEnd w:id="8"/>
      <w:bookmarkEnd w:id="9"/>
      <w:bookmarkEnd w:id="10"/>
      <w:bookmarkEnd w:id="11"/>
      <w:bookmarkEnd w:id="12"/>
      <w:bookmarkEnd w:id="13"/>
      <w:bookmarkEnd w:id="14"/>
    </w:p>
    <w:p w14:paraId="5C86717C" w14:textId="2CBC8268" w:rsidR="00A94183" w:rsidRPr="00C61E96" w:rsidRDefault="00A94183" w:rsidP="00290C87">
      <w:pPr>
        <w:pStyle w:val="Heading1"/>
        <w:numPr>
          <w:ilvl w:val="0"/>
          <w:numId w:val="0"/>
        </w:numPr>
        <w:jc w:val="center"/>
        <w:rPr>
          <w:sz w:val="52"/>
          <w:lang w:val="en-GB"/>
        </w:rPr>
      </w:pPr>
      <w:bookmarkStart w:id="15" w:name="_Toc38878161"/>
      <w:bookmarkStart w:id="16" w:name="_Toc39847858"/>
      <w:bookmarkStart w:id="17" w:name="_Toc40272680"/>
      <w:r w:rsidRPr="00C61E96">
        <w:rPr>
          <w:sz w:val="52"/>
          <w:lang w:val="en-GB"/>
        </w:rPr>
        <w:t>&amp;</w:t>
      </w:r>
      <w:bookmarkEnd w:id="15"/>
      <w:bookmarkEnd w:id="16"/>
      <w:bookmarkEnd w:id="17"/>
    </w:p>
    <w:p w14:paraId="69322422" w14:textId="30F07F31" w:rsidR="00290C87" w:rsidRPr="00C61E96" w:rsidRDefault="00A94183" w:rsidP="00290C87">
      <w:pPr>
        <w:pStyle w:val="Heading1"/>
        <w:numPr>
          <w:ilvl w:val="0"/>
          <w:numId w:val="0"/>
        </w:numPr>
        <w:jc w:val="center"/>
        <w:rPr>
          <w:sz w:val="36"/>
          <w:szCs w:val="28"/>
          <w:lang w:val="en-GB"/>
        </w:rPr>
      </w:pPr>
      <w:bookmarkStart w:id="18" w:name="_Toc38878162"/>
      <w:bookmarkStart w:id="19" w:name="_Toc39847859"/>
      <w:bookmarkStart w:id="20" w:name="_Toc40272681"/>
      <w:r w:rsidRPr="00C61E96">
        <w:rPr>
          <w:sz w:val="36"/>
          <w:szCs w:val="28"/>
          <w:lang w:val="en-GB"/>
        </w:rPr>
        <w:t xml:space="preserve">endTB-Q </w:t>
      </w:r>
      <w:r w:rsidR="00290C87" w:rsidRPr="00C61E96">
        <w:rPr>
          <w:sz w:val="36"/>
          <w:szCs w:val="28"/>
          <w:lang w:val="en-GB"/>
        </w:rPr>
        <w:t>(Evaluating Newly Approved Drugs in Combination Regimens for Multidrug-Resistant TB with Fluoroquinolone Resistance (Q)): A Clinical Trial</w:t>
      </w:r>
      <w:bookmarkEnd w:id="18"/>
      <w:bookmarkEnd w:id="19"/>
      <w:bookmarkEnd w:id="20"/>
    </w:p>
    <w:p w14:paraId="6C74B5A2" w14:textId="0F2EE830" w:rsidR="00A94183" w:rsidRPr="00225F0F" w:rsidRDefault="00A94183" w:rsidP="00A94183">
      <w:pPr>
        <w:pStyle w:val="Heading1"/>
        <w:numPr>
          <w:ilvl w:val="0"/>
          <w:numId w:val="0"/>
        </w:numPr>
        <w:jc w:val="center"/>
        <w:rPr>
          <w:sz w:val="32"/>
          <w:szCs w:val="28"/>
          <w:lang w:val="en-GB"/>
        </w:rPr>
      </w:pPr>
      <w:bookmarkStart w:id="21" w:name="_Toc38878163"/>
      <w:bookmarkStart w:id="22" w:name="_Toc39847860"/>
      <w:bookmarkStart w:id="23" w:name="_Toc40272682"/>
      <w:r w:rsidRPr="00C61E96">
        <w:rPr>
          <w:sz w:val="32"/>
          <w:szCs w:val="28"/>
          <w:lang w:val="en-GB"/>
        </w:rPr>
        <w:t xml:space="preserve">Protocol Number: </w:t>
      </w:r>
      <w:r w:rsidR="00290C87" w:rsidRPr="00C61E96">
        <w:rPr>
          <w:sz w:val="32"/>
          <w:szCs w:val="28"/>
          <w:lang w:val="en-GB"/>
        </w:rPr>
        <w:t>NCT03896685</w:t>
      </w:r>
      <w:bookmarkEnd w:id="21"/>
      <w:bookmarkEnd w:id="22"/>
      <w:bookmarkEnd w:id="23"/>
    </w:p>
    <w:p w14:paraId="60A2C2D6" w14:textId="77777777" w:rsidR="00A94183" w:rsidRPr="00A94183" w:rsidRDefault="00A94183" w:rsidP="00A94183">
      <w:pPr>
        <w:rPr>
          <w:lang w:val="en-GB"/>
        </w:rPr>
      </w:pPr>
    </w:p>
    <w:p w14:paraId="1B4F46D9" w14:textId="77777777" w:rsidR="00E97E5A" w:rsidRPr="00225F0F" w:rsidRDefault="00E97E5A" w:rsidP="00FF03C9">
      <w:pPr>
        <w:rPr>
          <w:lang w:val="en-GB"/>
        </w:rPr>
      </w:pPr>
    </w:p>
    <w:p w14:paraId="1B4F46DA" w14:textId="77777777" w:rsidR="003B6CCD" w:rsidRPr="00225F0F" w:rsidRDefault="003B6CCD" w:rsidP="00FF03C9">
      <w:pPr>
        <w:rPr>
          <w:lang w:val="en-GB"/>
        </w:rPr>
      </w:pPr>
    </w:p>
    <w:p w14:paraId="1B4F46E0" w14:textId="77777777" w:rsidR="003063FA" w:rsidRPr="00225F0F" w:rsidRDefault="003063FA" w:rsidP="003B7891">
      <w:pPr>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6891"/>
      </w:tblGrid>
      <w:tr w:rsidR="00A01571" w:rsidRPr="00C61E96" w14:paraId="1B4F46E3" w14:textId="77777777" w:rsidTr="008507A7">
        <w:tc>
          <w:tcPr>
            <w:tcW w:w="1315" w:type="pct"/>
            <w:shd w:val="clear" w:color="auto" w:fill="auto"/>
          </w:tcPr>
          <w:p w14:paraId="1B4F46E1" w14:textId="77777777" w:rsidR="00A01571" w:rsidRPr="00C61E96" w:rsidRDefault="00A01571" w:rsidP="00E467E2">
            <w:pPr>
              <w:rPr>
                <w:b/>
                <w:lang w:val="en-GB"/>
              </w:rPr>
            </w:pPr>
            <w:r w:rsidRPr="00C61E96">
              <w:rPr>
                <w:b/>
                <w:lang w:val="en-GB"/>
              </w:rPr>
              <w:t>Reference:</w:t>
            </w:r>
          </w:p>
        </w:tc>
        <w:tc>
          <w:tcPr>
            <w:tcW w:w="3685" w:type="pct"/>
            <w:shd w:val="clear" w:color="auto" w:fill="auto"/>
          </w:tcPr>
          <w:p w14:paraId="1B4F46E2" w14:textId="77777777" w:rsidR="00A01571" w:rsidRPr="00C61E96" w:rsidRDefault="00A01571" w:rsidP="00E467E2">
            <w:pPr>
              <w:rPr>
                <w:lang w:val="en-GB"/>
              </w:rPr>
            </w:pPr>
            <w:r w:rsidRPr="00C61E96">
              <w:rPr>
                <w:lang w:val="en-GB"/>
              </w:rPr>
              <w:t>PV-TB-D23</w:t>
            </w:r>
          </w:p>
        </w:tc>
      </w:tr>
      <w:tr w:rsidR="003B6CCD" w:rsidRPr="00C61E96" w14:paraId="1B4F46E6" w14:textId="77777777" w:rsidTr="008507A7">
        <w:tc>
          <w:tcPr>
            <w:tcW w:w="1315" w:type="pct"/>
            <w:shd w:val="clear" w:color="auto" w:fill="auto"/>
          </w:tcPr>
          <w:p w14:paraId="1B4F46E4" w14:textId="77777777" w:rsidR="003B6CCD" w:rsidRPr="00C61E96" w:rsidRDefault="003B6CCD" w:rsidP="003B6CCD">
            <w:pPr>
              <w:rPr>
                <w:b/>
                <w:color w:val="000000"/>
                <w:lang w:val="en-GB"/>
              </w:rPr>
            </w:pPr>
            <w:r w:rsidRPr="00C61E96">
              <w:rPr>
                <w:b/>
                <w:color w:val="000000"/>
                <w:lang w:val="en-GB"/>
              </w:rPr>
              <w:t>Date:</w:t>
            </w:r>
          </w:p>
        </w:tc>
        <w:tc>
          <w:tcPr>
            <w:tcW w:w="3685" w:type="pct"/>
            <w:shd w:val="clear" w:color="auto" w:fill="auto"/>
          </w:tcPr>
          <w:p w14:paraId="1B4F46E5" w14:textId="25D60B32" w:rsidR="003B6CCD" w:rsidRPr="00C61E96" w:rsidRDefault="00B66AAA" w:rsidP="00A55964">
            <w:pPr>
              <w:rPr>
                <w:color w:val="000000"/>
                <w:lang w:val="en-GB"/>
              </w:rPr>
            </w:pPr>
            <w:r w:rsidRPr="00C61E96">
              <w:rPr>
                <w:color w:val="000000"/>
                <w:lang w:val="en-GB"/>
              </w:rPr>
              <w:t>8-May</w:t>
            </w:r>
            <w:r w:rsidR="004158F4" w:rsidRPr="00C61E96">
              <w:rPr>
                <w:color w:val="000000"/>
                <w:lang w:val="en-GB"/>
              </w:rPr>
              <w:t>-2020</w:t>
            </w:r>
          </w:p>
        </w:tc>
      </w:tr>
      <w:tr w:rsidR="003B6CCD" w:rsidRPr="00C61E96" w14:paraId="1B4F46E9" w14:textId="77777777" w:rsidTr="008507A7">
        <w:tc>
          <w:tcPr>
            <w:tcW w:w="1315" w:type="pct"/>
            <w:shd w:val="clear" w:color="auto" w:fill="auto"/>
          </w:tcPr>
          <w:p w14:paraId="1B4F46E7" w14:textId="77777777" w:rsidR="003B6CCD" w:rsidRPr="00C61E96" w:rsidRDefault="003B6CCD" w:rsidP="003B6CCD">
            <w:pPr>
              <w:rPr>
                <w:b/>
                <w:lang w:val="en-GB"/>
              </w:rPr>
            </w:pPr>
            <w:r w:rsidRPr="00C61E96">
              <w:rPr>
                <w:b/>
                <w:lang w:val="en-GB"/>
              </w:rPr>
              <w:t>Version:</w:t>
            </w:r>
          </w:p>
        </w:tc>
        <w:tc>
          <w:tcPr>
            <w:tcW w:w="3685" w:type="pct"/>
            <w:shd w:val="clear" w:color="auto" w:fill="auto"/>
          </w:tcPr>
          <w:p w14:paraId="1B4F46E8" w14:textId="0AF3CBE1" w:rsidR="003B6CCD" w:rsidRPr="00C61E96" w:rsidRDefault="004158F4" w:rsidP="00A242A9">
            <w:pPr>
              <w:rPr>
                <w:lang w:val="en-GB"/>
              </w:rPr>
            </w:pPr>
            <w:r w:rsidRPr="00C61E96">
              <w:rPr>
                <w:lang w:val="en-GB"/>
              </w:rPr>
              <w:t>4.0</w:t>
            </w:r>
          </w:p>
        </w:tc>
      </w:tr>
      <w:tr w:rsidR="003B6CCD" w:rsidRPr="00225F0F" w14:paraId="1B4F46EC" w14:textId="77777777" w:rsidTr="008507A7">
        <w:tc>
          <w:tcPr>
            <w:tcW w:w="1315" w:type="pct"/>
            <w:shd w:val="clear" w:color="auto" w:fill="auto"/>
          </w:tcPr>
          <w:p w14:paraId="1B4F46EA" w14:textId="77777777" w:rsidR="003B6CCD" w:rsidRPr="00C61E96" w:rsidRDefault="003B6CCD" w:rsidP="003B6CCD">
            <w:pPr>
              <w:rPr>
                <w:b/>
                <w:lang w:val="en-GB"/>
              </w:rPr>
            </w:pPr>
            <w:r w:rsidRPr="00C61E96">
              <w:rPr>
                <w:b/>
                <w:lang w:val="en-GB"/>
              </w:rPr>
              <w:t>Countries:</w:t>
            </w:r>
          </w:p>
        </w:tc>
        <w:tc>
          <w:tcPr>
            <w:tcW w:w="3685" w:type="pct"/>
            <w:shd w:val="clear" w:color="auto" w:fill="auto"/>
          </w:tcPr>
          <w:p w14:paraId="1B4F46EB" w14:textId="09739153" w:rsidR="003B6CCD" w:rsidRPr="00225F0F" w:rsidRDefault="003B6CCD" w:rsidP="00FF03C9">
            <w:pPr>
              <w:rPr>
                <w:lang w:val="en-GB"/>
              </w:rPr>
            </w:pPr>
            <w:r w:rsidRPr="00C61E96">
              <w:rPr>
                <w:lang w:val="en-GB"/>
              </w:rPr>
              <w:t>Georgia, Kazakhstan, Lesotho, Peru</w:t>
            </w:r>
            <w:r w:rsidR="00164ED4" w:rsidRPr="00C61E96">
              <w:rPr>
                <w:lang w:val="en-GB"/>
              </w:rPr>
              <w:t>, South Africa</w:t>
            </w:r>
            <w:r w:rsidR="00A242A9" w:rsidRPr="00C61E96">
              <w:rPr>
                <w:lang w:val="en-GB"/>
              </w:rPr>
              <w:t>, Pakistan</w:t>
            </w:r>
            <w:r w:rsidR="00D0695D" w:rsidRPr="00C61E96">
              <w:rPr>
                <w:lang w:val="en-GB"/>
              </w:rPr>
              <w:t>, India, Vietnam</w:t>
            </w:r>
          </w:p>
        </w:tc>
      </w:tr>
    </w:tbl>
    <w:p w14:paraId="1B4F46ED" w14:textId="77777777" w:rsidR="003B6CCD" w:rsidRPr="00225F0F" w:rsidRDefault="00432DF4" w:rsidP="003B6CCD">
      <w:pPr>
        <w:tabs>
          <w:tab w:val="left" w:pos="0"/>
        </w:tabs>
        <w:jc w:val="center"/>
        <w:rPr>
          <w:rFonts w:ascii="Arial" w:hAnsi="Arial" w:cs="Arial"/>
          <w:b/>
          <w:bCs/>
          <w:lang w:val="en-GB"/>
        </w:rPr>
      </w:pPr>
      <w:r w:rsidRPr="00225F0F">
        <w:rPr>
          <w:rFonts w:ascii="Arial" w:hAnsi="Arial" w:cs="Arial"/>
          <w:b/>
          <w:lang w:val="en-GB"/>
        </w:rPr>
        <w:br w:type="page"/>
      </w:r>
      <w:r w:rsidR="003B6CCD" w:rsidRPr="00225F0F">
        <w:rPr>
          <w:rFonts w:ascii="Arial" w:hAnsi="Arial" w:cs="Arial"/>
          <w:b/>
          <w:bCs/>
          <w:lang w:val="en-GB"/>
        </w:rPr>
        <w:lastRenderedPageBreak/>
        <w:t xml:space="preserve"> </w:t>
      </w:r>
    </w:p>
    <w:p w14:paraId="1B4F46EE" w14:textId="10F501E9" w:rsidR="00432DF4" w:rsidRPr="00225F0F" w:rsidRDefault="00432DF4" w:rsidP="00B44967">
      <w:pPr>
        <w:pStyle w:val="Heading1"/>
        <w:numPr>
          <w:ilvl w:val="0"/>
          <w:numId w:val="0"/>
        </w:numPr>
        <w:tabs>
          <w:tab w:val="left" w:pos="5760"/>
        </w:tabs>
        <w:rPr>
          <w:lang w:val="en-GB"/>
        </w:rPr>
      </w:pPr>
      <w:bookmarkStart w:id="24" w:name="_Toc40272683"/>
      <w:r w:rsidRPr="00225F0F">
        <w:rPr>
          <w:lang w:val="en-GB"/>
        </w:rPr>
        <w:t>Table of Contents</w:t>
      </w:r>
      <w:bookmarkEnd w:id="24"/>
      <w:r w:rsidR="00B44967">
        <w:rPr>
          <w:lang w:val="en-GB"/>
        </w:rPr>
        <w:tab/>
      </w:r>
    </w:p>
    <w:p w14:paraId="7A707CF0" w14:textId="77347942" w:rsidR="00037200" w:rsidRPr="00037200" w:rsidRDefault="00432DF4">
      <w:pPr>
        <w:pStyle w:val="TOC1"/>
        <w:rPr>
          <w:rFonts w:asciiTheme="minorHAnsi" w:eastAsiaTheme="minorEastAsia" w:hAnsiTheme="minorHAnsi" w:cstheme="minorHAnsi"/>
          <w:szCs w:val="22"/>
        </w:rPr>
      </w:pPr>
      <w:r w:rsidRPr="00037200">
        <w:rPr>
          <w:rFonts w:asciiTheme="minorHAnsi" w:hAnsiTheme="minorHAnsi" w:cstheme="minorHAnsi"/>
          <w:noProof w:val="0"/>
          <w:spacing w:val="-3"/>
          <w:szCs w:val="22"/>
          <w:lang w:val="en-GB"/>
        </w:rPr>
        <w:fldChar w:fldCharType="begin"/>
      </w:r>
      <w:r w:rsidRPr="00037200">
        <w:rPr>
          <w:rFonts w:asciiTheme="minorHAnsi" w:hAnsiTheme="minorHAnsi" w:cstheme="minorHAnsi"/>
          <w:noProof w:val="0"/>
          <w:spacing w:val="-3"/>
          <w:szCs w:val="22"/>
          <w:lang w:val="en-GB"/>
        </w:rPr>
        <w:instrText xml:space="preserve"> TOC \o "1-2" \h \z \t "Attachment title,4" </w:instrText>
      </w:r>
      <w:r w:rsidRPr="00037200">
        <w:rPr>
          <w:rFonts w:asciiTheme="minorHAnsi" w:hAnsiTheme="minorHAnsi" w:cstheme="minorHAnsi"/>
          <w:noProof w:val="0"/>
          <w:spacing w:val="-3"/>
          <w:szCs w:val="22"/>
          <w:lang w:val="en-GB"/>
        </w:rPr>
        <w:fldChar w:fldCharType="separate"/>
      </w:r>
      <w:hyperlink w:anchor="_Toc40272677" w:history="1">
        <w:r w:rsidR="00037200" w:rsidRPr="00037200">
          <w:rPr>
            <w:rStyle w:val="Hyperlink"/>
            <w:rFonts w:asciiTheme="minorHAnsi" w:hAnsiTheme="minorHAnsi" w:cstheme="minorHAnsi"/>
            <w:lang w:val="en-GB"/>
          </w:rPr>
          <w:t>Safety Monitoring Plan</w:t>
        </w:r>
        <w:r w:rsidR="00037200" w:rsidRPr="00037200">
          <w:rPr>
            <w:rFonts w:asciiTheme="minorHAnsi" w:hAnsiTheme="minorHAnsi" w:cstheme="minorHAnsi"/>
            <w:webHidden/>
          </w:rPr>
          <w:tab/>
        </w:r>
        <w:r w:rsidR="00037200" w:rsidRPr="00037200">
          <w:rPr>
            <w:rFonts w:asciiTheme="minorHAnsi" w:hAnsiTheme="minorHAnsi" w:cstheme="minorHAnsi"/>
            <w:webHidden/>
          </w:rPr>
          <w:fldChar w:fldCharType="begin"/>
        </w:r>
        <w:r w:rsidR="00037200" w:rsidRPr="00037200">
          <w:rPr>
            <w:rFonts w:asciiTheme="minorHAnsi" w:hAnsiTheme="minorHAnsi" w:cstheme="minorHAnsi"/>
            <w:webHidden/>
          </w:rPr>
          <w:instrText xml:space="preserve"> PAGEREF _Toc40272677 \h </w:instrText>
        </w:r>
        <w:r w:rsidR="00037200" w:rsidRPr="00037200">
          <w:rPr>
            <w:rFonts w:asciiTheme="minorHAnsi" w:hAnsiTheme="minorHAnsi" w:cstheme="minorHAnsi"/>
            <w:webHidden/>
          </w:rPr>
        </w:r>
        <w:r w:rsidR="00037200" w:rsidRPr="00037200">
          <w:rPr>
            <w:rFonts w:asciiTheme="minorHAnsi" w:hAnsiTheme="minorHAnsi" w:cstheme="minorHAnsi"/>
            <w:webHidden/>
          </w:rPr>
          <w:fldChar w:fldCharType="separate"/>
        </w:r>
        <w:r w:rsidR="003C19FA">
          <w:rPr>
            <w:rFonts w:asciiTheme="minorHAnsi" w:hAnsiTheme="minorHAnsi" w:cstheme="minorHAnsi"/>
            <w:webHidden/>
          </w:rPr>
          <w:t>1</w:t>
        </w:r>
        <w:r w:rsidR="00037200" w:rsidRPr="00037200">
          <w:rPr>
            <w:rFonts w:asciiTheme="minorHAnsi" w:hAnsiTheme="minorHAnsi" w:cstheme="minorHAnsi"/>
            <w:webHidden/>
          </w:rPr>
          <w:fldChar w:fldCharType="end"/>
        </w:r>
      </w:hyperlink>
    </w:p>
    <w:p w14:paraId="4875FF91" w14:textId="20647AA6" w:rsidR="00037200" w:rsidRPr="00037200" w:rsidRDefault="00BF15F1">
      <w:pPr>
        <w:pStyle w:val="TOC1"/>
        <w:rPr>
          <w:rFonts w:asciiTheme="minorHAnsi" w:eastAsiaTheme="minorEastAsia" w:hAnsiTheme="minorHAnsi" w:cstheme="minorHAnsi"/>
          <w:szCs w:val="22"/>
        </w:rPr>
      </w:pPr>
      <w:hyperlink w:anchor="_Toc40272683" w:history="1">
        <w:r w:rsidR="00037200" w:rsidRPr="00037200">
          <w:rPr>
            <w:rStyle w:val="Hyperlink"/>
            <w:rFonts w:asciiTheme="minorHAnsi" w:hAnsiTheme="minorHAnsi" w:cstheme="minorHAnsi"/>
            <w:lang w:val="en-GB"/>
          </w:rPr>
          <w:t>Table of Contents</w:t>
        </w:r>
        <w:r w:rsidR="00037200" w:rsidRPr="00037200">
          <w:rPr>
            <w:rFonts w:asciiTheme="minorHAnsi" w:hAnsiTheme="minorHAnsi" w:cstheme="minorHAnsi"/>
            <w:webHidden/>
          </w:rPr>
          <w:tab/>
        </w:r>
        <w:r w:rsidR="00037200" w:rsidRPr="00037200">
          <w:rPr>
            <w:rFonts w:asciiTheme="minorHAnsi" w:hAnsiTheme="minorHAnsi" w:cstheme="minorHAnsi"/>
            <w:webHidden/>
          </w:rPr>
          <w:fldChar w:fldCharType="begin"/>
        </w:r>
        <w:r w:rsidR="00037200" w:rsidRPr="00037200">
          <w:rPr>
            <w:rFonts w:asciiTheme="minorHAnsi" w:hAnsiTheme="minorHAnsi" w:cstheme="minorHAnsi"/>
            <w:webHidden/>
          </w:rPr>
          <w:instrText xml:space="preserve"> PAGEREF _Toc40272683 \h </w:instrText>
        </w:r>
        <w:r w:rsidR="00037200" w:rsidRPr="00037200">
          <w:rPr>
            <w:rFonts w:asciiTheme="minorHAnsi" w:hAnsiTheme="minorHAnsi" w:cstheme="minorHAnsi"/>
            <w:webHidden/>
          </w:rPr>
        </w:r>
        <w:r w:rsidR="00037200" w:rsidRPr="00037200">
          <w:rPr>
            <w:rFonts w:asciiTheme="minorHAnsi" w:hAnsiTheme="minorHAnsi" w:cstheme="minorHAnsi"/>
            <w:webHidden/>
          </w:rPr>
          <w:fldChar w:fldCharType="separate"/>
        </w:r>
        <w:r w:rsidR="003C19FA">
          <w:rPr>
            <w:rFonts w:asciiTheme="minorHAnsi" w:hAnsiTheme="minorHAnsi" w:cstheme="minorHAnsi"/>
            <w:webHidden/>
          </w:rPr>
          <w:t>2</w:t>
        </w:r>
        <w:r w:rsidR="00037200" w:rsidRPr="00037200">
          <w:rPr>
            <w:rFonts w:asciiTheme="minorHAnsi" w:hAnsiTheme="minorHAnsi" w:cstheme="minorHAnsi"/>
            <w:webHidden/>
          </w:rPr>
          <w:fldChar w:fldCharType="end"/>
        </w:r>
      </w:hyperlink>
    </w:p>
    <w:p w14:paraId="71DA4B98" w14:textId="31703A9C" w:rsidR="00037200" w:rsidRPr="00037200" w:rsidRDefault="00BF15F1">
      <w:pPr>
        <w:pStyle w:val="TOC1"/>
        <w:rPr>
          <w:rFonts w:asciiTheme="minorHAnsi" w:eastAsiaTheme="minorEastAsia" w:hAnsiTheme="minorHAnsi" w:cstheme="minorHAnsi"/>
          <w:szCs w:val="22"/>
        </w:rPr>
      </w:pPr>
      <w:hyperlink w:anchor="_Toc40272684" w:history="1">
        <w:r w:rsidR="00037200" w:rsidRPr="00037200">
          <w:rPr>
            <w:rStyle w:val="Hyperlink"/>
            <w:rFonts w:asciiTheme="minorHAnsi" w:hAnsiTheme="minorHAnsi" w:cstheme="minorHAnsi"/>
            <w:lang w:val="en-GB"/>
          </w:rPr>
          <w:t>1.</w:t>
        </w:r>
        <w:r w:rsidR="00037200" w:rsidRPr="00037200">
          <w:rPr>
            <w:rFonts w:asciiTheme="minorHAnsi" w:eastAsiaTheme="minorEastAsia" w:hAnsiTheme="minorHAnsi" w:cstheme="minorHAnsi"/>
            <w:szCs w:val="22"/>
          </w:rPr>
          <w:tab/>
        </w:r>
        <w:r w:rsidR="00037200" w:rsidRPr="00037200">
          <w:rPr>
            <w:rStyle w:val="Hyperlink"/>
            <w:rFonts w:asciiTheme="minorHAnsi" w:hAnsiTheme="minorHAnsi" w:cstheme="minorHAnsi"/>
            <w:lang w:val="en-GB"/>
          </w:rPr>
          <w:t>Safety data collection and transmission to the Sponsor’s Pharmacovigilance Unit</w:t>
        </w:r>
        <w:r w:rsidR="00037200" w:rsidRPr="00037200">
          <w:rPr>
            <w:rFonts w:asciiTheme="minorHAnsi" w:hAnsiTheme="minorHAnsi" w:cstheme="minorHAnsi"/>
            <w:webHidden/>
          </w:rPr>
          <w:tab/>
        </w:r>
        <w:r w:rsidR="00037200" w:rsidRPr="00037200">
          <w:rPr>
            <w:rFonts w:asciiTheme="minorHAnsi" w:hAnsiTheme="minorHAnsi" w:cstheme="minorHAnsi"/>
            <w:webHidden/>
          </w:rPr>
          <w:fldChar w:fldCharType="begin"/>
        </w:r>
        <w:r w:rsidR="00037200" w:rsidRPr="00037200">
          <w:rPr>
            <w:rFonts w:asciiTheme="minorHAnsi" w:hAnsiTheme="minorHAnsi" w:cstheme="minorHAnsi"/>
            <w:webHidden/>
          </w:rPr>
          <w:instrText xml:space="preserve"> PAGEREF _Toc40272684 \h </w:instrText>
        </w:r>
        <w:r w:rsidR="00037200" w:rsidRPr="00037200">
          <w:rPr>
            <w:rFonts w:asciiTheme="minorHAnsi" w:hAnsiTheme="minorHAnsi" w:cstheme="minorHAnsi"/>
            <w:webHidden/>
          </w:rPr>
        </w:r>
        <w:r w:rsidR="00037200" w:rsidRPr="00037200">
          <w:rPr>
            <w:rFonts w:asciiTheme="minorHAnsi" w:hAnsiTheme="minorHAnsi" w:cstheme="minorHAnsi"/>
            <w:webHidden/>
          </w:rPr>
          <w:fldChar w:fldCharType="separate"/>
        </w:r>
        <w:r w:rsidR="003C19FA">
          <w:rPr>
            <w:rFonts w:asciiTheme="minorHAnsi" w:hAnsiTheme="minorHAnsi" w:cstheme="minorHAnsi"/>
            <w:webHidden/>
          </w:rPr>
          <w:t>3</w:t>
        </w:r>
        <w:r w:rsidR="00037200" w:rsidRPr="00037200">
          <w:rPr>
            <w:rFonts w:asciiTheme="minorHAnsi" w:hAnsiTheme="minorHAnsi" w:cstheme="minorHAnsi"/>
            <w:webHidden/>
          </w:rPr>
          <w:fldChar w:fldCharType="end"/>
        </w:r>
      </w:hyperlink>
    </w:p>
    <w:p w14:paraId="5E92F1F7" w14:textId="48BE3BCE" w:rsidR="00037200" w:rsidRPr="00037200" w:rsidRDefault="00BF15F1">
      <w:pPr>
        <w:pStyle w:val="TOC1"/>
        <w:rPr>
          <w:rFonts w:asciiTheme="minorHAnsi" w:eastAsiaTheme="minorEastAsia" w:hAnsiTheme="minorHAnsi" w:cstheme="minorHAnsi"/>
          <w:szCs w:val="22"/>
        </w:rPr>
      </w:pPr>
      <w:hyperlink w:anchor="_Toc40272685" w:history="1">
        <w:r w:rsidR="00037200" w:rsidRPr="00037200">
          <w:rPr>
            <w:rStyle w:val="Hyperlink"/>
            <w:rFonts w:asciiTheme="minorHAnsi" w:hAnsiTheme="minorHAnsi" w:cstheme="minorHAnsi"/>
            <w:lang w:val="en-GB"/>
          </w:rPr>
          <w:t>2.</w:t>
        </w:r>
        <w:r w:rsidR="00037200" w:rsidRPr="00037200">
          <w:rPr>
            <w:rFonts w:asciiTheme="minorHAnsi" w:eastAsiaTheme="minorEastAsia" w:hAnsiTheme="minorHAnsi" w:cstheme="minorHAnsi"/>
            <w:szCs w:val="22"/>
          </w:rPr>
          <w:tab/>
        </w:r>
        <w:r w:rsidR="00037200" w:rsidRPr="00037200">
          <w:rPr>
            <w:rStyle w:val="Hyperlink"/>
            <w:rFonts w:asciiTheme="minorHAnsi" w:hAnsiTheme="minorHAnsi" w:cstheme="minorHAnsi"/>
            <w:lang w:val="en-GB"/>
          </w:rPr>
          <w:t>Pharmacovigilance database</w:t>
        </w:r>
        <w:r w:rsidR="00037200" w:rsidRPr="00037200">
          <w:rPr>
            <w:rFonts w:asciiTheme="minorHAnsi" w:hAnsiTheme="minorHAnsi" w:cstheme="minorHAnsi"/>
            <w:webHidden/>
          </w:rPr>
          <w:tab/>
        </w:r>
        <w:r w:rsidR="00037200" w:rsidRPr="00037200">
          <w:rPr>
            <w:rFonts w:asciiTheme="minorHAnsi" w:hAnsiTheme="minorHAnsi" w:cstheme="minorHAnsi"/>
            <w:webHidden/>
          </w:rPr>
          <w:fldChar w:fldCharType="begin"/>
        </w:r>
        <w:r w:rsidR="00037200" w:rsidRPr="00037200">
          <w:rPr>
            <w:rFonts w:asciiTheme="minorHAnsi" w:hAnsiTheme="minorHAnsi" w:cstheme="minorHAnsi"/>
            <w:webHidden/>
          </w:rPr>
          <w:instrText xml:space="preserve"> PAGEREF _Toc40272685 \h </w:instrText>
        </w:r>
        <w:r w:rsidR="00037200" w:rsidRPr="00037200">
          <w:rPr>
            <w:rFonts w:asciiTheme="minorHAnsi" w:hAnsiTheme="minorHAnsi" w:cstheme="minorHAnsi"/>
            <w:webHidden/>
          </w:rPr>
        </w:r>
        <w:r w:rsidR="00037200" w:rsidRPr="00037200">
          <w:rPr>
            <w:rFonts w:asciiTheme="minorHAnsi" w:hAnsiTheme="minorHAnsi" w:cstheme="minorHAnsi"/>
            <w:webHidden/>
          </w:rPr>
          <w:fldChar w:fldCharType="separate"/>
        </w:r>
        <w:r w:rsidR="003C19FA">
          <w:rPr>
            <w:rFonts w:asciiTheme="minorHAnsi" w:hAnsiTheme="minorHAnsi" w:cstheme="minorHAnsi"/>
            <w:webHidden/>
          </w:rPr>
          <w:t>3</w:t>
        </w:r>
        <w:r w:rsidR="00037200" w:rsidRPr="00037200">
          <w:rPr>
            <w:rFonts w:asciiTheme="minorHAnsi" w:hAnsiTheme="minorHAnsi" w:cstheme="minorHAnsi"/>
            <w:webHidden/>
          </w:rPr>
          <w:fldChar w:fldCharType="end"/>
        </w:r>
      </w:hyperlink>
    </w:p>
    <w:p w14:paraId="4659725D" w14:textId="0D9CAE7E" w:rsidR="00037200" w:rsidRPr="00037200" w:rsidRDefault="00BF15F1">
      <w:pPr>
        <w:pStyle w:val="TOC1"/>
        <w:rPr>
          <w:rFonts w:asciiTheme="minorHAnsi" w:eastAsiaTheme="minorEastAsia" w:hAnsiTheme="minorHAnsi" w:cstheme="minorHAnsi"/>
          <w:szCs w:val="22"/>
        </w:rPr>
      </w:pPr>
      <w:hyperlink w:anchor="_Toc40272686" w:history="1">
        <w:r w:rsidR="00037200" w:rsidRPr="00037200">
          <w:rPr>
            <w:rStyle w:val="Hyperlink"/>
            <w:rFonts w:asciiTheme="minorHAnsi" w:hAnsiTheme="minorHAnsi" w:cstheme="minorHAnsi"/>
            <w:lang w:val="en-GB"/>
          </w:rPr>
          <w:t>3.</w:t>
        </w:r>
        <w:r w:rsidR="00037200" w:rsidRPr="00037200">
          <w:rPr>
            <w:rFonts w:asciiTheme="minorHAnsi" w:eastAsiaTheme="minorEastAsia" w:hAnsiTheme="minorHAnsi" w:cstheme="minorHAnsi"/>
            <w:szCs w:val="22"/>
          </w:rPr>
          <w:tab/>
        </w:r>
        <w:r w:rsidR="00037200" w:rsidRPr="00037200">
          <w:rPr>
            <w:rStyle w:val="Hyperlink"/>
            <w:rFonts w:asciiTheme="minorHAnsi" w:hAnsiTheme="minorHAnsi" w:cstheme="minorHAnsi"/>
            <w:lang w:val="en-GB"/>
          </w:rPr>
          <w:t>Safety data processing and medical review</w:t>
        </w:r>
        <w:r w:rsidR="00037200" w:rsidRPr="00037200">
          <w:rPr>
            <w:rFonts w:asciiTheme="minorHAnsi" w:hAnsiTheme="minorHAnsi" w:cstheme="minorHAnsi"/>
            <w:webHidden/>
          </w:rPr>
          <w:tab/>
        </w:r>
        <w:r w:rsidR="00037200" w:rsidRPr="00037200">
          <w:rPr>
            <w:rFonts w:asciiTheme="minorHAnsi" w:hAnsiTheme="minorHAnsi" w:cstheme="minorHAnsi"/>
            <w:webHidden/>
          </w:rPr>
          <w:fldChar w:fldCharType="begin"/>
        </w:r>
        <w:r w:rsidR="00037200" w:rsidRPr="00037200">
          <w:rPr>
            <w:rFonts w:asciiTheme="minorHAnsi" w:hAnsiTheme="minorHAnsi" w:cstheme="minorHAnsi"/>
            <w:webHidden/>
          </w:rPr>
          <w:instrText xml:space="preserve"> PAGEREF _Toc40272686 \h </w:instrText>
        </w:r>
        <w:r w:rsidR="00037200" w:rsidRPr="00037200">
          <w:rPr>
            <w:rFonts w:asciiTheme="minorHAnsi" w:hAnsiTheme="minorHAnsi" w:cstheme="minorHAnsi"/>
            <w:webHidden/>
          </w:rPr>
        </w:r>
        <w:r w:rsidR="00037200" w:rsidRPr="00037200">
          <w:rPr>
            <w:rFonts w:asciiTheme="minorHAnsi" w:hAnsiTheme="minorHAnsi" w:cstheme="minorHAnsi"/>
            <w:webHidden/>
          </w:rPr>
          <w:fldChar w:fldCharType="separate"/>
        </w:r>
        <w:r w:rsidR="003C19FA">
          <w:rPr>
            <w:rFonts w:asciiTheme="minorHAnsi" w:hAnsiTheme="minorHAnsi" w:cstheme="minorHAnsi"/>
            <w:webHidden/>
          </w:rPr>
          <w:t>3</w:t>
        </w:r>
        <w:r w:rsidR="00037200" w:rsidRPr="00037200">
          <w:rPr>
            <w:rFonts w:asciiTheme="minorHAnsi" w:hAnsiTheme="minorHAnsi" w:cstheme="minorHAnsi"/>
            <w:webHidden/>
          </w:rPr>
          <w:fldChar w:fldCharType="end"/>
        </w:r>
      </w:hyperlink>
    </w:p>
    <w:p w14:paraId="70852742" w14:textId="573EA45B" w:rsidR="00037200" w:rsidRPr="00037200" w:rsidRDefault="00BF15F1">
      <w:pPr>
        <w:pStyle w:val="TOC1"/>
        <w:rPr>
          <w:rFonts w:asciiTheme="minorHAnsi" w:eastAsiaTheme="minorEastAsia" w:hAnsiTheme="minorHAnsi" w:cstheme="minorHAnsi"/>
          <w:szCs w:val="22"/>
        </w:rPr>
      </w:pPr>
      <w:hyperlink w:anchor="_Toc40272687" w:history="1">
        <w:r w:rsidR="00037200" w:rsidRPr="00037200">
          <w:rPr>
            <w:rStyle w:val="Hyperlink"/>
            <w:rFonts w:asciiTheme="minorHAnsi" w:hAnsiTheme="minorHAnsi" w:cstheme="minorHAnsi"/>
            <w:lang w:val="en-GB" w:eastAsia="en-GB"/>
          </w:rPr>
          <w:t>4.</w:t>
        </w:r>
        <w:r w:rsidR="00037200" w:rsidRPr="00037200">
          <w:rPr>
            <w:rFonts w:asciiTheme="minorHAnsi" w:eastAsiaTheme="minorEastAsia" w:hAnsiTheme="minorHAnsi" w:cstheme="minorHAnsi"/>
            <w:szCs w:val="22"/>
          </w:rPr>
          <w:tab/>
        </w:r>
        <w:r w:rsidR="00037200" w:rsidRPr="00037200">
          <w:rPr>
            <w:rStyle w:val="Hyperlink"/>
            <w:rFonts w:asciiTheme="minorHAnsi" w:hAnsiTheme="minorHAnsi" w:cstheme="minorHAnsi"/>
            <w:lang w:val="en-GB" w:eastAsia="en-GB"/>
          </w:rPr>
          <w:t>Individual case safety reports submission</w:t>
        </w:r>
        <w:r w:rsidR="00037200" w:rsidRPr="00037200">
          <w:rPr>
            <w:rFonts w:asciiTheme="minorHAnsi" w:hAnsiTheme="minorHAnsi" w:cstheme="minorHAnsi"/>
            <w:webHidden/>
          </w:rPr>
          <w:tab/>
        </w:r>
        <w:r w:rsidR="00037200" w:rsidRPr="00037200">
          <w:rPr>
            <w:rFonts w:asciiTheme="minorHAnsi" w:hAnsiTheme="minorHAnsi" w:cstheme="minorHAnsi"/>
            <w:webHidden/>
          </w:rPr>
          <w:fldChar w:fldCharType="begin"/>
        </w:r>
        <w:r w:rsidR="00037200" w:rsidRPr="00037200">
          <w:rPr>
            <w:rFonts w:asciiTheme="minorHAnsi" w:hAnsiTheme="minorHAnsi" w:cstheme="minorHAnsi"/>
            <w:webHidden/>
          </w:rPr>
          <w:instrText xml:space="preserve"> PAGEREF _Toc40272687 \h </w:instrText>
        </w:r>
        <w:r w:rsidR="00037200" w:rsidRPr="00037200">
          <w:rPr>
            <w:rFonts w:asciiTheme="minorHAnsi" w:hAnsiTheme="minorHAnsi" w:cstheme="minorHAnsi"/>
            <w:webHidden/>
          </w:rPr>
        </w:r>
        <w:r w:rsidR="00037200" w:rsidRPr="00037200">
          <w:rPr>
            <w:rFonts w:asciiTheme="minorHAnsi" w:hAnsiTheme="minorHAnsi" w:cstheme="minorHAnsi"/>
            <w:webHidden/>
          </w:rPr>
          <w:fldChar w:fldCharType="separate"/>
        </w:r>
        <w:r w:rsidR="003C19FA">
          <w:rPr>
            <w:rFonts w:asciiTheme="minorHAnsi" w:hAnsiTheme="minorHAnsi" w:cstheme="minorHAnsi"/>
            <w:webHidden/>
          </w:rPr>
          <w:t>5</w:t>
        </w:r>
        <w:r w:rsidR="00037200" w:rsidRPr="00037200">
          <w:rPr>
            <w:rFonts w:asciiTheme="minorHAnsi" w:hAnsiTheme="minorHAnsi" w:cstheme="minorHAnsi"/>
            <w:webHidden/>
          </w:rPr>
          <w:fldChar w:fldCharType="end"/>
        </w:r>
      </w:hyperlink>
    </w:p>
    <w:p w14:paraId="3F400823" w14:textId="000B5B9D" w:rsidR="00037200" w:rsidRPr="00037200" w:rsidRDefault="00BF15F1">
      <w:pPr>
        <w:pStyle w:val="TOC1"/>
        <w:rPr>
          <w:rFonts w:asciiTheme="minorHAnsi" w:eastAsiaTheme="minorEastAsia" w:hAnsiTheme="minorHAnsi" w:cstheme="minorHAnsi"/>
          <w:szCs w:val="22"/>
        </w:rPr>
      </w:pPr>
      <w:hyperlink w:anchor="_Toc40272688" w:history="1">
        <w:r w:rsidR="00037200" w:rsidRPr="00037200">
          <w:rPr>
            <w:rStyle w:val="Hyperlink"/>
            <w:rFonts w:asciiTheme="minorHAnsi" w:hAnsiTheme="minorHAnsi" w:cstheme="minorHAnsi"/>
            <w:lang w:val="en-GB" w:eastAsia="en-GB"/>
          </w:rPr>
          <w:t>5.</w:t>
        </w:r>
        <w:r w:rsidR="00037200" w:rsidRPr="00037200">
          <w:rPr>
            <w:rFonts w:asciiTheme="minorHAnsi" w:eastAsiaTheme="minorEastAsia" w:hAnsiTheme="minorHAnsi" w:cstheme="minorHAnsi"/>
            <w:szCs w:val="22"/>
          </w:rPr>
          <w:tab/>
        </w:r>
        <w:r w:rsidR="00037200" w:rsidRPr="00037200">
          <w:rPr>
            <w:rStyle w:val="Hyperlink"/>
            <w:rFonts w:asciiTheme="minorHAnsi" w:hAnsiTheme="minorHAnsi" w:cstheme="minorHAnsi"/>
            <w:lang w:val="en-GB" w:eastAsia="en-GB"/>
          </w:rPr>
          <w:t>Annual Safety Reports</w:t>
        </w:r>
        <w:r w:rsidR="00037200" w:rsidRPr="00037200">
          <w:rPr>
            <w:rFonts w:asciiTheme="minorHAnsi" w:hAnsiTheme="minorHAnsi" w:cstheme="minorHAnsi"/>
            <w:webHidden/>
          </w:rPr>
          <w:tab/>
        </w:r>
        <w:r w:rsidR="00037200" w:rsidRPr="00037200">
          <w:rPr>
            <w:rFonts w:asciiTheme="minorHAnsi" w:hAnsiTheme="minorHAnsi" w:cstheme="minorHAnsi"/>
            <w:webHidden/>
          </w:rPr>
          <w:fldChar w:fldCharType="begin"/>
        </w:r>
        <w:r w:rsidR="00037200" w:rsidRPr="00037200">
          <w:rPr>
            <w:rFonts w:asciiTheme="minorHAnsi" w:hAnsiTheme="minorHAnsi" w:cstheme="minorHAnsi"/>
            <w:webHidden/>
          </w:rPr>
          <w:instrText xml:space="preserve"> PAGEREF _Toc40272688 \h </w:instrText>
        </w:r>
        <w:r w:rsidR="00037200" w:rsidRPr="00037200">
          <w:rPr>
            <w:rFonts w:asciiTheme="minorHAnsi" w:hAnsiTheme="minorHAnsi" w:cstheme="minorHAnsi"/>
            <w:webHidden/>
          </w:rPr>
        </w:r>
        <w:r w:rsidR="00037200" w:rsidRPr="00037200">
          <w:rPr>
            <w:rFonts w:asciiTheme="minorHAnsi" w:hAnsiTheme="minorHAnsi" w:cstheme="minorHAnsi"/>
            <w:webHidden/>
          </w:rPr>
          <w:fldChar w:fldCharType="separate"/>
        </w:r>
        <w:r w:rsidR="003C19FA">
          <w:rPr>
            <w:rFonts w:asciiTheme="minorHAnsi" w:hAnsiTheme="minorHAnsi" w:cstheme="minorHAnsi"/>
            <w:webHidden/>
          </w:rPr>
          <w:t>6</w:t>
        </w:r>
        <w:r w:rsidR="00037200" w:rsidRPr="00037200">
          <w:rPr>
            <w:rFonts w:asciiTheme="minorHAnsi" w:hAnsiTheme="minorHAnsi" w:cstheme="minorHAnsi"/>
            <w:webHidden/>
          </w:rPr>
          <w:fldChar w:fldCharType="end"/>
        </w:r>
      </w:hyperlink>
    </w:p>
    <w:p w14:paraId="1684F59E" w14:textId="2A3AFE87" w:rsidR="00037200" w:rsidRPr="00037200" w:rsidRDefault="00BF15F1">
      <w:pPr>
        <w:pStyle w:val="TOC1"/>
        <w:rPr>
          <w:rFonts w:asciiTheme="minorHAnsi" w:eastAsiaTheme="minorEastAsia" w:hAnsiTheme="minorHAnsi" w:cstheme="minorHAnsi"/>
          <w:szCs w:val="22"/>
        </w:rPr>
      </w:pPr>
      <w:hyperlink w:anchor="_Toc40272689" w:history="1">
        <w:r w:rsidR="00037200" w:rsidRPr="00037200">
          <w:rPr>
            <w:rStyle w:val="Hyperlink"/>
            <w:rFonts w:asciiTheme="minorHAnsi" w:hAnsiTheme="minorHAnsi" w:cstheme="minorHAnsi"/>
            <w:lang w:val="en-GB"/>
          </w:rPr>
          <w:t>6.</w:t>
        </w:r>
        <w:r w:rsidR="00037200" w:rsidRPr="00037200">
          <w:rPr>
            <w:rFonts w:asciiTheme="minorHAnsi" w:eastAsiaTheme="minorEastAsia" w:hAnsiTheme="minorHAnsi" w:cstheme="minorHAnsi"/>
            <w:szCs w:val="22"/>
          </w:rPr>
          <w:tab/>
        </w:r>
        <w:r w:rsidR="00037200" w:rsidRPr="00037200">
          <w:rPr>
            <w:rStyle w:val="Hyperlink"/>
            <w:rFonts w:asciiTheme="minorHAnsi" w:hAnsiTheme="minorHAnsi" w:cstheme="minorHAnsi"/>
            <w:lang w:val="en-GB"/>
          </w:rPr>
          <w:t>Other periodic reporting activities</w:t>
        </w:r>
        <w:r w:rsidR="00037200" w:rsidRPr="00037200">
          <w:rPr>
            <w:rFonts w:asciiTheme="minorHAnsi" w:hAnsiTheme="minorHAnsi" w:cstheme="minorHAnsi"/>
            <w:webHidden/>
          </w:rPr>
          <w:tab/>
        </w:r>
        <w:r w:rsidR="00037200" w:rsidRPr="00037200">
          <w:rPr>
            <w:rFonts w:asciiTheme="minorHAnsi" w:hAnsiTheme="minorHAnsi" w:cstheme="minorHAnsi"/>
            <w:webHidden/>
          </w:rPr>
          <w:fldChar w:fldCharType="begin"/>
        </w:r>
        <w:r w:rsidR="00037200" w:rsidRPr="00037200">
          <w:rPr>
            <w:rFonts w:asciiTheme="minorHAnsi" w:hAnsiTheme="minorHAnsi" w:cstheme="minorHAnsi"/>
            <w:webHidden/>
          </w:rPr>
          <w:instrText xml:space="preserve"> PAGEREF _Toc40272689 \h </w:instrText>
        </w:r>
        <w:r w:rsidR="00037200" w:rsidRPr="00037200">
          <w:rPr>
            <w:rFonts w:asciiTheme="minorHAnsi" w:hAnsiTheme="minorHAnsi" w:cstheme="minorHAnsi"/>
            <w:webHidden/>
          </w:rPr>
        </w:r>
        <w:r w:rsidR="00037200" w:rsidRPr="00037200">
          <w:rPr>
            <w:rFonts w:asciiTheme="minorHAnsi" w:hAnsiTheme="minorHAnsi" w:cstheme="minorHAnsi"/>
            <w:webHidden/>
          </w:rPr>
          <w:fldChar w:fldCharType="separate"/>
        </w:r>
        <w:r w:rsidR="003C19FA">
          <w:rPr>
            <w:rFonts w:asciiTheme="minorHAnsi" w:hAnsiTheme="minorHAnsi" w:cstheme="minorHAnsi"/>
            <w:webHidden/>
          </w:rPr>
          <w:t>6</w:t>
        </w:r>
        <w:r w:rsidR="00037200" w:rsidRPr="00037200">
          <w:rPr>
            <w:rFonts w:asciiTheme="minorHAnsi" w:hAnsiTheme="minorHAnsi" w:cstheme="minorHAnsi"/>
            <w:webHidden/>
          </w:rPr>
          <w:fldChar w:fldCharType="end"/>
        </w:r>
      </w:hyperlink>
    </w:p>
    <w:p w14:paraId="05CF6C25" w14:textId="16D183FA" w:rsidR="00037200" w:rsidRPr="00037200" w:rsidRDefault="00BF15F1">
      <w:pPr>
        <w:pStyle w:val="TOC2"/>
        <w:rPr>
          <w:rFonts w:asciiTheme="minorHAnsi" w:eastAsiaTheme="minorEastAsia" w:hAnsiTheme="minorHAnsi" w:cstheme="minorHAnsi"/>
          <w:noProof/>
          <w:szCs w:val="22"/>
        </w:rPr>
      </w:pPr>
      <w:hyperlink w:anchor="_Toc40272690" w:history="1">
        <w:r w:rsidR="00037200" w:rsidRPr="00037200">
          <w:rPr>
            <w:rStyle w:val="Hyperlink"/>
            <w:rFonts w:asciiTheme="minorHAnsi" w:hAnsiTheme="minorHAnsi" w:cstheme="minorHAnsi"/>
            <w:noProof/>
            <w:lang w:val="en-GB" w:eastAsia="en-GB"/>
          </w:rPr>
          <w:t>6.1</w:t>
        </w:r>
        <w:r w:rsidR="00037200" w:rsidRPr="00037200">
          <w:rPr>
            <w:rFonts w:asciiTheme="minorHAnsi" w:eastAsiaTheme="minorEastAsia" w:hAnsiTheme="minorHAnsi" w:cstheme="minorHAnsi"/>
            <w:noProof/>
            <w:szCs w:val="22"/>
          </w:rPr>
          <w:tab/>
        </w:r>
        <w:r w:rsidR="00037200" w:rsidRPr="00037200">
          <w:rPr>
            <w:rStyle w:val="Hyperlink"/>
            <w:rFonts w:asciiTheme="minorHAnsi" w:hAnsiTheme="minorHAnsi" w:cstheme="minorHAnsi"/>
            <w:noProof/>
            <w:lang w:val="en-GB" w:eastAsia="en-GB"/>
          </w:rPr>
          <w:t>Data &amp; safety Monitoring Board</w:t>
        </w:r>
        <w:r w:rsidR="00037200" w:rsidRPr="00037200">
          <w:rPr>
            <w:rFonts w:asciiTheme="minorHAnsi" w:hAnsiTheme="minorHAnsi" w:cstheme="minorHAnsi"/>
            <w:noProof/>
            <w:webHidden/>
          </w:rPr>
          <w:tab/>
        </w:r>
        <w:r w:rsidR="00037200" w:rsidRPr="00037200">
          <w:rPr>
            <w:rFonts w:asciiTheme="minorHAnsi" w:hAnsiTheme="minorHAnsi" w:cstheme="minorHAnsi"/>
            <w:noProof/>
            <w:webHidden/>
          </w:rPr>
          <w:fldChar w:fldCharType="begin"/>
        </w:r>
        <w:r w:rsidR="00037200" w:rsidRPr="00037200">
          <w:rPr>
            <w:rFonts w:asciiTheme="minorHAnsi" w:hAnsiTheme="minorHAnsi" w:cstheme="minorHAnsi"/>
            <w:noProof/>
            <w:webHidden/>
          </w:rPr>
          <w:instrText xml:space="preserve"> PAGEREF _Toc40272690 \h </w:instrText>
        </w:r>
        <w:r w:rsidR="00037200" w:rsidRPr="00037200">
          <w:rPr>
            <w:rFonts w:asciiTheme="minorHAnsi" w:hAnsiTheme="minorHAnsi" w:cstheme="minorHAnsi"/>
            <w:noProof/>
            <w:webHidden/>
          </w:rPr>
        </w:r>
        <w:r w:rsidR="00037200" w:rsidRPr="00037200">
          <w:rPr>
            <w:rFonts w:asciiTheme="minorHAnsi" w:hAnsiTheme="minorHAnsi" w:cstheme="minorHAnsi"/>
            <w:noProof/>
            <w:webHidden/>
          </w:rPr>
          <w:fldChar w:fldCharType="separate"/>
        </w:r>
        <w:r w:rsidR="003C19FA">
          <w:rPr>
            <w:rFonts w:asciiTheme="minorHAnsi" w:hAnsiTheme="minorHAnsi" w:cstheme="minorHAnsi"/>
            <w:noProof/>
            <w:webHidden/>
          </w:rPr>
          <w:t>6</w:t>
        </w:r>
        <w:r w:rsidR="00037200" w:rsidRPr="00037200">
          <w:rPr>
            <w:rFonts w:asciiTheme="minorHAnsi" w:hAnsiTheme="minorHAnsi" w:cstheme="minorHAnsi"/>
            <w:noProof/>
            <w:webHidden/>
          </w:rPr>
          <w:fldChar w:fldCharType="end"/>
        </w:r>
      </w:hyperlink>
    </w:p>
    <w:p w14:paraId="01746E55" w14:textId="42B33E91" w:rsidR="00037200" w:rsidRPr="00037200" w:rsidRDefault="00BF15F1">
      <w:pPr>
        <w:pStyle w:val="TOC2"/>
        <w:rPr>
          <w:rFonts w:asciiTheme="minorHAnsi" w:eastAsiaTheme="minorEastAsia" w:hAnsiTheme="minorHAnsi" w:cstheme="minorHAnsi"/>
          <w:noProof/>
          <w:szCs w:val="22"/>
        </w:rPr>
      </w:pPr>
      <w:hyperlink w:anchor="_Toc40272691" w:history="1">
        <w:r w:rsidR="00037200" w:rsidRPr="00037200">
          <w:rPr>
            <w:rStyle w:val="Hyperlink"/>
            <w:rFonts w:asciiTheme="minorHAnsi" w:hAnsiTheme="minorHAnsi" w:cstheme="minorHAnsi"/>
            <w:noProof/>
            <w:lang w:val="en-GB" w:eastAsia="en-GB"/>
          </w:rPr>
          <w:t>6.2</w:t>
        </w:r>
        <w:r w:rsidR="00037200" w:rsidRPr="00037200">
          <w:rPr>
            <w:rFonts w:asciiTheme="minorHAnsi" w:eastAsiaTheme="minorEastAsia" w:hAnsiTheme="minorHAnsi" w:cstheme="minorHAnsi"/>
            <w:noProof/>
            <w:szCs w:val="22"/>
          </w:rPr>
          <w:tab/>
        </w:r>
        <w:r w:rsidR="00037200" w:rsidRPr="00037200">
          <w:rPr>
            <w:rStyle w:val="Hyperlink"/>
            <w:rFonts w:asciiTheme="minorHAnsi" w:hAnsiTheme="minorHAnsi" w:cstheme="minorHAnsi"/>
            <w:noProof/>
            <w:lang w:val="en-GB" w:eastAsia="en-GB"/>
          </w:rPr>
          <w:t>Answers to queries from National Regulatory Authorities or local Ethics Committees</w:t>
        </w:r>
        <w:r w:rsidR="00037200" w:rsidRPr="00037200">
          <w:rPr>
            <w:rFonts w:asciiTheme="minorHAnsi" w:hAnsiTheme="minorHAnsi" w:cstheme="minorHAnsi"/>
            <w:noProof/>
            <w:webHidden/>
          </w:rPr>
          <w:tab/>
        </w:r>
        <w:r w:rsidR="00037200" w:rsidRPr="00037200">
          <w:rPr>
            <w:rFonts w:asciiTheme="minorHAnsi" w:hAnsiTheme="minorHAnsi" w:cstheme="minorHAnsi"/>
            <w:noProof/>
            <w:webHidden/>
          </w:rPr>
          <w:fldChar w:fldCharType="begin"/>
        </w:r>
        <w:r w:rsidR="00037200" w:rsidRPr="00037200">
          <w:rPr>
            <w:rFonts w:asciiTheme="minorHAnsi" w:hAnsiTheme="minorHAnsi" w:cstheme="minorHAnsi"/>
            <w:noProof/>
            <w:webHidden/>
          </w:rPr>
          <w:instrText xml:space="preserve"> PAGEREF _Toc40272691 \h </w:instrText>
        </w:r>
        <w:r w:rsidR="00037200" w:rsidRPr="00037200">
          <w:rPr>
            <w:rFonts w:asciiTheme="minorHAnsi" w:hAnsiTheme="minorHAnsi" w:cstheme="minorHAnsi"/>
            <w:noProof/>
            <w:webHidden/>
          </w:rPr>
        </w:r>
        <w:r w:rsidR="00037200" w:rsidRPr="00037200">
          <w:rPr>
            <w:rFonts w:asciiTheme="minorHAnsi" w:hAnsiTheme="minorHAnsi" w:cstheme="minorHAnsi"/>
            <w:noProof/>
            <w:webHidden/>
          </w:rPr>
          <w:fldChar w:fldCharType="separate"/>
        </w:r>
        <w:r w:rsidR="003C19FA">
          <w:rPr>
            <w:rFonts w:asciiTheme="minorHAnsi" w:hAnsiTheme="minorHAnsi" w:cstheme="minorHAnsi"/>
            <w:noProof/>
            <w:webHidden/>
          </w:rPr>
          <w:t>6</w:t>
        </w:r>
        <w:r w:rsidR="00037200" w:rsidRPr="00037200">
          <w:rPr>
            <w:rFonts w:asciiTheme="minorHAnsi" w:hAnsiTheme="minorHAnsi" w:cstheme="minorHAnsi"/>
            <w:noProof/>
            <w:webHidden/>
          </w:rPr>
          <w:fldChar w:fldCharType="end"/>
        </w:r>
      </w:hyperlink>
    </w:p>
    <w:p w14:paraId="6AB970C4" w14:textId="0F497EB2" w:rsidR="00037200" w:rsidRPr="00037200" w:rsidRDefault="00BF15F1">
      <w:pPr>
        <w:pStyle w:val="TOC1"/>
        <w:rPr>
          <w:rFonts w:asciiTheme="minorHAnsi" w:eastAsiaTheme="minorEastAsia" w:hAnsiTheme="minorHAnsi" w:cstheme="minorHAnsi"/>
          <w:szCs w:val="22"/>
        </w:rPr>
      </w:pPr>
      <w:hyperlink w:anchor="_Toc40272692" w:history="1">
        <w:r w:rsidR="00037200" w:rsidRPr="00037200">
          <w:rPr>
            <w:rStyle w:val="Hyperlink"/>
            <w:rFonts w:asciiTheme="minorHAnsi" w:hAnsiTheme="minorHAnsi" w:cstheme="minorHAnsi"/>
            <w:lang w:val="en-GB" w:eastAsia="en-GB"/>
          </w:rPr>
          <w:t>7.</w:t>
        </w:r>
        <w:r w:rsidR="00037200" w:rsidRPr="00037200">
          <w:rPr>
            <w:rFonts w:asciiTheme="minorHAnsi" w:eastAsiaTheme="minorEastAsia" w:hAnsiTheme="minorHAnsi" w:cstheme="minorHAnsi"/>
            <w:szCs w:val="22"/>
          </w:rPr>
          <w:tab/>
        </w:r>
        <w:r w:rsidR="00037200" w:rsidRPr="00037200">
          <w:rPr>
            <w:rStyle w:val="Hyperlink"/>
            <w:rFonts w:asciiTheme="minorHAnsi" w:hAnsiTheme="minorHAnsi" w:cstheme="minorHAnsi"/>
            <w:lang w:val="en-GB" w:eastAsia="en-GB"/>
          </w:rPr>
          <w:t>Databases reconciliation</w:t>
        </w:r>
        <w:r w:rsidR="00037200" w:rsidRPr="00037200">
          <w:rPr>
            <w:rFonts w:asciiTheme="minorHAnsi" w:hAnsiTheme="minorHAnsi" w:cstheme="minorHAnsi"/>
            <w:webHidden/>
          </w:rPr>
          <w:tab/>
        </w:r>
        <w:r w:rsidR="00037200" w:rsidRPr="00037200">
          <w:rPr>
            <w:rFonts w:asciiTheme="minorHAnsi" w:hAnsiTheme="minorHAnsi" w:cstheme="minorHAnsi"/>
            <w:webHidden/>
          </w:rPr>
          <w:fldChar w:fldCharType="begin"/>
        </w:r>
        <w:r w:rsidR="00037200" w:rsidRPr="00037200">
          <w:rPr>
            <w:rFonts w:asciiTheme="minorHAnsi" w:hAnsiTheme="minorHAnsi" w:cstheme="minorHAnsi"/>
            <w:webHidden/>
          </w:rPr>
          <w:instrText xml:space="preserve"> PAGEREF _Toc40272692 \h </w:instrText>
        </w:r>
        <w:r w:rsidR="00037200" w:rsidRPr="00037200">
          <w:rPr>
            <w:rFonts w:asciiTheme="minorHAnsi" w:hAnsiTheme="minorHAnsi" w:cstheme="minorHAnsi"/>
            <w:webHidden/>
          </w:rPr>
        </w:r>
        <w:r w:rsidR="00037200" w:rsidRPr="00037200">
          <w:rPr>
            <w:rFonts w:asciiTheme="minorHAnsi" w:hAnsiTheme="minorHAnsi" w:cstheme="minorHAnsi"/>
            <w:webHidden/>
          </w:rPr>
          <w:fldChar w:fldCharType="separate"/>
        </w:r>
        <w:r w:rsidR="003C19FA">
          <w:rPr>
            <w:rFonts w:asciiTheme="minorHAnsi" w:hAnsiTheme="minorHAnsi" w:cstheme="minorHAnsi"/>
            <w:webHidden/>
          </w:rPr>
          <w:t>6</w:t>
        </w:r>
        <w:r w:rsidR="00037200" w:rsidRPr="00037200">
          <w:rPr>
            <w:rFonts w:asciiTheme="minorHAnsi" w:hAnsiTheme="minorHAnsi" w:cstheme="minorHAnsi"/>
            <w:webHidden/>
          </w:rPr>
          <w:fldChar w:fldCharType="end"/>
        </w:r>
      </w:hyperlink>
    </w:p>
    <w:p w14:paraId="672810C1" w14:textId="16C9F433" w:rsidR="00037200" w:rsidRPr="00037200" w:rsidRDefault="00BF15F1">
      <w:pPr>
        <w:pStyle w:val="TOC1"/>
        <w:rPr>
          <w:rFonts w:asciiTheme="minorHAnsi" w:eastAsiaTheme="minorEastAsia" w:hAnsiTheme="minorHAnsi" w:cstheme="minorHAnsi"/>
          <w:szCs w:val="22"/>
        </w:rPr>
      </w:pPr>
      <w:hyperlink w:anchor="_Toc40272693" w:history="1">
        <w:r w:rsidR="00037200" w:rsidRPr="00037200">
          <w:rPr>
            <w:rStyle w:val="Hyperlink"/>
            <w:rFonts w:asciiTheme="minorHAnsi" w:hAnsiTheme="minorHAnsi" w:cstheme="minorHAnsi"/>
            <w:lang w:val="en-GB"/>
          </w:rPr>
          <w:t>8.</w:t>
        </w:r>
        <w:r w:rsidR="00037200" w:rsidRPr="00037200">
          <w:rPr>
            <w:rFonts w:asciiTheme="minorHAnsi" w:eastAsiaTheme="minorEastAsia" w:hAnsiTheme="minorHAnsi" w:cstheme="minorHAnsi"/>
            <w:szCs w:val="22"/>
          </w:rPr>
          <w:tab/>
        </w:r>
        <w:r w:rsidR="00037200" w:rsidRPr="00037200">
          <w:rPr>
            <w:rStyle w:val="Hyperlink"/>
            <w:rFonts w:asciiTheme="minorHAnsi" w:hAnsiTheme="minorHAnsi" w:cstheme="minorHAnsi"/>
            <w:lang w:val="en-GB"/>
          </w:rPr>
          <w:t>Safety signal management and urgent safety measures</w:t>
        </w:r>
        <w:r w:rsidR="00037200" w:rsidRPr="00037200">
          <w:rPr>
            <w:rFonts w:asciiTheme="minorHAnsi" w:hAnsiTheme="minorHAnsi" w:cstheme="minorHAnsi"/>
            <w:webHidden/>
          </w:rPr>
          <w:tab/>
        </w:r>
        <w:r w:rsidR="00037200" w:rsidRPr="00037200">
          <w:rPr>
            <w:rFonts w:asciiTheme="minorHAnsi" w:hAnsiTheme="minorHAnsi" w:cstheme="minorHAnsi"/>
            <w:webHidden/>
          </w:rPr>
          <w:fldChar w:fldCharType="begin"/>
        </w:r>
        <w:r w:rsidR="00037200" w:rsidRPr="00037200">
          <w:rPr>
            <w:rFonts w:asciiTheme="minorHAnsi" w:hAnsiTheme="minorHAnsi" w:cstheme="minorHAnsi"/>
            <w:webHidden/>
          </w:rPr>
          <w:instrText xml:space="preserve"> PAGEREF _Toc40272693 \h </w:instrText>
        </w:r>
        <w:r w:rsidR="00037200" w:rsidRPr="00037200">
          <w:rPr>
            <w:rFonts w:asciiTheme="minorHAnsi" w:hAnsiTheme="minorHAnsi" w:cstheme="minorHAnsi"/>
            <w:webHidden/>
          </w:rPr>
        </w:r>
        <w:r w:rsidR="00037200" w:rsidRPr="00037200">
          <w:rPr>
            <w:rFonts w:asciiTheme="minorHAnsi" w:hAnsiTheme="minorHAnsi" w:cstheme="minorHAnsi"/>
            <w:webHidden/>
          </w:rPr>
          <w:fldChar w:fldCharType="separate"/>
        </w:r>
        <w:r w:rsidR="003C19FA">
          <w:rPr>
            <w:rFonts w:asciiTheme="minorHAnsi" w:hAnsiTheme="minorHAnsi" w:cstheme="minorHAnsi"/>
            <w:webHidden/>
          </w:rPr>
          <w:t>7</w:t>
        </w:r>
        <w:r w:rsidR="00037200" w:rsidRPr="00037200">
          <w:rPr>
            <w:rFonts w:asciiTheme="minorHAnsi" w:hAnsiTheme="minorHAnsi" w:cstheme="minorHAnsi"/>
            <w:webHidden/>
          </w:rPr>
          <w:fldChar w:fldCharType="end"/>
        </w:r>
      </w:hyperlink>
    </w:p>
    <w:p w14:paraId="0717A398" w14:textId="01943443" w:rsidR="00037200" w:rsidRPr="00037200" w:rsidRDefault="00BF15F1">
      <w:pPr>
        <w:pStyle w:val="TOC1"/>
        <w:rPr>
          <w:rFonts w:asciiTheme="minorHAnsi" w:eastAsiaTheme="minorEastAsia" w:hAnsiTheme="minorHAnsi" w:cstheme="minorHAnsi"/>
          <w:szCs w:val="22"/>
        </w:rPr>
      </w:pPr>
      <w:hyperlink w:anchor="_Toc40272694" w:history="1">
        <w:r w:rsidR="00037200" w:rsidRPr="00037200">
          <w:rPr>
            <w:rStyle w:val="Hyperlink"/>
            <w:rFonts w:asciiTheme="minorHAnsi" w:hAnsiTheme="minorHAnsi" w:cstheme="minorHAnsi"/>
            <w:lang w:val="en-GB"/>
          </w:rPr>
          <w:t>List of abbreviations and definitions</w:t>
        </w:r>
        <w:r w:rsidR="00037200" w:rsidRPr="00037200">
          <w:rPr>
            <w:rFonts w:asciiTheme="minorHAnsi" w:hAnsiTheme="minorHAnsi" w:cstheme="minorHAnsi"/>
            <w:webHidden/>
          </w:rPr>
          <w:tab/>
        </w:r>
        <w:r w:rsidR="00037200" w:rsidRPr="00037200">
          <w:rPr>
            <w:rFonts w:asciiTheme="minorHAnsi" w:hAnsiTheme="minorHAnsi" w:cstheme="minorHAnsi"/>
            <w:webHidden/>
          </w:rPr>
          <w:fldChar w:fldCharType="begin"/>
        </w:r>
        <w:r w:rsidR="00037200" w:rsidRPr="00037200">
          <w:rPr>
            <w:rFonts w:asciiTheme="minorHAnsi" w:hAnsiTheme="minorHAnsi" w:cstheme="minorHAnsi"/>
            <w:webHidden/>
          </w:rPr>
          <w:instrText xml:space="preserve"> PAGEREF _Toc40272694 \h </w:instrText>
        </w:r>
        <w:r w:rsidR="00037200" w:rsidRPr="00037200">
          <w:rPr>
            <w:rFonts w:asciiTheme="minorHAnsi" w:hAnsiTheme="minorHAnsi" w:cstheme="minorHAnsi"/>
            <w:webHidden/>
          </w:rPr>
        </w:r>
        <w:r w:rsidR="00037200" w:rsidRPr="00037200">
          <w:rPr>
            <w:rFonts w:asciiTheme="minorHAnsi" w:hAnsiTheme="minorHAnsi" w:cstheme="minorHAnsi"/>
            <w:webHidden/>
          </w:rPr>
          <w:fldChar w:fldCharType="separate"/>
        </w:r>
        <w:r w:rsidR="003C19FA">
          <w:rPr>
            <w:rFonts w:asciiTheme="minorHAnsi" w:hAnsiTheme="minorHAnsi" w:cstheme="minorHAnsi"/>
            <w:webHidden/>
          </w:rPr>
          <w:t>8</w:t>
        </w:r>
        <w:r w:rsidR="00037200" w:rsidRPr="00037200">
          <w:rPr>
            <w:rFonts w:asciiTheme="minorHAnsi" w:hAnsiTheme="minorHAnsi" w:cstheme="minorHAnsi"/>
            <w:webHidden/>
          </w:rPr>
          <w:fldChar w:fldCharType="end"/>
        </w:r>
      </w:hyperlink>
    </w:p>
    <w:p w14:paraId="30EBABC7" w14:textId="4591285C" w:rsidR="00037200" w:rsidRPr="00037200" w:rsidRDefault="00BF15F1">
      <w:pPr>
        <w:pStyle w:val="TOC1"/>
        <w:rPr>
          <w:rFonts w:asciiTheme="minorHAnsi" w:eastAsiaTheme="minorEastAsia" w:hAnsiTheme="minorHAnsi" w:cstheme="minorHAnsi"/>
          <w:szCs w:val="22"/>
        </w:rPr>
      </w:pPr>
      <w:hyperlink w:anchor="_Toc40272695" w:history="1">
        <w:r w:rsidR="00037200" w:rsidRPr="00037200">
          <w:rPr>
            <w:rStyle w:val="Hyperlink"/>
            <w:rFonts w:asciiTheme="minorHAnsi" w:hAnsiTheme="minorHAnsi" w:cstheme="minorHAnsi"/>
            <w:lang w:val="en-GB"/>
          </w:rPr>
          <w:t>List of references</w:t>
        </w:r>
        <w:r w:rsidR="00037200" w:rsidRPr="00037200">
          <w:rPr>
            <w:rFonts w:asciiTheme="minorHAnsi" w:hAnsiTheme="minorHAnsi" w:cstheme="minorHAnsi"/>
            <w:webHidden/>
          </w:rPr>
          <w:tab/>
        </w:r>
        <w:r w:rsidR="00037200" w:rsidRPr="00037200">
          <w:rPr>
            <w:rFonts w:asciiTheme="minorHAnsi" w:hAnsiTheme="minorHAnsi" w:cstheme="minorHAnsi"/>
            <w:webHidden/>
          </w:rPr>
          <w:fldChar w:fldCharType="begin"/>
        </w:r>
        <w:r w:rsidR="00037200" w:rsidRPr="00037200">
          <w:rPr>
            <w:rFonts w:asciiTheme="minorHAnsi" w:hAnsiTheme="minorHAnsi" w:cstheme="minorHAnsi"/>
            <w:webHidden/>
          </w:rPr>
          <w:instrText xml:space="preserve"> PAGEREF _Toc40272695 \h </w:instrText>
        </w:r>
        <w:r w:rsidR="00037200" w:rsidRPr="00037200">
          <w:rPr>
            <w:rFonts w:asciiTheme="minorHAnsi" w:hAnsiTheme="minorHAnsi" w:cstheme="minorHAnsi"/>
            <w:webHidden/>
          </w:rPr>
        </w:r>
        <w:r w:rsidR="00037200" w:rsidRPr="00037200">
          <w:rPr>
            <w:rFonts w:asciiTheme="minorHAnsi" w:hAnsiTheme="minorHAnsi" w:cstheme="minorHAnsi"/>
            <w:webHidden/>
          </w:rPr>
          <w:fldChar w:fldCharType="separate"/>
        </w:r>
        <w:r w:rsidR="003C19FA">
          <w:rPr>
            <w:rFonts w:asciiTheme="minorHAnsi" w:hAnsiTheme="minorHAnsi" w:cstheme="minorHAnsi"/>
            <w:webHidden/>
          </w:rPr>
          <w:t>9</w:t>
        </w:r>
        <w:r w:rsidR="00037200" w:rsidRPr="00037200">
          <w:rPr>
            <w:rFonts w:asciiTheme="minorHAnsi" w:hAnsiTheme="minorHAnsi" w:cstheme="minorHAnsi"/>
            <w:webHidden/>
          </w:rPr>
          <w:fldChar w:fldCharType="end"/>
        </w:r>
      </w:hyperlink>
    </w:p>
    <w:p w14:paraId="5C29B58D" w14:textId="07EE1CB5" w:rsidR="00037200" w:rsidRPr="00037200" w:rsidRDefault="00BF15F1">
      <w:pPr>
        <w:pStyle w:val="TOC1"/>
        <w:rPr>
          <w:rFonts w:asciiTheme="minorHAnsi" w:eastAsiaTheme="minorEastAsia" w:hAnsiTheme="minorHAnsi" w:cstheme="minorHAnsi"/>
          <w:szCs w:val="22"/>
        </w:rPr>
      </w:pPr>
      <w:hyperlink w:anchor="_Toc40272696" w:history="1">
        <w:r w:rsidR="00037200" w:rsidRPr="00037200">
          <w:rPr>
            <w:rStyle w:val="Hyperlink"/>
            <w:rFonts w:asciiTheme="minorHAnsi" w:hAnsiTheme="minorHAnsi" w:cstheme="minorHAnsi"/>
            <w:lang w:val="en-GB"/>
          </w:rPr>
          <w:t>Pharmacovigilance contact information</w:t>
        </w:r>
        <w:r w:rsidR="00037200" w:rsidRPr="00037200">
          <w:rPr>
            <w:rFonts w:asciiTheme="minorHAnsi" w:hAnsiTheme="minorHAnsi" w:cstheme="minorHAnsi"/>
            <w:webHidden/>
          </w:rPr>
          <w:tab/>
        </w:r>
        <w:r w:rsidR="00037200" w:rsidRPr="00037200">
          <w:rPr>
            <w:rFonts w:asciiTheme="minorHAnsi" w:hAnsiTheme="minorHAnsi" w:cstheme="minorHAnsi"/>
            <w:webHidden/>
          </w:rPr>
          <w:fldChar w:fldCharType="begin"/>
        </w:r>
        <w:r w:rsidR="00037200" w:rsidRPr="00037200">
          <w:rPr>
            <w:rFonts w:asciiTheme="minorHAnsi" w:hAnsiTheme="minorHAnsi" w:cstheme="minorHAnsi"/>
            <w:webHidden/>
          </w:rPr>
          <w:instrText xml:space="preserve"> PAGEREF _Toc40272696 \h </w:instrText>
        </w:r>
        <w:r w:rsidR="00037200" w:rsidRPr="00037200">
          <w:rPr>
            <w:rFonts w:asciiTheme="minorHAnsi" w:hAnsiTheme="minorHAnsi" w:cstheme="minorHAnsi"/>
            <w:webHidden/>
          </w:rPr>
        </w:r>
        <w:r w:rsidR="00037200" w:rsidRPr="00037200">
          <w:rPr>
            <w:rFonts w:asciiTheme="minorHAnsi" w:hAnsiTheme="minorHAnsi" w:cstheme="minorHAnsi"/>
            <w:webHidden/>
          </w:rPr>
          <w:fldChar w:fldCharType="separate"/>
        </w:r>
        <w:r w:rsidR="003C19FA">
          <w:rPr>
            <w:rFonts w:asciiTheme="minorHAnsi" w:hAnsiTheme="minorHAnsi" w:cstheme="minorHAnsi"/>
            <w:webHidden/>
          </w:rPr>
          <w:t>11</w:t>
        </w:r>
        <w:r w:rsidR="00037200" w:rsidRPr="00037200">
          <w:rPr>
            <w:rFonts w:asciiTheme="minorHAnsi" w:hAnsiTheme="minorHAnsi" w:cstheme="minorHAnsi"/>
            <w:webHidden/>
          </w:rPr>
          <w:fldChar w:fldCharType="end"/>
        </w:r>
      </w:hyperlink>
    </w:p>
    <w:p w14:paraId="1B4F46FF" w14:textId="416EB437" w:rsidR="00432DF4" w:rsidRPr="00225F0F" w:rsidRDefault="00432DF4" w:rsidP="00902B0E">
      <w:pPr>
        <w:rPr>
          <w:rFonts w:ascii="Arial" w:hAnsi="Arial" w:cs="Arial"/>
          <w:spacing w:val="-3"/>
          <w:lang w:val="en-GB"/>
        </w:rPr>
      </w:pPr>
      <w:r w:rsidRPr="00037200">
        <w:rPr>
          <w:rFonts w:asciiTheme="minorHAnsi" w:hAnsiTheme="minorHAnsi" w:cstheme="minorHAnsi"/>
          <w:spacing w:val="-3"/>
          <w:szCs w:val="22"/>
          <w:lang w:val="en-GB"/>
        </w:rPr>
        <w:fldChar w:fldCharType="end"/>
      </w:r>
    </w:p>
    <w:p w14:paraId="1B4F4700" w14:textId="77777777" w:rsidR="00432DF4" w:rsidRPr="00225F0F" w:rsidRDefault="00432DF4" w:rsidP="003B6CCD">
      <w:pPr>
        <w:pStyle w:val="Heading1"/>
        <w:numPr>
          <w:ilvl w:val="0"/>
          <w:numId w:val="0"/>
        </w:numPr>
        <w:rPr>
          <w:lang w:val="en-GB"/>
        </w:rPr>
      </w:pPr>
      <w:r w:rsidRPr="00225F0F">
        <w:rPr>
          <w:lang w:val="en-GB"/>
        </w:rPr>
        <w:br w:type="page"/>
      </w:r>
    </w:p>
    <w:p w14:paraId="1B4F4701" w14:textId="77777777" w:rsidR="00432DF4" w:rsidRPr="00225F0F" w:rsidRDefault="00224C07" w:rsidP="00FF03C9">
      <w:pPr>
        <w:pStyle w:val="Heading1"/>
        <w:rPr>
          <w:lang w:val="en-GB"/>
        </w:rPr>
      </w:pPr>
      <w:bookmarkStart w:id="25" w:name="_Toc150149408"/>
      <w:bookmarkStart w:id="26" w:name="_Toc171828793"/>
      <w:bookmarkStart w:id="27" w:name="_Toc40272684"/>
      <w:r w:rsidRPr="00225F0F">
        <w:rPr>
          <w:lang w:val="en-GB"/>
        </w:rPr>
        <w:lastRenderedPageBreak/>
        <w:t>Safety data collection and transmission to the Sponsor’s Pharmacovigilance Unit</w:t>
      </w:r>
      <w:bookmarkEnd w:id="25"/>
      <w:bookmarkEnd w:id="26"/>
      <w:bookmarkEnd w:id="27"/>
    </w:p>
    <w:p w14:paraId="1B4F4702" w14:textId="56C4940D" w:rsidR="00224C07" w:rsidRPr="00C61E96" w:rsidRDefault="001867BC" w:rsidP="00B93AA0">
      <w:pPr>
        <w:rPr>
          <w:rFonts w:asciiTheme="minorHAnsi" w:hAnsiTheme="minorHAnsi"/>
          <w:lang w:val="en-GB"/>
        </w:rPr>
      </w:pPr>
      <w:r w:rsidRPr="00225F0F">
        <w:rPr>
          <w:rFonts w:asciiTheme="minorHAnsi" w:hAnsiTheme="minorHAnsi"/>
          <w:lang w:val="en-GB"/>
        </w:rPr>
        <w:t>The recording of adverse events (AEs) and other relevant safety parameters as de</w:t>
      </w:r>
      <w:r w:rsidR="00224C07" w:rsidRPr="00225F0F">
        <w:rPr>
          <w:rFonts w:asciiTheme="minorHAnsi" w:hAnsiTheme="minorHAnsi"/>
          <w:lang w:val="en-GB"/>
        </w:rPr>
        <w:t>fined in the clinical trial</w:t>
      </w:r>
      <w:r w:rsidRPr="00225F0F">
        <w:rPr>
          <w:rFonts w:asciiTheme="minorHAnsi" w:hAnsiTheme="minorHAnsi"/>
          <w:lang w:val="en-GB"/>
        </w:rPr>
        <w:t xml:space="preserve"> </w:t>
      </w:r>
      <w:r w:rsidRPr="00C61E96">
        <w:rPr>
          <w:rFonts w:asciiTheme="minorHAnsi" w:hAnsiTheme="minorHAnsi"/>
          <w:lang w:val="en-GB"/>
        </w:rPr>
        <w:t>protocol</w:t>
      </w:r>
      <w:r w:rsidR="00C506AE" w:rsidRPr="00C61E96">
        <w:rPr>
          <w:rFonts w:asciiTheme="minorHAnsi" w:hAnsiTheme="minorHAnsi"/>
          <w:lang w:val="en-GB"/>
        </w:rPr>
        <w:t>s</w:t>
      </w:r>
      <w:r w:rsidRPr="00C61E96">
        <w:rPr>
          <w:rFonts w:asciiTheme="minorHAnsi" w:hAnsiTheme="minorHAnsi"/>
          <w:lang w:val="en-GB"/>
        </w:rPr>
        <w:t xml:space="preserve"> (e.g. pregnancy, overdose) starts from the initiation of study treatment. This is applicable to </w:t>
      </w:r>
      <w:r w:rsidRPr="00C61E96">
        <w:rPr>
          <w:rFonts w:asciiTheme="minorHAnsi" w:hAnsiTheme="minorHAnsi"/>
          <w:u w:val="single"/>
          <w:lang w:val="en-GB"/>
        </w:rPr>
        <w:t>all</w:t>
      </w:r>
      <w:r w:rsidRPr="00C61E96">
        <w:rPr>
          <w:rFonts w:asciiTheme="minorHAnsi" w:hAnsiTheme="minorHAnsi"/>
          <w:lang w:val="en-GB"/>
        </w:rPr>
        <w:t xml:space="preserve"> patients irres</w:t>
      </w:r>
      <w:r w:rsidR="00467FF1" w:rsidRPr="00C61E96">
        <w:rPr>
          <w:rFonts w:asciiTheme="minorHAnsi" w:hAnsiTheme="minorHAnsi"/>
          <w:lang w:val="en-GB"/>
        </w:rPr>
        <w:t>pec</w:t>
      </w:r>
      <w:r w:rsidR="00224C07" w:rsidRPr="00C61E96">
        <w:rPr>
          <w:rFonts w:asciiTheme="minorHAnsi" w:hAnsiTheme="minorHAnsi"/>
          <w:lang w:val="en-GB"/>
        </w:rPr>
        <w:t>tive of treatment allocation.</w:t>
      </w:r>
    </w:p>
    <w:p w14:paraId="1B4F4703" w14:textId="4EA33EC7" w:rsidR="001867BC" w:rsidRPr="00C61E96" w:rsidRDefault="001867BC" w:rsidP="00AC75CD">
      <w:pPr>
        <w:rPr>
          <w:rFonts w:asciiTheme="minorHAnsi" w:hAnsiTheme="minorHAnsi"/>
          <w:lang w:val="en-GB"/>
        </w:rPr>
      </w:pPr>
      <w:r w:rsidRPr="00C61E96">
        <w:rPr>
          <w:rFonts w:asciiTheme="minorHAnsi" w:hAnsiTheme="minorHAnsi"/>
          <w:lang w:val="en-GB"/>
        </w:rPr>
        <w:t xml:space="preserve">Any untoward medical occurrence in a patient enrolled in the </w:t>
      </w:r>
      <w:r w:rsidR="00224C07" w:rsidRPr="00C61E96">
        <w:rPr>
          <w:rFonts w:asciiTheme="minorHAnsi" w:hAnsiTheme="minorHAnsi"/>
          <w:lang w:val="en-GB"/>
        </w:rPr>
        <w:t>clinical trial</w:t>
      </w:r>
      <w:r w:rsidR="00C506AE" w:rsidRPr="00C61E96">
        <w:rPr>
          <w:rFonts w:asciiTheme="minorHAnsi" w:hAnsiTheme="minorHAnsi"/>
          <w:lang w:val="en-GB"/>
        </w:rPr>
        <w:t>s</w:t>
      </w:r>
      <w:r w:rsidR="00467FF1" w:rsidRPr="00C61E96">
        <w:rPr>
          <w:rFonts w:asciiTheme="minorHAnsi" w:hAnsiTheme="minorHAnsi"/>
          <w:lang w:val="en-GB"/>
        </w:rPr>
        <w:t xml:space="preserve"> qualifies as an AE, including a</w:t>
      </w:r>
      <w:r w:rsidRPr="00C61E96">
        <w:rPr>
          <w:rFonts w:asciiTheme="minorHAnsi" w:hAnsiTheme="minorHAnsi"/>
          <w:lang w:val="en-GB"/>
        </w:rPr>
        <w:t>ny symptom, sign, or laboratory abnormality that was not present at baseline, and</w:t>
      </w:r>
      <w:r w:rsidR="00467FF1" w:rsidRPr="00C61E96">
        <w:rPr>
          <w:rFonts w:asciiTheme="minorHAnsi" w:hAnsiTheme="minorHAnsi"/>
          <w:lang w:val="en-GB"/>
        </w:rPr>
        <w:t xml:space="preserve"> a</w:t>
      </w:r>
      <w:r w:rsidR="00706916" w:rsidRPr="00C61E96">
        <w:rPr>
          <w:rFonts w:asciiTheme="minorHAnsi" w:hAnsiTheme="minorHAnsi"/>
          <w:lang w:val="en-GB"/>
        </w:rPr>
        <w:t xml:space="preserve">ny worsening of an </w:t>
      </w:r>
      <w:r w:rsidRPr="00C61E96">
        <w:rPr>
          <w:rFonts w:asciiTheme="minorHAnsi" w:hAnsiTheme="minorHAnsi"/>
          <w:lang w:val="en-GB"/>
        </w:rPr>
        <w:t>abnormality already present at baseline.</w:t>
      </w:r>
    </w:p>
    <w:p w14:paraId="1B4F4704" w14:textId="77777777" w:rsidR="001E4CFE" w:rsidRPr="00C61E96" w:rsidRDefault="00706916" w:rsidP="00B0531E">
      <w:pPr>
        <w:rPr>
          <w:rFonts w:asciiTheme="minorHAnsi" w:hAnsiTheme="minorHAnsi"/>
          <w:lang w:val="en-GB"/>
        </w:rPr>
      </w:pPr>
      <w:r w:rsidRPr="00C61E96">
        <w:rPr>
          <w:rFonts w:asciiTheme="minorHAnsi" w:hAnsiTheme="minorHAnsi"/>
          <w:lang w:val="en-GB"/>
        </w:rPr>
        <w:t xml:space="preserve">Safety data collection and transmission to the Sponsor’s Pharmacovigilance Unit (PV Unit) is under the responsibility of the Site Principal Investigator and Site Co-Investigators. The PV Unit receives immediately, </w:t>
      </w:r>
      <w:r w:rsidR="00FB043A" w:rsidRPr="00C61E96">
        <w:rPr>
          <w:rFonts w:asciiTheme="minorHAnsi" w:hAnsiTheme="minorHAnsi"/>
          <w:b/>
          <w:lang w:val="en-GB"/>
        </w:rPr>
        <w:t>within 24 hours of first awareness on site</w:t>
      </w:r>
      <w:r w:rsidR="00FB043A" w:rsidRPr="00C61E96">
        <w:rPr>
          <w:rFonts w:asciiTheme="minorHAnsi" w:hAnsiTheme="minorHAnsi"/>
          <w:lang w:val="en-GB"/>
        </w:rPr>
        <w:t xml:space="preserve">, </w:t>
      </w:r>
      <w:r w:rsidRPr="00C61E96">
        <w:rPr>
          <w:rFonts w:asciiTheme="minorHAnsi" w:hAnsiTheme="minorHAnsi"/>
          <w:lang w:val="en-GB"/>
        </w:rPr>
        <w:t xml:space="preserve">via </w:t>
      </w:r>
      <w:r w:rsidR="00FB043A" w:rsidRPr="00C61E96">
        <w:rPr>
          <w:rFonts w:asciiTheme="minorHAnsi" w:hAnsiTheme="minorHAnsi"/>
          <w:lang w:val="en-GB"/>
        </w:rPr>
        <w:t>email</w:t>
      </w:r>
      <w:r w:rsidRPr="00C61E96">
        <w:rPr>
          <w:rFonts w:asciiTheme="minorHAnsi" w:hAnsiTheme="minorHAnsi"/>
          <w:lang w:val="en-GB"/>
        </w:rPr>
        <w:t xml:space="preserve"> and on dedicated </w:t>
      </w:r>
      <w:r w:rsidR="008079B0" w:rsidRPr="00C61E96">
        <w:rPr>
          <w:rFonts w:asciiTheme="minorHAnsi" w:hAnsiTheme="minorHAnsi"/>
          <w:b/>
          <w:i/>
          <w:lang w:val="en-GB"/>
        </w:rPr>
        <w:t>anonymised</w:t>
      </w:r>
      <w:r w:rsidR="008079B0" w:rsidRPr="00C61E96">
        <w:rPr>
          <w:rFonts w:asciiTheme="minorHAnsi" w:hAnsiTheme="minorHAnsi"/>
          <w:lang w:val="en-GB"/>
        </w:rPr>
        <w:t xml:space="preserve"> </w:t>
      </w:r>
      <w:r w:rsidRPr="00C61E96">
        <w:rPr>
          <w:rFonts w:asciiTheme="minorHAnsi" w:hAnsiTheme="minorHAnsi"/>
          <w:lang w:val="en-GB"/>
        </w:rPr>
        <w:t>Report Forms:</w:t>
      </w:r>
    </w:p>
    <w:p w14:paraId="1B4F4705" w14:textId="77777777" w:rsidR="00706916" w:rsidRPr="00C61E96" w:rsidRDefault="00FB043A" w:rsidP="00B0531E">
      <w:pPr>
        <w:pStyle w:val="ListParagraph"/>
        <w:numPr>
          <w:ilvl w:val="0"/>
          <w:numId w:val="36"/>
        </w:numPr>
        <w:ind w:left="714" w:hanging="357"/>
        <w:contextualSpacing w:val="0"/>
        <w:rPr>
          <w:rFonts w:asciiTheme="minorHAnsi" w:hAnsiTheme="minorHAnsi"/>
          <w:lang w:val="en-GB"/>
        </w:rPr>
      </w:pPr>
      <w:r w:rsidRPr="00C61E96">
        <w:rPr>
          <w:rFonts w:asciiTheme="minorHAnsi" w:hAnsiTheme="minorHAnsi"/>
          <w:lang w:val="en-GB"/>
        </w:rPr>
        <w:t>All</w:t>
      </w:r>
      <w:r w:rsidR="00467FF1" w:rsidRPr="00C61E96">
        <w:rPr>
          <w:rFonts w:asciiTheme="minorHAnsi" w:hAnsiTheme="minorHAnsi"/>
          <w:lang w:val="en-GB"/>
        </w:rPr>
        <w:t xml:space="preserve"> </w:t>
      </w:r>
      <w:r w:rsidR="00467FF1" w:rsidRPr="00C61E96">
        <w:rPr>
          <w:rFonts w:asciiTheme="minorHAnsi" w:hAnsiTheme="minorHAnsi"/>
          <w:b/>
          <w:lang w:val="en-GB"/>
        </w:rPr>
        <w:t>serious AE</w:t>
      </w:r>
      <w:r w:rsidRPr="00C61E96">
        <w:rPr>
          <w:rFonts w:asciiTheme="minorHAnsi" w:hAnsiTheme="minorHAnsi"/>
          <w:b/>
          <w:lang w:val="en-GB"/>
        </w:rPr>
        <w:t>s</w:t>
      </w:r>
      <w:r w:rsidR="00467FF1" w:rsidRPr="00C61E96">
        <w:rPr>
          <w:rFonts w:asciiTheme="minorHAnsi" w:hAnsiTheme="minorHAnsi"/>
          <w:b/>
          <w:lang w:val="en-GB"/>
        </w:rPr>
        <w:t xml:space="preserve"> (SAE</w:t>
      </w:r>
      <w:r w:rsidRPr="00C61E96">
        <w:rPr>
          <w:rFonts w:asciiTheme="minorHAnsi" w:hAnsiTheme="minorHAnsi"/>
          <w:b/>
          <w:lang w:val="en-GB"/>
        </w:rPr>
        <w:t>s</w:t>
      </w:r>
      <w:r w:rsidR="00467FF1" w:rsidRPr="00C61E96">
        <w:rPr>
          <w:rFonts w:asciiTheme="minorHAnsi" w:hAnsiTheme="minorHAnsi"/>
          <w:b/>
          <w:lang w:val="en-GB"/>
        </w:rPr>
        <w:t>)</w:t>
      </w:r>
      <w:r w:rsidR="00467FF1" w:rsidRPr="00C61E96">
        <w:rPr>
          <w:rFonts w:asciiTheme="minorHAnsi" w:hAnsiTheme="minorHAnsi"/>
          <w:lang w:val="en-GB"/>
        </w:rPr>
        <w:t xml:space="preserve"> </w:t>
      </w:r>
      <w:proofErr w:type="gramStart"/>
      <w:r w:rsidR="00467FF1" w:rsidRPr="00C61E96">
        <w:rPr>
          <w:rFonts w:asciiTheme="minorHAnsi" w:hAnsiTheme="minorHAnsi"/>
          <w:lang w:val="en-GB"/>
        </w:rPr>
        <w:t>whether or not</w:t>
      </w:r>
      <w:proofErr w:type="gramEnd"/>
      <w:r w:rsidR="00467FF1" w:rsidRPr="00C61E96">
        <w:rPr>
          <w:rFonts w:asciiTheme="minorHAnsi" w:hAnsiTheme="minorHAnsi"/>
          <w:lang w:val="en-GB"/>
        </w:rPr>
        <w:t xml:space="preserve"> deemed related to one or several </w:t>
      </w:r>
      <w:r w:rsidR="00D16A7D" w:rsidRPr="00C61E96">
        <w:rPr>
          <w:rFonts w:asciiTheme="minorHAnsi" w:hAnsiTheme="minorHAnsi"/>
          <w:lang w:val="en-GB"/>
        </w:rPr>
        <w:t>investigational medicinal product(s) (</w:t>
      </w:r>
      <w:r w:rsidR="00467FF1" w:rsidRPr="00C61E96">
        <w:rPr>
          <w:rFonts w:asciiTheme="minorHAnsi" w:hAnsiTheme="minorHAnsi"/>
          <w:lang w:val="en-GB"/>
        </w:rPr>
        <w:t>IMPs)</w:t>
      </w:r>
      <w:r w:rsidR="00706916" w:rsidRPr="00C61E96">
        <w:rPr>
          <w:rFonts w:asciiTheme="minorHAnsi" w:hAnsiTheme="minorHAnsi"/>
          <w:lang w:val="en-GB"/>
        </w:rPr>
        <w:t>,</w:t>
      </w:r>
      <w:r w:rsidR="00467FF1" w:rsidRPr="00C61E96">
        <w:rPr>
          <w:rFonts w:asciiTheme="minorHAnsi" w:hAnsiTheme="minorHAnsi"/>
          <w:lang w:val="en-GB"/>
        </w:rPr>
        <w:t xml:space="preserve"> </w:t>
      </w:r>
    </w:p>
    <w:p w14:paraId="1B4F4706" w14:textId="77777777" w:rsidR="00706916" w:rsidRPr="00C61E96" w:rsidRDefault="00706916" w:rsidP="00B0531E">
      <w:pPr>
        <w:pStyle w:val="ListParagraph"/>
        <w:numPr>
          <w:ilvl w:val="0"/>
          <w:numId w:val="36"/>
        </w:numPr>
        <w:ind w:left="714" w:hanging="357"/>
        <w:contextualSpacing w:val="0"/>
        <w:rPr>
          <w:rFonts w:asciiTheme="minorHAnsi" w:hAnsiTheme="minorHAnsi"/>
          <w:lang w:val="en-GB"/>
        </w:rPr>
      </w:pPr>
      <w:r w:rsidRPr="00C61E96">
        <w:rPr>
          <w:rFonts w:asciiTheme="minorHAnsi" w:hAnsiTheme="minorHAnsi"/>
          <w:lang w:val="en-GB"/>
        </w:rPr>
        <w:t>N</w:t>
      </w:r>
      <w:r w:rsidR="00D16A7D" w:rsidRPr="00C61E96">
        <w:rPr>
          <w:rFonts w:asciiTheme="minorHAnsi" w:hAnsiTheme="minorHAnsi"/>
          <w:lang w:val="en-GB"/>
        </w:rPr>
        <w:t>on-serious AEs</w:t>
      </w:r>
      <w:r w:rsidRPr="00C61E96">
        <w:rPr>
          <w:rFonts w:asciiTheme="minorHAnsi" w:hAnsiTheme="minorHAnsi"/>
          <w:lang w:val="en-GB"/>
        </w:rPr>
        <w:t xml:space="preserve"> </w:t>
      </w:r>
      <w:r w:rsidR="00D16A7D" w:rsidRPr="00C61E96">
        <w:rPr>
          <w:rFonts w:asciiTheme="minorHAnsi" w:hAnsiTheme="minorHAnsi"/>
          <w:lang w:val="en-GB"/>
        </w:rPr>
        <w:t>defined</w:t>
      </w:r>
      <w:r w:rsidRPr="00C61E96">
        <w:rPr>
          <w:rFonts w:asciiTheme="minorHAnsi" w:hAnsiTheme="minorHAnsi"/>
          <w:lang w:val="en-GB"/>
        </w:rPr>
        <w:t xml:space="preserve"> per protocol as pertaining to</w:t>
      </w:r>
      <w:r w:rsidR="00D16A7D" w:rsidRPr="00C61E96">
        <w:rPr>
          <w:rFonts w:asciiTheme="minorHAnsi" w:hAnsiTheme="minorHAnsi"/>
          <w:lang w:val="en-GB"/>
        </w:rPr>
        <w:t xml:space="preserve"> </w:t>
      </w:r>
      <w:r w:rsidR="00D16A7D" w:rsidRPr="00C61E96">
        <w:rPr>
          <w:rFonts w:asciiTheme="minorHAnsi" w:hAnsiTheme="minorHAnsi"/>
          <w:b/>
          <w:lang w:val="en-GB"/>
        </w:rPr>
        <w:t>areas of special interest</w:t>
      </w:r>
      <w:r w:rsidRPr="00C61E96">
        <w:rPr>
          <w:rFonts w:asciiTheme="minorHAnsi" w:hAnsiTheme="minorHAnsi"/>
          <w:lang w:val="en-GB"/>
        </w:rPr>
        <w:t>,</w:t>
      </w:r>
    </w:p>
    <w:p w14:paraId="1B4F4707" w14:textId="77777777" w:rsidR="00706916" w:rsidRPr="00C61E96" w:rsidRDefault="00706916" w:rsidP="00B0531E">
      <w:pPr>
        <w:pStyle w:val="ListParagraph"/>
        <w:numPr>
          <w:ilvl w:val="0"/>
          <w:numId w:val="36"/>
        </w:numPr>
        <w:ind w:left="714" w:hanging="357"/>
        <w:contextualSpacing w:val="0"/>
        <w:rPr>
          <w:rFonts w:asciiTheme="minorHAnsi" w:hAnsiTheme="minorHAnsi"/>
          <w:lang w:val="en-GB"/>
        </w:rPr>
      </w:pPr>
      <w:r w:rsidRPr="00C61E96">
        <w:rPr>
          <w:rFonts w:asciiTheme="minorHAnsi" w:hAnsiTheme="minorHAnsi"/>
          <w:lang w:val="en-GB"/>
        </w:rPr>
        <w:t xml:space="preserve">Any </w:t>
      </w:r>
      <w:r w:rsidR="001867BC" w:rsidRPr="00C61E96">
        <w:rPr>
          <w:rFonts w:asciiTheme="minorHAnsi" w:hAnsiTheme="minorHAnsi"/>
          <w:b/>
          <w:lang w:val="en-GB"/>
        </w:rPr>
        <w:t>overdose</w:t>
      </w:r>
      <w:r w:rsidR="001867BC" w:rsidRPr="00C61E96">
        <w:rPr>
          <w:rFonts w:asciiTheme="minorHAnsi" w:hAnsiTheme="minorHAnsi"/>
          <w:lang w:val="en-GB"/>
        </w:rPr>
        <w:t xml:space="preserve"> of</w:t>
      </w:r>
      <w:r w:rsidR="00467FF1" w:rsidRPr="00C61E96">
        <w:rPr>
          <w:rFonts w:asciiTheme="minorHAnsi" w:hAnsiTheme="minorHAnsi"/>
          <w:lang w:val="en-GB"/>
        </w:rPr>
        <w:t xml:space="preserve"> an</w:t>
      </w:r>
      <w:r w:rsidR="001867BC" w:rsidRPr="00C61E96">
        <w:rPr>
          <w:rFonts w:asciiTheme="minorHAnsi" w:hAnsiTheme="minorHAnsi"/>
          <w:lang w:val="en-GB"/>
        </w:rPr>
        <w:t xml:space="preserve"> IMP</w:t>
      </w:r>
      <w:r w:rsidRPr="00C61E96">
        <w:rPr>
          <w:rFonts w:asciiTheme="minorHAnsi" w:hAnsiTheme="minorHAnsi"/>
          <w:lang w:val="en-GB"/>
        </w:rPr>
        <w:t>, and</w:t>
      </w:r>
    </w:p>
    <w:p w14:paraId="1B4F4708" w14:textId="77777777" w:rsidR="00592953" w:rsidRPr="00C61E96" w:rsidRDefault="00706916" w:rsidP="00B0531E">
      <w:pPr>
        <w:pStyle w:val="ListParagraph"/>
        <w:numPr>
          <w:ilvl w:val="0"/>
          <w:numId w:val="36"/>
        </w:numPr>
        <w:ind w:left="714" w:hanging="357"/>
        <w:contextualSpacing w:val="0"/>
        <w:rPr>
          <w:rFonts w:asciiTheme="minorHAnsi" w:hAnsiTheme="minorHAnsi"/>
          <w:lang w:val="en-GB"/>
        </w:rPr>
      </w:pPr>
      <w:r w:rsidRPr="00C61E96">
        <w:rPr>
          <w:rFonts w:asciiTheme="minorHAnsi" w:hAnsiTheme="minorHAnsi"/>
          <w:b/>
          <w:lang w:val="en-GB"/>
        </w:rPr>
        <w:t>P</w:t>
      </w:r>
      <w:r w:rsidR="001867BC" w:rsidRPr="00C61E96">
        <w:rPr>
          <w:rFonts w:asciiTheme="minorHAnsi" w:hAnsiTheme="minorHAnsi"/>
          <w:b/>
          <w:lang w:val="en-GB"/>
        </w:rPr>
        <w:t>regnancy</w:t>
      </w:r>
      <w:r w:rsidR="001867BC" w:rsidRPr="00C61E96">
        <w:rPr>
          <w:rFonts w:asciiTheme="minorHAnsi" w:hAnsiTheme="minorHAnsi"/>
          <w:lang w:val="en-GB"/>
        </w:rPr>
        <w:t xml:space="preserve"> in an enrolled female patient or in the female part</w:t>
      </w:r>
      <w:r w:rsidRPr="00C61E96">
        <w:rPr>
          <w:rFonts w:asciiTheme="minorHAnsi" w:hAnsiTheme="minorHAnsi"/>
          <w:lang w:val="en-GB"/>
        </w:rPr>
        <w:t>ner of an enrolled male patient</w:t>
      </w:r>
      <w:r w:rsidR="001867BC" w:rsidRPr="00C61E96">
        <w:rPr>
          <w:rFonts w:asciiTheme="minorHAnsi" w:hAnsiTheme="minorHAnsi"/>
          <w:lang w:val="en-GB"/>
        </w:rPr>
        <w:t>.</w:t>
      </w:r>
      <w:r w:rsidR="001E4CFE" w:rsidRPr="00C61E96">
        <w:rPr>
          <w:rFonts w:asciiTheme="minorHAnsi" w:hAnsiTheme="minorHAnsi"/>
          <w:lang w:val="en-GB"/>
        </w:rPr>
        <w:t xml:space="preserve"> </w:t>
      </w:r>
    </w:p>
    <w:p w14:paraId="1B4F4709" w14:textId="2C2BA420" w:rsidR="00490279" w:rsidRPr="00C61E96" w:rsidRDefault="00B93AA0" w:rsidP="00AC75CD">
      <w:pPr>
        <w:rPr>
          <w:rStyle w:val="Emphasis"/>
          <w:rFonts w:asciiTheme="minorHAnsi" w:hAnsiTheme="minorHAnsi" w:cs="Arial"/>
          <w:sz w:val="22"/>
          <w:szCs w:val="22"/>
          <w:lang w:val="en-GB"/>
        </w:rPr>
      </w:pPr>
      <w:r w:rsidRPr="00C61E96">
        <w:rPr>
          <w:rStyle w:val="Emphasis"/>
          <w:rFonts w:asciiTheme="minorHAnsi" w:hAnsiTheme="minorHAnsi"/>
          <w:sz w:val="22"/>
          <w:lang w:val="en-GB"/>
        </w:rPr>
        <w:t>Safety data collection is ongoing during the whole study duration and may be maintained post-study for patients who consented for</w:t>
      </w:r>
      <w:r w:rsidR="00342735" w:rsidRPr="00C61E96">
        <w:rPr>
          <w:rStyle w:val="Emphasis"/>
          <w:rFonts w:asciiTheme="minorHAnsi" w:hAnsiTheme="minorHAnsi"/>
          <w:sz w:val="22"/>
          <w:lang w:val="en-GB"/>
        </w:rPr>
        <w:t xml:space="preserve"> per protocol</w:t>
      </w:r>
      <w:r w:rsidR="00C506AE" w:rsidRPr="00C61E96">
        <w:rPr>
          <w:rStyle w:val="Emphasis"/>
          <w:rFonts w:asciiTheme="minorHAnsi" w:hAnsiTheme="minorHAnsi"/>
          <w:sz w:val="22"/>
          <w:lang w:val="en-GB"/>
        </w:rPr>
        <w:t>s’</w:t>
      </w:r>
      <w:r w:rsidRPr="00C61E96">
        <w:rPr>
          <w:rStyle w:val="Emphasis"/>
          <w:rFonts w:asciiTheme="minorHAnsi" w:hAnsiTheme="minorHAnsi"/>
          <w:sz w:val="22"/>
          <w:lang w:val="en-GB"/>
        </w:rPr>
        <w:t xml:space="preserve"> post-study safety follow-up.</w:t>
      </w:r>
      <w:r w:rsidRPr="00C61E96">
        <w:rPr>
          <w:rStyle w:val="Emphasis"/>
          <w:rFonts w:asciiTheme="minorHAnsi" w:hAnsiTheme="minorHAnsi" w:cs="Arial"/>
          <w:sz w:val="22"/>
          <w:szCs w:val="22"/>
          <w:lang w:val="en-GB"/>
        </w:rPr>
        <w:t xml:space="preserve"> </w:t>
      </w:r>
      <w:r w:rsidR="00490279" w:rsidRPr="00C61E96">
        <w:rPr>
          <w:rStyle w:val="Emphasis"/>
          <w:rFonts w:asciiTheme="minorHAnsi" w:hAnsiTheme="minorHAnsi" w:cs="Arial"/>
          <w:sz w:val="22"/>
          <w:szCs w:val="22"/>
          <w:lang w:val="en-GB"/>
        </w:rPr>
        <w:t>Detail</w:t>
      </w:r>
      <w:r w:rsidR="00AC75CD" w:rsidRPr="00C61E96">
        <w:rPr>
          <w:rStyle w:val="Emphasis"/>
          <w:rFonts w:asciiTheme="minorHAnsi" w:hAnsiTheme="minorHAnsi" w:cs="Arial"/>
          <w:sz w:val="22"/>
          <w:szCs w:val="22"/>
          <w:lang w:val="en-GB"/>
        </w:rPr>
        <w:t xml:space="preserve">s on the process are available in the </w:t>
      </w:r>
      <w:r w:rsidR="00570A74" w:rsidRPr="00C61E96">
        <w:rPr>
          <w:rStyle w:val="Emphasis"/>
          <w:rFonts w:asciiTheme="minorHAnsi" w:hAnsiTheme="minorHAnsi" w:cs="Arial"/>
          <w:sz w:val="22"/>
          <w:szCs w:val="22"/>
          <w:lang w:val="en-GB"/>
        </w:rPr>
        <w:t xml:space="preserve">dedicated </w:t>
      </w:r>
      <w:r w:rsidR="00AC75CD" w:rsidRPr="00C61E96">
        <w:rPr>
          <w:rStyle w:val="Emphasis"/>
          <w:rFonts w:asciiTheme="minorHAnsi" w:hAnsiTheme="minorHAnsi" w:cs="Arial"/>
          <w:sz w:val="22"/>
          <w:szCs w:val="22"/>
          <w:lang w:val="en-GB"/>
        </w:rPr>
        <w:t>Standard Operating Procedure (</w:t>
      </w:r>
      <w:r w:rsidR="00315D03" w:rsidRPr="00C61E96">
        <w:rPr>
          <w:rStyle w:val="Emphasis"/>
          <w:rFonts w:asciiTheme="minorHAnsi" w:hAnsiTheme="minorHAnsi" w:cs="Arial"/>
          <w:sz w:val="22"/>
          <w:szCs w:val="22"/>
          <w:lang w:val="en-GB"/>
        </w:rPr>
        <w:t xml:space="preserve">ref. </w:t>
      </w:r>
      <w:r w:rsidR="00AC75CD" w:rsidRPr="00C61E96">
        <w:rPr>
          <w:rStyle w:val="Emphasis"/>
          <w:rFonts w:asciiTheme="minorHAnsi" w:hAnsiTheme="minorHAnsi" w:cs="Arial"/>
          <w:sz w:val="22"/>
          <w:szCs w:val="22"/>
          <w:lang w:val="en-GB"/>
        </w:rPr>
        <w:t>PV-001-CT).</w:t>
      </w:r>
    </w:p>
    <w:p w14:paraId="1B4F470A" w14:textId="77777777" w:rsidR="00694C2D" w:rsidRPr="00C61E96" w:rsidRDefault="00694C2D" w:rsidP="004302CA">
      <w:pPr>
        <w:pStyle w:val="Heading1"/>
        <w:rPr>
          <w:lang w:val="en-GB"/>
        </w:rPr>
      </w:pPr>
      <w:bookmarkStart w:id="28" w:name="_Toc40272685"/>
      <w:r w:rsidRPr="00C61E96">
        <w:rPr>
          <w:lang w:val="en-GB"/>
        </w:rPr>
        <w:t>Pharmacovigilance database</w:t>
      </w:r>
      <w:bookmarkEnd w:id="28"/>
    </w:p>
    <w:p w14:paraId="1B4F470B" w14:textId="32BA3CFF" w:rsidR="00694C2D" w:rsidRPr="00225F0F" w:rsidRDefault="00694C2D" w:rsidP="00694C2D">
      <w:pPr>
        <w:rPr>
          <w:lang w:val="en-GB"/>
        </w:rPr>
      </w:pPr>
      <w:r w:rsidRPr="00C61E96">
        <w:rPr>
          <w:lang w:val="en-GB"/>
        </w:rPr>
        <w:t>The Pharmacovigilance Database for the clinical trial</w:t>
      </w:r>
      <w:r w:rsidR="00C20E52" w:rsidRPr="00C61E96">
        <w:rPr>
          <w:lang w:val="en-GB"/>
        </w:rPr>
        <w:t>s</w:t>
      </w:r>
      <w:r w:rsidRPr="00C61E96">
        <w:rPr>
          <w:lang w:val="en-GB"/>
        </w:rPr>
        <w:t xml:space="preserve"> is</w:t>
      </w:r>
      <w:r w:rsidRPr="00225F0F">
        <w:rPr>
          <w:lang w:val="en-GB"/>
        </w:rPr>
        <w:t xml:space="preserve"> MSF Basecon SafetyBase Interchange®.</w:t>
      </w:r>
      <w:r w:rsidR="00452363" w:rsidRPr="00225F0F">
        <w:rPr>
          <w:lang w:val="en-GB"/>
        </w:rPr>
        <w:t xml:space="preserve"> Maintenance and updates are contractually delegated to the IT-specialized company Basecon under the responsibility of the PV Unit</w:t>
      </w:r>
      <w:r w:rsidR="000A0A7F" w:rsidRPr="00225F0F">
        <w:rPr>
          <w:lang w:val="en-GB"/>
        </w:rPr>
        <w:t xml:space="preserve"> (database administration procedure; ref. PV-TB-P02)</w:t>
      </w:r>
      <w:r w:rsidR="00452363" w:rsidRPr="00225F0F">
        <w:rPr>
          <w:lang w:val="en-GB"/>
        </w:rPr>
        <w:t>.</w:t>
      </w:r>
    </w:p>
    <w:p w14:paraId="1B4F470C" w14:textId="77777777" w:rsidR="000A0A7F" w:rsidRPr="00225F0F" w:rsidRDefault="000A0A7F" w:rsidP="00694C2D">
      <w:pPr>
        <w:rPr>
          <w:lang w:val="en-GB"/>
        </w:rPr>
      </w:pPr>
      <w:r w:rsidRPr="00225F0F">
        <w:rPr>
          <w:lang w:val="en-GB"/>
        </w:rPr>
        <w:t>The Pharmacovigilance database will include all individual case safety reports for study patients experiencing SAEs, AEs of interest, overdoses and pregnancies (patient and partner).</w:t>
      </w:r>
    </w:p>
    <w:p w14:paraId="1B4F470D" w14:textId="77777777" w:rsidR="00144BCF" w:rsidRPr="00225F0F" w:rsidRDefault="00C413B0" w:rsidP="00694C2D">
      <w:pPr>
        <w:rPr>
          <w:lang w:val="en-GB"/>
        </w:rPr>
      </w:pPr>
      <w:r w:rsidRPr="00225F0F">
        <w:rPr>
          <w:lang w:val="en-GB"/>
        </w:rPr>
        <w:t>Of note, t</w:t>
      </w:r>
      <w:r w:rsidR="00144BCF" w:rsidRPr="00225F0F">
        <w:rPr>
          <w:lang w:val="en-GB"/>
        </w:rPr>
        <w:t>he same database is used as a central repository of safety data from other DR TB projects (e.g. endTB program, MSF DR TB projects) and other clinical trials (e.g. TB-PRACTECAL), centralizing safety information on DR TB medications and allowing for signal detection.</w:t>
      </w:r>
    </w:p>
    <w:p w14:paraId="1B4F470E" w14:textId="77777777" w:rsidR="006078EB" w:rsidRDefault="00694C2D" w:rsidP="004302CA">
      <w:pPr>
        <w:pStyle w:val="Heading1"/>
        <w:rPr>
          <w:lang w:val="en-GB"/>
        </w:rPr>
      </w:pPr>
      <w:bookmarkStart w:id="29" w:name="_Toc40272686"/>
      <w:r w:rsidRPr="00225F0F">
        <w:rPr>
          <w:lang w:val="en-GB"/>
        </w:rPr>
        <w:t xml:space="preserve">Safety data </w:t>
      </w:r>
      <w:r w:rsidR="004302CA" w:rsidRPr="00225F0F">
        <w:rPr>
          <w:lang w:val="en-GB"/>
        </w:rPr>
        <w:t>processing and medical review</w:t>
      </w:r>
      <w:bookmarkEnd w:id="29"/>
    </w:p>
    <w:p w14:paraId="1B4F470F" w14:textId="77777777" w:rsidR="00B92E22" w:rsidRPr="00C61E96" w:rsidRDefault="00B92E22" w:rsidP="00B0531E">
      <w:pPr>
        <w:rPr>
          <w:lang w:val="en-GB"/>
        </w:rPr>
      </w:pPr>
      <w:r w:rsidRPr="00C61E96">
        <w:rPr>
          <w:lang w:val="en-GB"/>
        </w:rPr>
        <w:t>The flow and timelines for data processing and medical review are common to the clinical trials covered by the PV Unit.</w:t>
      </w:r>
    </w:p>
    <w:p w14:paraId="1B4F4710" w14:textId="77777777" w:rsidR="00694C2D" w:rsidRPr="00C61E96" w:rsidRDefault="00B0520E" w:rsidP="00694C2D">
      <w:pPr>
        <w:pStyle w:val="Heading3"/>
        <w:rPr>
          <w:lang w:val="en-GB"/>
        </w:rPr>
      </w:pPr>
      <w:r w:rsidRPr="00C61E96">
        <w:rPr>
          <w:lang w:val="en-GB"/>
        </w:rPr>
        <w:t>Individual Case Safety Report r</w:t>
      </w:r>
      <w:r w:rsidR="00694C2D" w:rsidRPr="00C61E96">
        <w:rPr>
          <w:lang w:val="en-GB"/>
        </w:rPr>
        <w:t>eceipt</w:t>
      </w:r>
      <w:r w:rsidRPr="00C61E96">
        <w:rPr>
          <w:lang w:val="en-GB"/>
        </w:rPr>
        <w:t>, validation</w:t>
      </w:r>
      <w:r w:rsidR="00694C2D" w:rsidRPr="00C61E96">
        <w:rPr>
          <w:lang w:val="en-GB"/>
        </w:rPr>
        <w:t xml:space="preserve"> and triage</w:t>
      </w:r>
    </w:p>
    <w:p w14:paraId="1B4F4711" w14:textId="77777777" w:rsidR="004302CA" w:rsidRPr="00225F0F" w:rsidRDefault="004302CA" w:rsidP="004302CA">
      <w:pPr>
        <w:rPr>
          <w:lang w:val="en-GB"/>
        </w:rPr>
      </w:pPr>
      <w:r w:rsidRPr="00C61E96">
        <w:rPr>
          <w:lang w:val="en-GB"/>
        </w:rPr>
        <w:t xml:space="preserve">Within 1 calendar day </w:t>
      </w:r>
      <w:r w:rsidR="00A50528" w:rsidRPr="00C61E96">
        <w:rPr>
          <w:lang w:val="en-GB"/>
        </w:rPr>
        <w:t xml:space="preserve">of </w:t>
      </w:r>
      <w:r w:rsidRPr="00C61E96">
        <w:rPr>
          <w:lang w:val="en-GB"/>
        </w:rPr>
        <w:t xml:space="preserve">first receipt </w:t>
      </w:r>
      <w:r w:rsidR="00A50528" w:rsidRPr="00C61E96">
        <w:rPr>
          <w:lang w:val="en-GB"/>
        </w:rPr>
        <w:t xml:space="preserve">by </w:t>
      </w:r>
      <w:r w:rsidRPr="00C61E96">
        <w:rPr>
          <w:lang w:val="en-GB"/>
        </w:rPr>
        <w:t>the Sponsor</w:t>
      </w:r>
      <w:r w:rsidR="00A932EF" w:rsidRPr="00C61E96">
        <w:rPr>
          <w:lang w:val="en-GB"/>
        </w:rPr>
        <w:t>’s PV unit</w:t>
      </w:r>
      <w:r w:rsidRPr="00C61E96">
        <w:rPr>
          <w:lang w:val="en-GB"/>
        </w:rPr>
        <w:t xml:space="preserve">, all </w:t>
      </w:r>
      <w:r w:rsidR="00597A6B" w:rsidRPr="00C61E96">
        <w:rPr>
          <w:lang w:val="en-GB"/>
        </w:rPr>
        <w:t>Report Forms</w:t>
      </w:r>
      <w:r w:rsidR="00FB043A" w:rsidRPr="00C61E96">
        <w:rPr>
          <w:lang w:val="en-GB"/>
        </w:rPr>
        <w:t xml:space="preserve"> </w:t>
      </w:r>
      <w:r w:rsidR="00A932EF" w:rsidRPr="00C61E96">
        <w:rPr>
          <w:lang w:val="en-GB"/>
        </w:rPr>
        <w:t>on SAEs, AEs of</w:t>
      </w:r>
      <w:r w:rsidR="00A932EF" w:rsidRPr="00225F0F">
        <w:rPr>
          <w:lang w:val="en-GB"/>
        </w:rPr>
        <w:t xml:space="preserve"> interest, overdoses and pregnancies</w:t>
      </w:r>
      <w:r w:rsidR="00A932EF">
        <w:rPr>
          <w:lang w:val="en-GB"/>
        </w:rPr>
        <w:t xml:space="preserve"> received from </w:t>
      </w:r>
      <w:r w:rsidR="00FB043A">
        <w:rPr>
          <w:lang w:val="en-GB"/>
        </w:rPr>
        <w:t>the Site</w:t>
      </w:r>
      <w:r w:rsidRPr="00225F0F">
        <w:rPr>
          <w:lang w:val="en-GB"/>
        </w:rPr>
        <w:t xml:space="preserve"> are </w:t>
      </w:r>
      <w:r w:rsidR="00694C2D" w:rsidRPr="00225F0F">
        <w:rPr>
          <w:lang w:val="en-GB"/>
        </w:rPr>
        <w:t xml:space="preserve">checked for completeness and prioritized </w:t>
      </w:r>
      <w:r w:rsidR="002D4D16" w:rsidRPr="00225F0F">
        <w:rPr>
          <w:lang w:val="en-GB"/>
        </w:rPr>
        <w:t xml:space="preserve">by the </w:t>
      </w:r>
      <w:r w:rsidR="002D4D16" w:rsidRPr="00225F0F">
        <w:rPr>
          <w:lang w:val="en-GB"/>
        </w:rPr>
        <w:lastRenderedPageBreak/>
        <w:t xml:space="preserve">MSF Pharmacovigilance Officer (or deputy) </w:t>
      </w:r>
      <w:r w:rsidR="00694C2D" w:rsidRPr="00225F0F">
        <w:rPr>
          <w:lang w:val="en-GB"/>
        </w:rPr>
        <w:t xml:space="preserve">based on seriousness and </w:t>
      </w:r>
      <w:r w:rsidR="002D4D16" w:rsidRPr="00225F0F">
        <w:rPr>
          <w:lang w:val="en-GB"/>
        </w:rPr>
        <w:t xml:space="preserve">the Site </w:t>
      </w:r>
      <w:r w:rsidR="00694C2D" w:rsidRPr="00225F0F">
        <w:rPr>
          <w:lang w:val="en-GB"/>
        </w:rPr>
        <w:t>Investigator’s causality assessment.</w:t>
      </w:r>
    </w:p>
    <w:p w14:paraId="1B4F4712" w14:textId="77777777" w:rsidR="00B0520E" w:rsidRPr="00225F0F" w:rsidRDefault="00B0520E" w:rsidP="004302CA">
      <w:pPr>
        <w:rPr>
          <w:lang w:val="en-GB"/>
        </w:rPr>
      </w:pPr>
      <w:r w:rsidRPr="00225F0F">
        <w:rPr>
          <w:lang w:val="en-GB"/>
        </w:rPr>
        <w:t>“Day 0”, i.e. the clock start date for regulatory reporting, is determined as the date of</w:t>
      </w:r>
      <w:r w:rsidR="002D4D16" w:rsidRPr="00225F0F">
        <w:rPr>
          <w:lang w:val="en-GB"/>
        </w:rPr>
        <w:t xml:space="preserve"> first</w:t>
      </w:r>
      <w:r w:rsidRPr="00225F0F">
        <w:rPr>
          <w:lang w:val="en-GB"/>
        </w:rPr>
        <w:t xml:space="preserve"> receipt </w:t>
      </w:r>
      <w:r w:rsidR="00A50528">
        <w:rPr>
          <w:lang w:val="en-GB"/>
        </w:rPr>
        <w:t>by</w:t>
      </w:r>
      <w:r w:rsidR="00A50528" w:rsidRPr="00225F0F">
        <w:rPr>
          <w:lang w:val="en-GB"/>
        </w:rPr>
        <w:t xml:space="preserve"> </w:t>
      </w:r>
      <w:r w:rsidRPr="00225F0F">
        <w:rPr>
          <w:lang w:val="en-GB"/>
        </w:rPr>
        <w:t xml:space="preserve">the Sponsor of a valid </w:t>
      </w:r>
      <w:r w:rsidR="00597A6B">
        <w:rPr>
          <w:lang w:val="en-GB"/>
        </w:rPr>
        <w:t>Individual Case Safety Report (ICSR)</w:t>
      </w:r>
      <w:r w:rsidR="00260067" w:rsidRPr="00225F0F">
        <w:rPr>
          <w:lang w:val="en-GB"/>
        </w:rPr>
        <w:t xml:space="preserve"> </w:t>
      </w:r>
      <w:r w:rsidRPr="00225F0F">
        <w:rPr>
          <w:lang w:val="en-GB"/>
        </w:rPr>
        <w:t>including</w:t>
      </w:r>
      <w:r w:rsidR="00A50528">
        <w:rPr>
          <w:lang w:val="en-GB"/>
        </w:rPr>
        <w:t xml:space="preserve"> the following minimum information</w:t>
      </w:r>
      <w:r w:rsidR="002D4D16" w:rsidRPr="00225F0F">
        <w:rPr>
          <w:lang w:val="en-GB"/>
        </w:rPr>
        <w:t>:</w:t>
      </w:r>
      <w:r w:rsidRPr="00225F0F">
        <w:rPr>
          <w:lang w:val="en-GB"/>
        </w:rPr>
        <w:t xml:space="preserve"> </w:t>
      </w:r>
      <w:r w:rsidR="00260067" w:rsidRPr="00225F0F">
        <w:rPr>
          <w:lang w:val="en-GB"/>
        </w:rPr>
        <w:t xml:space="preserve">1) </w:t>
      </w:r>
      <w:r w:rsidRPr="00225F0F">
        <w:rPr>
          <w:lang w:val="en-GB"/>
        </w:rPr>
        <w:t>a study patient or partner</w:t>
      </w:r>
      <w:r w:rsidR="00260067" w:rsidRPr="00225F0F">
        <w:rPr>
          <w:lang w:val="en-GB"/>
        </w:rPr>
        <w:t xml:space="preserve"> (</w:t>
      </w:r>
      <w:r w:rsidR="002D4D16" w:rsidRPr="00225F0F">
        <w:rPr>
          <w:lang w:val="en-GB"/>
        </w:rPr>
        <w:t xml:space="preserve">for </w:t>
      </w:r>
      <w:r w:rsidR="00260067" w:rsidRPr="00225F0F">
        <w:rPr>
          <w:lang w:val="en-GB"/>
        </w:rPr>
        <w:t>partner’s pregnancy)</w:t>
      </w:r>
      <w:r w:rsidRPr="00225F0F">
        <w:rPr>
          <w:lang w:val="en-GB"/>
        </w:rPr>
        <w:t xml:space="preserve">, </w:t>
      </w:r>
      <w:r w:rsidR="00260067" w:rsidRPr="00225F0F">
        <w:rPr>
          <w:lang w:val="en-GB"/>
        </w:rPr>
        <w:t>2)</w:t>
      </w:r>
      <w:r w:rsidR="002D4D16" w:rsidRPr="00225F0F">
        <w:rPr>
          <w:lang w:val="en-GB"/>
        </w:rPr>
        <w:t xml:space="preserve"> the list of</w:t>
      </w:r>
      <w:r w:rsidR="00260067" w:rsidRPr="00225F0F">
        <w:rPr>
          <w:lang w:val="en-GB"/>
        </w:rPr>
        <w:t xml:space="preserve"> Investigational Medicinal Products (investigational regimen or standard of care), 3) </w:t>
      </w:r>
      <w:r w:rsidR="002D4D16" w:rsidRPr="00225F0F">
        <w:rPr>
          <w:lang w:val="en-GB"/>
        </w:rPr>
        <w:t>the</w:t>
      </w:r>
      <w:r w:rsidRPr="00225F0F">
        <w:rPr>
          <w:lang w:val="en-GB"/>
        </w:rPr>
        <w:t xml:space="preserve"> reporter, and </w:t>
      </w:r>
      <w:r w:rsidR="00260067" w:rsidRPr="00225F0F">
        <w:rPr>
          <w:lang w:val="en-GB"/>
        </w:rPr>
        <w:t xml:space="preserve">4) </w:t>
      </w:r>
      <w:r w:rsidRPr="00225F0F">
        <w:rPr>
          <w:lang w:val="en-GB"/>
        </w:rPr>
        <w:t>a reportable event.</w:t>
      </w:r>
    </w:p>
    <w:p w14:paraId="1B4F4713" w14:textId="77777777" w:rsidR="00260067" w:rsidRPr="00225F0F" w:rsidRDefault="00C413B0" w:rsidP="004302CA">
      <w:pPr>
        <w:rPr>
          <w:lang w:val="en-GB"/>
        </w:rPr>
      </w:pPr>
      <w:r w:rsidRPr="00225F0F">
        <w:rPr>
          <w:lang w:val="en-GB"/>
        </w:rPr>
        <w:t xml:space="preserve">Valid </w:t>
      </w:r>
      <w:r w:rsidR="00597A6B">
        <w:rPr>
          <w:lang w:val="en-GB"/>
        </w:rPr>
        <w:t>ICSRs</w:t>
      </w:r>
      <w:r w:rsidRPr="00225F0F">
        <w:rPr>
          <w:lang w:val="en-GB"/>
        </w:rPr>
        <w:t xml:space="preserve"> are sent for medical review and in parallel processed in the Pharmacovigilance database.</w:t>
      </w:r>
      <w:r w:rsidR="00260067" w:rsidRPr="00225F0F">
        <w:rPr>
          <w:lang w:val="en-GB"/>
        </w:rPr>
        <w:t xml:space="preserve"> </w:t>
      </w:r>
      <w:r w:rsidR="00260067" w:rsidRPr="00B0531E">
        <w:rPr>
          <w:lang w:val="en-GB"/>
        </w:rPr>
        <w:t>The PV Unit immediately liaise</w:t>
      </w:r>
      <w:r w:rsidR="00A50528" w:rsidRPr="00B0531E">
        <w:rPr>
          <w:lang w:val="en-GB"/>
        </w:rPr>
        <w:t>s</w:t>
      </w:r>
      <w:r w:rsidR="00260067" w:rsidRPr="00B0531E">
        <w:rPr>
          <w:lang w:val="en-GB"/>
        </w:rPr>
        <w:t xml:space="preserve"> with the site </w:t>
      </w:r>
      <w:r w:rsidR="00A50528" w:rsidRPr="00B0531E">
        <w:rPr>
          <w:lang w:val="en-GB"/>
        </w:rPr>
        <w:t>for additional necessary</w:t>
      </w:r>
      <w:r w:rsidR="00260067" w:rsidRPr="00B0531E">
        <w:rPr>
          <w:lang w:val="en-GB"/>
        </w:rPr>
        <w:t xml:space="preserve"> information</w:t>
      </w:r>
      <w:r w:rsidR="00597A6B" w:rsidRPr="00B0531E">
        <w:rPr>
          <w:lang w:val="en-GB"/>
        </w:rPr>
        <w:t xml:space="preserve"> </w:t>
      </w:r>
      <w:r w:rsidR="00B92E22" w:rsidRPr="00B0531E">
        <w:rPr>
          <w:lang w:val="en-GB"/>
        </w:rPr>
        <w:t>if a report is invalid</w:t>
      </w:r>
      <w:r w:rsidR="00260067" w:rsidRPr="00B0531E">
        <w:rPr>
          <w:lang w:val="en-GB"/>
        </w:rPr>
        <w:t>.</w:t>
      </w:r>
    </w:p>
    <w:p w14:paraId="1B4F4714" w14:textId="469B722D" w:rsidR="00260067" w:rsidRPr="00225F0F" w:rsidRDefault="00260067" w:rsidP="004302CA">
      <w:pPr>
        <w:rPr>
          <w:lang w:val="en-GB"/>
        </w:rPr>
      </w:pPr>
      <w:r w:rsidRPr="00225F0F">
        <w:rPr>
          <w:lang w:val="en-GB"/>
        </w:rPr>
        <w:t xml:space="preserve">The timeline for each activity depends on the type of case and is </w:t>
      </w:r>
      <w:r w:rsidR="00A50528">
        <w:rPr>
          <w:lang w:val="en-GB"/>
        </w:rPr>
        <w:t>summarized</w:t>
      </w:r>
      <w:r w:rsidR="00A50528" w:rsidRPr="00225F0F">
        <w:rPr>
          <w:lang w:val="en-GB"/>
        </w:rPr>
        <w:t xml:space="preserve"> </w:t>
      </w:r>
      <w:r w:rsidRPr="00225F0F">
        <w:rPr>
          <w:lang w:val="en-GB"/>
        </w:rPr>
        <w:t xml:space="preserve">in </w:t>
      </w:r>
      <w:r w:rsidR="00D32507" w:rsidRPr="00225F0F">
        <w:rPr>
          <w:highlight w:val="yellow"/>
          <w:lang w:val="en-GB"/>
        </w:rPr>
        <w:fldChar w:fldCharType="begin"/>
      </w:r>
      <w:r w:rsidR="00D32507" w:rsidRPr="00225F0F">
        <w:rPr>
          <w:lang w:val="en-GB"/>
        </w:rPr>
        <w:instrText xml:space="preserve"> REF _Ref471723507 \h </w:instrText>
      </w:r>
      <w:r w:rsidR="00D32507" w:rsidRPr="00225F0F">
        <w:rPr>
          <w:highlight w:val="yellow"/>
          <w:lang w:val="en-GB"/>
        </w:rPr>
      </w:r>
      <w:r w:rsidR="00D32507" w:rsidRPr="00225F0F">
        <w:rPr>
          <w:highlight w:val="yellow"/>
          <w:lang w:val="en-GB"/>
        </w:rPr>
        <w:fldChar w:fldCharType="separate"/>
      </w:r>
      <w:r w:rsidR="003C19FA" w:rsidRPr="00225F0F">
        <w:rPr>
          <w:color w:val="000000" w:themeColor="text1"/>
          <w:lang w:val="en-GB"/>
        </w:rPr>
        <w:t xml:space="preserve">Table </w:t>
      </w:r>
      <w:r w:rsidR="003C19FA">
        <w:rPr>
          <w:noProof/>
          <w:color w:val="000000" w:themeColor="text1"/>
          <w:lang w:val="en-GB"/>
        </w:rPr>
        <w:t>1</w:t>
      </w:r>
      <w:r w:rsidR="00D32507" w:rsidRPr="00225F0F">
        <w:rPr>
          <w:highlight w:val="yellow"/>
          <w:lang w:val="en-GB"/>
        </w:rPr>
        <w:fldChar w:fldCharType="end"/>
      </w:r>
      <w:r w:rsidRPr="00225F0F">
        <w:rPr>
          <w:lang w:val="en-GB"/>
        </w:rPr>
        <w:t>.</w:t>
      </w:r>
      <w:r w:rsidR="00D6073D" w:rsidRPr="00225F0F">
        <w:rPr>
          <w:lang w:val="en-GB"/>
        </w:rPr>
        <w:t xml:space="preserve"> </w:t>
      </w:r>
      <w:r w:rsidR="00A50528">
        <w:rPr>
          <w:lang w:val="en-GB"/>
        </w:rPr>
        <w:t>The d</w:t>
      </w:r>
      <w:r w:rsidR="00A50528" w:rsidRPr="00225F0F">
        <w:rPr>
          <w:lang w:val="en-GB"/>
        </w:rPr>
        <w:t xml:space="preserve">etailed </w:t>
      </w:r>
      <w:r w:rsidR="00D6073D" w:rsidRPr="00225F0F">
        <w:rPr>
          <w:lang w:val="en-GB"/>
        </w:rPr>
        <w:t xml:space="preserve">process is </w:t>
      </w:r>
      <w:r w:rsidR="00A50528">
        <w:rPr>
          <w:lang w:val="en-GB"/>
        </w:rPr>
        <w:t>available</w:t>
      </w:r>
      <w:r w:rsidR="00A50528" w:rsidRPr="00225F0F">
        <w:rPr>
          <w:lang w:val="en-GB"/>
        </w:rPr>
        <w:t xml:space="preserve"> </w:t>
      </w:r>
      <w:r w:rsidR="00D6073D" w:rsidRPr="00225F0F">
        <w:rPr>
          <w:lang w:val="en-GB"/>
        </w:rPr>
        <w:t>in procedure PV-TB-P01.</w:t>
      </w:r>
    </w:p>
    <w:p w14:paraId="1B4F4715" w14:textId="77777777" w:rsidR="00694C2D" w:rsidRPr="00225F0F" w:rsidRDefault="00694C2D" w:rsidP="00694C2D">
      <w:pPr>
        <w:pStyle w:val="Heading3"/>
        <w:rPr>
          <w:lang w:val="en-GB"/>
        </w:rPr>
      </w:pPr>
      <w:r w:rsidRPr="00225F0F">
        <w:rPr>
          <w:lang w:val="en-GB"/>
        </w:rPr>
        <w:t>Medical review</w:t>
      </w:r>
    </w:p>
    <w:p w14:paraId="1B4F4716" w14:textId="77777777" w:rsidR="005E146C" w:rsidRPr="00225F0F" w:rsidRDefault="00694C2D" w:rsidP="00694C2D">
      <w:pPr>
        <w:rPr>
          <w:lang w:val="en-GB"/>
        </w:rPr>
      </w:pPr>
      <w:r w:rsidRPr="00225F0F">
        <w:rPr>
          <w:lang w:val="en-GB"/>
        </w:rPr>
        <w:t xml:space="preserve">The </w:t>
      </w:r>
      <w:r w:rsidR="00B93AA0">
        <w:rPr>
          <w:lang w:val="en-GB"/>
        </w:rPr>
        <w:t xml:space="preserve">PV </w:t>
      </w:r>
      <w:r w:rsidR="000E3F0D">
        <w:rPr>
          <w:lang w:val="en-GB"/>
        </w:rPr>
        <w:t xml:space="preserve">medical monitor is responsible to perform </w:t>
      </w:r>
      <w:r w:rsidR="00F120B1" w:rsidRPr="00225F0F">
        <w:rPr>
          <w:lang w:val="en-GB"/>
        </w:rPr>
        <w:t xml:space="preserve">the </w:t>
      </w:r>
      <w:r w:rsidRPr="00225F0F">
        <w:rPr>
          <w:lang w:val="en-GB"/>
        </w:rPr>
        <w:t xml:space="preserve">medical review of </w:t>
      </w:r>
      <w:r w:rsidR="006F6702">
        <w:rPr>
          <w:lang w:val="en-GB"/>
        </w:rPr>
        <w:t xml:space="preserve">each </w:t>
      </w:r>
      <w:r w:rsidR="000E3F0D">
        <w:rPr>
          <w:lang w:val="en-GB"/>
        </w:rPr>
        <w:t>SAE and AEI</w:t>
      </w:r>
      <w:r w:rsidR="006F6702">
        <w:rPr>
          <w:lang w:val="en-GB"/>
        </w:rPr>
        <w:t xml:space="preserve"> reports</w:t>
      </w:r>
      <w:r w:rsidRPr="00225F0F">
        <w:rPr>
          <w:lang w:val="en-GB"/>
        </w:rPr>
        <w:t>.</w:t>
      </w:r>
      <w:r w:rsidR="000A0A7F" w:rsidRPr="00225F0F">
        <w:rPr>
          <w:lang w:val="en-GB"/>
        </w:rPr>
        <w:t xml:space="preserve"> This activity </w:t>
      </w:r>
      <w:r w:rsidR="00A50528">
        <w:rPr>
          <w:lang w:val="en-GB"/>
        </w:rPr>
        <w:t>comprises</w:t>
      </w:r>
      <w:r w:rsidR="000A0A7F" w:rsidRPr="00225F0F">
        <w:rPr>
          <w:lang w:val="en-GB"/>
        </w:rPr>
        <w:t xml:space="preserve"> </w:t>
      </w:r>
      <w:r w:rsidR="006F047D" w:rsidRPr="00225F0F">
        <w:rPr>
          <w:lang w:val="en-GB"/>
        </w:rPr>
        <w:t>evaluating</w:t>
      </w:r>
      <w:r w:rsidRPr="00225F0F">
        <w:rPr>
          <w:lang w:val="en-GB"/>
        </w:rPr>
        <w:t xml:space="preserve"> for each </w:t>
      </w:r>
      <w:r w:rsidR="000A0A7F" w:rsidRPr="00225F0F">
        <w:rPr>
          <w:lang w:val="en-GB"/>
        </w:rPr>
        <w:t xml:space="preserve">adverse </w:t>
      </w:r>
      <w:r w:rsidRPr="00225F0F">
        <w:rPr>
          <w:lang w:val="en-GB"/>
        </w:rPr>
        <w:t>event-</w:t>
      </w:r>
      <w:r w:rsidR="000A0A7F" w:rsidRPr="00225F0F">
        <w:rPr>
          <w:lang w:val="en-GB"/>
        </w:rPr>
        <w:t>investigational medicinal product</w:t>
      </w:r>
      <w:r w:rsidRPr="00225F0F">
        <w:rPr>
          <w:lang w:val="en-GB"/>
        </w:rPr>
        <w:t xml:space="preserve"> pair: the expectednes</w:t>
      </w:r>
      <w:r w:rsidR="000A0A7F" w:rsidRPr="00225F0F">
        <w:rPr>
          <w:lang w:val="en-GB"/>
        </w:rPr>
        <w:t xml:space="preserve">s </w:t>
      </w:r>
      <w:r w:rsidR="000A0A7F" w:rsidRPr="00B0531E">
        <w:rPr>
          <w:lang w:val="en-GB"/>
        </w:rPr>
        <w:t xml:space="preserve">and the </w:t>
      </w:r>
      <w:r w:rsidR="00B92E22" w:rsidRPr="00B0531E">
        <w:rPr>
          <w:lang w:val="en-GB"/>
        </w:rPr>
        <w:t>Sponsor</w:t>
      </w:r>
      <w:r w:rsidR="00597A6B" w:rsidRPr="00B0531E">
        <w:rPr>
          <w:lang w:val="en-GB"/>
        </w:rPr>
        <w:t>’s</w:t>
      </w:r>
      <w:r w:rsidR="00B92E22" w:rsidRPr="00B0531E">
        <w:rPr>
          <w:lang w:val="en-GB"/>
        </w:rPr>
        <w:t xml:space="preserve"> assessment of the </w:t>
      </w:r>
      <w:r w:rsidR="000A0A7F" w:rsidRPr="00B0531E">
        <w:rPr>
          <w:lang w:val="en-GB"/>
        </w:rPr>
        <w:t>causality</w:t>
      </w:r>
      <w:r w:rsidR="000A0A7F" w:rsidRPr="00225F0F">
        <w:rPr>
          <w:lang w:val="en-GB"/>
        </w:rPr>
        <w:t>.</w:t>
      </w:r>
      <w:r w:rsidR="00144BCF" w:rsidRPr="00225F0F">
        <w:rPr>
          <w:lang w:val="en-GB"/>
        </w:rPr>
        <w:t xml:space="preserve"> </w:t>
      </w:r>
    </w:p>
    <w:p w14:paraId="1B4F4717" w14:textId="77777777" w:rsidR="00694C2D" w:rsidRPr="00225F0F" w:rsidRDefault="00144BCF" w:rsidP="00694C2D">
      <w:pPr>
        <w:rPr>
          <w:lang w:val="en-GB"/>
        </w:rPr>
      </w:pPr>
      <w:r w:rsidRPr="00225F0F">
        <w:rPr>
          <w:lang w:val="en-GB"/>
        </w:rPr>
        <w:t>Cases considered as potential Suspected Unexpected Serious Adverse Reactions (SUSARs) are directed to a special review committee, the Medical Review Board.</w:t>
      </w:r>
    </w:p>
    <w:p w14:paraId="1B4F4718" w14:textId="77777777" w:rsidR="00144BCF" w:rsidRPr="00225F0F" w:rsidRDefault="00144BCF" w:rsidP="00144BCF">
      <w:pPr>
        <w:pStyle w:val="Heading3"/>
        <w:rPr>
          <w:lang w:val="en-GB"/>
        </w:rPr>
      </w:pPr>
      <w:r w:rsidRPr="00225F0F">
        <w:rPr>
          <w:lang w:val="en-GB"/>
        </w:rPr>
        <w:t xml:space="preserve">Medical review Board - SUSAR </w:t>
      </w:r>
      <w:r w:rsidR="006F047D" w:rsidRPr="00225F0F">
        <w:rPr>
          <w:lang w:val="en-GB"/>
        </w:rPr>
        <w:t>assessment</w:t>
      </w:r>
    </w:p>
    <w:p w14:paraId="1B4F4719" w14:textId="77777777" w:rsidR="00144BCF" w:rsidRPr="00225F0F" w:rsidRDefault="00144BCF" w:rsidP="00144BCF">
      <w:pPr>
        <w:rPr>
          <w:lang w:val="en-GB"/>
        </w:rPr>
      </w:pPr>
      <w:r w:rsidRPr="00225F0F">
        <w:rPr>
          <w:lang w:val="en-GB"/>
        </w:rPr>
        <w:t>The Medical Review Board</w:t>
      </w:r>
      <w:r w:rsidR="00260067" w:rsidRPr="00225F0F">
        <w:rPr>
          <w:lang w:val="en-GB"/>
        </w:rPr>
        <w:t xml:space="preserve"> (MRB)</w:t>
      </w:r>
      <w:r w:rsidRPr="00225F0F">
        <w:rPr>
          <w:lang w:val="en-GB"/>
        </w:rPr>
        <w:t xml:space="preserve"> </w:t>
      </w:r>
      <w:r w:rsidR="00C413B0" w:rsidRPr="00225F0F">
        <w:rPr>
          <w:lang w:val="en-GB"/>
        </w:rPr>
        <w:t>is a medical</w:t>
      </w:r>
      <w:r w:rsidR="00280462" w:rsidRPr="00225F0F">
        <w:rPr>
          <w:lang w:val="en-GB"/>
        </w:rPr>
        <w:t>/safety oversight</w:t>
      </w:r>
      <w:r w:rsidR="00C413B0" w:rsidRPr="00225F0F">
        <w:rPr>
          <w:lang w:val="en-GB"/>
        </w:rPr>
        <w:t xml:space="preserve"> committee of international DR TB experts appointed</w:t>
      </w:r>
      <w:r w:rsidR="001D108E" w:rsidRPr="00225F0F">
        <w:rPr>
          <w:lang w:val="en-GB"/>
        </w:rPr>
        <w:t xml:space="preserve"> by the PV Unit</w:t>
      </w:r>
      <w:r w:rsidR="00C413B0" w:rsidRPr="00225F0F">
        <w:rPr>
          <w:lang w:val="en-GB"/>
        </w:rPr>
        <w:t xml:space="preserve"> to review</w:t>
      </w:r>
      <w:r w:rsidR="00A50528">
        <w:rPr>
          <w:lang w:val="en-GB"/>
        </w:rPr>
        <w:t xml:space="preserve"> </w:t>
      </w:r>
      <w:r w:rsidR="00DF3DB9">
        <w:rPr>
          <w:lang w:val="en-GB"/>
        </w:rPr>
        <w:t xml:space="preserve">all </w:t>
      </w:r>
      <w:r w:rsidR="00A50528">
        <w:rPr>
          <w:lang w:val="en-GB"/>
        </w:rPr>
        <w:t>potential</w:t>
      </w:r>
      <w:r w:rsidR="00C413B0" w:rsidRPr="00225F0F">
        <w:rPr>
          <w:lang w:val="en-GB"/>
        </w:rPr>
        <w:t xml:space="preserve"> SUSAR cases </w:t>
      </w:r>
      <w:r w:rsidR="00A50528">
        <w:rPr>
          <w:lang w:val="en-GB"/>
        </w:rPr>
        <w:t>reported to</w:t>
      </w:r>
      <w:r w:rsidR="00C413B0" w:rsidRPr="00225F0F">
        <w:rPr>
          <w:lang w:val="en-GB"/>
        </w:rPr>
        <w:t xml:space="preserve"> the PV Unit</w:t>
      </w:r>
      <w:r w:rsidR="00260067" w:rsidRPr="00225F0F">
        <w:rPr>
          <w:lang w:val="en-GB"/>
        </w:rPr>
        <w:t xml:space="preserve"> </w:t>
      </w:r>
      <w:r w:rsidR="00DF3DB9" w:rsidRPr="00B0531E">
        <w:rPr>
          <w:lang w:val="en-GB"/>
        </w:rPr>
        <w:t>from any DR TB project/study covered by the PV Unit</w:t>
      </w:r>
      <w:r w:rsidR="00DF3DB9">
        <w:rPr>
          <w:lang w:val="en-GB"/>
        </w:rPr>
        <w:t xml:space="preserve"> </w:t>
      </w:r>
      <w:r w:rsidR="00260067" w:rsidRPr="00225F0F">
        <w:rPr>
          <w:lang w:val="en-GB"/>
        </w:rPr>
        <w:t>(terms of reference; PV-TB-D19)</w:t>
      </w:r>
      <w:r w:rsidR="00C413B0" w:rsidRPr="00225F0F">
        <w:rPr>
          <w:lang w:val="en-GB"/>
        </w:rPr>
        <w:t>.</w:t>
      </w:r>
    </w:p>
    <w:p w14:paraId="1B4F471A" w14:textId="77777777" w:rsidR="00144BCF" w:rsidRPr="00225F0F" w:rsidRDefault="00144BCF" w:rsidP="00144BCF">
      <w:pPr>
        <w:rPr>
          <w:lang w:val="en-GB"/>
        </w:rPr>
      </w:pPr>
      <w:r w:rsidRPr="00225F0F">
        <w:rPr>
          <w:lang w:val="en-GB"/>
        </w:rPr>
        <w:t>The MRB review</w:t>
      </w:r>
      <w:r w:rsidR="00A50528">
        <w:rPr>
          <w:lang w:val="en-GB"/>
        </w:rPr>
        <w:t>s</w:t>
      </w:r>
      <w:r w:rsidRPr="00225F0F">
        <w:rPr>
          <w:lang w:val="en-GB"/>
        </w:rPr>
        <w:t xml:space="preserve"> and confirm</w:t>
      </w:r>
      <w:r w:rsidR="00A50528">
        <w:rPr>
          <w:lang w:val="en-GB"/>
        </w:rPr>
        <w:t>s</w:t>
      </w:r>
      <w:r w:rsidRPr="00225F0F">
        <w:rPr>
          <w:lang w:val="en-GB"/>
        </w:rPr>
        <w:t xml:space="preserve"> SUSARs (i.e. confirm expectedness and causality assessment</w:t>
      </w:r>
      <w:r w:rsidR="005E146C" w:rsidRPr="00225F0F">
        <w:rPr>
          <w:lang w:val="en-GB"/>
        </w:rPr>
        <w:t xml:space="preserve"> per Sponsor</w:t>
      </w:r>
      <w:r w:rsidRPr="00225F0F">
        <w:rPr>
          <w:lang w:val="en-GB"/>
        </w:rPr>
        <w:t xml:space="preserve">) and assess the overall impact on the individual patient and on the </w:t>
      </w:r>
      <w:r w:rsidR="00A50528">
        <w:rPr>
          <w:lang w:val="en-GB"/>
        </w:rPr>
        <w:t>conduct of all reporting DR-TB projects</w:t>
      </w:r>
      <w:r w:rsidRPr="00225F0F">
        <w:rPr>
          <w:lang w:val="en-GB"/>
        </w:rPr>
        <w:t>. This evaluation is part of overall signal detection activities</w:t>
      </w:r>
      <w:r w:rsidR="00260067" w:rsidRPr="00225F0F">
        <w:rPr>
          <w:lang w:val="en-GB"/>
        </w:rPr>
        <w:t xml:space="preserve"> of the PV Unit</w:t>
      </w:r>
      <w:r w:rsidRPr="00225F0F">
        <w:rPr>
          <w:lang w:val="en-GB"/>
        </w:rPr>
        <w:t xml:space="preserve"> (</w:t>
      </w:r>
      <w:r w:rsidR="00260067" w:rsidRPr="00225F0F">
        <w:rPr>
          <w:lang w:val="en-GB"/>
        </w:rPr>
        <w:t>ref.</w:t>
      </w:r>
      <w:r w:rsidRPr="00225F0F">
        <w:rPr>
          <w:lang w:val="en-GB"/>
        </w:rPr>
        <w:t xml:space="preserve"> PV-TB-P05).</w:t>
      </w:r>
    </w:p>
    <w:p w14:paraId="1B4F471B" w14:textId="77777777" w:rsidR="00597A6B" w:rsidRDefault="00144BCF" w:rsidP="00597A6B">
      <w:pPr>
        <w:rPr>
          <w:lang w:val="en-GB"/>
        </w:rPr>
      </w:pPr>
      <w:r w:rsidRPr="00225F0F">
        <w:rPr>
          <w:lang w:val="en-GB"/>
        </w:rPr>
        <w:t>In addition, the MRB advise</w:t>
      </w:r>
      <w:r w:rsidR="00A50528">
        <w:rPr>
          <w:lang w:val="en-GB"/>
        </w:rPr>
        <w:t>s</w:t>
      </w:r>
      <w:r w:rsidRPr="00225F0F">
        <w:rPr>
          <w:lang w:val="en-GB"/>
        </w:rPr>
        <w:t xml:space="preserve"> on the management and risk minimization actions </w:t>
      </w:r>
      <w:r w:rsidR="00A50528">
        <w:rPr>
          <w:lang w:val="en-GB"/>
        </w:rPr>
        <w:t>for</w:t>
      </w:r>
      <w:r w:rsidRPr="00225F0F">
        <w:rPr>
          <w:lang w:val="en-GB"/>
        </w:rPr>
        <w:t xml:space="preserve"> any Significant Safety Issue</w:t>
      </w:r>
      <w:r w:rsidR="00A50528">
        <w:rPr>
          <w:lang w:val="en-GB"/>
        </w:rPr>
        <w:t xml:space="preserve">, which is </w:t>
      </w:r>
      <w:r w:rsidR="00A50528" w:rsidRPr="00225F0F">
        <w:rPr>
          <w:lang w:val="en-GB"/>
        </w:rPr>
        <w:t xml:space="preserve">identified by the PV unit or project/trial </w:t>
      </w:r>
      <w:proofErr w:type="gramStart"/>
      <w:r w:rsidR="00A50528" w:rsidRPr="00225F0F">
        <w:rPr>
          <w:lang w:val="en-GB"/>
        </w:rPr>
        <w:t>teams</w:t>
      </w:r>
      <w:r w:rsidR="00A50528">
        <w:rPr>
          <w:lang w:val="en-GB"/>
        </w:rPr>
        <w:t>, and</w:t>
      </w:r>
      <w:proofErr w:type="gramEnd"/>
      <w:r w:rsidR="00A50528">
        <w:rPr>
          <w:lang w:val="en-GB"/>
        </w:rPr>
        <w:t xml:space="preserve"> may </w:t>
      </w:r>
      <w:r w:rsidRPr="00225F0F">
        <w:rPr>
          <w:lang w:val="en-GB"/>
        </w:rPr>
        <w:t>alter treatment risk/benefit.</w:t>
      </w:r>
    </w:p>
    <w:p w14:paraId="1B4F471C" w14:textId="77777777" w:rsidR="005F610B" w:rsidRPr="00225F0F" w:rsidRDefault="005F610B" w:rsidP="00B0531E">
      <w:pPr>
        <w:rPr>
          <w:lang w:val="en-GB"/>
        </w:rPr>
      </w:pPr>
      <w:r>
        <w:rPr>
          <w:lang w:val="en-GB"/>
        </w:rPr>
        <w:t xml:space="preserve">Serious and unexpected adverse events deemed related to IMP(s) by the Site Investigator </w:t>
      </w:r>
      <w:r w:rsidRPr="00486047">
        <w:rPr>
          <w:b/>
          <w:u w:val="single"/>
          <w:lang w:val="en-GB"/>
        </w:rPr>
        <w:t>and/o</w:t>
      </w:r>
      <w:r w:rsidR="00486047" w:rsidRPr="00486047">
        <w:rPr>
          <w:b/>
          <w:u w:val="single"/>
          <w:lang w:val="en-GB"/>
        </w:rPr>
        <w:t>r</w:t>
      </w:r>
      <w:r w:rsidR="00486047">
        <w:rPr>
          <w:lang w:val="en-GB"/>
        </w:rPr>
        <w:t xml:space="preserve"> the Sponsor qualify</w:t>
      </w:r>
      <w:r>
        <w:rPr>
          <w:lang w:val="en-GB"/>
        </w:rPr>
        <w:t xml:space="preserve"> as SUSARs.</w:t>
      </w:r>
    </w:p>
    <w:p w14:paraId="1B4F471D" w14:textId="77777777" w:rsidR="00F805EB" w:rsidRDefault="00144BCF" w:rsidP="00F805EB">
      <w:pPr>
        <w:rPr>
          <w:lang w:val="en-GB"/>
        </w:rPr>
      </w:pPr>
      <w:r w:rsidRPr="00225F0F">
        <w:rPr>
          <w:lang w:val="en-GB"/>
        </w:rPr>
        <w:t xml:space="preserve">MRB meetings </w:t>
      </w:r>
      <w:r w:rsidR="00A50528">
        <w:rPr>
          <w:lang w:val="en-GB"/>
        </w:rPr>
        <w:t>occur</w:t>
      </w:r>
      <w:r w:rsidR="00E467E2">
        <w:rPr>
          <w:lang w:val="en-GB"/>
        </w:rPr>
        <w:t xml:space="preserve"> on</w:t>
      </w:r>
      <w:r w:rsidRPr="00225F0F">
        <w:rPr>
          <w:lang w:val="en-GB"/>
        </w:rPr>
        <w:t xml:space="preserve"> a fixed schedule allowing compliance with expedited reporting timelines. The </w:t>
      </w:r>
      <w:r w:rsidR="00260067" w:rsidRPr="00225F0F">
        <w:rPr>
          <w:lang w:val="en-GB"/>
        </w:rPr>
        <w:t>Pharmacovigilance Officer (or deputy)</w:t>
      </w:r>
      <w:r w:rsidRPr="00225F0F">
        <w:rPr>
          <w:lang w:val="en-GB"/>
        </w:rPr>
        <w:t xml:space="preserve"> can at any time convene an ad-hoc MRB meeting for Signi</w:t>
      </w:r>
      <w:r w:rsidR="00260067" w:rsidRPr="00225F0F">
        <w:rPr>
          <w:lang w:val="en-GB"/>
        </w:rPr>
        <w:t>ficant Safety Issue assessment</w:t>
      </w:r>
      <w:r w:rsidRPr="00225F0F">
        <w:rPr>
          <w:lang w:val="en-GB"/>
        </w:rPr>
        <w:t>.</w:t>
      </w:r>
    </w:p>
    <w:p w14:paraId="1B4F471E" w14:textId="77777777" w:rsidR="00F805EB" w:rsidRDefault="00260067" w:rsidP="00F805EB">
      <w:pPr>
        <w:pStyle w:val="Heading3"/>
        <w:rPr>
          <w:lang w:val="en-GB"/>
        </w:rPr>
      </w:pPr>
      <w:r w:rsidRPr="00225F0F">
        <w:rPr>
          <w:lang w:val="en-GB"/>
        </w:rPr>
        <w:t>Case processing, quality control and follow-up</w:t>
      </w:r>
    </w:p>
    <w:p w14:paraId="1B4F471F" w14:textId="77777777" w:rsidR="00260067" w:rsidRPr="00225F0F" w:rsidRDefault="001F63EE" w:rsidP="00260067">
      <w:pPr>
        <w:rPr>
          <w:lang w:val="en-GB"/>
        </w:rPr>
      </w:pPr>
      <w:r>
        <w:rPr>
          <w:lang w:val="en-GB"/>
        </w:rPr>
        <w:t>In parallel with</w:t>
      </w:r>
      <w:r w:rsidR="00260067" w:rsidRPr="00225F0F">
        <w:rPr>
          <w:lang w:val="en-GB"/>
        </w:rPr>
        <w:t xml:space="preserve"> </w:t>
      </w:r>
      <w:r w:rsidR="00ED5A6E" w:rsidRPr="00225F0F">
        <w:rPr>
          <w:lang w:val="en-GB"/>
        </w:rPr>
        <w:t xml:space="preserve">medical review and </w:t>
      </w:r>
      <w:r w:rsidR="00260067" w:rsidRPr="00225F0F">
        <w:rPr>
          <w:lang w:val="en-GB"/>
        </w:rPr>
        <w:t xml:space="preserve">MRB </w:t>
      </w:r>
      <w:r w:rsidR="00ED5A6E" w:rsidRPr="00225F0F">
        <w:rPr>
          <w:lang w:val="en-GB"/>
        </w:rPr>
        <w:t>SUSAR assessment</w:t>
      </w:r>
      <w:r w:rsidR="00260067" w:rsidRPr="00225F0F">
        <w:rPr>
          <w:lang w:val="en-GB"/>
        </w:rPr>
        <w:t xml:space="preserve">, each </w:t>
      </w:r>
      <w:r w:rsidR="00597A6B">
        <w:rPr>
          <w:lang w:val="en-GB"/>
        </w:rPr>
        <w:t>ICSR</w:t>
      </w:r>
      <w:r w:rsidR="00260067" w:rsidRPr="00225F0F">
        <w:rPr>
          <w:lang w:val="en-GB"/>
        </w:rPr>
        <w:t xml:space="preserve"> is entered in the Pharmacovigilance Database</w:t>
      </w:r>
      <w:r w:rsidR="00E467E2">
        <w:rPr>
          <w:lang w:val="en-GB"/>
        </w:rPr>
        <w:t>. Source data verification</w:t>
      </w:r>
      <w:r w:rsidR="00260067" w:rsidRPr="00225F0F">
        <w:rPr>
          <w:lang w:val="en-GB"/>
        </w:rPr>
        <w:t xml:space="preserve"> </w:t>
      </w:r>
      <w:r w:rsidR="00E467E2">
        <w:rPr>
          <w:lang w:val="en-GB"/>
        </w:rPr>
        <w:t xml:space="preserve">of database entry against the </w:t>
      </w:r>
      <w:r w:rsidR="007D33C7" w:rsidRPr="00225F0F">
        <w:rPr>
          <w:lang w:val="en-GB"/>
        </w:rPr>
        <w:t>Report Form</w:t>
      </w:r>
      <w:r w:rsidR="00ED5A6E" w:rsidRPr="00225F0F">
        <w:rPr>
          <w:lang w:val="en-GB"/>
        </w:rPr>
        <w:t>s</w:t>
      </w:r>
      <w:r w:rsidR="007D33C7" w:rsidRPr="00225F0F">
        <w:rPr>
          <w:lang w:val="en-GB"/>
        </w:rPr>
        <w:t xml:space="preserve"> </w:t>
      </w:r>
      <w:r w:rsidR="00260067" w:rsidRPr="00225F0F">
        <w:rPr>
          <w:lang w:val="en-GB"/>
        </w:rPr>
        <w:t>is performed</w:t>
      </w:r>
      <w:r w:rsidR="00ED5A6E" w:rsidRPr="00225F0F">
        <w:rPr>
          <w:lang w:val="en-GB"/>
        </w:rPr>
        <w:t xml:space="preserve"> by the Pharmacovigilance Officer (or deputy)</w:t>
      </w:r>
      <w:r w:rsidR="00260067" w:rsidRPr="00225F0F">
        <w:rPr>
          <w:lang w:val="en-GB"/>
        </w:rPr>
        <w:t>.</w:t>
      </w:r>
    </w:p>
    <w:p w14:paraId="1B4F4720" w14:textId="18E4F50A" w:rsidR="00260067" w:rsidRPr="00225F0F" w:rsidRDefault="00260067" w:rsidP="00144BCF">
      <w:pPr>
        <w:rPr>
          <w:lang w:val="en-GB"/>
        </w:rPr>
      </w:pPr>
      <w:r w:rsidRPr="00225F0F">
        <w:rPr>
          <w:lang w:val="en-GB"/>
        </w:rPr>
        <w:lastRenderedPageBreak/>
        <w:t xml:space="preserve">Once the cases </w:t>
      </w:r>
      <w:r w:rsidR="00E467E2" w:rsidRPr="00225F0F">
        <w:rPr>
          <w:lang w:val="en-GB"/>
        </w:rPr>
        <w:t>ha</w:t>
      </w:r>
      <w:r w:rsidR="00E467E2">
        <w:rPr>
          <w:lang w:val="en-GB"/>
        </w:rPr>
        <w:t>ve</w:t>
      </w:r>
      <w:r w:rsidR="00E467E2" w:rsidRPr="00225F0F">
        <w:rPr>
          <w:lang w:val="en-GB"/>
        </w:rPr>
        <w:t xml:space="preserve"> </w:t>
      </w:r>
      <w:r w:rsidRPr="00225F0F">
        <w:rPr>
          <w:lang w:val="en-GB"/>
        </w:rPr>
        <w:t xml:space="preserve">been medically reviewed and processed, reportable </w:t>
      </w:r>
      <w:r w:rsidR="005F5A01">
        <w:rPr>
          <w:lang w:val="en-GB"/>
        </w:rPr>
        <w:t>ICSRs</w:t>
      </w:r>
      <w:r w:rsidRPr="00225F0F">
        <w:rPr>
          <w:lang w:val="en-GB"/>
        </w:rPr>
        <w:t xml:space="preserve"> are extracted from the database </w:t>
      </w:r>
      <w:r w:rsidRPr="00B0531E">
        <w:rPr>
          <w:lang w:val="en-GB"/>
        </w:rPr>
        <w:t>and submitted</w:t>
      </w:r>
      <w:r w:rsidR="00F622D4" w:rsidRPr="00B0531E">
        <w:rPr>
          <w:lang w:val="en-GB"/>
        </w:rPr>
        <w:t xml:space="preserve"> to National Regulatory </w:t>
      </w:r>
      <w:r w:rsidR="00016BE7" w:rsidRPr="00B0531E">
        <w:rPr>
          <w:lang w:val="en-GB"/>
        </w:rPr>
        <w:t>Authorities</w:t>
      </w:r>
      <w:r w:rsidR="00286D28">
        <w:rPr>
          <w:lang w:val="en-GB"/>
        </w:rPr>
        <w:t xml:space="preserve">, Ethics Committees, </w:t>
      </w:r>
      <w:r w:rsidR="00F622D4" w:rsidRPr="00B0531E">
        <w:rPr>
          <w:lang w:val="en-GB"/>
        </w:rPr>
        <w:t>Data &amp; Safety Monitoring Board</w:t>
      </w:r>
      <w:r w:rsidR="00286D28">
        <w:rPr>
          <w:lang w:val="en-GB"/>
        </w:rPr>
        <w:t xml:space="preserve"> </w:t>
      </w:r>
      <w:r w:rsidR="00286D28" w:rsidRPr="00185903">
        <w:rPr>
          <w:lang w:val="en-GB"/>
        </w:rPr>
        <w:t>and drug manufacturers, as applicable</w:t>
      </w:r>
      <w:r w:rsidRPr="00B0531E">
        <w:rPr>
          <w:lang w:val="en-GB"/>
        </w:rPr>
        <w:t xml:space="preserve"> (</w:t>
      </w:r>
      <w:r w:rsidR="00611BA7" w:rsidRPr="00B0531E">
        <w:rPr>
          <w:lang w:val="en-GB"/>
        </w:rPr>
        <w:t>see section</w:t>
      </w:r>
      <w:r w:rsidR="00DF3FC1" w:rsidRPr="00B0531E">
        <w:rPr>
          <w:lang w:val="en-GB"/>
        </w:rPr>
        <w:t xml:space="preserve"> </w:t>
      </w:r>
      <w:r w:rsidR="00DF3FC1" w:rsidRPr="00B0531E">
        <w:rPr>
          <w:lang w:val="en-GB"/>
        </w:rPr>
        <w:fldChar w:fldCharType="begin"/>
      </w:r>
      <w:r w:rsidR="00DF3FC1" w:rsidRPr="00B0531E">
        <w:rPr>
          <w:lang w:val="en-GB"/>
        </w:rPr>
        <w:instrText xml:space="preserve"> REF _Ref471720044 \r \h  \* MERGEFORMAT </w:instrText>
      </w:r>
      <w:r w:rsidR="00DF3FC1" w:rsidRPr="00B0531E">
        <w:rPr>
          <w:lang w:val="en-GB"/>
        </w:rPr>
      </w:r>
      <w:r w:rsidR="00DF3FC1" w:rsidRPr="00B0531E">
        <w:rPr>
          <w:lang w:val="en-GB"/>
        </w:rPr>
        <w:fldChar w:fldCharType="separate"/>
      </w:r>
      <w:r w:rsidR="003C19FA">
        <w:rPr>
          <w:lang w:val="en-GB"/>
        </w:rPr>
        <w:t>4</w:t>
      </w:r>
      <w:r w:rsidR="00DF3FC1" w:rsidRPr="00B0531E">
        <w:rPr>
          <w:lang w:val="en-GB"/>
        </w:rPr>
        <w:fldChar w:fldCharType="end"/>
      </w:r>
      <w:r w:rsidRPr="00B0531E">
        <w:rPr>
          <w:lang w:val="en-GB"/>
        </w:rPr>
        <w:t>); other cases are</w:t>
      </w:r>
      <w:r w:rsidR="008812BD" w:rsidRPr="00B0531E">
        <w:rPr>
          <w:lang w:val="en-GB"/>
        </w:rPr>
        <w:t xml:space="preserve"> </w:t>
      </w:r>
      <w:r w:rsidR="00F805EB" w:rsidRPr="00B0531E">
        <w:rPr>
          <w:lang w:val="en-GB"/>
        </w:rPr>
        <w:t>completed</w:t>
      </w:r>
      <w:r w:rsidRPr="00B0531E">
        <w:rPr>
          <w:lang w:val="en-GB"/>
        </w:rPr>
        <w:t>.</w:t>
      </w:r>
    </w:p>
    <w:p w14:paraId="1B4F4721" w14:textId="77777777" w:rsidR="005F5A01" w:rsidRDefault="007D33C7" w:rsidP="00144BCF">
      <w:pPr>
        <w:rPr>
          <w:lang w:val="en-GB"/>
        </w:rPr>
      </w:pPr>
      <w:r w:rsidRPr="00225F0F">
        <w:rPr>
          <w:lang w:val="en-GB"/>
        </w:rPr>
        <w:t>The PV Unit follows-up regularly with the site on individual cases until resolution or stabilization of SAEs/AEIs, or until a pregnancy outcome is known</w:t>
      </w:r>
      <w:r w:rsidR="005F5A01">
        <w:rPr>
          <w:lang w:val="en-GB"/>
        </w:rPr>
        <w:t xml:space="preserve"> </w:t>
      </w:r>
      <w:r w:rsidR="005F5A01" w:rsidRPr="00B0531E">
        <w:rPr>
          <w:lang w:val="en-GB"/>
        </w:rPr>
        <w:t>and at 6 and 12 months after the baby is born</w:t>
      </w:r>
      <w:r w:rsidRPr="00B0531E">
        <w:rPr>
          <w:lang w:val="en-GB"/>
        </w:rPr>
        <w:t>.</w:t>
      </w:r>
    </w:p>
    <w:p w14:paraId="1B4F4722" w14:textId="77777777" w:rsidR="00260067" w:rsidRPr="00225F0F" w:rsidRDefault="00D6073D" w:rsidP="00144BCF">
      <w:pPr>
        <w:rPr>
          <w:lang w:val="en-GB"/>
        </w:rPr>
      </w:pPr>
      <w:r w:rsidRPr="00225F0F">
        <w:rPr>
          <w:lang w:val="en-GB"/>
        </w:rPr>
        <w:t xml:space="preserve">Follow-up information is reported, processed and medically reviewed </w:t>
      </w:r>
      <w:r w:rsidR="00E467E2">
        <w:rPr>
          <w:lang w:val="en-GB"/>
        </w:rPr>
        <w:t>using the same process</w:t>
      </w:r>
      <w:r w:rsidR="00E467E2" w:rsidRPr="00225F0F">
        <w:rPr>
          <w:lang w:val="en-GB"/>
        </w:rPr>
        <w:t xml:space="preserve"> </w:t>
      </w:r>
      <w:r w:rsidRPr="00225F0F">
        <w:rPr>
          <w:lang w:val="en-GB"/>
        </w:rPr>
        <w:t>as</w:t>
      </w:r>
      <w:r w:rsidR="00E467E2">
        <w:rPr>
          <w:lang w:val="en-GB"/>
        </w:rPr>
        <w:t xml:space="preserve"> for the</w:t>
      </w:r>
      <w:r w:rsidRPr="00225F0F">
        <w:rPr>
          <w:lang w:val="en-GB"/>
        </w:rPr>
        <w:t xml:space="preserve"> initial </w:t>
      </w:r>
      <w:r w:rsidR="00E467E2">
        <w:rPr>
          <w:lang w:val="en-GB"/>
        </w:rPr>
        <w:t>report</w:t>
      </w:r>
      <w:r w:rsidR="00E467E2" w:rsidRPr="00225F0F">
        <w:rPr>
          <w:lang w:val="en-GB"/>
        </w:rPr>
        <w:t xml:space="preserve"> </w:t>
      </w:r>
      <w:r w:rsidR="0075337A" w:rsidRPr="00225F0F">
        <w:rPr>
          <w:lang w:val="en-GB"/>
        </w:rPr>
        <w:t>(ref. PV-TB-P01)</w:t>
      </w:r>
      <w:r w:rsidRPr="00225F0F">
        <w:rPr>
          <w:lang w:val="en-GB"/>
        </w:rPr>
        <w:t>.</w:t>
      </w:r>
    </w:p>
    <w:p w14:paraId="1B4F4723" w14:textId="43643A27" w:rsidR="00F7765C" w:rsidRPr="00225F0F" w:rsidRDefault="00F7765C" w:rsidP="00170731">
      <w:pPr>
        <w:pStyle w:val="Caption"/>
        <w:ind w:left="720" w:hanging="720"/>
        <w:rPr>
          <w:color w:val="000000" w:themeColor="text1"/>
          <w:sz w:val="22"/>
          <w:lang w:val="en-GB"/>
        </w:rPr>
      </w:pPr>
      <w:bookmarkStart w:id="30" w:name="_Ref471723507"/>
      <w:r w:rsidRPr="00225F0F">
        <w:rPr>
          <w:color w:val="000000" w:themeColor="text1"/>
          <w:sz w:val="22"/>
          <w:lang w:val="en-GB"/>
        </w:rPr>
        <w:t xml:space="preserve">Table </w:t>
      </w:r>
      <w:r w:rsidRPr="00225F0F">
        <w:rPr>
          <w:color w:val="000000" w:themeColor="text1"/>
          <w:sz w:val="22"/>
          <w:lang w:val="en-GB"/>
        </w:rPr>
        <w:fldChar w:fldCharType="begin"/>
      </w:r>
      <w:r w:rsidRPr="00225F0F">
        <w:rPr>
          <w:color w:val="000000" w:themeColor="text1"/>
          <w:sz w:val="22"/>
          <w:lang w:val="en-GB"/>
        </w:rPr>
        <w:instrText xml:space="preserve"> SEQ Table \* ARABIC </w:instrText>
      </w:r>
      <w:r w:rsidRPr="00225F0F">
        <w:rPr>
          <w:color w:val="000000" w:themeColor="text1"/>
          <w:sz w:val="22"/>
          <w:lang w:val="en-GB"/>
        </w:rPr>
        <w:fldChar w:fldCharType="separate"/>
      </w:r>
      <w:r w:rsidR="003C19FA">
        <w:rPr>
          <w:noProof/>
          <w:color w:val="000000" w:themeColor="text1"/>
          <w:sz w:val="22"/>
          <w:lang w:val="en-GB"/>
        </w:rPr>
        <w:t>1</w:t>
      </w:r>
      <w:r w:rsidRPr="00225F0F">
        <w:rPr>
          <w:color w:val="000000" w:themeColor="text1"/>
          <w:sz w:val="22"/>
          <w:lang w:val="en-GB"/>
        </w:rPr>
        <w:fldChar w:fldCharType="end"/>
      </w:r>
      <w:bookmarkEnd w:id="30"/>
      <w:r w:rsidRPr="00225F0F">
        <w:rPr>
          <w:color w:val="000000" w:themeColor="text1"/>
          <w:sz w:val="22"/>
          <w:lang w:val="en-GB"/>
        </w:rPr>
        <w:t xml:space="preserve"> </w:t>
      </w:r>
      <w:r w:rsidRPr="00225F0F">
        <w:rPr>
          <w:color w:val="000000" w:themeColor="text1"/>
          <w:sz w:val="22"/>
          <w:lang w:val="en-GB"/>
        </w:rPr>
        <w:tab/>
      </w:r>
      <w:r w:rsidR="00751D3E" w:rsidRPr="00225F0F">
        <w:rPr>
          <w:color w:val="000000" w:themeColor="text1"/>
          <w:sz w:val="22"/>
          <w:lang w:val="en-GB"/>
        </w:rPr>
        <w:t>Overview table of t</w:t>
      </w:r>
      <w:r w:rsidRPr="00225F0F">
        <w:rPr>
          <w:color w:val="000000" w:themeColor="text1"/>
          <w:sz w:val="22"/>
          <w:lang w:val="en-GB"/>
        </w:rPr>
        <w:t xml:space="preserve">imelines for clinical trial individual case safety reports </w:t>
      </w:r>
      <w:r w:rsidR="00486047">
        <w:rPr>
          <w:color w:val="000000" w:themeColor="text1"/>
          <w:sz w:val="22"/>
          <w:lang w:val="en-GB"/>
        </w:rPr>
        <w:t xml:space="preserve">transmission from site, </w:t>
      </w:r>
      <w:r w:rsidRPr="00225F0F">
        <w:rPr>
          <w:color w:val="000000" w:themeColor="text1"/>
          <w:sz w:val="22"/>
          <w:lang w:val="en-GB"/>
        </w:rPr>
        <w:t>processing, medical review and submission</w:t>
      </w:r>
    </w:p>
    <w:tbl>
      <w:tblPr>
        <w:tblStyle w:val="TableGrid"/>
        <w:tblW w:w="5000" w:type="pct"/>
        <w:tblLayout w:type="fixed"/>
        <w:tblLook w:val="04A0" w:firstRow="1" w:lastRow="0" w:firstColumn="1" w:lastColumn="0" w:noHBand="0" w:noVBand="1"/>
      </w:tblPr>
      <w:tblGrid>
        <w:gridCol w:w="2460"/>
        <w:gridCol w:w="1524"/>
        <w:gridCol w:w="1316"/>
        <w:gridCol w:w="65"/>
        <w:gridCol w:w="1251"/>
        <w:gridCol w:w="1251"/>
        <w:gridCol w:w="1483"/>
      </w:tblGrid>
      <w:tr w:rsidR="00486047" w:rsidRPr="00486047" w14:paraId="1B4F4727" w14:textId="77777777" w:rsidTr="00B0531E">
        <w:tc>
          <w:tcPr>
            <w:tcW w:w="1315" w:type="pct"/>
            <w:vMerge w:val="restart"/>
            <w:shd w:val="clear" w:color="auto" w:fill="auto"/>
          </w:tcPr>
          <w:p w14:paraId="1B4F4724" w14:textId="77777777" w:rsidR="00486047" w:rsidRPr="00486047" w:rsidRDefault="00486047" w:rsidP="009400D9">
            <w:pPr>
              <w:spacing w:before="40" w:after="40"/>
              <w:rPr>
                <w:rFonts w:asciiTheme="minorHAnsi" w:hAnsiTheme="minorHAnsi"/>
                <w:b/>
                <w:sz w:val="19"/>
                <w:szCs w:val="19"/>
                <w:lang w:val="en-GB"/>
              </w:rPr>
            </w:pPr>
            <w:r w:rsidRPr="00486047">
              <w:rPr>
                <w:rFonts w:asciiTheme="minorHAnsi" w:hAnsiTheme="minorHAnsi"/>
                <w:b/>
                <w:sz w:val="19"/>
                <w:szCs w:val="19"/>
                <w:lang w:val="en-GB"/>
              </w:rPr>
              <w:t>Activity</w:t>
            </w:r>
          </w:p>
        </w:tc>
        <w:tc>
          <w:tcPr>
            <w:tcW w:w="815" w:type="pct"/>
            <w:vMerge w:val="restart"/>
            <w:shd w:val="clear" w:color="auto" w:fill="auto"/>
          </w:tcPr>
          <w:p w14:paraId="1B4F4725" w14:textId="77777777" w:rsidR="00486047" w:rsidRPr="00486047" w:rsidRDefault="00486047" w:rsidP="009400D9">
            <w:pPr>
              <w:spacing w:before="40" w:after="40"/>
              <w:rPr>
                <w:rFonts w:asciiTheme="minorHAnsi" w:hAnsiTheme="minorHAnsi"/>
                <w:b/>
                <w:sz w:val="19"/>
                <w:szCs w:val="19"/>
                <w:lang w:val="en-GB"/>
              </w:rPr>
            </w:pPr>
            <w:r w:rsidRPr="00486047">
              <w:rPr>
                <w:rFonts w:asciiTheme="minorHAnsi" w:hAnsiTheme="minorHAnsi"/>
                <w:b/>
                <w:sz w:val="19"/>
                <w:szCs w:val="19"/>
                <w:lang w:val="en-GB"/>
              </w:rPr>
              <w:t>Responsible</w:t>
            </w:r>
          </w:p>
        </w:tc>
        <w:tc>
          <w:tcPr>
            <w:tcW w:w="2870" w:type="pct"/>
            <w:gridSpan w:val="5"/>
            <w:shd w:val="clear" w:color="auto" w:fill="auto"/>
          </w:tcPr>
          <w:p w14:paraId="1B4F4726" w14:textId="77777777" w:rsidR="00486047" w:rsidRPr="00486047" w:rsidRDefault="00486047" w:rsidP="009400D9">
            <w:pPr>
              <w:spacing w:before="40" w:after="40"/>
              <w:jc w:val="center"/>
              <w:rPr>
                <w:rFonts w:asciiTheme="minorHAnsi" w:hAnsiTheme="minorHAnsi"/>
                <w:b/>
                <w:sz w:val="19"/>
                <w:szCs w:val="19"/>
                <w:lang w:val="en-GB"/>
              </w:rPr>
            </w:pPr>
            <w:r w:rsidRPr="00486047">
              <w:rPr>
                <w:rFonts w:asciiTheme="minorHAnsi" w:hAnsiTheme="minorHAnsi"/>
                <w:b/>
                <w:szCs w:val="19"/>
                <w:lang w:val="en-GB"/>
              </w:rPr>
              <w:t xml:space="preserve">Reporting deadline in </w:t>
            </w:r>
            <w:r w:rsidR="005F5A01">
              <w:rPr>
                <w:rFonts w:asciiTheme="minorHAnsi" w:hAnsiTheme="minorHAnsi"/>
                <w:b/>
                <w:szCs w:val="19"/>
                <w:lang w:val="en-GB"/>
              </w:rPr>
              <w:t>‘calendar days</w:t>
            </w:r>
            <w:r w:rsidRPr="00486047">
              <w:rPr>
                <w:rFonts w:asciiTheme="minorHAnsi" w:hAnsiTheme="minorHAnsi"/>
                <w:b/>
                <w:szCs w:val="19"/>
                <w:lang w:val="en-GB"/>
              </w:rPr>
              <w:t xml:space="preserve"> from Day 0</w:t>
            </w:r>
            <w:r w:rsidR="005F5A01">
              <w:rPr>
                <w:rFonts w:asciiTheme="minorHAnsi" w:hAnsiTheme="minorHAnsi"/>
                <w:b/>
                <w:szCs w:val="19"/>
                <w:lang w:val="en-GB"/>
              </w:rPr>
              <w:t>’</w:t>
            </w:r>
          </w:p>
        </w:tc>
      </w:tr>
      <w:tr w:rsidR="00F622D4" w:rsidRPr="00486047" w14:paraId="1B4F472D" w14:textId="77777777" w:rsidTr="009400D9">
        <w:trPr>
          <w:trHeight w:val="70"/>
        </w:trPr>
        <w:tc>
          <w:tcPr>
            <w:tcW w:w="1315" w:type="pct"/>
            <w:vMerge/>
            <w:shd w:val="clear" w:color="auto" w:fill="auto"/>
          </w:tcPr>
          <w:p w14:paraId="1B4F4728" w14:textId="77777777" w:rsidR="00486047" w:rsidRPr="00486047" w:rsidRDefault="00486047" w:rsidP="009400D9">
            <w:pPr>
              <w:spacing w:before="40" w:after="40"/>
              <w:rPr>
                <w:rFonts w:asciiTheme="minorHAnsi" w:hAnsiTheme="minorHAnsi"/>
                <w:b/>
                <w:sz w:val="19"/>
                <w:szCs w:val="19"/>
                <w:lang w:val="en-GB"/>
              </w:rPr>
            </w:pPr>
          </w:p>
        </w:tc>
        <w:tc>
          <w:tcPr>
            <w:tcW w:w="815" w:type="pct"/>
            <w:vMerge/>
            <w:shd w:val="clear" w:color="auto" w:fill="auto"/>
          </w:tcPr>
          <w:p w14:paraId="1B4F4729" w14:textId="77777777" w:rsidR="00486047" w:rsidRPr="00486047" w:rsidRDefault="00486047" w:rsidP="009400D9">
            <w:pPr>
              <w:spacing w:before="40" w:after="40"/>
              <w:rPr>
                <w:rFonts w:asciiTheme="minorHAnsi" w:hAnsiTheme="minorHAnsi"/>
                <w:b/>
                <w:sz w:val="19"/>
                <w:szCs w:val="19"/>
                <w:lang w:val="en-GB"/>
              </w:rPr>
            </w:pPr>
          </w:p>
        </w:tc>
        <w:tc>
          <w:tcPr>
            <w:tcW w:w="1408" w:type="pct"/>
            <w:gridSpan w:val="3"/>
            <w:shd w:val="clear" w:color="auto" w:fill="auto"/>
          </w:tcPr>
          <w:p w14:paraId="1B4F472A" w14:textId="77777777" w:rsidR="00486047" w:rsidRPr="00486047" w:rsidRDefault="00486047" w:rsidP="009400D9">
            <w:pPr>
              <w:spacing w:before="40" w:after="40"/>
              <w:jc w:val="center"/>
              <w:rPr>
                <w:rFonts w:asciiTheme="minorHAnsi" w:hAnsiTheme="minorHAnsi"/>
                <w:b/>
                <w:sz w:val="19"/>
                <w:szCs w:val="19"/>
                <w:lang w:val="en-GB"/>
              </w:rPr>
            </w:pPr>
            <w:r w:rsidRPr="00486047">
              <w:rPr>
                <w:rFonts w:asciiTheme="minorHAnsi" w:hAnsiTheme="minorHAnsi"/>
                <w:b/>
                <w:sz w:val="19"/>
                <w:szCs w:val="19"/>
                <w:lang w:val="en-GB"/>
              </w:rPr>
              <w:t>SUSARs</w:t>
            </w:r>
          </w:p>
        </w:tc>
        <w:tc>
          <w:tcPr>
            <w:tcW w:w="667" w:type="pct"/>
            <w:vMerge w:val="restart"/>
            <w:shd w:val="clear" w:color="auto" w:fill="auto"/>
          </w:tcPr>
          <w:p w14:paraId="1B4F472B" w14:textId="77777777" w:rsidR="00486047" w:rsidRPr="00486047" w:rsidRDefault="00486047" w:rsidP="009400D9">
            <w:pPr>
              <w:spacing w:before="40" w:after="40"/>
              <w:jc w:val="center"/>
              <w:rPr>
                <w:rFonts w:asciiTheme="minorHAnsi" w:hAnsiTheme="minorHAnsi"/>
                <w:b/>
                <w:sz w:val="19"/>
                <w:szCs w:val="19"/>
                <w:lang w:val="en-GB"/>
              </w:rPr>
            </w:pPr>
            <w:r w:rsidRPr="00486047">
              <w:rPr>
                <w:rFonts w:asciiTheme="minorHAnsi" w:hAnsiTheme="minorHAnsi"/>
                <w:b/>
                <w:sz w:val="19"/>
                <w:szCs w:val="19"/>
                <w:lang w:val="en-GB"/>
              </w:rPr>
              <w:t xml:space="preserve">SAEs </w:t>
            </w:r>
            <w:r w:rsidRPr="00486047">
              <w:rPr>
                <w:rFonts w:asciiTheme="minorHAnsi" w:hAnsiTheme="minorHAnsi"/>
                <w:b/>
                <w:i/>
                <w:sz w:val="19"/>
                <w:szCs w:val="19"/>
                <w:lang w:val="en-GB"/>
              </w:rPr>
              <w:t>(non-SUSARs)</w:t>
            </w:r>
          </w:p>
        </w:tc>
        <w:tc>
          <w:tcPr>
            <w:tcW w:w="795" w:type="pct"/>
            <w:vMerge w:val="restart"/>
            <w:shd w:val="clear" w:color="auto" w:fill="auto"/>
          </w:tcPr>
          <w:p w14:paraId="1B4F472C" w14:textId="77777777" w:rsidR="00486047" w:rsidRPr="00486047" w:rsidRDefault="00486047" w:rsidP="009400D9">
            <w:pPr>
              <w:spacing w:before="40" w:after="40"/>
              <w:jc w:val="center"/>
              <w:rPr>
                <w:rFonts w:asciiTheme="minorHAnsi" w:hAnsiTheme="minorHAnsi"/>
                <w:b/>
                <w:sz w:val="19"/>
                <w:szCs w:val="19"/>
                <w:lang w:val="en-GB"/>
              </w:rPr>
            </w:pPr>
            <w:r w:rsidRPr="00B0531E">
              <w:rPr>
                <w:rFonts w:asciiTheme="minorHAnsi" w:hAnsiTheme="minorHAnsi"/>
                <w:b/>
                <w:sz w:val="18"/>
                <w:szCs w:val="19"/>
                <w:lang w:val="en-GB"/>
              </w:rPr>
              <w:t>Non serious AEIs, overdoses, pregnancies</w:t>
            </w:r>
          </w:p>
        </w:tc>
      </w:tr>
      <w:tr w:rsidR="00F622D4" w:rsidRPr="00486047" w14:paraId="1B4F4734" w14:textId="77777777" w:rsidTr="00B0531E">
        <w:trPr>
          <w:trHeight w:val="70"/>
        </w:trPr>
        <w:tc>
          <w:tcPr>
            <w:tcW w:w="1315" w:type="pct"/>
            <w:vMerge/>
            <w:shd w:val="clear" w:color="auto" w:fill="auto"/>
          </w:tcPr>
          <w:p w14:paraId="1B4F472E" w14:textId="77777777" w:rsidR="00486047" w:rsidRPr="00486047" w:rsidRDefault="00486047" w:rsidP="009400D9">
            <w:pPr>
              <w:spacing w:before="40" w:after="40"/>
              <w:rPr>
                <w:rFonts w:asciiTheme="minorHAnsi" w:hAnsiTheme="minorHAnsi"/>
                <w:sz w:val="19"/>
                <w:szCs w:val="19"/>
                <w:lang w:val="en-GB"/>
              </w:rPr>
            </w:pPr>
          </w:p>
        </w:tc>
        <w:tc>
          <w:tcPr>
            <w:tcW w:w="815" w:type="pct"/>
            <w:vMerge/>
            <w:shd w:val="clear" w:color="auto" w:fill="auto"/>
          </w:tcPr>
          <w:p w14:paraId="1B4F472F" w14:textId="77777777" w:rsidR="00486047" w:rsidRPr="00486047" w:rsidRDefault="00486047" w:rsidP="009400D9">
            <w:pPr>
              <w:spacing w:before="40" w:after="40"/>
              <w:rPr>
                <w:rFonts w:asciiTheme="minorHAnsi" w:hAnsiTheme="minorHAnsi"/>
                <w:sz w:val="19"/>
                <w:szCs w:val="19"/>
                <w:lang w:val="en-GB"/>
              </w:rPr>
            </w:pPr>
          </w:p>
        </w:tc>
        <w:tc>
          <w:tcPr>
            <w:tcW w:w="704" w:type="pct"/>
            <w:shd w:val="clear" w:color="auto" w:fill="auto"/>
          </w:tcPr>
          <w:p w14:paraId="1B4F4730" w14:textId="77777777" w:rsidR="00486047" w:rsidRPr="00486047" w:rsidRDefault="00486047" w:rsidP="009400D9">
            <w:pPr>
              <w:spacing w:before="40" w:after="40"/>
              <w:jc w:val="center"/>
              <w:rPr>
                <w:rFonts w:asciiTheme="minorHAnsi" w:hAnsiTheme="minorHAnsi"/>
                <w:b/>
                <w:sz w:val="19"/>
                <w:szCs w:val="19"/>
                <w:lang w:val="en-GB"/>
              </w:rPr>
            </w:pPr>
            <w:r w:rsidRPr="00F622D4">
              <w:rPr>
                <w:rFonts w:asciiTheme="minorHAnsi" w:hAnsiTheme="minorHAnsi"/>
                <w:b/>
                <w:sz w:val="16"/>
                <w:szCs w:val="19"/>
                <w:lang w:val="en-GB"/>
              </w:rPr>
              <w:t>Fatal/Life-threatening</w:t>
            </w:r>
          </w:p>
        </w:tc>
        <w:tc>
          <w:tcPr>
            <w:tcW w:w="704" w:type="pct"/>
            <w:gridSpan w:val="2"/>
            <w:shd w:val="clear" w:color="auto" w:fill="auto"/>
          </w:tcPr>
          <w:p w14:paraId="1B4F4731" w14:textId="77777777" w:rsidR="00486047" w:rsidRPr="00486047" w:rsidRDefault="00486047" w:rsidP="009400D9">
            <w:pPr>
              <w:spacing w:before="40" w:after="40"/>
              <w:jc w:val="center"/>
              <w:rPr>
                <w:rFonts w:asciiTheme="minorHAnsi" w:hAnsiTheme="minorHAnsi"/>
                <w:b/>
                <w:sz w:val="19"/>
                <w:szCs w:val="19"/>
                <w:lang w:val="en-GB"/>
              </w:rPr>
            </w:pPr>
            <w:r w:rsidRPr="00486047">
              <w:rPr>
                <w:rFonts w:asciiTheme="minorHAnsi" w:hAnsiTheme="minorHAnsi"/>
                <w:b/>
                <w:sz w:val="19"/>
                <w:szCs w:val="19"/>
                <w:lang w:val="en-GB"/>
              </w:rPr>
              <w:t>Other</w:t>
            </w:r>
          </w:p>
        </w:tc>
        <w:tc>
          <w:tcPr>
            <w:tcW w:w="667" w:type="pct"/>
            <w:vMerge/>
            <w:shd w:val="clear" w:color="auto" w:fill="auto"/>
          </w:tcPr>
          <w:p w14:paraId="1B4F4732" w14:textId="77777777" w:rsidR="00486047" w:rsidRPr="00486047" w:rsidRDefault="00486047" w:rsidP="009400D9">
            <w:pPr>
              <w:spacing w:before="40" w:after="40"/>
              <w:rPr>
                <w:rFonts w:asciiTheme="minorHAnsi" w:hAnsiTheme="minorHAnsi"/>
                <w:sz w:val="19"/>
                <w:szCs w:val="19"/>
                <w:lang w:val="en-GB"/>
              </w:rPr>
            </w:pPr>
          </w:p>
        </w:tc>
        <w:tc>
          <w:tcPr>
            <w:tcW w:w="795" w:type="pct"/>
            <w:vMerge/>
            <w:shd w:val="clear" w:color="auto" w:fill="auto"/>
          </w:tcPr>
          <w:p w14:paraId="1B4F4733" w14:textId="77777777" w:rsidR="00486047" w:rsidRPr="00486047" w:rsidRDefault="00486047" w:rsidP="009400D9">
            <w:pPr>
              <w:spacing w:before="40" w:after="40"/>
              <w:rPr>
                <w:rFonts w:asciiTheme="minorHAnsi" w:hAnsiTheme="minorHAnsi"/>
                <w:sz w:val="19"/>
                <w:szCs w:val="19"/>
                <w:lang w:val="en-GB"/>
              </w:rPr>
            </w:pPr>
          </w:p>
        </w:tc>
      </w:tr>
      <w:tr w:rsidR="00F622D4" w:rsidRPr="00486047" w14:paraId="1B4F4738" w14:textId="77777777" w:rsidTr="00286D28">
        <w:tc>
          <w:tcPr>
            <w:tcW w:w="1315" w:type="pct"/>
            <w:shd w:val="clear" w:color="auto" w:fill="auto"/>
            <w:vAlign w:val="center"/>
          </w:tcPr>
          <w:p w14:paraId="1B4F4735" w14:textId="77777777" w:rsidR="00F622D4" w:rsidRPr="00486047" w:rsidRDefault="00F622D4" w:rsidP="009400D9">
            <w:pPr>
              <w:spacing w:before="40" w:after="40"/>
              <w:jc w:val="left"/>
              <w:rPr>
                <w:rFonts w:asciiTheme="minorHAnsi" w:hAnsiTheme="minorHAnsi"/>
                <w:b/>
                <w:sz w:val="19"/>
                <w:szCs w:val="19"/>
                <w:lang w:val="en-GB"/>
              </w:rPr>
            </w:pPr>
            <w:r>
              <w:rPr>
                <w:rFonts w:asciiTheme="minorHAnsi" w:hAnsiTheme="minorHAnsi"/>
                <w:b/>
                <w:sz w:val="19"/>
                <w:szCs w:val="19"/>
                <w:lang w:val="en-GB"/>
              </w:rPr>
              <w:t>Transmission of reportable information on an SAE/Pregnancy Report Form</w:t>
            </w:r>
          </w:p>
        </w:tc>
        <w:tc>
          <w:tcPr>
            <w:tcW w:w="815" w:type="pct"/>
            <w:shd w:val="clear" w:color="auto" w:fill="auto"/>
            <w:vAlign w:val="center"/>
          </w:tcPr>
          <w:p w14:paraId="1B4F4736" w14:textId="77777777" w:rsidR="00F622D4" w:rsidRPr="00486047" w:rsidRDefault="00F622D4" w:rsidP="009400D9">
            <w:pPr>
              <w:spacing w:before="40" w:after="40"/>
              <w:jc w:val="left"/>
              <w:rPr>
                <w:rFonts w:asciiTheme="minorHAnsi" w:hAnsiTheme="minorHAnsi"/>
                <w:sz w:val="19"/>
                <w:szCs w:val="19"/>
                <w:lang w:val="en-GB"/>
              </w:rPr>
            </w:pPr>
            <w:r>
              <w:rPr>
                <w:rFonts w:asciiTheme="minorHAnsi" w:hAnsiTheme="minorHAnsi"/>
                <w:sz w:val="19"/>
                <w:szCs w:val="19"/>
                <w:lang w:val="en-GB"/>
              </w:rPr>
              <w:t>Site PI and Co-Investigators</w:t>
            </w:r>
          </w:p>
        </w:tc>
        <w:tc>
          <w:tcPr>
            <w:tcW w:w="2870" w:type="pct"/>
            <w:gridSpan w:val="5"/>
            <w:shd w:val="clear" w:color="auto" w:fill="auto"/>
            <w:vAlign w:val="center"/>
          </w:tcPr>
          <w:p w14:paraId="1B4F4737" w14:textId="77777777" w:rsidR="00F622D4" w:rsidRPr="00486047" w:rsidRDefault="00F622D4" w:rsidP="00286D28">
            <w:pPr>
              <w:spacing w:before="40" w:after="40"/>
              <w:jc w:val="center"/>
              <w:rPr>
                <w:rFonts w:asciiTheme="minorHAnsi" w:hAnsiTheme="minorHAnsi"/>
                <w:sz w:val="19"/>
                <w:szCs w:val="19"/>
                <w:lang w:val="en-GB"/>
              </w:rPr>
            </w:pPr>
            <w:r>
              <w:rPr>
                <w:rFonts w:asciiTheme="minorHAnsi" w:hAnsiTheme="minorHAnsi"/>
                <w:sz w:val="19"/>
                <w:szCs w:val="19"/>
                <w:lang w:val="en-GB"/>
              </w:rPr>
              <w:t xml:space="preserve">Within </w:t>
            </w:r>
            <w:r w:rsidRPr="00F622D4">
              <w:rPr>
                <w:rFonts w:asciiTheme="minorHAnsi" w:hAnsiTheme="minorHAnsi"/>
                <w:b/>
                <w:sz w:val="19"/>
                <w:szCs w:val="19"/>
                <w:lang w:val="en-GB"/>
              </w:rPr>
              <w:t>24 hours</w:t>
            </w:r>
            <w:r>
              <w:rPr>
                <w:rFonts w:asciiTheme="minorHAnsi" w:hAnsiTheme="minorHAnsi"/>
                <w:sz w:val="19"/>
                <w:szCs w:val="19"/>
                <w:lang w:val="en-GB"/>
              </w:rPr>
              <w:t xml:space="preserve"> of first awareness on Site</w:t>
            </w:r>
          </w:p>
        </w:tc>
      </w:tr>
      <w:tr w:rsidR="001F63EE" w:rsidRPr="00486047" w14:paraId="1B4F473C" w14:textId="77777777" w:rsidTr="00286D28">
        <w:tc>
          <w:tcPr>
            <w:tcW w:w="1315" w:type="pct"/>
            <w:shd w:val="clear" w:color="auto" w:fill="auto"/>
            <w:vAlign w:val="center"/>
          </w:tcPr>
          <w:p w14:paraId="1B4F4739" w14:textId="77777777" w:rsidR="00170731" w:rsidRPr="00B0531E" w:rsidRDefault="00170731" w:rsidP="00B0531E">
            <w:pPr>
              <w:spacing w:before="40" w:after="40"/>
              <w:jc w:val="left"/>
              <w:rPr>
                <w:rFonts w:asciiTheme="minorHAnsi" w:hAnsiTheme="minorHAnsi"/>
                <w:b/>
                <w:sz w:val="19"/>
                <w:szCs w:val="19"/>
                <w:lang w:val="en-GB"/>
              </w:rPr>
            </w:pPr>
            <w:r w:rsidRPr="00486047">
              <w:rPr>
                <w:rFonts w:asciiTheme="minorHAnsi" w:hAnsiTheme="minorHAnsi"/>
                <w:b/>
                <w:sz w:val="19"/>
                <w:szCs w:val="19"/>
                <w:lang w:val="en-GB"/>
              </w:rPr>
              <w:t>Validation &amp; triage</w:t>
            </w:r>
          </w:p>
        </w:tc>
        <w:tc>
          <w:tcPr>
            <w:tcW w:w="815" w:type="pct"/>
            <w:shd w:val="clear" w:color="auto" w:fill="auto"/>
            <w:vAlign w:val="center"/>
          </w:tcPr>
          <w:p w14:paraId="1B4F473A" w14:textId="77777777" w:rsidR="00170731" w:rsidRPr="00486047" w:rsidRDefault="00170731" w:rsidP="009400D9">
            <w:pPr>
              <w:spacing w:before="40" w:after="40"/>
              <w:jc w:val="left"/>
              <w:rPr>
                <w:rFonts w:asciiTheme="minorHAnsi" w:hAnsiTheme="minorHAnsi"/>
                <w:sz w:val="19"/>
                <w:szCs w:val="19"/>
                <w:lang w:val="en-GB"/>
              </w:rPr>
            </w:pPr>
            <w:r w:rsidRPr="00486047">
              <w:rPr>
                <w:rFonts w:asciiTheme="minorHAnsi" w:hAnsiTheme="minorHAnsi"/>
                <w:sz w:val="19"/>
                <w:szCs w:val="19"/>
                <w:lang w:val="en-GB"/>
              </w:rPr>
              <w:t>PV officer</w:t>
            </w:r>
            <w:r w:rsidR="00751D3E" w:rsidRPr="00486047">
              <w:rPr>
                <w:rFonts w:asciiTheme="minorHAnsi" w:hAnsiTheme="minorHAnsi"/>
                <w:sz w:val="19"/>
                <w:szCs w:val="19"/>
                <w:lang w:val="en-GB"/>
              </w:rPr>
              <w:t>s</w:t>
            </w:r>
          </w:p>
        </w:tc>
        <w:tc>
          <w:tcPr>
            <w:tcW w:w="2870" w:type="pct"/>
            <w:gridSpan w:val="5"/>
            <w:shd w:val="clear" w:color="auto" w:fill="auto"/>
            <w:vAlign w:val="center"/>
          </w:tcPr>
          <w:p w14:paraId="1B4F473B" w14:textId="77777777" w:rsidR="00170731" w:rsidRPr="00486047" w:rsidRDefault="00170731" w:rsidP="00286D28">
            <w:pPr>
              <w:spacing w:before="40" w:after="40"/>
              <w:jc w:val="center"/>
              <w:rPr>
                <w:rFonts w:asciiTheme="minorHAnsi" w:hAnsiTheme="minorHAnsi"/>
                <w:sz w:val="19"/>
                <w:szCs w:val="19"/>
                <w:lang w:val="en-GB"/>
              </w:rPr>
            </w:pPr>
            <w:r w:rsidRPr="00486047">
              <w:rPr>
                <w:rFonts w:asciiTheme="minorHAnsi" w:hAnsiTheme="minorHAnsi"/>
                <w:sz w:val="19"/>
                <w:szCs w:val="19"/>
                <w:lang w:val="en-GB"/>
              </w:rPr>
              <w:t xml:space="preserve">Within 1 calendar day of </w:t>
            </w:r>
            <w:r w:rsidR="00751D3E" w:rsidRPr="00486047">
              <w:rPr>
                <w:rFonts w:asciiTheme="minorHAnsi" w:hAnsiTheme="minorHAnsi"/>
                <w:sz w:val="19"/>
                <w:szCs w:val="19"/>
                <w:u w:val="single"/>
                <w:lang w:val="en-GB"/>
              </w:rPr>
              <w:t xml:space="preserve">first </w:t>
            </w:r>
            <w:r w:rsidRPr="00486047">
              <w:rPr>
                <w:rFonts w:asciiTheme="minorHAnsi" w:hAnsiTheme="minorHAnsi"/>
                <w:sz w:val="19"/>
                <w:szCs w:val="19"/>
                <w:u w:val="single"/>
                <w:lang w:val="en-GB"/>
              </w:rPr>
              <w:t>receipt at Sponsor (=Day 0)</w:t>
            </w:r>
          </w:p>
        </w:tc>
      </w:tr>
      <w:tr w:rsidR="00F622D4" w:rsidRPr="00486047" w14:paraId="1B4F4743" w14:textId="77777777" w:rsidTr="00286D28">
        <w:tc>
          <w:tcPr>
            <w:tcW w:w="1315" w:type="pct"/>
            <w:shd w:val="clear" w:color="auto" w:fill="auto"/>
            <w:vAlign w:val="center"/>
          </w:tcPr>
          <w:p w14:paraId="1B4F473D" w14:textId="77777777" w:rsidR="00170731" w:rsidRPr="00486047" w:rsidRDefault="00170731" w:rsidP="009400D9">
            <w:pPr>
              <w:spacing w:before="40" w:after="40"/>
              <w:jc w:val="left"/>
              <w:rPr>
                <w:rFonts w:asciiTheme="minorHAnsi" w:hAnsiTheme="minorHAnsi"/>
                <w:b/>
                <w:sz w:val="19"/>
                <w:szCs w:val="19"/>
                <w:lang w:val="en-GB"/>
              </w:rPr>
            </w:pPr>
            <w:r w:rsidRPr="00486047">
              <w:rPr>
                <w:rFonts w:asciiTheme="minorHAnsi" w:hAnsiTheme="minorHAnsi"/>
                <w:b/>
                <w:sz w:val="19"/>
                <w:szCs w:val="19"/>
                <w:lang w:val="en-GB"/>
              </w:rPr>
              <w:t>Medical review</w:t>
            </w:r>
          </w:p>
        </w:tc>
        <w:tc>
          <w:tcPr>
            <w:tcW w:w="815" w:type="pct"/>
            <w:shd w:val="clear" w:color="auto" w:fill="auto"/>
            <w:vAlign w:val="center"/>
          </w:tcPr>
          <w:p w14:paraId="1B4F473E" w14:textId="77777777" w:rsidR="00170731" w:rsidRPr="00486047" w:rsidRDefault="00B93AA0" w:rsidP="006F6702">
            <w:pPr>
              <w:spacing w:before="40" w:after="40"/>
              <w:jc w:val="left"/>
              <w:rPr>
                <w:rFonts w:asciiTheme="minorHAnsi" w:hAnsiTheme="minorHAnsi"/>
                <w:sz w:val="19"/>
                <w:szCs w:val="19"/>
                <w:lang w:val="en-GB"/>
              </w:rPr>
            </w:pPr>
            <w:r>
              <w:rPr>
                <w:rFonts w:asciiTheme="minorHAnsi" w:hAnsiTheme="minorHAnsi"/>
                <w:sz w:val="19"/>
                <w:szCs w:val="19"/>
                <w:lang w:val="en-GB"/>
              </w:rPr>
              <w:t xml:space="preserve">PV </w:t>
            </w:r>
            <w:r w:rsidR="006F6702">
              <w:rPr>
                <w:rFonts w:asciiTheme="minorHAnsi" w:hAnsiTheme="minorHAnsi"/>
                <w:sz w:val="19"/>
                <w:szCs w:val="19"/>
                <w:lang w:val="en-GB"/>
              </w:rPr>
              <w:t>Medical monitor</w:t>
            </w:r>
          </w:p>
        </w:tc>
        <w:tc>
          <w:tcPr>
            <w:tcW w:w="739" w:type="pct"/>
            <w:gridSpan w:val="2"/>
            <w:shd w:val="clear" w:color="auto" w:fill="auto"/>
            <w:vAlign w:val="center"/>
          </w:tcPr>
          <w:p w14:paraId="1B4F473F" w14:textId="77777777" w:rsidR="00170731" w:rsidRPr="00486047" w:rsidRDefault="00170731" w:rsidP="00286D28">
            <w:pPr>
              <w:spacing w:before="40" w:after="40"/>
              <w:jc w:val="center"/>
              <w:rPr>
                <w:rFonts w:asciiTheme="minorHAnsi" w:hAnsiTheme="minorHAnsi"/>
                <w:sz w:val="19"/>
                <w:szCs w:val="19"/>
                <w:lang w:val="en-GB"/>
              </w:rPr>
            </w:pPr>
            <w:r w:rsidRPr="00486047">
              <w:rPr>
                <w:rFonts w:asciiTheme="minorHAnsi" w:hAnsiTheme="minorHAnsi"/>
                <w:sz w:val="19"/>
                <w:szCs w:val="19"/>
                <w:lang w:val="en-GB"/>
              </w:rPr>
              <w:t>1</w:t>
            </w:r>
          </w:p>
        </w:tc>
        <w:tc>
          <w:tcPr>
            <w:tcW w:w="666" w:type="pct"/>
            <w:shd w:val="clear" w:color="auto" w:fill="auto"/>
            <w:vAlign w:val="center"/>
          </w:tcPr>
          <w:p w14:paraId="1B4F4740" w14:textId="77777777" w:rsidR="00170731" w:rsidRPr="00486047" w:rsidRDefault="00170731" w:rsidP="00286D28">
            <w:pPr>
              <w:spacing w:before="40" w:after="40"/>
              <w:jc w:val="center"/>
              <w:rPr>
                <w:rFonts w:asciiTheme="minorHAnsi" w:hAnsiTheme="minorHAnsi"/>
                <w:sz w:val="19"/>
                <w:szCs w:val="19"/>
                <w:lang w:val="en-GB"/>
              </w:rPr>
            </w:pPr>
            <w:r w:rsidRPr="00486047">
              <w:rPr>
                <w:rFonts w:asciiTheme="minorHAnsi" w:hAnsiTheme="minorHAnsi"/>
                <w:sz w:val="19"/>
                <w:szCs w:val="19"/>
                <w:lang w:val="en-GB"/>
              </w:rPr>
              <w:t>2</w:t>
            </w:r>
          </w:p>
        </w:tc>
        <w:tc>
          <w:tcPr>
            <w:tcW w:w="669" w:type="pct"/>
            <w:shd w:val="clear" w:color="auto" w:fill="auto"/>
            <w:vAlign w:val="center"/>
          </w:tcPr>
          <w:p w14:paraId="1B4F4741" w14:textId="77777777" w:rsidR="00170731" w:rsidRPr="00486047" w:rsidRDefault="00170731" w:rsidP="00286D28">
            <w:pPr>
              <w:spacing w:before="40" w:after="40"/>
              <w:jc w:val="center"/>
              <w:rPr>
                <w:rFonts w:asciiTheme="minorHAnsi" w:hAnsiTheme="minorHAnsi"/>
                <w:sz w:val="19"/>
                <w:szCs w:val="19"/>
                <w:lang w:val="en-GB"/>
              </w:rPr>
            </w:pPr>
            <w:r w:rsidRPr="00486047">
              <w:rPr>
                <w:rFonts w:asciiTheme="minorHAnsi" w:hAnsiTheme="minorHAnsi"/>
                <w:sz w:val="19"/>
                <w:szCs w:val="19"/>
                <w:lang w:val="en-GB"/>
              </w:rPr>
              <w:t>5</w:t>
            </w:r>
          </w:p>
        </w:tc>
        <w:tc>
          <w:tcPr>
            <w:tcW w:w="795" w:type="pct"/>
            <w:shd w:val="clear" w:color="auto" w:fill="auto"/>
            <w:vAlign w:val="center"/>
          </w:tcPr>
          <w:p w14:paraId="1B4F4742" w14:textId="77777777" w:rsidR="00170731" w:rsidRPr="00486047" w:rsidRDefault="00170731" w:rsidP="00286D28">
            <w:pPr>
              <w:spacing w:before="40" w:after="40"/>
              <w:jc w:val="center"/>
              <w:rPr>
                <w:rFonts w:asciiTheme="minorHAnsi" w:hAnsiTheme="minorHAnsi"/>
                <w:sz w:val="19"/>
                <w:szCs w:val="19"/>
                <w:lang w:val="en-GB"/>
              </w:rPr>
            </w:pPr>
            <w:r w:rsidRPr="00486047">
              <w:rPr>
                <w:rFonts w:asciiTheme="minorHAnsi" w:hAnsiTheme="minorHAnsi"/>
                <w:sz w:val="19"/>
                <w:szCs w:val="19"/>
                <w:lang w:val="en-GB"/>
              </w:rPr>
              <w:t>10</w:t>
            </w:r>
            <w:r w:rsidR="00B0531E">
              <w:rPr>
                <w:rFonts w:asciiTheme="minorHAnsi" w:hAnsiTheme="minorHAnsi"/>
                <w:sz w:val="19"/>
                <w:szCs w:val="19"/>
                <w:lang w:val="en-GB"/>
              </w:rPr>
              <w:t xml:space="preserve"> </w:t>
            </w:r>
            <w:r w:rsidR="00B0531E" w:rsidRPr="00286D28">
              <w:rPr>
                <w:rFonts w:asciiTheme="minorHAnsi" w:hAnsiTheme="minorHAnsi"/>
                <w:i/>
                <w:sz w:val="18"/>
                <w:szCs w:val="19"/>
                <w:lang w:val="en-GB"/>
              </w:rPr>
              <w:t>(or 5 if reportable)</w:t>
            </w:r>
          </w:p>
        </w:tc>
      </w:tr>
      <w:tr w:rsidR="00F622D4" w:rsidRPr="00486047" w14:paraId="1B4F474A" w14:textId="77777777" w:rsidTr="00286D28">
        <w:tc>
          <w:tcPr>
            <w:tcW w:w="1315" w:type="pct"/>
            <w:shd w:val="clear" w:color="auto" w:fill="auto"/>
            <w:vAlign w:val="center"/>
          </w:tcPr>
          <w:p w14:paraId="1B4F4744" w14:textId="77777777" w:rsidR="00170731" w:rsidRPr="00486047" w:rsidRDefault="00170731" w:rsidP="009400D9">
            <w:pPr>
              <w:spacing w:before="40" w:after="40"/>
              <w:jc w:val="left"/>
              <w:rPr>
                <w:rFonts w:asciiTheme="minorHAnsi" w:hAnsiTheme="minorHAnsi"/>
                <w:b/>
                <w:sz w:val="19"/>
                <w:szCs w:val="19"/>
                <w:lang w:val="en-GB"/>
              </w:rPr>
            </w:pPr>
            <w:r w:rsidRPr="00486047">
              <w:rPr>
                <w:rFonts w:asciiTheme="minorHAnsi" w:hAnsiTheme="minorHAnsi"/>
                <w:b/>
                <w:sz w:val="19"/>
                <w:szCs w:val="19"/>
                <w:lang w:val="en-GB"/>
              </w:rPr>
              <w:t>MRB SUSAR assessment</w:t>
            </w:r>
          </w:p>
        </w:tc>
        <w:tc>
          <w:tcPr>
            <w:tcW w:w="815" w:type="pct"/>
            <w:shd w:val="clear" w:color="auto" w:fill="auto"/>
            <w:vAlign w:val="center"/>
          </w:tcPr>
          <w:p w14:paraId="1B4F4745" w14:textId="77777777" w:rsidR="00170731" w:rsidRPr="00486047" w:rsidRDefault="00170731" w:rsidP="009400D9">
            <w:pPr>
              <w:spacing w:before="40" w:after="40"/>
              <w:jc w:val="left"/>
              <w:rPr>
                <w:rFonts w:asciiTheme="minorHAnsi" w:hAnsiTheme="minorHAnsi"/>
                <w:sz w:val="19"/>
                <w:szCs w:val="19"/>
                <w:lang w:val="en-GB"/>
              </w:rPr>
            </w:pPr>
            <w:r w:rsidRPr="00486047">
              <w:rPr>
                <w:rFonts w:asciiTheme="minorHAnsi" w:hAnsiTheme="minorHAnsi"/>
                <w:sz w:val="19"/>
                <w:szCs w:val="19"/>
                <w:lang w:val="en-GB"/>
              </w:rPr>
              <w:t>MRB</w:t>
            </w:r>
          </w:p>
        </w:tc>
        <w:tc>
          <w:tcPr>
            <w:tcW w:w="739" w:type="pct"/>
            <w:gridSpan w:val="2"/>
            <w:shd w:val="clear" w:color="auto" w:fill="auto"/>
            <w:vAlign w:val="center"/>
          </w:tcPr>
          <w:p w14:paraId="1B4F4746" w14:textId="77777777" w:rsidR="00170731" w:rsidRPr="00486047" w:rsidRDefault="00170731" w:rsidP="00286D28">
            <w:pPr>
              <w:spacing w:before="40" w:after="40"/>
              <w:jc w:val="center"/>
              <w:rPr>
                <w:rFonts w:asciiTheme="minorHAnsi" w:hAnsiTheme="minorHAnsi"/>
                <w:sz w:val="19"/>
                <w:szCs w:val="19"/>
                <w:lang w:val="en-GB"/>
              </w:rPr>
            </w:pPr>
            <w:r w:rsidRPr="00486047">
              <w:rPr>
                <w:rFonts w:asciiTheme="minorHAnsi" w:hAnsiTheme="minorHAnsi"/>
                <w:sz w:val="19"/>
                <w:szCs w:val="19"/>
                <w:lang w:val="en-GB"/>
              </w:rPr>
              <w:t>3</w:t>
            </w:r>
          </w:p>
        </w:tc>
        <w:tc>
          <w:tcPr>
            <w:tcW w:w="666" w:type="pct"/>
            <w:shd w:val="clear" w:color="auto" w:fill="auto"/>
            <w:vAlign w:val="center"/>
          </w:tcPr>
          <w:p w14:paraId="1B4F4747" w14:textId="77777777" w:rsidR="00170731" w:rsidRPr="00486047" w:rsidRDefault="00170731" w:rsidP="00286D28">
            <w:pPr>
              <w:spacing w:before="40" w:after="40"/>
              <w:jc w:val="center"/>
              <w:rPr>
                <w:rFonts w:asciiTheme="minorHAnsi" w:hAnsiTheme="minorHAnsi"/>
                <w:sz w:val="19"/>
                <w:szCs w:val="19"/>
                <w:lang w:val="en-GB"/>
              </w:rPr>
            </w:pPr>
            <w:r w:rsidRPr="00486047">
              <w:rPr>
                <w:rFonts w:asciiTheme="minorHAnsi" w:hAnsiTheme="minorHAnsi"/>
                <w:sz w:val="19"/>
                <w:szCs w:val="19"/>
                <w:lang w:val="en-GB"/>
              </w:rPr>
              <w:t>7</w:t>
            </w:r>
          </w:p>
        </w:tc>
        <w:tc>
          <w:tcPr>
            <w:tcW w:w="669" w:type="pct"/>
            <w:shd w:val="clear" w:color="auto" w:fill="auto"/>
            <w:vAlign w:val="center"/>
          </w:tcPr>
          <w:p w14:paraId="1B4F4748" w14:textId="77777777" w:rsidR="00170731" w:rsidRPr="00486047" w:rsidRDefault="00170731" w:rsidP="00286D28">
            <w:pPr>
              <w:spacing w:before="40" w:after="40"/>
              <w:jc w:val="center"/>
              <w:rPr>
                <w:rFonts w:asciiTheme="minorHAnsi" w:hAnsiTheme="minorHAnsi"/>
                <w:sz w:val="19"/>
                <w:szCs w:val="19"/>
                <w:lang w:val="en-GB"/>
              </w:rPr>
            </w:pPr>
            <w:r w:rsidRPr="00486047">
              <w:rPr>
                <w:rFonts w:asciiTheme="minorHAnsi" w:hAnsiTheme="minorHAnsi"/>
                <w:sz w:val="19"/>
                <w:szCs w:val="19"/>
                <w:lang w:val="en-GB"/>
              </w:rPr>
              <w:t>N/A</w:t>
            </w:r>
          </w:p>
        </w:tc>
        <w:tc>
          <w:tcPr>
            <w:tcW w:w="795" w:type="pct"/>
            <w:shd w:val="clear" w:color="auto" w:fill="auto"/>
            <w:vAlign w:val="center"/>
          </w:tcPr>
          <w:p w14:paraId="1B4F4749" w14:textId="77777777" w:rsidR="00170731" w:rsidRPr="00486047" w:rsidRDefault="00170731" w:rsidP="00286D28">
            <w:pPr>
              <w:spacing w:before="40" w:after="40"/>
              <w:jc w:val="center"/>
              <w:rPr>
                <w:rFonts w:asciiTheme="minorHAnsi" w:hAnsiTheme="minorHAnsi"/>
                <w:sz w:val="19"/>
                <w:szCs w:val="19"/>
                <w:lang w:val="en-GB"/>
              </w:rPr>
            </w:pPr>
            <w:r w:rsidRPr="00486047">
              <w:rPr>
                <w:rFonts w:asciiTheme="minorHAnsi" w:hAnsiTheme="minorHAnsi"/>
                <w:sz w:val="19"/>
                <w:szCs w:val="19"/>
                <w:lang w:val="en-GB"/>
              </w:rPr>
              <w:t>N/A</w:t>
            </w:r>
          </w:p>
        </w:tc>
      </w:tr>
      <w:tr w:rsidR="00F622D4" w:rsidRPr="00486047" w14:paraId="1B4F4751" w14:textId="77777777" w:rsidTr="00286D28">
        <w:tc>
          <w:tcPr>
            <w:tcW w:w="1315" w:type="pct"/>
            <w:shd w:val="clear" w:color="auto" w:fill="auto"/>
            <w:vAlign w:val="center"/>
          </w:tcPr>
          <w:p w14:paraId="1B4F474B" w14:textId="77777777" w:rsidR="00170731" w:rsidRPr="00486047" w:rsidRDefault="00170731" w:rsidP="009400D9">
            <w:pPr>
              <w:spacing w:before="40" w:after="40"/>
              <w:jc w:val="left"/>
              <w:rPr>
                <w:rFonts w:asciiTheme="minorHAnsi" w:hAnsiTheme="minorHAnsi"/>
                <w:b/>
                <w:sz w:val="19"/>
                <w:szCs w:val="19"/>
                <w:lang w:val="en-GB"/>
              </w:rPr>
            </w:pPr>
            <w:r w:rsidRPr="00486047">
              <w:rPr>
                <w:rFonts w:asciiTheme="minorHAnsi" w:hAnsiTheme="minorHAnsi"/>
                <w:b/>
                <w:sz w:val="19"/>
                <w:szCs w:val="19"/>
                <w:lang w:val="en-GB"/>
              </w:rPr>
              <w:t>Data entry in the PV database</w:t>
            </w:r>
          </w:p>
        </w:tc>
        <w:tc>
          <w:tcPr>
            <w:tcW w:w="815" w:type="pct"/>
            <w:shd w:val="clear" w:color="auto" w:fill="auto"/>
            <w:vAlign w:val="center"/>
          </w:tcPr>
          <w:p w14:paraId="1B4F474C" w14:textId="77777777" w:rsidR="00170731" w:rsidRPr="00486047" w:rsidRDefault="00170731" w:rsidP="009400D9">
            <w:pPr>
              <w:spacing w:before="40" w:after="40"/>
              <w:jc w:val="left"/>
              <w:rPr>
                <w:rFonts w:asciiTheme="minorHAnsi" w:hAnsiTheme="minorHAnsi"/>
                <w:sz w:val="19"/>
                <w:szCs w:val="19"/>
                <w:lang w:val="en-GB"/>
              </w:rPr>
            </w:pPr>
            <w:r w:rsidRPr="00486047">
              <w:rPr>
                <w:rFonts w:asciiTheme="minorHAnsi" w:hAnsiTheme="minorHAnsi"/>
                <w:sz w:val="19"/>
                <w:szCs w:val="19"/>
                <w:lang w:val="en-GB"/>
              </w:rPr>
              <w:t>PV officer</w:t>
            </w:r>
            <w:r w:rsidR="00751D3E" w:rsidRPr="00486047">
              <w:rPr>
                <w:rFonts w:asciiTheme="minorHAnsi" w:hAnsiTheme="minorHAnsi"/>
                <w:sz w:val="19"/>
                <w:szCs w:val="19"/>
                <w:lang w:val="en-GB"/>
              </w:rPr>
              <w:t>s</w:t>
            </w:r>
          </w:p>
        </w:tc>
        <w:tc>
          <w:tcPr>
            <w:tcW w:w="739" w:type="pct"/>
            <w:gridSpan w:val="2"/>
            <w:shd w:val="clear" w:color="auto" w:fill="auto"/>
            <w:vAlign w:val="center"/>
          </w:tcPr>
          <w:p w14:paraId="1B4F474D" w14:textId="77777777" w:rsidR="00170731" w:rsidRPr="00486047" w:rsidRDefault="00170731" w:rsidP="00286D28">
            <w:pPr>
              <w:spacing w:before="40" w:after="40"/>
              <w:jc w:val="center"/>
              <w:rPr>
                <w:rFonts w:asciiTheme="minorHAnsi" w:hAnsiTheme="minorHAnsi"/>
                <w:sz w:val="19"/>
                <w:szCs w:val="19"/>
                <w:lang w:val="en-GB"/>
              </w:rPr>
            </w:pPr>
            <w:r w:rsidRPr="00486047">
              <w:rPr>
                <w:rFonts w:asciiTheme="minorHAnsi" w:hAnsiTheme="minorHAnsi"/>
                <w:sz w:val="19"/>
                <w:szCs w:val="19"/>
                <w:lang w:val="en-GB"/>
              </w:rPr>
              <w:t>2</w:t>
            </w:r>
          </w:p>
        </w:tc>
        <w:tc>
          <w:tcPr>
            <w:tcW w:w="666" w:type="pct"/>
            <w:shd w:val="clear" w:color="auto" w:fill="auto"/>
            <w:vAlign w:val="center"/>
          </w:tcPr>
          <w:p w14:paraId="1B4F474E" w14:textId="77777777" w:rsidR="00170731" w:rsidRPr="00486047" w:rsidRDefault="00170731" w:rsidP="00286D28">
            <w:pPr>
              <w:spacing w:before="40" w:after="40"/>
              <w:jc w:val="center"/>
              <w:rPr>
                <w:rFonts w:asciiTheme="minorHAnsi" w:hAnsiTheme="minorHAnsi"/>
                <w:sz w:val="19"/>
                <w:szCs w:val="19"/>
                <w:lang w:val="en-GB"/>
              </w:rPr>
            </w:pPr>
            <w:r w:rsidRPr="00486047">
              <w:rPr>
                <w:rFonts w:asciiTheme="minorHAnsi" w:hAnsiTheme="minorHAnsi"/>
                <w:sz w:val="19"/>
                <w:szCs w:val="19"/>
                <w:lang w:val="en-GB"/>
              </w:rPr>
              <w:t>7</w:t>
            </w:r>
          </w:p>
        </w:tc>
        <w:tc>
          <w:tcPr>
            <w:tcW w:w="669" w:type="pct"/>
            <w:shd w:val="clear" w:color="auto" w:fill="auto"/>
            <w:vAlign w:val="center"/>
          </w:tcPr>
          <w:p w14:paraId="1B4F474F" w14:textId="77777777" w:rsidR="00170731" w:rsidRPr="00486047" w:rsidRDefault="00170731" w:rsidP="00286D28">
            <w:pPr>
              <w:spacing w:before="40" w:after="40"/>
              <w:jc w:val="center"/>
              <w:rPr>
                <w:rFonts w:asciiTheme="minorHAnsi" w:hAnsiTheme="minorHAnsi"/>
                <w:sz w:val="19"/>
                <w:szCs w:val="19"/>
                <w:lang w:val="en-GB"/>
              </w:rPr>
            </w:pPr>
            <w:r w:rsidRPr="00486047">
              <w:rPr>
                <w:rFonts w:asciiTheme="minorHAnsi" w:hAnsiTheme="minorHAnsi"/>
                <w:sz w:val="19"/>
                <w:szCs w:val="19"/>
                <w:lang w:val="en-GB"/>
              </w:rPr>
              <w:t>8</w:t>
            </w:r>
          </w:p>
        </w:tc>
        <w:tc>
          <w:tcPr>
            <w:tcW w:w="795" w:type="pct"/>
            <w:shd w:val="clear" w:color="auto" w:fill="auto"/>
            <w:vAlign w:val="center"/>
          </w:tcPr>
          <w:p w14:paraId="1B4F4750" w14:textId="77777777" w:rsidR="00170731" w:rsidRPr="00486047" w:rsidRDefault="00170731" w:rsidP="00286D28">
            <w:pPr>
              <w:spacing w:before="40" w:after="40"/>
              <w:jc w:val="center"/>
              <w:rPr>
                <w:rFonts w:asciiTheme="minorHAnsi" w:hAnsiTheme="minorHAnsi"/>
                <w:sz w:val="19"/>
                <w:szCs w:val="19"/>
                <w:lang w:val="en-GB"/>
              </w:rPr>
            </w:pPr>
            <w:r w:rsidRPr="00486047">
              <w:rPr>
                <w:rFonts w:asciiTheme="minorHAnsi" w:hAnsiTheme="minorHAnsi"/>
                <w:sz w:val="19"/>
                <w:szCs w:val="19"/>
                <w:lang w:val="en-GB"/>
              </w:rPr>
              <w:t>30</w:t>
            </w:r>
            <w:r w:rsidR="00B0531E">
              <w:rPr>
                <w:rFonts w:asciiTheme="minorHAnsi" w:hAnsiTheme="minorHAnsi"/>
                <w:sz w:val="19"/>
                <w:szCs w:val="19"/>
                <w:lang w:val="en-GB"/>
              </w:rPr>
              <w:t xml:space="preserve"> </w:t>
            </w:r>
            <w:r w:rsidR="00B0531E" w:rsidRPr="0094207A">
              <w:rPr>
                <w:rFonts w:asciiTheme="minorHAnsi" w:hAnsiTheme="minorHAnsi"/>
                <w:i/>
                <w:sz w:val="18"/>
                <w:szCs w:val="19"/>
                <w:lang w:val="en-GB"/>
              </w:rPr>
              <w:t>(or 8 if reportable)</w:t>
            </w:r>
          </w:p>
        </w:tc>
      </w:tr>
      <w:tr w:rsidR="00F622D4" w:rsidRPr="00486047" w14:paraId="1B4F4757" w14:textId="77777777" w:rsidTr="00C41BA7">
        <w:tc>
          <w:tcPr>
            <w:tcW w:w="1315" w:type="pct"/>
            <w:shd w:val="clear" w:color="auto" w:fill="auto"/>
            <w:vAlign w:val="center"/>
          </w:tcPr>
          <w:p w14:paraId="1B4F4752" w14:textId="77777777" w:rsidR="00170731" w:rsidRPr="00486047" w:rsidRDefault="00E467E2" w:rsidP="009400D9">
            <w:pPr>
              <w:spacing w:before="40" w:after="40"/>
              <w:jc w:val="left"/>
              <w:rPr>
                <w:rFonts w:asciiTheme="minorHAnsi" w:hAnsiTheme="minorHAnsi"/>
                <w:b/>
                <w:sz w:val="19"/>
                <w:szCs w:val="19"/>
                <w:lang w:val="en-GB"/>
              </w:rPr>
            </w:pPr>
            <w:r w:rsidRPr="00486047">
              <w:rPr>
                <w:rFonts w:asciiTheme="minorHAnsi" w:hAnsiTheme="minorHAnsi"/>
                <w:b/>
                <w:sz w:val="19"/>
                <w:szCs w:val="19"/>
                <w:lang w:val="en-GB"/>
              </w:rPr>
              <w:t>Source data verification</w:t>
            </w:r>
          </w:p>
        </w:tc>
        <w:tc>
          <w:tcPr>
            <w:tcW w:w="815" w:type="pct"/>
            <w:shd w:val="clear" w:color="auto" w:fill="auto"/>
            <w:vAlign w:val="center"/>
          </w:tcPr>
          <w:p w14:paraId="1B4F4753" w14:textId="77777777" w:rsidR="00170731" w:rsidRPr="00486047" w:rsidRDefault="00170731" w:rsidP="009400D9">
            <w:pPr>
              <w:spacing w:before="40" w:after="40"/>
              <w:jc w:val="left"/>
              <w:rPr>
                <w:rFonts w:asciiTheme="minorHAnsi" w:hAnsiTheme="minorHAnsi"/>
                <w:sz w:val="19"/>
                <w:szCs w:val="19"/>
                <w:lang w:val="en-GB"/>
              </w:rPr>
            </w:pPr>
            <w:r w:rsidRPr="00486047">
              <w:rPr>
                <w:rFonts w:asciiTheme="minorHAnsi" w:hAnsiTheme="minorHAnsi"/>
                <w:sz w:val="19"/>
                <w:szCs w:val="19"/>
                <w:lang w:val="en-GB"/>
              </w:rPr>
              <w:t>PV officer</w:t>
            </w:r>
            <w:r w:rsidR="00751D3E" w:rsidRPr="00486047">
              <w:rPr>
                <w:rFonts w:asciiTheme="minorHAnsi" w:hAnsiTheme="minorHAnsi"/>
                <w:sz w:val="19"/>
                <w:szCs w:val="19"/>
                <w:lang w:val="en-GB"/>
              </w:rPr>
              <w:t>s</w:t>
            </w:r>
          </w:p>
        </w:tc>
        <w:tc>
          <w:tcPr>
            <w:tcW w:w="739" w:type="pct"/>
            <w:gridSpan w:val="2"/>
            <w:shd w:val="clear" w:color="auto" w:fill="auto"/>
            <w:vAlign w:val="center"/>
          </w:tcPr>
          <w:p w14:paraId="1B4F4754" w14:textId="77777777" w:rsidR="00170731" w:rsidRPr="00486047" w:rsidRDefault="00170731" w:rsidP="00C41BA7">
            <w:pPr>
              <w:spacing w:before="40" w:after="40"/>
              <w:jc w:val="center"/>
              <w:rPr>
                <w:rFonts w:asciiTheme="minorHAnsi" w:hAnsiTheme="minorHAnsi"/>
                <w:sz w:val="19"/>
                <w:szCs w:val="19"/>
                <w:lang w:val="en-GB"/>
              </w:rPr>
            </w:pPr>
            <w:r w:rsidRPr="00486047">
              <w:rPr>
                <w:rFonts w:asciiTheme="minorHAnsi" w:hAnsiTheme="minorHAnsi"/>
                <w:sz w:val="19"/>
                <w:szCs w:val="19"/>
                <w:lang w:val="en-GB"/>
              </w:rPr>
              <w:t>3</w:t>
            </w:r>
          </w:p>
        </w:tc>
        <w:tc>
          <w:tcPr>
            <w:tcW w:w="666" w:type="pct"/>
            <w:shd w:val="clear" w:color="auto" w:fill="auto"/>
            <w:vAlign w:val="center"/>
          </w:tcPr>
          <w:p w14:paraId="1B4F4755" w14:textId="77777777" w:rsidR="00170731" w:rsidRPr="00486047" w:rsidRDefault="00170731" w:rsidP="00C41BA7">
            <w:pPr>
              <w:spacing w:before="40" w:after="40"/>
              <w:jc w:val="center"/>
              <w:rPr>
                <w:rFonts w:asciiTheme="minorHAnsi" w:hAnsiTheme="minorHAnsi"/>
                <w:sz w:val="19"/>
                <w:szCs w:val="19"/>
                <w:lang w:val="en-GB"/>
              </w:rPr>
            </w:pPr>
            <w:r w:rsidRPr="00486047">
              <w:rPr>
                <w:rFonts w:asciiTheme="minorHAnsi" w:hAnsiTheme="minorHAnsi"/>
                <w:sz w:val="19"/>
                <w:szCs w:val="19"/>
                <w:lang w:val="en-GB"/>
              </w:rPr>
              <w:t>8</w:t>
            </w:r>
          </w:p>
        </w:tc>
        <w:tc>
          <w:tcPr>
            <w:tcW w:w="1465" w:type="pct"/>
            <w:gridSpan w:val="2"/>
            <w:shd w:val="clear" w:color="auto" w:fill="auto"/>
            <w:vAlign w:val="center"/>
          </w:tcPr>
          <w:p w14:paraId="1B4F4756" w14:textId="77777777" w:rsidR="00170731" w:rsidRPr="00486047" w:rsidRDefault="00170731" w:rsidP="00C41BA7">
            <w:pPr>
              <w:spacing w:before="40" w:after="40"/>
              <w:jc w:val="center"/>
              <w:rPr>
                <w:rFonts w:asciiTheme="minorHAnsi" w:hAnsiTheme="minorHAnsi"/>
                <w:sz w:val="19"/>
                <w:szCs w:val="19"/>
                <w:lang w:val="en-GB"/>
              </w:rPr>
            </w:pPr>
            <w:r w:rsidRPr="00486047">
              <w:rPr>
                <w:rFonts w:asciiTheme="minorHAnsi" w:hAnsiTheme="minorHAnsi"/>
                <w:sz w:val="19"/>
                <w:szCs w:val="19"/>
                <w:lang w:val="en-GB"/>
              </w:rPr>
              <w:t xml:space="preserve">Monthly </w:t>
            </w:r>
            <w:r w:rsidR="00E467E2" w:rsidRPr="00486047">
              <w:rPr>
                <w:rFonts w:asciiTheme="minorHAnsi" w:hAnsiTheme="minorHAnsi"/>
                <w:sz w:val="19"/>
                <w:szCs w:val="19"/>
                <w:lang w:val="en-GB"/>
              </w:rPr>
              <w:t>random sample, QC</w:t>
            </w:r>
          </w:p>
        </w:tc>
      </w:tr>
      <w:tr w:rsidR="00F622D4" w:rsidRPr="00486047" w14:paraId="1B4F475D" w14:textId="77777777" w:rsidTr="00C41BA7">
        <w:tc>
          <w:tcPr>
            <w:tcW w:w="1315" w:type="pct"/>
            <w:shd w:val="clear" w:color="auto" w:fill="auto"/>
            <w:vAlign w:val="center"/>
          </w:tcPr>
          <w:p w14:paraId="1B4F4758" w14:textId="77777777" w:rsidR="00282638" w:rsidRPr="00486047" w:rsidRDefault="00282638" w:rsidP="009400D9">
            <w:pPr>
              <w:spacing w:before="40" w:after="40"/>
              <w:jc w:val="left"/>
              <w:rPr>
                <w:rFonts w:asciiTheme="minorHAnsi" w:hAnsiTheme="minorHAnsi"/>
                <w:b/>
                <w:sz w:val="19"/>
                <w:szCs w:val="19"/>
                <w:lang w:val="en-GB"/>
              </w:rPr>
            </w:pPr>
            <w:r w:rsidRPr="00486047">
              <w:rPr>
                <w:rFonts w:asciiTheme="minorHAnsi" w:hAnsiTheme="minorHAnsi"/>
                <w:b/>
                <w:sz w:val="19"/>
                <w:szCs w:val="19"/>
                <w:lang w:val="en-GB"/>
              </w:rPr>
              <w:t>Reporting of a CIOMS I form to Site Investigators</w:t>
            </w:r>
          </w:p>
        </w:tc>
        <w:tc>
          <w:tcPr>
            <w:tcW w:w="815" w:type="pct"/>
            <w:shd w:val="clear" w:color="auto" w:fill="auto"/>
            <w:vAlign w:val="center"/>
          </w:tcPr>
          <w:p w14:paraId="1B4F4759" w14:textId="77777777" w:rsidR="00282638" w:rsidRPr="00486047" w:rsidRDefault="00282638" w:rsidP="009400D9">
            <w:pPr>
              <w:spacing w:before="40" w:after="40"/>
              <w:jc w:val="left"/>
              <w:rPr>
                <w:rFonts w:asciiTheme="minorHAnsi" w:hAnsiTheme="minorHAnsi"/>
                <w:sz w:val="19"/>
                <w:szCs w:val="19"/>
                <w:lang w:val="en-GB"/>
              </w:rPr>
            </w:pPr>
            <w:r w:rsidRPr="00486047">
              <w:rPr>
                <w:rFonts w:asciiTheme="minorHAnsi" w:hAnsiTheme="minorHAnsi"/>
                <w:sz w:val="19"/>
                <w:szCs w:val="19"/>
                <w:lang w:val="en-GB"/>
              </w:rPr>
              <w:t>PV officer</w:t>
            </w:r>
            <w:r w:rsidR="00751D3E" w:rsidRPr="00486047">
              <w:rPr>
                <w:rFonts w:asciiTheme="minorHAnsi" w:hAnsiTheme="minorHAnsi"/>
                <w:sz w:val="19"/>
                <w:szCs w:val="19"/>
                <w:lang w:val="en-GB"/>
              </w:rPr>
              <w:t>s</w:t>
            </w:r>
          </w:p>
        </w:tc>
        <w:tc>
          <w:tcPr>
            <w:tcW w:w="739" w:type="pct"/>
            <w:gridSpan w:val="2"/>
            <w:shd w:val="clear" w:color="auto" w:fill="auto"/>
            <w:vAlign w:val="center"/>
          </w:tcPr>
          <w:p w14:paraId="1B4F475A" w14:textId="77777777" w:rsidR="00282638" w:rsidRPr="00486047" w:rsidRDefault="00282638" w:rsidP="00C41BA7">
            <w:pPr>
              <w:spacing w:before="40" w:after="40"/>
              <w:jc w:val="center"/>
              <w:rPr>
                <w:rFonts w:asciiTheme="minorHAnsi" w:hAnsiTheme="minorHAnsi"/>
                <w:sz w:val="19"/>
                <w:szCs w:val="19"/>
                <w:lang w:val="en-GB"/>
              </w:rPr>
            </w:pPr>
            <w:r w:rsidRPr="00486047">
              <w:rPr>
                <w:rFonts w:asciiTheme="minorHAnsi" w:hAnsiTheme="minorHAnsi"/>
                <w:sz w:val="19"/>
                <w:szCs w:val="19"/>
                <w:lang w:val="en-GB"/>
              </w:rPr>
              <w:t>4</w:t>
            </w:r>
          </w:p>
        </w:tc>
        <w:tc>
          <w:tcPr>
            <w:tcW w:w="666" w:type="pct"/>
            <w:shd w:val="clear" w:color="auto" w:fill="auto"/>
            <w:vAlign w:val="center"/>
          </w:tcPr>
          <w:p w14:paraId="1B4F475B" w14:textId="77777777" w:rsidR="00282638" w:rsidRPr="00486047" w:rsidRDefault="00282638" w:rsidP="00C41BA7">
            <w:pPr>
              <w:spacing w:before="40" w:after="40"/>
              <w:jc w:val="center"/>
              <w:rPr>
                <w:rFonts w:asciiTheme="minorHAnsi" w:hAnsiTheme="minorHAnsi"/>
                <w:sz w:val="19"/>
                <w:szCs w:val="19"/>
                <w:lang w:val="en-GB"/>
              </w:rPr>
            </w:pPr>
            <w:r w:rsidRPr="00486047">
              <w:rPr>
                <w:rFonts w:asciiTheme="minorHAnsi" w:hAnsiTheme="minorHAnsi"/>
                <w:sz w:val="19"/>
                <w:szCs w:val="19"/>
                <w:lang w:val="en-GB"/>
              </w:rPr>
              <w:t>9</w:t>
            </w:r>
          </w:p>
        </w:tc>
        <w:tc>
          <w:tcPr>
            <w:tcW w:w="1465" w:type="pct"/>
            <w:gridSpan w:val="2"/>
            <w:shd w:val="clear" w:color="auto" w:fill="auto"/>
            <w:vAlign w:val="center"/>
          </w:tcPr>
          <w:p w14:paraId="1B4F475C" w14:textId="77777777" w:rsidR="00282638" w:rsidRPr="00486047" w:rsidRDefault="00282638" w:rsidP="00C41BA7">
            <w:pPr>
              <w:spacing w:before="40" w:after="40"/>
              <w:jc w:val="center"/>
              <w:rPr>
                <w:rFonts w:asciiTheme="minorHAnsi" w:hAnsiTheme="minorHAnsi"/>
                <w:sz w:val="19"/>
                <w:szCs w:val="19"/>
                <w:lang w:val="en-GB"/>
              </w:rPr>
            </w:pPr>
            <w:r w:rsidRPr="00486047">
              <w:rPr>
                <w:rFonts w:asciiTheme="minorHAnsi" w:hAnsiTheme="minorHAnsi"/>
                <w:sz w:val="19"/>
                <w:szCs w:val="19"/>
                <w:lang w:val="en-GB"/>
              </w:rPr>
              <w:t xml:space="preserve">9 </w:t>
            </w:r>
            <w:r w:rsidRPr="0094207A">
              <w:rPr>
                <w:rFonts w:asciiTheme="minorHAnsi" w:hAnsiTheme="minorHAnsi"/>
                <w:i/>
                <w:sz w:val="18"/>
                <w:szCs w:val="19"/>
                <w:lang w:val="en-GB"/>
              </w:rPr>
              <w:t>(only in country where reportable)</w:t>
            </w:r>
          </w:p>
        </w:tc>
      </w:tr>
      <w:tr w:rsidR="00F622D4" w:rsidRPr="00486047" w14:paraId="1B4F4763" w14:textId="77777777" w:rsidTr="00C41BA7">
        <w:tc>
          <w:tcPr>
            <w:tcW w:w="1315" w:type="pct"/>
            <w:shd w:val="clear" w:color="auto" w:fill="auto"/>
            <w:vAlign w:val="center"/>
          </w:tcPr>
          <w:p w14:paraId="1B4F475E" w14:textId="77777777" w:rsidR="00282638" w:rsidRPr="00486047" w:rsidRDefault="00282638" w:rsidP="009400D9">
            <w:pPr>
              <w:spacing w:before="40" w:after="40"/>
              <w:jc w:val="left"/>
              <w:rPr>
                <w:rFonts w:asciiTheme="minorHAnsi" w:hAnsiTheme="minorHAnsi"/>
                <w:b/>
                <w:sz w:val="19"/>
                <w:szCs w:val="19"/>
                <w:lang w:val="en-GB"/>
              </w:rPr>
            </w:pPr>
            <w:r w:rsidRPr="00486047">
              <w:rPr>
                <w:rFonts w:asciiTheme="minorHAnsi" w:hAnsiTheme="minorHAnsi"/>
                <w:b/>
                <w:sz w:val="19"/>
                <w:szCs w:val="19"/>
                <w:lang w:val="en-GB"/>
              </w:rPr>
              <w:t xml:space="preserve">Submission </w:t>
            </w:r>
            <w:r w:rsidR="00751D3E" w:rsidRPr="00486047">
              <w:rPr>
                <w:rFonts w:asciiTheme="minorHAnsi" w:hAnsiTheme="minorHAnsi"/>
                <w:b/>
                <w:sz w:val="19"/>
                <w:szCs w:val="19"/>
                <w:lang w:val="en-GB"/>
              </w:rPr>
              <w:t xml:space="preserve">of CIOMS form </w:t>
            </w:r>
            <w:r w:rsidRPr="00486047">
              <w:rPr>
                <w:rFonts w:asciiTheme="minorHAnsi" w:hAnsiTheme="minorHAnsi"/>
                <w:b/>
                <w:sz w:val="19"/>
                <w:szCs w:val="19"/>
                <w:lang w:val="en-GB"/>
              </w:rPr>
              <w:t>to DSMB</w:t>
            </w:r>
            <w:r w:rsidR="00FC62D0">
              <w:rPr>
                <w:rFonts w:asciiTheme="minorHAnsi" w:hAnsiTheme="minorHAnsi"/>
                <w:b/>
                <w:sz w:val="19"/>
                <w:szCs w:val="19"/>
                <w:lang w:val="en-GB"/>
              </w:rPr>
              <w:t xml:space="preserve"> </w:t>
            </w:r>
            <w:r w:rsidR="00FC62D0" w:rsidRPr="00185903">
              <w:rPr>
                <w:rFonts w:asciiTheme="minorHAnsi" w:hAnsiTheme="minorHAnsi"/>
                <w:b/>
                <w:sz w:val="19"/>
                <w:szCs w:val="19"/>
                <w:lang w:val="en-GB"/>
              </w:rPr>
              <w:t>and drug manufacturers*</w:t>
            </w:r>
            <w:r w:rsidR="00B0531E" w:rsidRPr="00185903">
              <w:rPr>
                <w:rFonts w:asciiTheme="minorHAnsi" w:hAnsiTheme="minorHAnsi"/>
                <w:sz w:val="19"/>
                <w:szCs w:val="19"/>
                <w:lang w:val="en-GB"/>
              </w:rPr>
              <w:t>(as applicable)</w:t>
            </w:r>
          </w:p>
        </w:tc>
        <w:tc>
          <w:tcPr>
            <w:tcW w:w="815" w:type="pct"/>
            <w:shd w:val="clear" w:color="auto" w:fill="auto"/>
            <w:vAlign w:val="center"/>
          </w:tcPr>
          <w:p w14:paraId="1B4F475F" w14:textId="77777777" w:rsidR="00282638" w:rsidRPr="00486047" w:rsidRDefault="00282638" w:rsidP="009400D9">
            <w:pPr>
              <w:spacing w:before="40" w:after="40"/>
              <w:jc w:val="left"/>
              <w:rPr>
                <w:rFonts w:asciiTheme="minorHAnsi" w:hAnsiTheme="minorHAnsi"/>
                <w:sz w:val="19"/>
                <w:szCs w:val="19"/>
                <w:lang w:val="en-GB"/>
              </w:rPr>
            </w:pPr>
            <w:r w:rsidRPr="00486047">
              <w:rPr>
                <w:rFonts w:asciiTheme="minorHAnsi" w:hAnsiTheme="minorHAnsi"/>
                <w:sz w:val="19"/>
                <w:szCs w:val="19"/>
                <w:lang w:val="en-GB"/>
              </w:rPr>
              <w:t>PV officer</w:t>
            </w:r>
            <w:r w:rsidR="00751D3E" w:rsidRPr="00486047">
              <w:rPr>
                <w:rFonts w:asciiTheme="minorHAnsi" w:hAnsiTheme="minorHAnsi"/>
                <w:sz w:val="19"/>
                <w:szCs w:val="19"/>
                <w:lang w:val="en-GB"/>
              </w:rPr>
              <w:t>s</w:t>
            </w:r>
          </w:p>
        </w:tc>
        <w:tc>
          <w:tcPr>
            <w:tcW w:w="739" w:type="pct"/>
            <w:gridSpan w:val="2"/>
            <w:shd w:val="clear" w:color="auto" w:fill="auto"/>
            <w:vAlign w:val="center"/>
          </w:tcPr>
          <w:p w14:paraId="1B4F4760" w14:textId="77777777" w:rsidR="00282638" w:rsidRPr="00486047" w:rsidRDefault="00E467E2" w:rsidP="00C41BA7">
            <w:pPr>
              <w:spacing w:before="40" w:after="40"/>
              <w:jc w:val="center"/>
              <w:rPr>
                <w:rFonts w:asciiTheme="minorHAnsi" w:hAnsiTheme="minorHAnsi"/>
                <w:sz w:val="19"/>
                <w:szCs w:val="19"/>
                <w:lang w:val="en-GB"/>
              </w:rPr>
            </w:pPr>
            <w:r w:rsidRPr="00486047">
              <w:rPr>
                <w:rFonts w:asciiTheme="minorHAnsi" w:hAnsiTheme="minorHAnsi"/>
                <w:sz w:val="19"/>
                <w:szCs w:val="19"/>
                <w:lang w:val="en-GB"/>
              </w:rPr>
              <w:t>4-7</w:t>
            </w:r>
          </w:p>
        </w:tc>
        <w:tc>
          <w:tcPr>
            <w:tcW w:w="666" w:type="pct"/>
            <w:shd w:val="clear" w:color="auto" w:fill="auto"/>
            <w:vAlign w:val="center"/>
          </w:tcPr>
          <w:p w14:paraId="1B4F4761" w14:textId="77777777" w:rsidR="00282638" w:rsidRPr="00486047" w:rsidRDefault="00E467E2" w:rsidP="00C41BA7">
            <w:pPr>
              <w:spacing w:before="40" w:after="40"/>
              <w:jc w:val="center"/>
              <w:rPr>
                <w:rFonts w:asciiTheme="minorHAnsi" w:hAnsiTheme="minorHAnsi"/>
                <w:sz w:val="19"/>
                <w:szCs w:val="19"/>
                <w:lang w:val="en-GB"/>
              </w:rPr>
            </w:pPr>
            <w:r w:rsidRPr="00486047">
              <w:rPr>
                <w:rFonts w:asciiTheme="minorHAnsi" w:hAnsiTheme="minorHAnsi"/>
                <w:sz w:val="19"/>
                <w:szCs w:val="19"/>
                <w:lang w:val="en-GB"/>
              </w:rPr>
              <w:t>9-15</w:t>
            </w:r>
          </w:p>
        </w:tc>
        <w:tc>
          <w:tcPr>
            <w:tcW w:w="1465" w:type="pct"/>
            <w:gridSpan w:val="2"/>
            <w:shd w:val="clear" w:color="auto" w:fill="auto"/>
            <w:vAlign w:val="center"/>
          </w:tcPr>
          <w:p w14:paraId="1B4F4762" w14:textId="77777777" w:rsidR="00282638" w:rsidRPr="00486047" w:rsidRDefault="00282638" w:rsidP="00C41BA7">
            <w:pPr>
              <w:spacing w:before="40" w:after="40"/>
              <w:jc w:val="center"/>
              <w:rPr>
                <w:rFonts w:asciiTheme="minorHAnsi" w:hAnsiTheme="minorHAnsi"/>
                <w:sz w:val="19"/>
                <w:szCs w:val="19"/>
                <w:lang w:val="en-GB"/>
              </w:rPr>
            </w:pPr>
            <w:r w:rsidRPr="00486047">
              <w:rPr>
                <w:rFonts w:asciiTheme="minorHAnsi" w:hAnsiTheme="minorHAnsi"/>
                <w:sz w:val="19"/>
                <w:szCs w:val="19"/>
                <w:lang w:val="en-GB"/>
              </w:rPr>
              <w:t>N/A</w:t>
            </w:r>
          </w:p>
        </w:tc>
      </w:tr>
      <w:tr w:rsidR="00F622D4" w:rsidRPr="00486047" w14:paraId="1B4F4769" w14:textId="77777777" w:rsidTr="00C41BA7">
        <w:tc>
          <w:tcPr>
            <w:tcW w:w="1315" w:type="pct"/>
            <w:tcBorders>
              <w:bottom w:val="single" w:sz="4" w:space="0" w:color="auto"/>
            </w:tcBorders>
            <w:shd w:val="clear" w:color="auto" w:fill="auto"/>
            <w:vAlign w:val="center"/>
          </w:tcPr>
          <w:p w14:paraId="1B4F4764" w14:textId="77777777" w:rsidR="00751D3E" w:rsidRPr="00486047" w:rsidRDefault="00751D3E" w:rsidP="00CE2491">
            <w:pPr>
              <w:spacing w:before="40" w:after="40"/>
              <w:jc w:val="left"/>
              <w:rPr>
                <w:rFonts w:asciiTheme="minorHAnsi" w:hAnsiTheme="minorHAnsi"/>
                <w:b/>
                <w:sz w:val="19"/>
                <w:szCs w:val="19"/>
                <w:lang w:val="en-GB"/>
              </w:rPr>
            </w:pPr>
            <w:r w:rsidRPr="00486047">
              <w:rPr>
                <w:rFonts w:asciiTheme="minorHAnsi" w:hAnsiTheme="minorHAnsi"/>
                <w:b/>
                <w:sz w:val="19"/>
                <w:szCs w:val="19"/>
                <w:lang w:val="en-GB"/>
              </w:rPr>
              <w:t>Submission of CIOMS form to local Ethics Committees and National Regulatory Agencies*</w:t>
            </w:r>
          </w:p>
        </w:tc>
        <w:tc>
          <w:tcPr>
            <w:tcW w:w="815" w:type="pct"/>
            <w:tcBorders>
              <w:bottom w:val="single" w:sz="4" w:space="0" w:color="auto"/>
            </w:tcBorders>
            <w:shd w:val="clear" w:color="auto" w:fill="auto"/>
            <w:vAlign w:val="center"/>
          </w:tcPr>
          <w:p w14:paraId="1B4F4765" w14:textId="77777777" w:rsidR="00751D3E" w:rsidRPr="00486047" w:rsidRDefault="00751D3E" w:rsidP="009400D9">
            <w:pPr>
              <w:spacing w:before="40" w:after="40"/>
              <w:jc w:val="left"/>
              <w:rPr>
                <w:rFonts w:asciiTheme="minorHAnsi" w:hAnsiTheme="minorHAnsi"/>
                <w:sz w:val="19"/>
                <w:szCs w:val="19"/>
                <w:lang w:val="en-GB"/>
              </w:rPr>
            </w:pPr>
            <w:r w:rsidRPr="00486047">
              <w:rPr>
                <w:rFonts w:asciiTheme="minorHAnsi" w:hAnsiTheme="minorHAnsi"/>
                <w:sz w:val="19"/>
                <w:szCs w:val="19"/>
                <w:lang w:val="en-GB"/>
              </w:rPr>
              <w:t xml:space="preserve">Site </w:t>
            </w:r>
            <w:r w:rsidR="001F63EE" w:rsidRPr="00486047">
              <w:rPr>
                <w:rFonts w:asciiTheme="minorHAnsi" w:hAnsiTheme="minorHAnsi"/>
                <w:sz w:val="19"/>
                <w:szCs w:val="19"/>
                <w:lang w:val="en-GB"/>
              </w:rPr>
              <w:t>PI</w:t>
            </w:r>
            <w:r w:rsidRPr="00486047">
              <w:rPr>
                <w:rFonts w:asciiTheme="minorHAnsi" w:hAnsiTheme="minorHAnsi"/>
                <w:sz w:val="19"/>
                <w:szCs w:val="19"/>
                <w:lang w:val="en-GB"/>
              </w:rPr>
              <w:t xml:space="preserve"> </w:t>
            </w:r>
          </w:p>
        </w:tc>
        <w:tc>
          <w:tcPr>
            <w:tcW w:w="739" w:type="pct"/>
            <w:gridSpan w:val="2"/>
            <w:tcBorders>
              <w:bottom w:val="single" w:sz="4" w:space="0" w:color="auto"/>
            </w:tcBorders>
            <w:shd w:val="clear" w:color="auto" w:fill="auto"/>
            <w:vAlign w:val="center"/>
          </w:tcPr>
          <w:p w14:paraId="1B4F4766" w14:textId="77777777" w:rsidR="00751D3E" w:rsidRPr="00486047" w:rsidRDefault="00E467E2" w:rsidP="00C41BA7">
            <w:pPr>
              <w:spacing w:before="40" w:after="40"/>
              <w:jc w:val="center"/>
              <w:rPr>
                <w:rFonts w:asciiTheme="minorHAnsi" w:hAnsiTheme="minorHAnsi"/>
                <w:sz w:val="19"/>
                <w:szCs w:val="19"/>
                <w:lang w:val="en-GB"/>
              </w:rPr>
            </w:pPr>
            <w:r w:rsidRPr="00486047">
              <w:rPr>
                <w:rFonts w:asciiTheme="minorHAnsi" w:hAnsiTheme="minorHAnsi"/>
                <w:sz w:val="19"/>
                <w:szCs w:val="19"/>
                <w:lang w:val="en-GB"/>
              </w:rPr>
              <w:t>4-7</w:t>
            </w:r>
          </w:p>
        </w:tc>
        <w:tc>
          <w:tcPr>
            <w:tcW w:w="666" w:type="pct"/>
            <w:tcBorders>
              <w:bottom w:val="single" w:sz="4" w:space="0" w:color="auto"/>
            </w:tcBorders>
            <w:shd w:val="clear" w:color="auto" w:fill="auto"/>
            <w:vAlign w:val="center"/>
          </w:tcPr>
          <w:p w14:paraId="1B4F4767" w14:textId="77777777" w:rsidR="00751D3E" w:rsidRPr="00486047" w:rsidRDefault="00E467E2" w:rsidP="00C41BA7">
            <w:pPr>
              <w:spacing w:before="40" w:after="40"/>
              <w:jc w:val="center"/>
              <w:rPr>
                <w:rFonts w:asciiTheme="minorHAnsi" w:hAnsiTheme="minorHAnsi"/>
                <w:sz w:val="19"/>
                <w:szCs w:val="19"/>
                <w:lang w:val="en-GB"/>
              </w:rPr>
            </w:pPr>
            <w:r w:rsidRPr="00486047">
              <w:rPr>
                <w:rFonts w:asciiTheme="minorHAnsi" w:hAnsiTheme="minorHAnsi"/>
                <w:sz w:val="19"/>
                <w:szCs w:val="19"/>
                <w:lang w:val="en-GB"/>
              </w:rPr>
              <w:t>9-15</w:t>
            </w:r>
          </w:p>
        </w:tc>
        <w:tc>
          <w:tcPr>
            <w:tcW w:w="1465" w:type="pct"/>
            <w:gridSpan w:val="2"/>
            <w:tcBorders>
              <w:bottom w:val="single" w:sz="4" w:space="0" w:color="auto"/>
            </w:tcBorders>
            <w:shd w:val="clear" w:color="auto" w:fill="auto"/>
            <w:vAlign w:val="center"/>
          </w:tcPr>
          <w:p w14:paraId="1B4F4768" w14:textId="77777777" w:rsidR="00751D3E" w:rsidRPr="00486047" w:rsidRDefault="00E467E2" w:rsidP="00C41BA7">
            <w:pPr>
              <w:spacing w:before="40" w:after="40"/>
              <w:jc w:val="center"/>
              <w:rPr>
                <w:rFonts w:asciiTheme="minorHAnsi" w:hAnsiTheme="minorHAnsi"/>
                <w:sz w:val="19"/>
                <w:szCs w:val="19"/>
                <w:lang w:val="en-GB"/>
              </w:rPr>
            </w:pPr>
            <w:r w:rsidRPr="00486047">
              <w:rPr>
                <w:rFonts w:asciiTheme="minorHAnsi" w:hAnsiTheme="minorHAnsi"/>
                <w:sz w:val="19"/>
                <w:szCs w:val="19"/>
                <w:lang w:val="en-GB"/>
              </w:rPr>
              <w:t>9-15</w:t>
            </w:r>
            <w:r w:rsidR="00B0531E">
              <w:rPr>
                <w:rFonts w:asciiTheme="minorHAnsi" w:hAnsiTheme="minorHAnsi"/>
                <w:sz w:val="19"/>
                <w:szCs w:val="19"/>
                <w:lang w:val="en-GB"/>
              </w:rPr>
              <w:t xml:space="preserve"> </w:t>
            </w:r>
            <w:r w:rsidR="00B0531E" w:rsidRPr="0094207A">
              <w:rPr>
                <w:rFonts w:asciiTheme="minorHAnsi" w:hAnsiTheme="minorHAnsi"/>
                <w:i/>
                <w:sz w:val="18"/>
                <w:szCs w:val="19"/>
                <w:lang w:val="en-GB"/>
              </w:rPr>
              <w:t>(only in country where reportable)</w:t>
            </w:r>
          </w:p>
        </w:tc>
      </w:tr>
      <w:tr w:rsidR="00751D3E" w:rsidRPr="00486047" w14:paraId="1B4F476B" w14:textId="77777777" w:rsidTr="00486047">
        <w:tc>
          <w:tcPr>
            <w:tcW w:w="5000" w:type="pct"/>
            <w:gridSpan w:val="7"/>
            <w:tcBorders>
              <w:left w:val="nil"/>
              <w:bottom w:val="nil"/>
              <w:right w:val="nil"/>
            </w:tcBorders>
            <w:shd w:val="clear" w:color="auto" w:fill="auto"/>
          </w:tcPr>
          <w:p w14:paraId="1B4F476A" w14:textId="77777777" w:rsidR="00751D3E" w:rsidRPr="009400D9" w:rsidRDefault="00751D3E" w:rsidP="00751D3E">
            <w:pPr>
              <w:spacing w:before="0" w:after="0"/>
              <w:rPr>
                <w:rFonts w:asciiTheme="minorHAnsi" w:hAnsiTheme="minorHAnsi"/>
                <w:sz w:val="18"/>
                <w:szCs w:val="19"/>
                <w:lang w:val="en-GB"/>
              </w:rPr>
            </w:pPr>
            <w:r w:rsidRPr="009400D9">
              <w:rPr>
                <w:rFonts w:asciiTheme="minorHAnsi" w:hAnsiTheme="minorHAnsi"/>
                <w:sz w:val="18"/>
                <w:szCs w:val="19"/>
                <w:lang w:val="en-GB"/>
              </w:rPr>
              <w:t>*Of note, where applicable</w:t>
            </w:r>
            <w:r w:rsidR="004E0799">
              <w:rPr>
                <w:rFonts w:asciiTheme="minorHAnsi" w:hAnsiTheme="minorHAnsi"/>
                <w:sz w:val="18"/>
                <w:szCs w:val="19"/>
                <w:lang w:val="en-GB"/>
              </w:rPr>
              <w:t>,</w:t>
            </w:r>
            <w:r w:rsidRPr="009400D9">
              <w:rPr>
                <w:rFonts w:asciiTheme="minorHAnsi" w:hAnsiTheme="minorHAnsi"/>
                <w:sz w:val="18"/>
                <w:szCs w:val="19"/>
                <w:lang w:val="en-GB"/>
              </w:rPr>
              <w:t xml:space="preserve"> format and timelines are adapted as per local requirements if less than 7/15 calendar days from Day 0.</w:t>
            </w:r>
            <w:r w:rsidR="007B2B9F" w:rsidRPr="009400D9">
              <w:rPr>
                <w:rFonts w:asciiTheme="minorHAnsi" w:hAnsiTheme="minorHAnsi"/>
                <w:sz w:val="18"/>
                <w:szCs w:val="19"/>
                <w:lang w:val="en-GB"/>
              </w:rPr>
              <w:t xml:space="preserve"> By </w:t>
            </w:r>
            <w:proofErr w:type="gramStart"/>
            <w:r w:rsidR="007B2B9F" w:rsidRPr="009400D9">
              <w:rPr>
                <w:rFonts w:asciiTheme="minorHAnsi" w:hAnsiTheme="minorHAnsi"/>
                <w:sz w:val="18"/>
                <w:szCs w:val="19"/>
                <w:lang w:val="en-GB"/>
              </w:rPr>
              <w:t>default</w:t>
            </w:r>
            <w:proofErr w:type="gramEnd"/>
            <w:r w:rsidR="007B2B9F" w:rsidRPr="009400D9">
              <w:rPr>
                <w:rFonts w:asciiTheme="minorHAnsi" w:hAnsiTheme="minorHAnsi"/>
                <w:sz w:val="18"/>
                <w:szCs w:val="19"/>
                <w:lang w:val="en-GB"/>
              </w:rPr>
              <w:t xml:space="preserve"> ICH E2A applies as the minimum standard for expedited reporting.</w:t>
            </w:r>
          </w:p>
        </w:tc>
      </w:tr>
    </w:tbl>
    <w:p w14:paraId="1B4F476C" w14:textId="77777777" w:rsidR="006B49A2" w:rsidRPr="00225F0F" w:rsidRDefault="00C61F1D" w:rsidP="006B49A2">
      <w:pPr>
        <w:pStyle w:val="Heading1"/>
        <w:rPr>
          <w:lang w:val="en-GB" w:eastAsia="en-GB"/>
        </w:rPr>
      </w:pPr>
      <w:bookmarkStart w:id="31" w:name="_Data_Entry_and"/>
      <w:bookmarkStart w:id="32" w:name="_Medical_review_and"/>
      <w:bookmarkStart w:id="33" w:name="_SAE_reports_meeting"/>
      <w:bookmarkStart w:id="34" w:name="_Ref471720044"/>
      <w:bookmarkStart w:id="35" w:name="_Ref471722043"/>
      <w:bookmarkStart w:id="36" w:name="_Toc40272687"/>
      <w:bookmarkStart w:id="37" w:name="_Ref384305409"/>
      <w:bookmarkEnd w:id="31"/>
      <w:bookmarkEnd w:id="32"/>
      <w:bookmarkEnd w:id="33"/>
      <w:r w:rsidRPr="00225F0F">
        <w:rPr>
          <w:lang w:val="en-GB" w:eastAsia="en-GB"/>
        </w:rPr>
        <w:t>Individual case safety reports submission</w:t>
      </w:r>
      <w:bookmarkEnd w:id="34"/>
      <w:bookmarkEnd w:id="35"/>
      <w:bookmarkEnd w:id="36"/>
    </w:p>
    <w:p w14:paraId="1B4F476D" w14:textId="6E81F37F" w:rsidR="00C61F1D" w:rsidRPr="00225F0F" w:rsidRDefault="00C61F1D" w:rsidP="00C61F1D">
      <w:pPr>
        <w:rPr>
          <w:lang w:val="en-GB" w:eastAsia="en-GB"/>
        </w:rPr>
      </w:pPr>
      <w:r w:rsidRPr="00225F0F">
        <w:rPr>
          <w:lang w:val="en-GB" w:eastAsia="en-GB"/>
        </w:rPr>
        <w:t xml:space="preserve">By </w:t>
      </w:r>
      <w:proofErr w:type="gramStart"/>
      <w:r w:rsidRPr="00225F0F">
        <w:rPr>
          <w:lang w:val="en-GB" w:eastAsia="en-GB"/>
        </w:rPr>
        <w:t>default</w:t>
      </w:r>
      <w:proofErr w:type="gramEnd"/>
      <w:r w:rsidRPr="00225F0F">
        <w:rPr>
          <w:lang w:val="en-GB" w:eastAsia="en-GB"/>
        </w:rPr>
        <w:t xml:space="preserve"> and in accordance with ICH E2A, Suspected Unexpected Serious Adverse Reactions (SUSARs) are subject to expedited reporting to the National Regulatory Authorities </w:t>
      </w:r>
      <w:r w:rsidR="00A048E0" w:rsidRPr="00225F0F">
        <w:rPr>
          <w:lang w:val="en-GB" w:eastAsia="en-GB"/>
        </w:rPr>
        <w:t xml:space="preserve">(NRA) </w:t>
      </w:r>
      <w:r w:rsidRPr="00225F0F">
        <w:rPr>
          <w:lang w:val="en-GB" w:eastAsia="en-GB"/>
        </w:rPr>
        <w:t>and local Ethics Committees</w:t>
      </w:r>
      <w:r w:rsidR="00A048E0" w:rsidRPr="00225F0F">
        <w:rPr>
          <w:lang w:val="en-GB" w:eastAsia="en-GB"/>
        </w:rPr>
        <w:t xml:space="preserve"> (EC)</w:t>
      </w:r>
      <w:r w:rsidRPr="00225F0F">
        <w:rPr>
          <w:lang w:val="en-GB" w:eastAsia="en-GB"/>
        </w:rPr>
        <w:t>. The PV Unit provides the Site P</w:t>
      </w:r>
      <w:r w:rsidR="00AE4ED8" w:rsidRPr="00225F0F">
        <w:rPr>
          <w:lang w:val="en-GB" w:eastAsia="en-GB"/>
        </w:rPr>
        <w:t>rincipal Investigator</w:t>
      </w:r>
      <w:r w:rsidRPr="00225F0F">
        <w:rPr>
          <w:lang w:val="en-GB" w:eastAsia="en-GB"/>
        </w:rPr>
        <w:t xml:space="preserve"> with international submission-ready SUSAR reports (in English and as CIOMS I forms by default) for translation and submission.</w:t>
      </w:r>
      <w:r w:rsidR="009400D9">
        <w:rPr>
          <w:lang w:val="en-GB" w:eastAsia="en-GB"/>
        </w:rPr>
        <w:t xml:space="preserve"> </w:t>
      </w:r>
      <w:r w:rsidRPr="00225F0F">
        <w:rPr>
          <w:lang w:val="en-GB" w:eastAsia="en-GB"/>
        </w:rPr>
        <w:t xml:space="preserve">Timelines for </w:t>
      </w:r>
      <w:r w:rsidRPr="00225F0F">
        <w:rPr>
          <w:lang w:val="en-GB" w:eastAsia="en-GB"/>
        </w:rPr>
        <w:lastRenderedPageBreak/>
        <w:t xml:space="preserve">reporting are </w:t>
      </w:r>
      <w:r w:rsidR="001F63EE">
        <w:rPr>
          <w:lang w:val="en-GB" w:eastAsia="en-GB"/>
        </w:rPr>
        <w:t xml:space="preserve">in </w:t>
      </w:r>
      <w:r w:rsidR="009400D9">
        <w:rPr>
          <w:lang w:val="en-GB" w:eastAsia="en-GB"/>
        </w:rPr>
        <w:fldChar w:fldCharType="begin"/>
      </w:r>
      <w:r w:rsidR="009400D9">
        <w:rPr>
          <w:lang w:val="en-GB" w:eastAsia="en-GB"/>
        </w:rPr>
        <w:instrText xml:space="preserve"> REF _Ref471723507 \h </w:instrText>
      </w:r>
      <w:r w:rsidR="009400D9">
        <w:rPr>
          <w:lang w:val="en-GB" w:eastAsia="en-GB"/>
        </w:rPr>
      </w:r>
      <w:r w:rsidR="009400D9">
        <w:rPr>
          <w:lang w:val="en-GB" w:eastAsia="en-GB"/>
        </w:rPr>
        <w:fldChar w:fldCharType="separate"/>
      </w:r>
      <w:r w:rsidR="003C19FA" w:rsidRPr="00225F0F">
        <w:rPr>
          <w:color w:val="000000" w:themeColor="text1"/>
          <w:lang w:val="en-GB"/>
        </w:rPr>
        <w:t xml:space="preserve">Table </w:t>
      </w:r>
      <w:r w:rsidR="003C19FA">
        <w:rPr>
          <w:noProof/>
          <w:color w:val="000000" w:themeColor="text1"/>
          <w:lang w:val="en-GB"/>
        </w:rPr>
        <w:t>1</w:t>
      </w:r>
      <w:r w:rsidR="009400D9">
        <w:rPr>
          <w:lang w:val="en-GB" w:eastAsia="en-GB"/>
        </w:rPr>
        <w:fldChar w:fldCharType="end"/>
      </w:r>
      <w:r w:rsidR="001F63EE">
        <w:rPr>
          <w:lang w:val="en-GB" w:eastAsia="en-GB"/>
        </w:rPr>
        <w:t xml:space="preserve">. </w:t>
      </w:r>
      <w:r w:rsidRPr="00225F0F">
        <w:rPr>
          <w:lang w:val="en-GB" w:eastAsia="en-GB"/>
        </w:rPr>
        <w:t xml:space="preserve">The PV Unit with the support of the </w:t>
      </w:r>
      <w:r w:rsidR="00AE4ED8" w:rsidRPr="00225F0F">
        <w:rPr>
          <w:lang w:val="en-GB" w:eastAsia="en-GB"/>
        </w:rPr>
        <w:t xml:space="preserve">Site </w:t>
      </w:r>
      <w:r w:rsidR="009400D9" w:rsidRPr="00225F0F">
        <w:rPr>
          <w:lang w:val="en-GB" w:eastAsia="en-GB"/>
        </w:rPr>
        <w:t xml:space="preserve">Study </w:t>
      </w:r>
      <w:r w:rsidR="00AE4ED8" w:rsidRPr="00225F0F">
        <w:rPr>
          <w:lang w:val="en-GB" w:eastAsia="en-GB"/>
        </w:rPr>
        <w:t xml:space="preserve">Coordinator </w:t>
      </w:r>
      <w:r w:rsidRPr="00225F0F">
        <w:rPr>
          <w:lang w:val="en-GB" w:eastAsia="en-GB"/>
        </w:rPr>
        <w:t>tracks and documents receipt acknowledgments from each recipient.</w:t>
      </w:r>
    </w:p>
    <w:p w14:paraId="1B4F476E" w14:textId="77777777" w:rsidR="00C61F1D" w:rsidRPr="00225F0F" w:rsidRDefault="00C61F1D" w:rsidP="00C61F1D">
      <w:pPr>
        <w:rPr>
          <w:lang w:val="en-GB" w:eastAsia="en-GB"/>
        </w:rPr>
      </w:pPr>
      <w:r w:rsidRPr="00225F0F">
        <w:rPr>
          <w:lang w:val="en-GB" w:eastAsia="en-GB"/>
        </w:rPr>
        <w:t xml:space="preserve">If additional individual case safety reports are requested by </w:t>
      </w:r>
      <w:r w:rsidR="00AE4ED8" w:rsidRPr="00225F0F">
        <w:rPr>
          <w:lang w:val="en-GB" w:eastAsia="en-GB"/>
        </w:rPr>
        <w:t>NRA</w:t>
      </w:r>
      <w:r w:rsidRPr="00225F0F">
        <w:rPr>
          <w:lang w:val="en-GB" w:eastAsia="en-GB"/>
        </w:rPr>
        <w:t xml:space="preserve"> and local </w:t>
      </w:r>
      <w:r w:rsidR="00AE4ED8" w:rsidRPr="00225F0F">
        <w:rPr>
          <w:lang w:val="en-GB" w:eastAsia="en-GB"/>
        </w:rPr>
        <w:t>EC</w:t>
      </w:r>
      <w:r w:rsidRPr="00225F0F">
        <w:rPr>
          <w:lang w:val="en-GB" w:eastAsia="en-GB"/>
        </w:rPr>
        <w:t xml:space="preserve"> (e.g. all national SAEs), the same process applies.</w:t>
      </w:r>
      <w:r w:rsidR="004E0799">
        <w:rPr>
          <w:lang w:val="en-GB" w:eastAsia="en-GB"/>
        </w:rPr>
        <w:t xml:space="preserve"> If different timelines apply, the most stringent timeline is applied.</w:t>
      </w:r>
    </w:p>
    <w:p w14:paraId="1B4F476F" w14:textId="77777777" w:rsidR="00D16B93" w:rsidRDefault="00D16B93" w:rsidP="00C61F1D">
      <w:pPr>
        <w:rPr>
          <w:lang w:val="en-GB" w:eastAsia="en-GB"/>
        </w:rPr>
      </w:pPr>
      <w:r w:rsidRPr="00225F0F">
        <w:rPr>
          <w:lang w:val="en-GB" w:eastAsia="en-GB"/>
        </w:rPr>
        <w:t>The PV Unit directly transmits the SUSAR reports to the Data &amp; Safety Monitoring Board.</w:t>
      </w:r>
      <w:r w:rsidR="00FA067D" w:rsidRPr="00225F0F">
        <w:rPr>
          <w:lang w:val="en-GB" w:eastAsia="en-GB"/>
        </w:rPr>
        <w:t xml:space="preserve"> Receipt tracking and documentation is performed by the PV Unit.</w:t>
      </w:r>
    </w:p>
    <w:p w14:paraId="1B4F4770" w14:textId="4670F829" w:rsidR="00FC62D0" w:rsidRDefault="00B0531E" w:rsidP="00FC62D0">
      <w:pPr>
        <w:rPr>
          <w:lang w:val="en-GB" w:eastAsia="en-GB"/>
        </w:rPr>
      </w:pPr>
      <w:r w:rsidRPr="00185903">
        <w:rPr>
          <w:lang w:val="en-GB"/>
        </w:rPr>
        <w:t>Transmission of individual cases to drug manufacturers is performed in accordance with all valid contractual agreements under the responsibility of the PV Unit.</w:t>
      </w:r>
      <w:r w:rsidR="004E0799" w:rsidRPr="00185903">
        <w:rPr>
          <w:lang w:val="en-GB"/>
        </w:rPr>
        <w:t xml:space="preserve"> By default</w:t>
      </w:r>
      <w:r w:rsidR="002E39BC">
        <w:rPr>
          <w:lang w:val="en-GB"/>
        </w:rPr>
        <w:t>,</w:t>
      </w:r>
      <w:r w:rsidR="004E0799" w:rsidRPr="00185903">
        <w:rPr>
          <w:lang w:val="en-GB"/>
        </w:rPr>
        <w:t xml:space="preserve"> SUSARs </w:t>
      </w:r>
      <w:r w:rsidR="00185903" w:rsidRPr="00185903">
        <w:rPr>
          <w:lang w:val="en-GB"/>
        </w:rPr>
        <w:t xml:space="preserve">with the new drugs (bedaquiline and delamanid) </w:t>
      </w:r>
      <w:r w:rsidR="004E0799" w:rsidRPr="00185903">
        <w:rPr>
          <w:lang w:val="en-GB"/>
        </w:rPr>
        <w:t xml:space="preserve">are shared (refer to </w:t>
      </w:r>
      <w:r w:rsidR="004E0799" w:rsidRPr="00185903">
        <w:rPr>
          <w:lang w:val="en-GB" w:eastAsia="en-GB"/>
        </w:rPr>
        <w:fldChar w:fldCharType="begin"/>
      </w:r>
      <w:r w:rsidR="004E0799" w:rsidRPr="00185903">
        <w:rPr>
          <w:lang w:val="en-GB" w:eastAsia="en-GB"/>
        </w:rPr>
        <w:instrText xml:space="preserve"> REF _Ref471723507 \h </w:instrText>
      </w:r>
      <w:r w:rsidR="00140D44" w:rsidRPr="00185903">
        <w:rPr>
          <w:lang w:val="en-GB" w:eastAsia="en-GB"/>
        </w:rPr>
        <w:instrText xml:space="preserve"> \* MERGEFORMAT </w:instrText>
      </w:r>
      <w:r w:rsidR="004E0799" w:rsidRPr="00185903">
        <w:rPr>
          <w:lang w:val="en-GB" w:eastAsia="en-GB"/>
        </w:rPr>
      </w:r>
      <w:r w:rsidR="004E0799" w:rsidRPr="00185903">
        <w:rPr>
          <w:lang w:val="en-GB" w:eastAsia="en-GB"/>
        </w:rPr>
        <w:fldChar w:fldCharType="separate"/>
      </w:r>
      <w:r w:rsidR="003C19FA" w:rsidRPr="00225F0F">
        <w:rPr>
          <w:color w:val="000000" w:themeColor="text1"/>
          <w:lang w:val="en-GB"/>
        </w:rPr>
        <w:t xml:space="preserve">Table </w:t>
      </w:r>
      <w:r w:rsidR="003C19FA">
        <w:rPr>
          <w:color w:val="000000" w:themeColor="text1"/>
          <w:lang w:val="en-GB"/>
        </w:rPr>
        <w:t>1</w:t>
      </w:r>
      <w:r w:rsidR="004E0799" w:rsidRPr="00185903">
        <w:rPr>
          <w:lang w:val="en-GB" w:eastAsia="en-GB"/>
        </w:rPr>
        <w:fldChar w:fldCharType="end"/>
      </w:r>
      <w:r w:rsidR="004E0799" w:rsidRPr="00185903">
        <w:rPr>
          <w:lang w:val="en-GB" w:eastAsia="en-GB"/>
        </w:rPr>
        <w:t>)</w:t>
      </w:r>
      <w:r w:rsidR="004E0799" w:rsidRPr="00185903">
        <w:rPr>
          <w:lang w:val="en-GB"/>
        </w:rPr>
        <w:t>.</w:t>
      </w:r>
      <w:r w:rsidR="00FC62D0" w:rsidRPr="00185903">
        <w:rPr>
          <w:lang w:val="en-GB" w:eastAsia="en-GB"/>
        </w:rPr>
        <w:t xml:space="preserve"> Receipt tracking and documentation is performed by the PV Unit.</w:t>
      </w:r>
    </w:p>
    <w:p w14:paraId="1B4F4771" w14:textId="77777777" w:rsidR="006B49A2" w:rsidRPr="00225F0F" w:rsidRDefault="006B49A2" w:rsidP="006B49A2">
      <w:pPr>
        <w:pStyle w:val="Heading1"/>
        <w:rPr>
          <w:lang w:val="en-GB" w:eastAsia="en-GB"/>
        </w:rPr>
      </w:pPr>
      <w:bookmarkStart w:id="38" w:name="_Toc40272688"/>
      <w:r w:rsidRPr="00225F0F">
        <w:rPr>
          <w:lang w:val="en-GB" w:eastAsia="en-GB"/>
        </w:rPr>
        <w:t xml:space="preserve">Annual </w:t>
      </w:r>
      <w:r w:rsidR="00AE4ED8" w:rsidRPr="00225F0F">
        <w:rPr>
          <w:lang w:val="en-GB" w:eastAsia="en-GB"/>
        </w:rPr>
        <w:t>Safety Reports</w:t>
      </w:r>
      <w:bookmarkEnd w:id="38"/>
    </w:p>
    <w:p w14:paraId="1B4F4772" w14:textId="77777777" w:rsidR="001F63EE" w:rsidRDefault="006B49A2" w:rsidP="006B49A2">
      <w:pPr>
        <w:rPr>
          <w:lang w:val="en-GB" w:eastAsia="en-GB"/>
        </w:rPr>
      </w:pPr>
      <w:r w:rsidRPr="00225F0F">
        <w:rPr>
          <w:lang w:val="en-GB" w:eastAsia="en-GB"/>
        </w:rPr>
        <w:t xml:space="preserve">An </w:t>
      </w:r>
      <w:r w:rsidR="00AE4ED8" w:rsidRPr="00225F0F">
        <w:rPr>
          <w:lang w:val="en-GB" w:eastAsia="en-GB"/>
        </w:rPr>
        <w:t>Annual Safety Report</w:t>
      </w:r>
      <w:r w:rsidR="009400D9">
        <w:rPr>
          <w:lang w:val="en-GB" w:eastAsia="en-GB"/>
        </w:rPr>
        <w:t xml:space="preserve">, in the </w:t>
      </w:r>
      <w:r w:rsidR="009400D9" w:rsidRPr="00225F0F">
        <w:rPr>
          <w:lang w:val="en-GB" w:eastAsia="en-GB"/>
        </w:rPr>
        <w:t xml:space="preserve">format </w:t>
      </w:r>
      <w:r w:rsidR="009400D9">
        <w:rPr>
          <w:lang w:val="en-GB" w:eastAsia="en-GB"/>
        </w:rPr>
        <w:t>of a</w:t>
      </w:r>
      <w:r w:rsidR="009400D9" w:rsidRPr="00225F0F">
        <w:rPr>
          <w:lang w:val="en-GB" w:eastAsia="en-GB"/>
        </w:rPr>
        <w:t xml:space="preserve"> ‘Development Safety Update Safety Report’ (ICH E2F</w:t>
      </w:r>
      <w:r w:rsidR="009400D9">
        <w:rPr>
          <w:lang w:val="en-GB" w:eastAsia="en-GB"/>
        </w:rPr>
        <w:t>),</w:t>
      </w:r>
      <w:r w:rsidR="009400D9" w:rsidRPr="00225F0F">
        <w:rPr>
          <w:lang w:val="en-GB" w:eastAsia="en-GB"/>
        </w:rPr>
        <w:t xml:space="preserve"> </w:t>
      </w:r>
      <w:r w:rsidRPr="00225F0F">
        <w:rPr>
          <w:lang w:val="en-GB" w:eastAsia="en-GB"/>
        </w:rPr>
        <w:t xml:space="preserve">is prepared by the PV Unit and reviewed by </w:t>
      </w:r>
      <w:r w:rsidR="006F6702">
        <w:rPr>
          <w:lang w:val="en-GB" w:eastAsia="en-GB"/>
        </w:rPr>
        <w:t xml:space="preserve">the </w:t>
      </w:r>
      <w:r w:rsidR="00B34195">
        <w:rPr>
          <w:lang w:val="en-GB" w:eastAsia="en-GB"/>
        </w:rPr>
        <w:t xml:space="preserve">PV </w:t>
      </w:r>
      <w:r w:rsidR="006F6702">
        <w:rPr>
          <w:lang w:val="en-GB" w:eastAsia="en-GB"/>
        </w:rPr>
        <w:t>medical monitor</w:t>
      </w:r>
      <w:r w:rsidR="00817766" w:rsidRPr="00225F0F">
        <w:rPr>
          <w:lang w:val="en-GB" w:eastAsia="en-GB"/>
        </w:rPr>
        <w:t>.</w:t>
      </w:r>
      <w:r w:rsidR="003F5977">
        <w:rPr>
          <w:lang w:val="en-GB" w:eastAsia="en-GB"/>
        </w:rPr>
        <w:t xml:space="preserve"> The </w:t>
      </w:r>
      <w:r w:rsidR="001F63EE" w:rsidRPr="00225F0F">
        <w:rPr>
          <w:lang w:val="en-GB" w:eastAsia="en-GB"/>
        </w:rPr>
        <w:t xml:space="preserve">Site Principal Investigator </w:t>
      </w:r>
      <w:r w:rsidR="001F63EE">
        <w:rPr>
          <w:lang w:val="en-GB" w:eastAsia="en-GB"/>
        </w:rPr>
        <w:t>submits t</w:t>
      </w:r>
      <w:r w:rsidR="001F63EE" w:rsidRPr="00225F0F">
        <w:rPr>
          <w:lang w:val="en-GB" w:eastAsia="en-GB"/>
        </w:rPr>
        <w:t xml:space="preserve">he </w:t>
      </w:r>
      <w:r w:rsidRPr="00225F0F">
        <w:rPr>
          <w:lang w:val="en-GB" w:eastAsia="en-GB"/>
        </w:rPr>
        <w:t xml:space="preserve">report to </w:t>
      </w:r>
      <w:r w:rsidR="00AE4ED8" w:rsidRPr="00225F0F">
        <w:rPr>
          <w:lang w:val="en-GB" w:eastAsia="en-GB"/>
        </w:rPr>
        <w:t>NRA</w:t>
      </w:r>
      <w:r w:rsidRPr="00225F0F">
        <w:rPr>
          <w:lang w:val="en-GB" w:eastAsia="en-GB"/>
        </w:rPr>
        <w:t xml:space="preserve"> and Local </w:t>
      </w:r>
      <w:r w:rsidR="00AE4ED8" w:rsidRPr="00225F0F">
        <w:rPr>
          <w:lang w:val="en-GB" w:eastAsia="en-GB"/>
        </w:rPr>
        <w:t>EC</w:t>
      </w:r>
      <w:r w:rsidR="00B65C03" w:rsidRPr="00225F0F">
        <w:rPr>
          <w:lang w:val="en-GB" w:eastAsia="en-GB"/>
        </w:rPr>
        <w:t xml:space="preserve"> within 60 </w:t>
      </w:r>
      <w:r w:rsidR="00583F6E" w:rsidRPr="00225F0F">
        <w:rPr>
          <w:lang w:val="en-GB" w:eastAsia="en-GB"/>
        </w:rPr>
        <w:t xml:space="preserve">calendar </w:t>
      </w:r>
      <w:r w:rsidR="00B65C03" w:rsidRPr="00225F0F">
        <w:rPr>
          <w:lang w:val="en-GB" w:eastAsia="en-GB"/>
        </w:rPr>
        <w:t>days from data</w:t>
      </w:r>
      <w:r w:rsidR="001F63EE">
        <w:rPr>
          <w:lang w:val="en-GB" w:eastAsia="en-GB"/>
        </w:rPr>
        <w:t>base</w:t>
      </w:r>
      <w:r w:rsidR="00B65C03" w:rsidRPr="00225F0F">
        <w:rPr>
          <w:lang w:val="en-GB" w:eastAsia="en-GB"/>
        </w:rPr>
        <w:t xml:space="preserve"> lock</w:t>
      </w:r>
      <w:r w:rsidR="00817766" w:rsidRPr="00225F0F">
        <w:rPr>
          <w:lang w:val="en-GB" w:eastAsia="en-GB"/>
        </w:rPr>
        <w:t xml:space="preserve">. Receipt acknowledgement is tracked and documented by </w:t>
      </w:r>
      <w:r w:rsidR="00583F6E" w:rsidRPr="00225F0F">
        <w:rPr>
          <w:lang w:val="en-GB" w:eastAsia="en-GB"/>
        </w:rPr>
        <w:t>t</w:t>
      </w:r>
      <w:r w:rsidR="00817766" w:rsidRPr="00225F0F">
        <w:rPr>
          <w:lang w:val="en-GB" w:eastAsia="en-GB"/>
        </w:rPr>
        <w:t xml:space="preserve">he PV Unit </w:t>
      </w:r>
      <w:r w:rsidR="001F63EE">
        <w:rPr>
          <w:lang w:val="en-GB" w:eastAsia="en-GB"/>
        </w:rPr>
        <w:t>and</w:t>
      </w:r>
      <w:r w:rsidR="00FC62D0">
        <w:rPr>
          <w:lang w:val="en-GB" w:eastAsia="en-GB"/>
        </w:rPr>
        <w:t xml:space="preserve"> the</w:t>
      </w:r>
      <w:r w:rsidR="00817766" w:rsidRPr="00225F0F">
        <w:rPr>
          <w:lang w:val="en-GB" w:eastAsia="en-GB"/>
        </w:rPr>
        <w:t xml:space="preserve"> </w:t>
      </w:r>
      <w:r w:rsidR="001F63EE" w:rsidRPr="00225F0F">
        <w:rPr>
          <w:lang w:val="en-GB" w:eastAsia="en-GB"/>
        </w:rPr>
        <w:t xml:space="preserve">Site </w:t>
      </w:r>
      <w:r w:rsidR="00AE4ED8" w:rsidRPr="00225F0F">
        <w:rPr>
          <w:lang w:val="en-GB" w:eastAsia="en-GB"/>
        </w:rPr>
        <w:t>Study Coordinator</w:t>
      </w:r>
      <w:r w:rsidR="00817766" w:rsidRPr="00225F0F">
        <w:rPr>
          <w:lang w:val="en-GB" w:eastAsia="en-GB"/>
        </w:rPr>
        <w:t>.</w:t>
      </w:r>
      <w:r w:rsidR="001F63EE">
        <w:rPr>
          <w:lang w:val="en-GB" w:eastAsia="en-GB"/>
        </w:rPr>
        <w:t xml:space="preserve"> </w:t>
      </w:r>
      <w:r w:rsidR="005403B3" w:rsidRPr="00225F0F">
        <w:rPr>
          <w:lang w:val="en-GB" w:eastAsia="en-GB"/>
        </w:rPr>
        <w:t xml:space="preserve">If more frequent reporting or different formats are required by </w:t>
      </w:r>
      <w:r w:rsidR="00FC62D0">
        <w:rPr>
          <w:lang w:val="en-GB" w:eastAsia="en-GB"/>
        </w:rPr>
        <w:t xml:space="preserve">the </w:t>
      </w:r>
      <w:r w:rsidR="00AE4ED8" w:rsidRPr="00225F0F">
        <w:rPr>
          <w:lang w:val="en-GB" w:eastAsia="en-GB"/>
        </w:rPr>
        <w:t>NRA</w:t>
      </w:r>
      <w:r w:rsidR="005403B3" w:rsidRPr="00225F0F">
        <w:rPr>
          <w:lang w:val="en-GB" w:eastAsia="en-GB"/>
        </w:rPr>
        <w:t xml:space="preserve"> </w:t>
      </w:r>
      <w:r w:rsidR="001F63EE">
        <w:rPr>
          <w:lang w:val="en-GB" w:eastAsia="en-GB"/>
        </w:rPr>
        <w:t>or</w:t>
      </w:r>
      <w:r w:rsidR="00FC62D0">
        <w:rPr>
          <w:lang w:val="en-GB" w:eastAsia="en-GB"/>
        </w:rPr>
        <w:t xml:space="preserve"> the</w:t>
      </w:r>
      <w:r w:rsidR="001F63EE" w:rsidRPr="00225F0F">
        <w:rPr>
          <w:lang w:val="en-GB" w:eastAsia="en-GB"/>
        </w:rPr>
        <w:t xml:space="preserve"> </w:t>
      </w:r>
      <w:r w:rsidR="005403B3" w:rsidRPr="00225F0F">
        <w:rPr>
          <w:lang w:val="en-GB" w:eastAsia="en-GB"/>
        </w:rPr>
        <w:t xml:space="preserve">local </w:t>
      </w:r>
      <w:r w:rsidR="00AE4ED8" w:rsidRPr="00225F0F">
        <w:rPr>
          <w:lang w:val="en-GB" w:eastAsia="en-GB"/>
        </w:rPr>
        <w:t>EC</w:t>
      </w:r>
      <w:r w:rsidR="005403B3" w:rsidRPr="00225F0F">
        <w:rPr>
          <w:lang w:val="en-GB" w:eastAsia="en-GB"/>
        </w:rPr>
        <w:t>, the same process applies.</w:t>
      </w:r>
      <w:r w:rsidR="006143C0" w:rsidRPr="00225F0F">
        <w:rPr>
          <w:lang w:val="en-GB" w:eastAsia="en-GB"/>
        </w:rPr>
        <w:t xml:space="preserve"> </w:t>
      </w:r>
    </w:p>
    <w:p w14:paraId="1B4F4773" w14:textId="0287E536" w:rsidR="005403B3" w:rsidRPr="00225F0F" w:rsidRDefault="006143C0" w:rsidP="006B49A2">
      <w:pPr>
        <w:rPr>
          <w:lang w:val="en-GB" w:eastAsia="en-GB"/>
        </w:rPr>
      </w:pPr>
      <w:r w:rsidRPr="00225F0F">
        <w:rPr>
          <w:lang w:val="en-GB" w:eastAsia="en-GB"/>
        </w:rPr>
        <w:t>The MRB receives Annual Safety Reports for safety oversight and signal detection purpose</w:t>
      </w:r>
      <w:r w:rsidR="00B122CF" w:rsidRPr="00225F0F">
        <w:rPr>
          <w:lang w:val="en-GB" w:eastAsia="en-GB"/>
        </w:rPr>
        <w:t xml:space="preserve"> (refer to section </w:t>
      </w:r>
      <w:r w:rsidR="00B122CF" w:rsidRPr="00225F0F">
        <w:rPr>
          <w:lang w:val="en-GB" w:eastAsia="en-GB"/>
        </w:rPr>
        <w:fldChar w:fldCharType="begin"/>
      </w:r>
      <w:r w:rsidR="00B122CF" w:rsidRPr="00225F0F">
        <w:rPr>
          <w:lang w:val="en-GB" w:eastAsia="en-GB"/>
        </w:rPr>
        <w:instrText xml:space="preserve"> REF _Ref471722382 \r \h </w:instrText>
      </w:r>
      <w:r w:rsidR="00B122CF" w:rsidRPr="00225F0F">
        <w:rPr>
          <w:lang w:val="en-GB" w:eastAsia="en-GB"/>
        </w:rPr>
      </w:r>
      <w:r w:rsidR="00B122CF" w:rsidRPr="00225F0F">
        <w:rPr>
          <w:lang w:val="en-GB" w:eastAsia="en-GB"/>
        </w:rPr>
        <w:fldChar w:fldCharType="separate"/>
      </w:r>
      <w:r w:rsidR="003C19FA">
        <w:rPr>
          <w:lang w:val="en-GB" w:eastAsia="en-GB"/>
        </w:rPr>
        <w:t>8</w:t>
      </w:r>
      <w:r w:rsidR="00B122CF" w:rsidRPr="00225F0F">
        <w:rPr>
          <w:lang w:val="en-GB" w:eastAsia="en-GB"/>
        </w:rPr>
        <w:fldChar w:fldCharType="end"/>
      </w:r>
      <w:r w:rsidR="00B122CF" w:rsidRPr="00225F0F">
        <w:rPr>
          <w:lang w:val="en-GB" w:eastAsia="en-GB"/>
        </w:rPr>
        <w:t>)</w:t>
      </w:r>
      <w:r w:rsidRPr="00225F0F">
        <w:rPr>
          <w:lang w:val="en-GB" w:eastAsia="en-GB"/>
        </w:rPr>
        <w:t>.</w:t>
      </w:r>
    </w:p>
    <w:p w14:paraId="1B4F4774" w14:textId="77777777" w:rsidR="003A700B" w:rsidRPr="00225F0F" w:rsidRDefault="003A700B" w:rsidP="003A700B">
      <w:pPr>
        <w:pStyle w:val="Heading1"/>
        <w:rPr>
          <w:lang w:val="en-GB"/>
        </w:rPr>
      </w:pPr>
      <w:bookmarkStart w:id="39" w:name="_Toc40272689"/>
      <w:r w:rsidRPr="00225F0F">
        <w:rPr>
          <w:lang w:val="en-GB"/>
        </w:rPr>
        <w:t>Other periodic reporting activities</w:t>
      </w:r>
      <w:bookmarkEnd w:id="39"/>
    </w:p>
    <w:p w14:paraId="1B4F4775" w14:textId="77777777" w:rsidR="003A700B" w:rsidRPr="00225F0F" w:rsidRDefault="003A700B" w:rsidP="003A700B">
      <w:pPr>
        <w:pStyle w:val="Heading2"/>
        <w:rPr>
          <w:lang w:val="en-GB" w:eastAsia="en-GB"/>
        </w:rPr>
      </w:pPr>
      <w:bookmarkStart w:id="40" w:name="_Toc40272690"/>
      <w:r w:rsidRPr="00225F0F">
        <w:rPr>
          <w:lang w:val="en-GB" w:eastAsia="en-GB"/>
        </w:rPr>
        <w:t>Data &amp; safety Monitoring Board</w:t>
      </w:r>
      <w:bookmarkEnd w:id="40"/>
    </w:p>
    <w:p w14:paraId="1B4F4776" w14:textId="77777777" w:rsidR="00955A5D" w:rsidRPr="00C61E96" w:rsidRDefault="00955A5D" w:rsidP="003A700B">
      <w:pPr>
        <w:rPr>
          <w:lang w:val="en-GB" w:eastAsia="en-GB"/>
        </w:rPr>
      </w:pPr>
      <w:r w:rsidRPr="00225F0F">
        <w:rPr>
          <w:lang w:val="en-GB" w:eastAsia="en-GB"/>
        </w:rPr>
        <w:t xml:space="preserve">The PV </w:t>
      </w:r>
      <w:r w:rsidRPr="00C61E96">
        <w:rPr>
          <w:lang w:val="en-GB" w:eastAsia="en-GB"/>
        </w:rPr>
        <w:t xml:space="preserve">Unit provides the Data &amp; </w:t>
      </w:r>
      <w:r w:rsidR="001F63EE" w:rsidRPr="00C61E96">
        <w:rPr>
          <w:lang w:val="en-GB" w:eastAsia="en-GB"/>
        </w:rPr>
        <w:t xml:space="preserve">Safety </w:t>
      </w:r>
      <w:r w:rsidRPr="00C61E96">
        <w:rPr>
          <w:lang w:val="en-GB" w:eastAsia="en-GB"/>
        </w:rPr>
        <w:t>Monitoring Board (DSMB) with:</w:t>
      </w:r>
    </w:p>
    <w:p w14:paraId="1B4F4777" w14:textId="340270B4" w:rsidR="00955A5D" w:rsidRPr="00C61E96" w:rsidRDefault="00955A5D" w:rsidP="00955A5D">
      <w:pPr>
        <w:pStyle w:val="ListParagraph"/>
        <w:numPr>
          <w:ilvl w:val="0"/>
          <w:numId w:val="29"/>
        </w:numPr>
        <w:rPr>
          <w:lang w:val="en-GB" w:eastAsia="en-GB"/>
        </w:rPr>
      </w:pPr>
      <w:r w:rsidRPr="00C61E96">
        <w:rPr>
          <w:lang w:val="en-GB" w:eastAsia="en-GB"/>
        </w:rPr>
        <w:t xml:space="preserve">SUSAR reports in an expedited manner (section </w:t>
      </w:r>
      <w:r w:rsidRPr="00C61E96">
        <w:rPr>
          <w:lang w:val="en-GB" w:eastAsia="en-GB"/>
        </w:rPr>
        <w:fldChar w:fldCharType="begin"/>
      </w:r>
      <w:r w:rsidRPr="00C61E96">
        <w:rPr>
          <w:lang w:val="en-GB" w:eastAsia="en-GB"/>
        </w:rPr>
        <w:instrText xml:space="preserve"> REF _Ref471722043 \r \h </w:instrText>
      </w:r>
      <w:r w:rsidR="00C61E96">
        <w:rPr>
          <w:lang w:val="en-GB" w:eastAsia="en-GB"/>
        </w:rPr>
        <w:instrText xml:space="preserve"> \* MERGEFORMAT </w:instrText>
      </w:r>
      <w:r w:rsidRPr="00C61E96">
        <w:rPr>
          <w:lang w:val="en-GB" w:eastAsia="en-GB"/>
        </w:rPr>
      </w:r>
      <w:r w:rsidRPr="00C61E96">
        <w:rPr>
          <w:lang w:val="en-GB" w:eastAsia="en-GB"/>
        </w:rPr>
        <w:fldChar w:fldCharType="separate"/>
      </w:r>
      <w:r w:rsidR="003C19FA">
        <w:rPr>
          <w:lang w:val="en-GB" w:eastAsia="en-GB"/>
        </w:rPr>
        <w:t>4</w:t>
      </w:r>
      <w:r w:rsidRPr="00C61E96">
        <w:rPr>
          <w:lang w:val="en-GB" w:eastAsia="en-GB"/>
        </w:rPr>
        <w:fldChar w:fldCharType="end"/>
      </w:r>
      <w:r w:rsidRPr="00C61E96">
        <w:rPr>
          <w:lang w:val="en-GB" w:eastAsia="en-GB"/>
        </w:rPr>
        <w:t>),</w:t>
      </w:r>
    </w:p>
    <w:p w14:paraId="28DBE01C" w14:textId="77777777" w:rsidR="002B2737" w:rsidRPr="00C61E96" w:rsidRDefault="00955A5D" w:rsidP="0018063F">
      <w:pPr>
        <w:pStyle w:val="ListParagraph"/>
        <w:numPr>
          <w:ilvl w:val="0"/>
          <w:numId w:val="29"/>
        </w:numPr>
        <w:rPr>
          <w:lang w:val="en-GB" w:eastAsia="en-GB"/>
        </w:rPr>
      </w:pPr>
      <w:r w:rsidRPr="00C61E96">
        <w:rPr>
          <w:lang w:val="en-GB" w:eastAsia="en-GB"/>
        </w:rPr>
        <w:t>Individual case narratives for DSMB periodic reports</w:t>
      </w:r>
      <w:r w:rsidR="004E5900" w:rsidRPr="00C61E96">
        <w:rPr>
          <w:lang w:val="en-GB" w:eastAsia="en-GB"/>
        </w:rPr>
        <w:t xml:space="preserve"> (ref. DSMB charter)</w:t>
      </w:r>
      <w:r w:rsidRPr="00C61E96">
        <w:rPr>
          <w:lang w:val="en-GB" w:eastAsia="en-GB"/>
        </w:rPr>
        <w:t>,</w:t>
      </w:r>
    </w:p>
    <w:p w14:paraId="7F3AB594" w14:textId="29037FE3" w:rsidR="002B2737" w:rsidRPr="00C61E96" w:rsidRDefault="00DA68D5" w:rsidP="0018063F">
      <w:pPr>
        <w:pStyle w:val="ListParagraph"/>
        <w:numPr>
          <w:ilvl w:val="0"/>
          <w:numId w:val="29"/>
        </w:numPr>
        <w:rPr>
          <w:lang w:val="en-GB" w:eastAsia="en-GB"/>
        </w:rPr>
      </w:pPr>
      <w:r w:rsidRPr="00C61E96">
        <w:rPr>
          <w:lang w:val="en-GB" w:eastAsia="en-GB"/>
        </w:rPr>
        <w:t xml:space="preserve">Interim </w:t>
      </w:r>
      <w:r w:rsidR="00396885" w:rsidRPr="00C61E96">
        <w:rPr>
          <w:lang w:val="en-GB" w:eastAsia="en-GB"/>
        </w:rPr>
        <w:t>AEI line listings (ref. DSMB charter),</w:t>
      </w:r>
    </w:p>
    <w:p w14:paraId="1B4F4779" w14:textId="13AD294A" w:rsidR="00955A5D" w:rsidRPr="002B2737" w:rsidRDefault="00955A5D" w:rsidP="0018063F">
      <w:pPr>
        <w:pStyle w:val="ListParagraph"/>
        <w:numPr>
          <w:ilvl w:val="0"/>
          <w:numId w:val="29"/>
        </w:numPr>
        <w:rPr>
          <w:lang w:val="en-GB" w:eastAsia="en-GB"/>
        </w:rPr>
      </w:pPr>
      <w:r w:rsidRPr="00C61E96">
        <w:rPr>
          <w:lang w:val="en-GB" w:eastAsia="en-GB"/>
        </w:rPr>
        <w:t xml:space="preserve">Information on </w:t>
      </w:r>
      <w:r w:rsidR="00C511CA" w:rsidRPr="00C61E96">
        <w:rPr>
          <w:lang w:val="en-GB" w:eastAsia="en-GB"/>
        </w:rPr>
        <w:t xml:space="preserve">valid </w:t>
      </w:r>
      <w:r w:rsidRPr="00C61E96">
        <w:rPr>
          <w:lang w:val="en-GB" w:eastAsia="en-GB"/>
        </w:rPr>
        <w:t>safety signals</w:t>
      </w:r>
      <w:r w:rsidRPr="002B2737">
        <w:rPr>
          <w:lang w:val="en-GB" w:eastAsia="en-GB"/>
        </w:rPr>
        <w:t xml:space="preserve"> or recommendations from the Medical Review Board (section </w:t>
      </w:r>
      <w:r w:rsidRPr="002B2737">
        <w:rPr>
          <w:lang w:val="en-GB" w:eastAsia="en-GB"/>
        </w:rPr>
        <w:fldChar w:fldCharType="begin"/>
      </w:r>
      <w:r w:rsidRPr="002B2737">
        <w:rPr>
          <w:lang w:val="en-GB" w:eastAsia="en-GB"/>
        </w:rPr>
        <w:instrText xml:space="preserve"> REF _Ref471722137 \r \h </w:instrText>
      </w:r>
      <w:r w:rsidRPr="002B2737">
        <w:rPr>
          <w:lang w:val="en-GB" w:eastAsia="en-GB"/>
        </w:rPr>
      </w:r>
      <w:r w:rsidRPr="002B2737">
        <w:rPr>
          <w:lang w:val="en-GB" w:eastAsia="en-GB"/>
        </w:rPr>
        <w:fldChar w:fldCharType="separate"/>
      </w:r>
      <w:r w:rsidR="003C19FA">
        <w:rPr>
          <w:lang w:val="en-GB" w:eastAsia="en-GB"/>
        </w:rPr>
        <w:t>8</w:t>
      </w:r>
      <w:r w:rsidRPr="002B2737">
        <w:rPr>
          <w:lang w:val="en-GB" w:eastAsia="en-GB"/>
        </w:rPr>
        <w:fldChar w:fldCharType="end"/>
      </w:r>
      <w:r w:rsidRPr="002B2737">
        <w:rPr>
          <w:lang w:val="en-GB" w:eastAsia="en-GB"/>
        </w:rPr>
        <w:t>),</w:t>
      </w:r>
    </w:p>
    <w:p w14:paraId="1B4F477A" w14:textId="77777777" w:rsidR="001D4828" w:rsidRPr="00225F0F" w:rsidRDefault="001D4828" w:rsidP="00955A5D">
      <w:pPr>
        <w:pStyle w:val="ListParagraph"/>
        <w:numPr>
          <w:ilvl w:val="0"/>
          <w:numId w:val="29"/>
        </w:numPr>
        <w:rPr>
          <w:lang w:val="en-GB" w:eastAsia="en-GB"/>
        </w:rPr>
      </w:pPr>
      <w:r>
        <w:rPr>
          <w:lang w:val="en-GB" w:eastAsia="en-GB"/>
        </w:rPr>
        <w:t>Information on situations described as triggering a DSMB review in the DSMB charter,</w:t>
      </w:r>
    </w:p>
    <w:p w14:paraId="1B4F477B" w14:textId="77777777" w:rsidR="00955A5D" w:rsidRPr="00225F0F" w:rsidRDefault="00955A5D" w:rsidP="00955A5D">
      <w:pPr>
        <w:pStyle w:val="ListParagraph"/>
        <w:numPr>
          <w:ilvl w:val="0"/>
          <w:numId w:val="29"/>
        </w:numPr>
        <w:rPr>
          <w:lang w:val="en-GB" w:eastAsia="en-GB"/>
        </w:rPr>
      </w:pPr>
      <w:r w:rsidRPr="00225F0F">
        <w:rPr>
          <w:lang w:val="en-GB" w:eastAsia="en-GB"/>
        </w:rPr>
        <w:t xml:space="preserve">Any </w:t>
      </w:r>
      <w:r w:rsidRPr="00225F0F">
        <w:rPr>
          <w:i/>
          <w:lang w:val="en-GB" w:eastAsia="en-GB"/>
        </w:rPr>
        <w:t>ad hoc</w:t>
      </w:r>
      <w:r w:rsidRPr="00225F0F">
        <w:rPr>
          <w:lang w:val="en-GB" w:eastAsia="en-GB"/>
        </w:rPr>
        <w:t xml:space="preserve"> listing, analysis or information in collaboration with the Central Data Manager and the </w:t>
      </w:r>
      <w:r w:rsidR="00C511CA">
        <w:rPr>
          <w:lang w:val="en-GB" w:eastAsia="en-GB"/>
        </w:rPr>
        <w:t xml:space="preserve">rest of the </w:t>
      </w:r>
      <w:r w:rsidRPr="00225F0F">
        <w:rPr>
          <w:lang w:val="en-GB" w:eastAsia="en-GB"/>
        </w:rPr>
        <w:t>Central Coordination Team.</w:t>
      </w:r>
    </w:p>
    <w:p w14:paraId="1B4F477C" w14:textId="77777777" w:rsidR="00704676" w:rsidRPr="00225F0F" w:rsidRDefault="00704676" w:rsidP="00704676">
      <w:pPr>
        <w:rPr>
          <w:lang w:val="en-GB" w:eastAsia="en-GB"/>
        </w:rPr>
      </w:pPr>
      <w:r w:rsidRPr="00225F0F">
        <w:rPr>
          <w:lang w:val="en-GB" w:eastAsia="en-GB"/>
        </w:rPr>
        <w:t>Where</w:t>
      </w:r>
      <w:r w:rsidR="000F7CBB" w:rsidRPr="00225F0F">
        <w:rPr>
          <w:lang w:val="en-GB" w:eastAsia="en-GB"/>
        </w:rPr>
        <w:t xml:space="preserve"> applicable, the PV U</w:t>
      </w:r>
      <w:r w:rsidRPr="00225F0F">
        <w:rPr>
          <w:lang w:val="en-GB" w:eastAsia="en-GB"/>
        </w:rPr>
        <w:t>nit transfers the DSMB conclusion reports in an acceptable format and within a timeframe allowing for translation and reporting to local EC and NRA by the Site Principal Investigator</w:t>
      </w:r>
      <w:r w:rsidR="004E5900" w:rsidRPr="00225F0F">
        <w:rPr>
          <w:lang w:val="en-GB" w:eastAsia="en-GB"/>
        </w:rPr>
        <w:t xml:space="preserve">. </w:t>
      </w:r>
      <w:r w:rsidRPr="00225F0F">
        <w:rPr>
          <w:lang w:val="en-GB" w:eastAsia="en-GB"/>
        </w:rPr>
        <w:t xml:space="preserve">The PV Unit with the support of the </w:t>
      </w:r>
      <w:r w:rsidR="001F63EE" w:rsidRPr="00225F0F">
        <w:rPr>
          <w:lang w:val="en-GB" w:eastAsia="en-GB"/>
        </w:rPr>
        <w:t xml:space="preserve">Site </w:t>
      </w:r>
      <w:r w:rsidRPr="00225F0F">
        <w:rPr>
          <w:lang w:val="en-GB" w:eastAsia="en-GB"/>
        </w:rPr>
        <w:t>Study Coordinator tracks and documents receipt.</w:t>
      </w:r>
    </w:p>
    <w:p w14:paraId="1B4F477D" w14:textId="77777777" w:rsidR="00704676" w:rsidRPr="00225F0F" w:rsidRDefault="00704676" w:rsidP="00704676">
      <w:pPr>
        <w:pStyle w:val="Heading2"/>
        <w:rPr>
          <w:lang w:val="en-GB" w:eastAsia="en-GB"/>
        </w:rPr>
      </w:pPr>
      <w:bookmarkStart w:id="41" w:name="_Toc40272691"/>
      <w:r w:rsidRPr="00225F0F">
        <w:rPr>
          <w:lang w:val="en-GB" w:eastAsia="en-GB"/>
        </w:rPr>
        <w:t xml:space="preserve">Answers to queries from National Regulatory Authorities or local Ethics </w:t>
      </w:r>
      <w:r w:rsidR="008C0220" w:rsidRPr="00225F0F">
        <w:rPr>
          <w:lang w:val="en-GB" w:eastAsia="en-GB"/>
        </w:rPr>
        <w:t>Committees</w:t>
      </w:r>
      <w:bookmarkEnd w:id="41"/>
    </w:p>
    <w:p w14:paraId="1B4F477E" w14:textId="77777777" w:rsidR="008C0220" w:rsidRPr="00225F0F" w:rsidRDefault="00526ADF" w:rsidP="008C0220">
      <w:pPr>
        <w:rPr>
          <w:lang w:val="en-GB" w:eastAsia="en-GB"/>
        </w:rPr>
      </w:pPr>
      <w:r>
        <w:rPr>
          <w:lang w:val="en-GB" w:eastAsia="en-GB"/>
        </w:rPr>
        <w:t>R</w:t>
      </w:r>
      <w:r w:rsidR="008C0220" w:rsidRPr="00225F0F">
        <w:rPr>
          <w:lang w:val="en-GB" w:eastAsia="en-GB"/>
        </w:rPr>
        <w:t xml:space="preserve">equests for safety information from EC or NRA directly received </w:t>
      </w:r>
      <w:r>
        <w:rPr>
          <w:lang w:val="en-GB" w:eastAsia="en-GB"/>
        </w:rPr>
        <w:t>by</w:t>
      </w:r>
      <w:r w:rsidRPr="00225F0F">
        <w:rPr>
          <w:lang w:val="en-GB" w:eastAsia="en-GB"/>
        </w:rPr>
        <w:t xml:space="preserve"> </w:t>
      </w:r>
      <w:r w:rsidR="00C511CA">
        <w:rPr>
          <w:lang w:val="en-GB" w:eastAsia="en-GB"/>
        </w:rPr>
        <w:t>the S</w:t>
      </w:r>
      <w:r w:rsidR="008C0220" w:rsidRPr="00225F0F">
        <w:rPr>
          <w:lang w:val="en-GB" w:eastAsia="en-GB"/>
        </w:rPr>
        <w:t xml:space="preserve">ite, </w:t>
      </w:r>
      <w:r>
        <w:rPr>
          <w:lang w:val="en-GB" w:eastAsia="en-GB"/>
        </w:rPr>
        <w:t xml:space="preserve">should be transmitted by </w:t>
      </w:r>
      <w:r w:rsidR="008C0220" w:rsidRPr="00225F0F">
        <w:rPr>
          <w:lang w:val="en-GB" w:eastAsia="en-GB"/>
        </w:rPr>
        <w:t xml:space="preserve">the Site Principal Investigator </w:t>
      </w:r>
      <w:r w:rsidRPr="00225F0F">
        <w:rPr>
          <w:lang w:val="en-GB" w:eastAsia="en-GB"/>
        </w:rPr>
        <w:t>to the PV Unit and the Central Study/Clinic</w:t>
      </w:r>
      <w:r w:rsidR="00144DA7">
        <w:rPr>
          <w:lang w:val="en-GB" w:eastAsia="en-GB"/>
        </w:rPr>
        <w:t>al</w:t>
      </w:r>
      <w:r w:rsidRPr="00225F0F">
        <w:rPr>
          <w:lang w:val="en-GB" w:eastAsia="en-GB"/>
        </w:rPr>
        <w:t xml:space="preserve"> Principal Investigators</w:t>
      </w:r>
      <w:r w:rsidRPr="00225F0F" w:rsidDel="00526ADF">
        <w:rPr>
          <w:lang w:val="en-GB" w:eastAsia="en-GB"/>
        </w:rPr>
        <w:t xml:space="preserve"> </w:t>
      </w:r>
      <w:r w:rsidR="008C0220" w:rsidRPr="00225F0F">
        <w:rPr>
          <w:lang w:val="en-GB" w:eastAsia="en-GB"/>
        </w:rPr>
        <w:t xml:space="preserve">within </w:t>
      </w:r>
      <w:r w:rsidR="008C0220" w:rsidRPr="00225F0F">
        <w:rPr>
          <w:lang w:val="en-GB" w:eastAsia="en-GB"/>
        </w:rPr>
        <w:lastRenderedPageBreak/>
        <w:t>24 hours of receipt.</w:t>
      </w:r>
      <w:r>
        <w:rPr>
          <w:lang w:val="en-GB" w:eastAsia="en-GB"/>
        </w:rPr>
        <w:t xml:space="preserve"> </w:t>
      </w:r>
      <w:r w:rsidR="008C0220" w:rsidRPr="00225F0F">
        <w:rPr>
          <w:lang w:val="en-GB" w:eastAsia="en-GB"/>
        </w:rPr>
        <w:t>The PV Unit collaborates on the preparation and submission of responses (ref. PV-001-CT).</w:t>
      </w:r>
    </w:p>
    <w:p w14:paraId="1B4F477F" w14:textId="77777777" w:rsidR="006B49A2" w:rsidRPr="00225F0F" w:rsidRDefault="00955A5D" w:rsidP="006B49A2">
      <w:pPr>
        <w:pStyle w:val="Heading1"/>
        <w:rPr>
          <w:lang w:val="en-GB" w:eastAsia="en-GB"/>
        </w:rPr>
      </w:pPr>
      <w:bookmarkStart w:id="42" w:name="_Toc40272692"/>
      <w:r w:rsidRPr="00225F0F">
        <w:rPr>
          <w:lang w:val="en-GB" w:eastAsia="en-GB"/>
        </w:rPr>
        <w:t>Databases</w:t>
      </w:r>
      <w:r w:rsidR="006B49A2" w:rsidRPr="00225F0F">
        <w:rPr>
          <w:lang w:val="en-GB" w:eastAsia="en-GB"/>
        </w:rPr>
        <w:t xml:space="preserve"> reconciliation</w:t>
      </w:r>
      <w:bookmarkEnd w:id="37"/>
      <w:bookmarkEnd w:id="42"/>
    </w:p>
    <w:p w14:paraId="1B4F4780" w14:textId="7E38B158" w:rsidR="006B49A2" w:rsidRPr="00225F0F" w:rsidRDefault="006B49A2" w:rsidP="006B49A2">
      <w:pPr>
        <w:rPr>
          <w:lang w:val="en-GB"/>
        </w:rPr>
      </w:pPr>
      <w:r w:rsidRPr="00225F0F">
        <w:rPr>
          <w:lang w:val="en-GB"/>
        </w:rPr>
        <w:t xml:space="preserve">Every 3 months, as per the </w:t>
      </w:r>
      <w:r w:rsidR="003F5977" w:rsidRPr="00C61E96">
        <w:rPr>
          <w:lang w:val="en-GB"/>
        </w:rPr>
        <w:t>endTB</w:t>
      </w:r>
      <w:r w:rsidR="00C30D46" w:rsidRPr="00C61E96">
        <w:rPr>
          <w:lang w:val="en-GB"/>
        </w:rPr>
        <w:t xml:space="preserve"> and endTB-Q</w:t>
      </w:r>
      <w:r w:rsidR="003F5977" w:rsidRPr="00C61E96">
        <w:rPr>
          <w:lang w:val="en-GB"/>
        </w:rPr>
        <w:t xml:space="preserve"> Clinical Trial</w:t>
      </w:r>
      <w:r w:rsidR="00C30D46" w:rsidRPr="00C61E96">
        <w:rPr>
          <w:lang w:val="en-GB"/>
        </w:rPr>
        <w:t>s</w:t>
      </w:r>
      <w:r w:rsidR="003F5977" w:rsidRPr="00C61E96">
        <w:rPr>
          <w:lang w:val="en-GB"/>
        </w:rPr>
        <w:t xml:space="preserve"> </w:t>
      </w:r>
      <w:r w:rsidRPr="00C61E96">
        <w:rPr>
          <w:lang w:val="en-GB"/>
        </w:rPr>
        <w:t xml:space="preserve">Reconciliation Plan schedule, safety data from the Pharmacovigilance </w:t>
      </w:r>
      <w:r w:rsidR="005C0D22" w:rsidRPr="00C61E96">
        <w:rPr>
          <w:lang w:val="en-GB"/>
        </w:rPr>
        <w:t xml:space="preserve">database </w:t>
      </w:r>
      <w:r w:rsidRPr="00C61E96">
        <w:rPr>
          <w:lang w:val="en-GB"/>
        </w:rPr>
        <w:t xml:space="preserve">and </w:t>
      </w:r>
      <w:r w:rsidR="00B66B12" w:rsidRPr="00C61E96">
        <w:rPr>
          <w:lang w:val="en-GB"/>
        </w:rPr>
        <w:t>the endTB</w:t>
      </w:r>
      <w:r w:rsidR="00FB5B97" w:rsidRPr="00C61E96">
        <w:rPr>
          <w:lang w:val="en-GB"/>
        </w:rPr>
        <w:t xml:space="preserve"> and endTB-Q</w:t>
      </w:r>
      <w:r w:rsidR="00B66B12" w:rsidRPr="00C61E96">
        <w:rPr>
          <w:lang w:val="en-GB"/>
        </w:rPr>
        <w:t xml:space="preserve"> </w:t>
      </w:r>
      <w:r w:rsidRPr="00C61E96">
        <w:rPr>
          <w:lang w:val="en-GB"/>
        </w:rPr>
        <w:t xml:space="preserve">Clinical </w:t>
      </w:r>
      <w:r w:rsidR="00B612D5" w:rsidRPr="00C61E96">
        <w:rPr>
          <w:lang w:val="en-GB"/>
        </w:rPr>
        <w:t>trial</w:t>
      </w:r>
      <w:r w:rsidR="00FB5B97" w:rsidRPr="00C61E96">
        <w:rPr>
          <w:lang w:val="en-GB"/>
        </w:rPr>
        <w:t>s</w:t>
      </w:r>
      <w:r w:rsidR="00B612D5" w:rsidRPr="00C61E96">
        <w:rPr>
          <w:lang w:val="en-GB"/>
        </w:rPr>
        <w:t xml:space="preserve"> </w:t>
      </w:r>
      <w:r w:rsidRPr="00C61E96">
        <w:rPr>
          <w:lang w:val="en-GB"/>
        </w:rPr>
        <w:t>database</w:t>
      </w:r>
      <w:r w:rsidR="00DA68D5" w:rsidRPr="00C61E96">
        <w:rPr>
          <w:lang w:val="en-GB"/>
        </w:rPr>
        <w:t>s (Open Clinica)</w:t>
      </w:r>
      <w:r w:rsidRPr="00C61E96">
        <w:rPr>
          <w:lang w:val="en-GB"/>
        </w:rPr>
        <w:t xml:space="preserve"> are reconciled to ensure coherence and completeness of the information. Detailed process </w:t>
      </w:r>
      <w:r w:rsidR="00216C02" w:rsidRPr="00C61E96">
        <w:rPr>
          <w:lang w:val="en-GB"/>
        </w:rPr>
        <w:t xml:space="preserve">is explained </w:t>
      </w:r>
      <w:r w:rsidRPr="00C61E96">
        <w:rPr>
          <w:lang w:val="en-GB"/>
        </w:rPr>
        <w:t xml:space="preserve">in </w:t>
      </w:r>
      <w:r w:rsidR="00955A5D" w:rsidRPr="00C61E96">
        <w:rPr>
          <w:lang w:val="en-GB"/>
        </w:rPr>
        <w:t xml:space="preserve">the </w:t>
      </w:r>
      <w:r w:rsidRPr="00C61E96">
        <w:rPr>
          <w:lang w:val="en-GB"/>
        </w:rPr>
        <w:t>Standard Operation Procedure PV-002-CT.</w:t>
      </w:r>
    </w:p>
    <w:p w14:paraId="1B4F4781" w14:textId="77777777" w:rsidR="00D16B93" w:rsidRPr="00225F0F" w:rsidRDefault="003561B3" w:rsidP="00D16B93">
      <w:pPr>
        <w:pStyle w:val="Heading1"/>
        <w:rPr>
          <w:lang w:val="en-GB"/>
        </w:rPr>
      </w:pPr>
      <w:bookmarkStart w:id="43" w:name="_Ref471722137"/>
      <w:bookmarkStart w:id="44" w:name="_Ref471722382"/>
      <w:bookmarkStart w:id="45" w:name="_Ref471723771"/>
      <w:bookmarkStart w:id="46" w:name="_Toc40272693"/>
      <w:r w:rsidRPr="00225F0F">
        <w:rPr>
          <w:lang w:val="en-GB"/>
        </w:rPr>
        <w:t>S</w:t>
      </w:r>
      <w:r w:rsidR="00955A5D" w:rsidRPr="00225F0F">
        <w:rPr>
          <w:lang w:val="en-GB"/>
        </w:rPr>
        <w:t>afety s</w:t>
      </w:r>
      <w:r w:rsidRPr="00225F0F">
        <w:rPr>
          <w:lang w:val="en-GB"/>
        </w:rPr>
        <w:t>ignal</w:t>
      </w:r>
      <w:bookmarkEnd w:id="43"/>
      <w:bookmarkEnd w:id="44"/>
      <w:r w:rsidR="00B122CF" w:rsidRPr="00225F0F">
        <w:rPr>
          <w:lang w:val="en-GB"/>
        </w:rPr>
        <w:t xml:space="preserve"> management</w:t>
      </w:r>
      <w:r w:rsidR="008C0220" w:rsidRPr="00225F0F">
        <w:rPr>
          <w:lang w:val="en-GB"/>
        </w:rPr>
        <w:t xml:space="preserve"> and urgent safety measures</w:t>
      </w:r>
      <w:bookmarkEnd w:id="45"/>
      <w:bookmarkEnd w:id="46"/>
    </w:p>
    <w:p w14:paraId="1B4F4782" w14:textId="77777777" w:rsidR="006143C0" w:rsidRPr="00225F0F" w:rsidRDefault="006143C0" w:rsidP="006143C0">
      <w:pPr>
        <w:rPr>
          <w:lang w:val="en-GB"/>
        </w:rPr>
      </w:pPr>
      <w:r w:rsidRPr="00225F0F">
        <w:rPr>
          <w:lang w:val="en-GB"/>
        </w:rPr>
        <w:t xml:space="preserve">Safety signal detection within the pharmacovigilance system </w:t>
      </w:r>
      <w:r w:rsidR="00DF3DB9" w:rsidRPr="005C0D22">
        <w:rPr>
          <w:lang w:val="en-GB"/>
        </w:rPr>
        <w:t xml:space="preserve">for DR TB projects/clinical trials </w:t>
      </w:r>
      <w:r w:rsidRPr="00225F0F">
        <w:rPr>
          <w:lang w:val="en-GB"/>
        </w:rPr>
        <w:t xml:space="preserve">is an ongoing process occurring at each step of safety data management and during periodic safety analyses. </w:t>
      </w:r>
    </w:p>
    <w:p w14:paraId="1B4F4783" w14:textId="77777777" w:rsidR="006143C0" w:rsidRPr="00225F0F" w:rsidRDefault="006143C0" w:rsidP="006143C0">
      <w:pPr>
        <w:rPr>
          <w:lang w:val="en-GB"/>
        </w:rPr>
      </w:pPr>
      <w:r w:rsidRPr="00225F0F">
        <w:rPr>
          <w:lang w:val="en-GB"/>
        </w:rPr>
        <w:t>A safety signal is any information arising from one or multiple sources, which suggest</w:t>
      </w:r>
      <w:r w:rsidR="00526ADF">
        <w:rPr>
          <w:lang w:val="en-GB"/>
        </w:rPr>
        <w:t>s</w:t>
      </w:r>
      <w:r w:rsidRPr="00225F0F">
        <w:rPr>
          <w:lang w:val="en-GB"/>
        </w:rPr>
        <w:t xml:space="preserve"> a new potentially causal association, or a new aspect of a known association between an exposure and an event or set of related events, either adverse or beneficial</w:t>
      </w:r>
      <w:r w:rsidR="00144DA7">
        <w:rPr>
          <w:lang w:val="en-GB"/>
        </w:rPr>
        <w:t xml:space="preserve"> (rarely)</w:t>
      </w:r>
      <w:r w:rsidRPr="00225F0F">
        <w:rPr>
          <w:lang w:val="en-GB"/>
        </w:rPr>
        <w:t xml:space="preserve">, that is judged to be of sufficient likelihood to justify </w:t>
      </w:r>
      <w:r w:rsidR="00526ADF">
        <w:rPr>
          <w:lang w:val="en-GB"/>
        </w:rPr>
        <w:t>verification</w:t>
      </w:r>
      <w:r w:rsidRPr="00225F0F">
        <w:rPr>
          <w:lang w:val="en-GB"/>
        </w:rPr>
        <w:t>.</w:t>
      </w:r>
    </w:p>
    <w:p w14:paraId="1B4F4784" w14:textId="77777777" w:rsidR="006143C0" w:rsidRPr="00225F0F" w:rsidRDefault="006143C0" w:rsidP="002E39BC">
      <w:pPr>
        <w:rPr>
          <w:lang w:val="en-GB"/>
        </w:rPr>
      </w:pPr>
      <w:r w:rsidRPr="00225F0F">
        <w:rPr>
          <w:lang w:val="en-GB"/>
        </w:rPr>
        <w:t>The Medical Review Board</w:t>
      </w:r>
      <w:r w:rsidR="00B122CF" w:rsidRPr="00225F0F">
        <w:rPr>
          <w:lang w:val="en-GB"/>
        </w:rPr>
        <w:t xml:space="preserve"> (MRB)</w:t>
      </w:r>
      <w:r w:rsidRPr="00225F0F">
        <w:rPr>
          <w:lang w:val="en-GB"/>
        </w:rPr>
        <w:t xml:space="preserve"> is responsible </w:t>
      </w:r>
      <w:r w:rsidR="00526ADF">
        <w:rPr>
          <w:lang w:val="en-GB"/>
        </w:rPr>
        <w:t>for</w:t>
      </w:r>
      <w:r w:rsidR="00526ADF" w:rsidRPr="00225F0F">
        <w:rPr>
          <w:lang w:val="en-GB"/>
        </w:rPr>
        <w:t xml:space="preserve"> </w:t>
      </w:r>
      <w:r w:rsidRPr="00225F0F">
        <w:rPr>
          <w:lang w:val="en-GB"/>
        </w:rPr>
        <w:t>evaluat</w:t>
      </w:r>
      <w:r w:rsidR="00526ADF">
        <w:rPr>
          <w:lang w:val="en-GB"/>
        </w:rPr>
        <w:t>ing</w:t>
      </w:r>
      <w:r w:rsidRPr="00225F0F">
        <w:rPr>
          <w:lang w:val="en-GB"/>
        </w:rPr>
        <w:t xml:space="preserve"> all potential safety signals brought to its attention or detected internally during SUSAR or periodic/cumulative analysis review. </w:t>
      </w:r>
    </w:p>
    <w:p w14:paraId="1B4F4785" w14:textId="77777777" w:rsidR="00B122CF" w:rsidRPr="00225F0F" w:rsidRDefault="006143C0" w:rsidP="006143C0">
      <w:pPr>
        <w:rPr>
          <w:lang w:val="en-GB"/>
        </w:rPr>
      </w:pPr>
      <w:r w:rsidRPr="00225F0F">
        <w:rPr>
          <w:lang w:val="en-GB"/>
        </w:rPr>
        <w:t xml:space="preserve">The MRB is responsible for </w:t>
      </w:r>
      <w:r w:rsidR="005462A8" w:rsidRPr="00225F0F">
        <w:rPr>
          <w:lang w:val="en-GB"/>
        </w:rPr>
        <w:t xml:space="preserve">the preparation of </w:t>
      </w:r>
      <w:r w:rsidRPr="00225F0F">
        <w:rPr>
          <w:lang w:val="en-GB"/>
        </w:rPr>
        <w:t xml:space="preserve">communication to </w:t>
      </w:r>
      <w:r w:rsidR="00AA0E41" w:rsidRPr="00225F0F">
        <w:rPr>
          <w:lang w:val="en-GB"/>
        </w:rPr>
        <w:t xml:space="preserve">all concerned </w:t>
      </w:r>
      <w:r w:rsidRPr="00225F0F">
        <w:rPr>
          <w:lang w:val="en-GB"/>
        </w:rPr>
        <w:t xml:space="preserve">investigators/clinicians, </w:t>
      </w:r>
      <w:r w:rsidR="008830DF" w:rsidRPr="00225F0F">
        <w:rPr>
          <w:lang w:val="en-GB"/>
        </w:rPr>
        <w:t>ECs (central and local)</w:t>
      </w:r>
      <w:r w:rsidRPr="00225F0F">
        <w:rPr>
          <w:lang w:val="en-GB"/>
        </w:rPr>
        <w:t xml:space="preserve">, </w:t>
      </w:r>
      <w:r w:rsidR="008830DF" w:rsidRPr="00225F0F">
        <w:rPr>
          <w:lang w:val="en-GB"/>
        </w:rPr>
        <w:t>NRAs</w:t>
      </w:r>
      <w:r w:rsidRPr="00225F0F">
        <w:rPr>
          <w:lang w:val="en-GB"/>
        </w:rPr>
        <w:t xml:space="preserve"> (or Ministries of Health), </w:t>
      </w:r>
      <w:r w:rsidR="008830DF" w:rsidRPr="00225F0F">
        <w:rPr>
          <w:lang w:val="en-GB"/>
        </w:rPr>
        <w:t>DSMB</w:t>
      </w:r>
      <w:r w:rsidRPr="00225F0F">
        <w:rPr>
          <w:lang w:val="en-GB"/>
        </w:rPr>
        <w:t xml:space="preserve">, manufacturers, partners, and for </w:t>
      </w:r>
      <w:r w:rsidR="005462A8" w:rsidRPr="00225F0F">
        <w:rPr>
          <w:lang w:val="en-GB"/>
        </w:rPr>
        <w:t xml:space="preserve">ensuring </w:t>
      </w:r>
      <w:r w:rsidRPr="00225F0F">
        <w:rPr>
          <w:lang w:val="en-GB"/>
        </w:rPr>
        <w:t>the implementation and follow-up of any risk minimization measu</w:t>
      </w:r>
      <w:r w:rsidR="00B122CF" w:rsidRPr="00225F0F">
        <w:rPr>
          <w:lang w:val="en-GB"/>
        </w:rPr>
        <w:t>re.</w:t>
      </w:r>
      <w:r w:rsidR="005462A8" w:rsidRPr="00225F0F">
        <w:rPr>
          <w:lang w:val="en-GB"/>
        </w:rPr>
        <w:t xml:space="preserve"> </w:t>
      </w:r>
      <w:r w:rsidRPr="00225F0F">
        <w:rPr>
          <w:lang w:val="en-GB"/>
        </w:rPr>
        <w:t xml:space="preserve">Of note, activities </w:t>
      </w:r>
      <w:r w:rsidR="00526ADF">
        <w:rPr>
          <w:lang w:val="en-GB"/>
        </w:rPr>
        <w:t>may</w:t>
      </w:r>
      <w:r w:rsidR="00526ADF" w:rsidRPr="00225F0F">
        <w:rPr>
          <w:lang w:val="en-GB"/>
        </w:rPr>
        <w:t xml:space="preserve"> </w:t>
      </w:r>
      <w:r w:rsidR="005462A8" w:rsidRPr="00225F0F">
        <w:rPr>
          <w:lang w:val="en-GB"/>
        </w:rPr>
        <w:t xml:space="preserve">be delegated as appropriate, </w:t>
      </w:r>
      <w:r w:rsidRPr="00225F0F">
        <w:rPr>
          <w:lang w:val="en-GB"/>
        </w:rPr>
        <w:t xml:space="preserve">e.g. </w:t>
      </w:r>
      <w:r w:rsidR="005462A8" w:rsidRPr="00225F0F">
        <w:rPr>
          <w:lang w:val="en-GB"/>
        </w:rPr>
        <w:t xml:space="preserve">implementation of risk minimization activity delegated to the </w:t>
      </w:r>
      <w:r w:rsidR="00B40BA8" w:rsidRPr="002E39BC">
        <w:rPr>
          <w:lang w:val="en-GB"/>
        </w:rPr>
        <w:t xml:space="preserve">trial </w:t>
      </w:r>
      <w:r w:rsidR="005462A8" w:rsidRPr="002E39BC">
        <w:rPr>
          <w:lang w:val="en-GB"/>
        </w:rPr>
        <w:t>Central Coordination Team</w:t>
      </w:r>
      <w:r w:rsidR="002E39BC">
        <w:rPr>
          <w:lang w:val="en-GB"/>
        </w:rPr>
        <w:t>.</w:t>
      </w:r>
      <w:r w:rsidR="002E39BC" w:rsidRPr="00225F0F">
        <w:rPr>
          <w:lang w:val="en-GB"/>
        </w:rPr>
        <w:t xml:space="preserve"> </w:t>
      </w:r>
    </w:p>
    <w:p w14:paraId="1B4F4786" w14:textId="77777777" w:rsidR="00B122CF" w:rsidRPr="00225F0F" w:rsidRDefault="002523E1" w:rsidP="00B122CF">
      <w:pPr>
        <w:rPr>
          <w:lang w:val="en-GB"/>
        </w:rPr>
      </w:pPr>
      <w:r w:rsidRPr="00225F0F">
        <w:rPr>
          <w:lang w:val="en-GB"/>
        </w:rPr>
        <w:t xml:space="preserve">Throughout the process, </w:t>
      </w:r>
      <w:r w:rsidRPr="005C0D22">
        <w:rPr>
          <w:lang w:val="en-GB"/>
        </w:rPr>
        <w:t xml:space="preserve">if a safety signal </w:t>
      </w:r>
      <w:r w:rsidR="00C63A20" w:rsidRPr="005C0D22">
        <w:rPr>
          <w:lang w:val="en-GB"/>
        </w:rPr>
        <w:t>is</w:t>
      </w:r>
      <w:r w:rsidRPr="005C0D22">
        <w:rPr>
          <w:lang w:val="en-GB"/>
        </w:rPr>
        <w:t xml:space="preserve"> considered a </w:t>
      </w:r>
      <w:r w:rsidR="00C63A20" w:rsidRPr="005C0D22">
        <w:rPr>
          <w:lang w:val="en-GB"/>
        </w:rPr>
        <w:t xml:space="preserve">potential </w:t>
      </w:r>
      <w:r w:rsidRPr="005C0D22">
        <w:rPr>
          <w:lang w:val="en-GB"/>
        </w:rPr>
        <w:t>Significant Safety Issue</w:t>
      </w:r>
      <w:r w:rsidR="00B40BA8">
        <w:rPr>
          <w:lang w:val="en-GB"/>
        </w:rPr>
        <w:t xml:space="preserve"> (see definition below</w:t>
      </w:r>
      <w:r w:rsidR="00091912">
        <w:rPr>
          <w:lang w:val="en-GB"/>
        </w:rPr>
        <w:t>)</w:t>
      </w:r>
      <w:r w:rsidRPr="005C0D22">
        <w:rPr>
          <w:lang w:val="en-GB"/>
        </w:rPr>
        <w:t>,</w:t>
      </w:r>
      <w:r w:rsidRPr="00225F0F">
        <w:rPr>
          <w:lang w:val="en-GB"/>
        </w:rPr>
        <w:t xml:space="preserve"> the PV officers </w:t>
      </w:r>
      <w:r w:rsidR="00526ADF">
        <w:rPr>
          <w:lang w:val="en-GB"/>
        </w:rPr>
        <w:t>will</w:t>
      </w:r>
      <w:r w:rsidRPr="00225F0F">
        <w:rPr>
          <w:lang w:val="en-GB"/>
        </w:rPr>
        <w:t xml:space="preserve"> convene an immediate ad-hoc MRB meeting (within 3 calendar days of signal detection). Signal validation and recommendation on signal management and </w:t>
      </w:r>
      <w:r w:rsidR="00B122CF" w:rsidRPr="00225F0F">
        <w:rPr>
          <w:lang w:val="en-GB"/>
        </w:rPr>
        <w:t xml:space="preserve">risk minimization actions relating to any valid Significant Safety Issue altering treatment risk/benefit </w:t>
      </w:r>
      <w:r w:rsidRPr="00225F0F">
        <w:rPr>
          <w:lang w:val="en-GB"/>
        </w:rPr>
        <w:t xml:space="preserve">should occur </w:t>
      </w:r>
      <w:r w:rsidR="00B122CF" w:rsidRPr="00225F0F">
        <w:rPr>
          <w:lang w:val="en-GB"/>
        </w:rPr>
        <w:t>within 3 calendar days of signal detection.</w:t>
      </w:r>
    </w:p>
    <w:p w14:paraId="1B4F4787" w14:textId="77777777" w:rsidR="00B122CF" w:rsidRPr="00225F0F" w:rsidRDefault="00B122CF" w:rsidP="00B122CF">
      <w:pPr>
        <w:rPr>
          <w:lang w:val="en-GB"/>
        </w:rPr>
      </w:pPr>
      <w:r w:rsidRPr="00225F0F">
        <w:rPr>
          <w:lang w:val="en-GB"/>
        </w:rPr>
        <w:t>Any urgent action deemed necessary to protect patients against a Significant Safety Issue</w:t>
      </w:r>
      <w:r w:rsidR="005462A8" w:rsidRPr="00225F0F">
        <w:rPr>
          <w:lang w:val="en-GB"/>
        </w:rPr>
        <w:t xml:space="preserve"> [Urgent Safety measures]</w:t>
      </w:r>
      <w:r w:rsidRPr="00225F0F">
        <w:rPr>
          <w:lang w:val="en-GB"/>
        </w:rPr>
        <w:t xml:space="preserve"> should be communicated immediately (within 24 hours of identification of the need for urgent communication, i.e. from signal validation) to the sites/clinics</w:t>
      </w:r>
      <w:r w:rsidR="005C0D22">
        <w:rPr>
          <w:lang w:val="en-GB"/>
        </w:rPr>
        <w:t xml:space="preserve"> </w:t>
      </w:r>
      <w:r w:rsidR="002867DB">
        <w:rPr>
          <w:lang w:val="en-GB"/>
        </w:rPr>
        <w:t>(</w:t>
      </w:r>
      <w:r w:rsidR="005C0D22" w:rsidRPr="00091912">
        <w:rPr>
          <w:lang w:val="en-GB"/>
        </w:rPr>
        <w:t xml:space="preserve">Site PIs, </w:t>
      </w:r>
      <w:r w:rsidR="00091912" w:rsidRPr="00091912">
        <w:rPr>
          <w:lang w:val="en-GB"/>
        </w:rPr>
        <w:t xml:space="preserve">Study </w:t>
      </w:r>
      <w:r w:rsidR="005C0D22" w:rsidRPr="00091912">
        <w:rPr>
          <w:lang w:val="en-GB"/>
        </w:rPr>
        <w:t>Site</w:t>
      </w:r>
      <w:r w:rsidR="00091912" w:rsidRPr="00091912">
        <w:rPr>
          <w:lang w:val="en-GB"/>
        </w:rPr>
        <w:t xml:space="preserve"> Coordinators – </w:t>
      </w:r>
      <w:r w:rsidR="00091912" w:rsidRPr="00091912">
        <w:rPr>
          <w:i/>
          <w:lang w:val="en-GB"/>
        </w:rPr>
        <w:t>in turn responsible to communicate further as appropriate</w:t>
      </w:r>
      <w:r w:rsidR="002867DB" w:rsidRPr="00091912">
        <w:rPr>
          <w:lang w:val="en-GB"/>
        </w:rPr>
        <w:t>)</w:t>
      </w:r>
      <w:r w:rsidRPr="00091912">
        <w:rPr>
          <w:lang w:val="en-GB"/>
        </w:rPr>
        <w:t>,</w:t>
      </w:r>
      <w:r w:rsidRPr="00225F0F">
        <w:rPr>
          <w:lang w:val="en-GB"/>
        </w:rPr>
        <w:t xml:space="preserve"> and additionally be notified as soon as possible and in </w:t>
      </w:r>
      <w:r w:rsidR="00526ADF" w:rsidRPr="00225F0F">
        <w:rPr>
          <w:lang w:val="en-GB"/>
        </w:rPr>
        <w:t>writ</w:t>
      </w:r>
      <w:r w:rsidR="00526ADF">
        <w:rPr>
          <w:lang w:val="en-GB"/>
        </w:rPr>
        <w:t>ing</w:t>
      </w:r>
      <w:r w:rsidR="00526ADF" w:rsidRPr="00225F0F">
        <w:rPr>
          <w:lang w:val="en-GB"/>
        </w:rPr>
        <w:t xml:space="preserve"> </w:t>
      </w:r>
      <w:r w:rsidRPr="00225F0F">
        <w:rPr>
          <w:lang w:val="en-GB"/>
        </w:rPr>
        <w:t xml:space="preserve">to </w:t>
      </w:r>
      <w:r w:rsidR="00AA0E41" w:rsidRPr="00225F0F">
        <w:rPr>
          <w:lang w:val="en-GB"/>
        </w:rPr>
        <w:t xml:space="preserve">all </w:t>
      </w:r>
      <w:r w:rsidR="002523E1" w:rsidRPr="00225F0F">
        <w:rPr>
          <w:lang w:val="en-GB"/>
        </w:rPr>
        <w:t xml:space="preserve">investigators/clinicians, </w:t>
      </w:r>
      <w:r w:rsidR="008830DF" w:rsidRPr="00225F0F">
        <w:rPr>
          <w:lang w:val="en-GB"/>
        </w:rPr>
        <w:t>ECs (central and local)</w:t>
      </w:r>
      <w:r w:rsidR="002523E1" w:rsidRPr="00225F0F">
        <w:rPr>
          <w:lang w:val="en-GB"/>
        </w:rPr>
        <w:t xml:space="preserve">, </w:t>
      </w:r>
      <w:r w:rsidR="008830DF" w:rsidRPr="00225F0F">
        <w:rPr>
          <w:lang w:val="en-GB"/>
        </w:rPr>
        <w:t>NRAs</w:t>
      </w:r>
      <w:r w:rsidR="002523E1" w:rsidRPr="00225F0F">
        <w:rPr>
          <w:lang w:val="en-GB"/>
        </w:rPr>
        <w:t xml:space="preserve"> (or Ministries of Health), </w:t>
      </w:r>
      <w:r w:rsidR="008830DF" w:rsidRPr="00225F0F">
        <w:rPr>
          <w:lang w:val="en-GB"/>
        </w:rPr>
        <w:t>DSMB</w:t>
      </w:r>
      <w:r w:rsidR="002523E1" w:rsidRPr="00225F0F">
        <w:rPr>
          <w:lang w:val="en-GB"/>
        </w:rPr>
        <w:t>, manufacturers, and partners</w:t>
      </w:r>
      <w:r w:rsidRPr="00225F0F">
        <w:rPr>
          <w:lang w:val="en-GB"/>
        </w:rPr>
        <w:t>.</w:t>
      </w:r>
    </w:p>
    <w:p w14:paraId="1B4F4788" w14:textId="77777777" w:rsidR="006143C0" w:rsidRPr="00225F0F" w:rsidRDefault="00B122CF" w:rsidP="00B122CF">
      <w:pPr>
        <w:rPr>
          <w:lang w:val="en-GB"/>
        </w:rPr>
      </w:pPr>
      <w:r w:rsidRPr="00225F0F">
        <w:rPr>
          <w:lang w:val="en-GB"/>
        </w:rPr>
        <w:t>The PV</w:t>
      </w:r>
      <w:r w:rsidR="002523E1" w:rsidRPr="00225F0F">
        <w:rPr>
          <w:lang w:val="en-GB"/>
        </w:rPr>
        <w:t xml:space="preserve"> Unit tracks and documents each step of safety signal management and commu</w:t>
      </w:r>
      <w:r w:rsidR="00AA0E41" w:rsidRPr="00225F0F">
        <w:rPr>
          <w:lang w:val="en-GB"/>
        </w:rPr>
        <w:t xml:space="preserve">nication, urgent and non-urgent </w:t>
      </w:r>
      <w:r w:rsidR="002523E1" w:rsidRPr="00225F0F">
        <w:rPr>
          <w:lang w:val="en-GB"/>
        </w:rPr>
        <w:t>(ref. PV-TB-P05).</w:t>
      </w:r>
    </w:p>
    <w:p w14:paraId="1B4F4789" w14:textId="77777777" w:rsidR="0084437E" w:rsidRPr="00225F0F" w:rsidRDefault="0084437E">
      <w:pPr>
        <w:spacing w:before="0" w:after="0"/>
        <w:jc w:val="left"/>
        <w:rPr>
          <w:highlight w:val="yellow"/>
          <w:lang w:val="en-GB"/>
        </w:rPr>
      </w:pPr>
      <w:r w:rsidRPr="00225F0F">
        <w:rPr>
          <w:highlight w:val="yellow"/>
          <w:lang w:val="en-GB"/>
        </w:rPr>
        <w:br w:type="page"/>
      </w:r>
    </w:p>
    <w:p w14:paraId="1B4F478A" w14:textId="77777777" w:rsidR="00563CDA" w:rsidRPr="00225F0F" w:rsidRDefault="00563CDA" w:rsidP="00563CDA">
      <w:pPr>
        <w:pStyle w:val="Heading1"/>
        <w:numPr>
          <w:ilvl w:val="0"/>
          <w:numId w:val="0"/>
        </w:numPr>
        <w:rPr>
          <w:lang w:val="en-GB"/>
        </w:rPr>
      </w:pPr>
      <w:bookmarkStart w:id="47" w:name="_Toc40272694"/>
      <w:r w:rsidRPr="00225F0F">
        <w:rPr>
          <w:lang w:val="en-GB"/>
        </w:rPr>
        <w:lastRenderedPageBreak/>
        <w:t>List of abbreviations and definitions</w:t>
      </w:r>
      <w:bookmarkEnd w:id="47"/>
    </w:p>
    <w:p w14:paraId="1B4F478B" w14:textId="77777777" w:rsidR="00CC5AA4" w:rsidRPr="00C61E96" w:rsidRDefault="00CC5AA4" w:rsidP="00CC5AA4">
      <w:pPr>
        <w:rPr>
          <w:lang w:val="en-GB"/>
        </w:rPr>
      </w:pPr>
      <w:r w:rsidRPr="00225F0F">
        <w:rPr>
          <w:b/>
          <w:lang w:val="en-GB"/>
        </w:rPr>
        <w:t>Adverse Event (AE)</w:t>
      </w:r>
      <w:r w:rsidR="007C7B33" w:rsidRPr="00225F0F">
        <w:rPr>
          <w:b/>
          <w:lang w:val="en-GB"/>
        </w:rPr>
        <w:t xml:space="preserve">: </w:t>
      </w:r>
      <w:r w:rsidRPr="00225F0F">
        <w:rPr>
          <w:lang w:val="en-GB"/>
        </w:rPr>
        <w:t>Any untoward medical occurrence or worsening of a pre-existing medical condition in a clinical trial subject, administered a medicinal (investigational) product and which does not necessarily have a causal relationship with this treatment. An AE can therefore be any unfavourable or unintended sign (including laboratory test abnormalities), symptom, or disease temporally associated with the use of a medicinal (</w:t>
      </w:r>
      <w:r w:rsidRPr="00C61E96">
        <w:rPr>
          <w:lang w:val="en-GB"/>
        </w:rPr>
        <w:t xml:space="preserve">investigational) product </w:t>
      </w:r>
      <w:proofErr w:type="gramStart"/>
      <w:r w:rsidRPr="00C61E96">
        <w:rPr>
          <w:lang w:val="en-GB"/>
        </w:rPr>
        <w:t>whether or not</w:t>
      </w:r>
      <w:proofErr w:type="gramEnd"/>
      <w:r w:rsidRPr="00C61E96">
        <w:rPr>
          <w:lang w:val="en-GB"/>
        </w:rPr>
        <w:t xml:space="preserve"> considered related to the investigational product.</w:t>
      </w:r>
    </w:p>
    <w:p w14:paraId="1B4F478C" w14:textId="4249EC85" w:rsidR="00CC5AA4" w:rsidRPr="00C61E96" w:rsidRDefault="00CC5AA4" w:rsidP="00B93AA0">
      <w:pPr>
        <w:rPr>
          <w:lang w:val="en-GB"/>
        </w:rPr>
      </w:pPr>
      <w:bookmarkStart w:id="48" w:name="_Ref427675518"/>
      <w:r w:rsidRPr="00C61E96">
        <w:rPr>
          <w:b/>
          <w:lang w:val="en-GB"/>
        </w:rPr>
        <w:t>Adverse</w:t>
      </w:r>
      <w:r w:rsidR="007C7B33" w:rsidRPr="00C61E96">
        <w:rPr>
          <w:b/>
          <w:lang w:val="en-GB"/>
        </w:rPr>
        <w:t xml:space="preserve"> Events of Interest (AE</w:t>
      </w:r>
      <w:r w:rsidRPr="00C61E96">
        <w:rPr>
          <w:b/>
          <w:lang w:val="en-GB"/>
        </w:rPr>
        <w:t>I)</w:t>
      </w:r>
      <w:bookmarkEnd w:id="48"/>
      <w:r w:rsidR="007C7B33" w:rsidRPr="00C61E96">
        <w:rPr>
          <w:b/>
          <w:lang w:val="en-GB"/>
        </w:rPr>
        <w:t xml:space="preserve">: </w:t>
      </w:r>
      <w:r w:rsidRPr="00C61E96">
        <w:rPr>
          <w:lang w:val="en-GB"/>
        </w:rPr>
        <w:t xml:space="preserve">Adverse Events of scientific and medical concern with the investigational medicinal product(s), for which ongoing monitoring and rapid communication by the Investigator to the Sponsor is appropriate. Such events require further investigation </w:t>
      </w:r>
      <w:proofErr w:type="gramStart"/>
      <w:r w:rsidRPr="00C61E96">
        <w:rPr>
          <w:lang w:val="en-GB"/>
        </w:rPr>
        <w:t>in order to</w:t>
      </w:r>
      <w:proofErr w:type="gramEnd"/>
      <w:r w:rsidRPr="00C61E96">
        <w:rPr>
          <w:lang w:val="en-GB"/>
        </w:rPr>
        <w:t xml:space="preserve"> characterize and understand them.</w:t>
      </w:r>
      <w:r w:rsidR="007C7B33" w:rsidRPr="00C61E96">
        <w:rPr>
          <w:lang w:val="en-GB"/>
        </w:rPr>
        <w:t xml:space="preserve"> </w:t>
      </w:r>
      <w:r w:rsidRPr="00C61E96">
        <w:rPr>
          <w:lang w:val="en-GB"/>
        </w:rPr>
        <w:t xml:space="preserve">In the frame of the endTB </w:t>
      </w:r>
      <w:r w:rsidR="00DA68D5" w:rsidRPr="00C61E96">
        <w:rPr>
          <w:lang w:val="en-GB"/>
        </w:rPr>
        <w:t xml:space="preserve">and endTB-Q </w:t>
      </w:r>
      <w:r w:rsidRPr="00C61E96">
        <w:rPr>
          <w:lang w:val="en-GB"/>
        </w:rPr>
        <w:t>interventional clinical trial</w:t>
      </w:r>
      <w:r w:rsidR="00DA68D5" w:rsidRPr="00C61E96">
        <w:rPr>
          <w:lang w:val="en-GB"/>
        </w:rPr>
        <w:t>s</w:t>
      </w:r>
      <w:r w:rsidRPr="00C61E96">
        <w:rPr>
          <w:lang w:val="en-GB"/>
        </w:rPr>
        <w:t>, AEI include</w:t>
      </w:r>
      <w:r w:rsidR="00B93AA0" w:rsidRPr="00C61E96">
        <w:t xml:space="preserve"> the list of conditions mentioned in the Clinical Trial Protocol</w:t>
      </w:r>
      <w:r w:rsidR="00DA68D5" w:rsidRPr="00C61E96">
        <w:t>s</w:t>
      </w:r>
      <w:r w:rsidRPr="00C61E96">
        <w:rPr>
          <w:lang w:val="en-GB"/>
        </w:rPr>
        <w:t>).</w:t>
      </w:r>
    </w:p>
    <w:p w14:paraId="1B4F478D" w14:textId="77777777" w:rsidR="00CC5AA4" w:rsidRPr="00C61E96" w:rsidRDefault="00CC5AA4" w:rsidP="00CC5AA4">
      <w:pPr>
        <w:rPr>
          <w:lang w:val="en-GB"/>
        </w:rPr>
      </w:pPr>
      <w:r w:rsidRPr="00C61E96">
        <w:rPr>
          <w:b/>
          <w:lang w:val="en-GB"/>
        </w:rPr>
        <w:t>Adverse Drug Reaction (ADR)</w:t>
      </w:r>
      <w:r w:rsidR="007C7B33" w:rsidRPr="00C61E96">
        <w:rPr>
          <w:b/>
          <w:lang w:val="en-GB"/>
        </w:rPr>
        <w:t>:</w:t>
      </w:r>
      <w:r w:rsidR="007C7B33" w:rsidRPr="00C61E96">
        <w:rPr>
          <w:lang w:val="en-GB"/>
        </w:rPr>
        <w:t xml:space="preserve"> </w:t>
      </w:r>
      <w:r w:rsidRPr="00C61E96">
        <w:rPr>
          <w:lang w:val="en-GB"/>
        </w:rPr>
        <w:t>All noxious and unintended responses to a medicinal product related to any dose should be considered an Adverse Drug Reaction. The phrase "responses to a medicinal product" means that a causal relationship between a medicinal product and an adverse event is at least a reasonable possibility.</w:t>
      </w:r>
    </w:p>
    <w:p w14:paraId="1B4F478E" w14:textId="4718A850" w:rsidR="00CC5AA4" w:rsidRPr="00225F0F" w:rsidRDefault="00CC5AA4" w:rsidP="00CC5AA4">
      <w:pPr>
        <w:rPr>
          <w:lang w:val="en-GB"/>
        </w:rPr>
      </w:pPr>
      <w:r w:rsidRPr="00C61E96">
        <w:rPr>
          <w:b/>
          <w:lang w:val="en-GB"/>
        </w:rPr>
        <w:t>Annual Safety Report (ASR)</w:t>
      </w:r>
      <w:r w:rsidR="007C7B33" w:rsidRPr="00C61E96">
        <w:rPr>
          <w:b/>
          <w:lang w:val="en-GB"/>
        </w:rPr>
        <w:t>:</w:t>
      </w:r>
      <w:r w:rsidR="007C7B33" w:rsidRPr="00C61E96">
        <w:rPr>
          <w:lang w:val="en-GB"/>
        </w:rPr>
        <w:t xml:space="preserve"> </w:t>
      </w:r>
      <w:r w:rsidRPr="00C61E96">
        <w:rPr>
          <w:lang w:val="en-GB"/>
        </w:rPr>
        <w:t>A periodic safety update report presenting a comprehensive annual review and evaluation of pertinent safety information collected during the clinical trial</w:t>
      </w:r>
      <w:r w:rsidR="0077658E" w:rsidRPr="00C61E96">
        <w:rPr>
          <w:lang w:val="en-GB"/>
        </w:rPr>
        <w:t>s</w:t>
      </w:r>
      <w:r w:rsidRPr="00C61E96">
        <w:rPr>
          <w:lang w:val="en-GB"/>
        </w:rPr>
        <w:t xml:space="preserve"> over the period</w:t>
      </w:r>
      <w:r w:rsidRPr="00225F0F">
        <w:rPr>
          <w:lang w:val="en-GB"/>
        </w:rPr>
        <w:t xml:space="preserve"> of 1 year.</w:t>
      </w:r>
    </w:p>
    <w:p w14:paraId="1B4F478F" w14:textId="77777777" w:rsidR="00CC5AA4" w:rsidRPr="00225F0F" w:rsidRDefault="00CC5AA4" w:rsidP="007C7B33">
      <w:pPr>
        <w:rPr>
          <w:lang w:val="en-GB"/>
        </w:rPr>
      </w:pPr>
      <w:r w:rsidRPr="00225F0F">
        <w:rPr>
          <w:b/>
          <w:lang w:val="en-GB"/>
        </w:rPr>
        <w:t xml:space="preserve">Council for International Organization of Medical Sciences I </w:t>
      </w:r>
      <w:proofErr w:type="gramStart"/>
      <w:r w:rsidRPr="00225F0F">
        <w:rPr>
          <w:b/>
          <w:lang w:val="en-GB"/>
        </w:rPr>
        <w:t>reporting</w:t>
      </w:r>
      <w:proofErr w:type="gramEnd"/>
      <w:r w:rsidRPr="00225F0F">
        <w:rPr>
          <w:b/>
          <w:lang w:val="en-GB"/>
        </w:rPr>
        <w:t xml:space="preserve"> form (CIOMS)</w:t>
      </w:r>
      <w:r w:rsidR="007C7B33" w:rsidRPr="00225F0F">
        <w:rPr>
          <w:b/>
          <w:lang w:val="en-GB"/>
        </w:rPr>
        <w:t>:</w:t>
      </w:r>
      <w:r w:rsidR="007C7B33" w:rsidRPr="00225F0F">
        <w:rPr>
          <w:lang w:val="en-GB"/>
        </w:rPr>
        <w:t xml:space="preserve"> </w:t>
      </w:r>
      <w:r w:rsidRPr="00225F0F">
        <w:rPr>
          <w:lang w:val="en-GB"/>
        </w:rPr>
        <w:t>Standardized international report format for the reporting of one or several suspected adverse reactions to a medicinal product that occur in a single patient at a specific point of time.</w:t>
      </w:r>
    </w:p>
    <w:p w14:paraId="1B4F4790" w14:textId="77777777" w:rsidR="00CC5AA4" w:rsidRPr="00225F0F" w:rsidRDefault="00CC5AA4" w:rsidP="00CC5AA4">
      <w:pPr>
        <w:rPr>
          <w:lang w:val="en-GB"/>
        </w:rPr>
      </w:pPr>
      <w:r w:rsidRPr="00225F0F">
        <w:rPr>
          <w:b/>
          <w:lang w:val="en-GB"/>
        </w:rPr>
        <w:t>Data and Safety Monitoring Board (DSMB)</w:t>
      </w:r>
      <w:r w:rsidR="007C7B33" w:rsidRPr="00225F0F">
        <w:rPr>
          <w:b/>
          <w:lang w:val="en-GB"/>
        </w:rPr>
        <w:t>:</w:t>
      </w:r>
      <w:r w:rsidR="007C7B33" w:rsidRPr="00225F0F">
        <w:rPr>
          <w:lang w:val="en-GB"/>
        </w:rPr>
        <w:t xml:space="preserve"> </w:t>
      </w:r>
      <w:r w:rsidRPr="00225F0F">
        <w:rPr>
          <w:lang w:val="en-GB"/>
        </w:rPr>
        <w:t>Independent data monitoring committee established by the Sponsor to assess at intervals the progress of a clinical trial, the safety data and the critical efficacy endpoints, and to recommend to the Sponsor whether to continue, modify or stop a trial.</w:t>
      </w:r>
    </w:p>
    <w:p w14:paraId="1B4F4791" w14:textId="77777777" w:rsidR="00C95A26" w:rsidRPr="00225F0F" w:rsidRDefault="00C95A26" w:rsidP="00C95A26">
      <w:pPr>
        <w:rPr>
          <w:rFonts w:cs="Arial"/>
          <w:lang w:val="en-GB" w:eastAsia="en-GB"/>
        </w:rPr>
      </w:pPr>
      <w:r w:rsidRPr="00225F0F">
        <w:rPr>
          <w:b/>
          <w:lang w:val="en-GB" w:eastAsia="en-GB"/>
        </w:rPr>
        <w:t>“Day 0” or “clock-start” date</w:t>
      </w:r>
      <w:r w:rsidR="007C7B33" w:rsidRPr="00225F0F">
        <w:rPr>
          <w:lang w:val="en-GB" w:eastAsia="en-GB"/>
        </w:rPr>
        <w:t xml:space="preserve">: </w:t>
      </w:r>
      <w:r w:rsidRPr="00225F0F">
        <w:rPr>
          <w:rFonts w:cs="Arial"/>
          <w:lang w:val="en-GB" w:eastAsia="en-GB"/>
        </w:rPr>
        <w:t>Date of receipt of a valid ICSR setting the clock start date for expedited reporting (if applicable).</w:t>
      </w:r>
    </w:p>
    <w:p w14:paraId="1B4F4792" w14:textId="77777777" w:rsidR="00C95A26" w:rsidRPr="00225F0F" w:rsidRDefault="00C95A26" w:rsidP="00C95A26">
      <w:pPr>
        <w:rPr>
          <w:rFonts w:cs="Arial"/>
          <w:lang w:val="en-GB" w:eastAsia="en-GB"/>
        </w:rPr>
      </w:pPr>
      <w:r w:rsidRPr="00225F0F">
        <w:rPr>
          <w:b/>
          <w:lang w:val="en-GB"/>
        </w:rPr>
        <w:t>Individual Case Safety Report (ICSR)</w:t>
      </w:r>
      <w:r w:rsidR="007C7B33" w:rsidRPr="00225F0F">
        <w:rPr>
          <w:b/>
          <w:lang w:val="en-GB"/>
        </w:rPr>
        <w:t>:</w:t>
      </w:r>
      <w:r w:rsidR="007C7B33" w:rsidRPr="00225F0F">
        <w:rPr>
          <w:lang w:val="en-GB"/>
        </w:rPr>
        <w:t xml:space="preserve"> </w:t>
      </w:r>
      <w:r w:rsidRPr="00225F0F">
        <w:rPr>
          <w:rFonts w:cs="Arial"/>
          <w:lang w:val="en-GB" w:eastAsia="en-GB"/>
        </w:rPr>
        <w:t>Format and content for the reporting of one or several suspected adverse reactions to a medicinal product that occur in a single patient at a specific point of time.</w:t>
      </w:r>
    </w:p>
    <w:p w14:paraId="1B4F4793" w14:textId="77777777" w:rsidR="00CC5AA4" w:rsidRPr="00225F0F" w:rsidRDefault="00CC5AA4" w:rsidP="00CC5AA4">
      <w:pPr>
        <w:rPr>
          <w:lang w:val="en-GB"/>
        </w:rPr>
      </w:pPr>
      <w:r w:rsidRPr="00225F0F">
        <w:rPr>
          <w:b/>
          <w:lang w:val="en-GB"/>
        </w:rPr>
        <w:t>Investigational Medicinal Product (IMP)</w:t>
      </w:r>
      <w:r w:rsidR="007C7B33" w:rsidRPr="00225F0F">
        <w:rPr>
          <w:b/>
          <w:lang w:val="en-GB"/>
        </w:rPr>
        <w:t>:</w:t>
      </w:r>
      <w:r w:rsidR="007C7B33" w:rsidRPr="00225F0F">
        <w:rPr>
          <w:lang w:val="en-GB"/>
        </w:rPr>
        <w:t xml:space="preserve"> </w:t>
      </w:r>
      <w:r w:rsidRPr="00225F0F">
        <w:rPr>
          <w:lang w:val="en-GB"/>
        </w:rPr>
        <w:t>The pharmaceutical form of an active ingredient being tested or used as a reference in a clinical trial, including a product with a marketing authorization when used or assembled (formulated or packaged) in a way different from the approved form, or when used for an unapproved indication, or when used to gain further information about an approved use.</w:t>
      </w:r>
    </w:p>
    <w:p w14:paraId="1B4F4794" w14:textId="77777777" w:rsidR="00CC5AA4" w:rsidRPr="00225F0F" w:rsidRDefault="00CC5AA4" w:rsidP="00CC5AA4">
      <w:pPr>
        <w:rPr>
          <w:lang w:val="en-GB"/>
        </w:rPr>
      </w:pPr>
      <w:bookmarkStart w:id="49" w:name="_Ref427675769"/>
      <w:r w:rsidRPr="00225F0F">
        <w:rPr>
          <w:b/>
          <w:lang w:val="en-GB"/>
        </w:rPr>
        <w:t>Overdose</w:t>
      </w:r>
      <w:bookmarkEnd w:id="49"/>
      <w:r w:rsidR="007C7B33" w:rsidRPr="00225F0F">
        <w:rPr>
          <w:lang w:val="en-GB"/>
        </w:rPr>
        <w:t xml:space="preserve">: </w:t>
      </w:r>
      <w:r w:rsidRPr="00225F0F">
        <w:rPr>
          <w:lang w:val="en-GB"/>
        </w:rPr>
        <w:t>Administration of a quantity of a medicinal product given per administration or cumulatively which is above the maximum recommended dose according to the authorized product information or other in-use references (e.g. WHO guidelines). The determination of an overdose will be left to the discretion of the clinical investigator, based on the total dose administered, the emergence of any clinical signs and symptoms suggestive of a toxic administration, as well as his own clinical judgment as it applies to each individual case.</w:t>
      </w:r>
    </w:p>
    <w:p w14:paraId="1B4F4795" w14:textId="77777777" w:rsidR="00CC5AA4" w:rsidRPr="00225F0F" w:rsidRDefault="00CC5AA4" w:rsidP="00CC5AA4">
      <w:pPr>
        <w:rPr>
          <w:lang w:val="en-GB"/>
        </w:rPr>
      </w:pPr>
      <w:bookmarkStart w:id="50" w:name="_Ref427675504"/>
      <w:r w:rsidRPr="00225F0F">
        <w:rPr>
          <w:b/>
          <w:lang w:val="en-GB"/>
        </w:rPr>
        <w:t>Serious Adverse Event (SAE)</w:t>
      </w:r>
      <w:bookmarkEnd w:id="50"/>
      <w:r w:rsidR="007C7B33" w:rsidRPr="00225F0F">
        <w:rPr>
          <w:b/>
          <w:lang w:val="en-GB"/>
        </w:rPr>
        <w:t>:</w:t>
      </w:r>
      <w:r w:rsidR="007C7B33" w:rsidRPr="00225F0F">
        <w:rPr>
          <w:lang w:val="en-GB"/>
        </w:rPr>
        <w:t xml:space="preserve"> </w:t>
      </w:r>
      <w:r w:rsidRPr="00225F0F">
        <w:rPr>
          <w:lang w:val="en-GB"/>
        </w:rPr>
        <w:t>Any untoward medical occurrence that at any dose:</w:t>
      </w:r>
    </w:p>
    <w:p w14:paraId="1B4F4796" w14:textId="77777777" w:rsidR="00CC5AA4" w:rsidRPr="00225F0F" w:rsidRDefault="00CC5AA4" w:rsidP="00CC5AA4">
      <w:pPr>
        <w:pStyle w:val="ListParagraph"/>
        <w:numPr>
          <w:ilvl w:val="0"/>
          <w:numId w:val="35"/>
        </w:numPr>
        <w:ind w:left="284" w:hanging="284"/>
        <w:contextualSpacing w:val="0"/>
        <w:rPr>
          <w:lang w:val="en-GB"/>
        </w:rPr>
      </w:pPr>
      <w:r w:rsidRPr="00225F0F">
        <w:rPr>
          <w:lang w:val="en-GB"/>
        </w:rPr>
        <w:t>is leading to death;</w:t>
      </w:r>
    </w:p>
    <w:p w14:paraId="1B4F4797" w14:textId="77777777" w:rsidR="00CC5AA4" w:rsidRPr="00225F0F" w:rsidRDefault="00CC5AA4" w:rsidP="00CC5AA4">
      <w:pPr>
        <w:pStyle w:val="ListParagraph"/>
        <w:numPr>
          <w:ilvl w:val="0"/>
          <w:numId w:val="34"/>
        </w:numPr>
        <w:ind w:left="284" w:hanging="284"/>
        <w:contextualSpacing w:val="0"/>
        <w:rPr>
          <w:lang w:val="en-GB"/>
        </w:rPr>
      </w:pPr>
      <w:r w:rsidRPr="00225F0F">
        <w:rPr>
          <w:lang w:val="en-GB"/>
        </w:rPr>
        <w:lastRenderedPageBreak/>
        <w:t xml:space="preserve">is life-threatening (defined as a subject at immediate risk of death at the time of the event; it does not refer to an event which hypothetically might have caused death if it were more severe); </w:t>
      </w:r>
    </w:p>
    <w:p w14:paraId="1B4F4798" w14:textId="0417962B" w:rsidR="00CC5AA4" w:rsidRPr="00C61E96" w:rsidRDefault="00CC5AA4" w:rsidP="00CC5AA4">
      <w:pPr>
        <w:pStyle w:val="ListParagraph"/>
        <w:numPr>
          <w:ilvl w:val="0"/>
          <w:numId w:val="34"/>
        </w:numPr>
        <w:ind w:left="284" w:hanging="284"/>
        <w:contextualSpacing w:val="0"/>
        <w:rPr>
          <w:lang w:val="en-GB"/>
        </w:rPr>
      </w:pPr>
      <w:r w:rsidRPr="00225F0F">
        <w:rPr>
          <w:lang w:val="en-GB"/>
        </w:rPr>
        <w:t xml:space="preserve">Requires inpatient </w:t>
      </w:r>
      <w:r w:rsidRPr="00C61E96">
        <w:rPr>
          <w:lang w:val="en-GB"/>
        </w:rPr>
        <w:t>hospitalization or prolongation of existing hospitalization, with the exception</w:t>
      </w:r>
      <w:r w:rsidR="00E74584" w:rsidRPr="00C61E96">
        <w:rPr>
          <w:lang w:val="en-GB"/>
        </w:rPr>
        <w:t>s</w:t>
      </w:r>
      <w:r w:rsidRPr="00C61E96">
        <w:rPr>
          <w:lang w:val="en-GB"/>
        </w:rPr>
        <w:t xml:space="preserve"> </w:t>
      </w:r>
      <w:r w:rsidR="00E74584" w:rsidRPr="00C61E96">
        <w:t>described in the Clinical Trial Protocol</w:t>
      </w:r>
      <w:r w:rsidR="0077658E" w:rsidRPr="00C61E96">
        <w:t>s</w:t>
      </w:r>
      <w:r w:rsidRPr="00C61E96">
        <w:rPr>
          <w:lang w:val="en-GB"/>
        </w:rPr>
        <w:t>;</w:t>
      </w:r>
    </w:p>
    <w:p w14:paraId="1B4F4799" w14:textId="77777777" w:rsidR="00CC5AA4" w:rsidRPr="00C61E96" w:rsidRDefault="00CC5AA4" w:rsidP="00CC5AA4">
      <w:pPr>
        <w:pStyle w:val="ListParagraph"/>
        <w:numPr>
          <w:ilvl w:val="0"/>
          <w:numId w:val="34"/>
        </w:numPr>
        <w:ind w:left="284" w:hanging="284"/>
        <w:contextualSpacing w:val="0"/>
        <w:rPr>
          <w:lang w:val="en-GB"/>
        </w:rPr>
      </w:pPr>
      <w:r w:rsidRPr="00C61E96">
        <w:rPr>
          <w:lang w:val="en-GB"/>
        </w:rPr>
        <w:t>results in a persistent or significant incapacity or substantial disruption of the ability to conduct normal life functions;</w:t>
      </w:r>
    </w:p>
    <w:p w14:paraId="1B4F479A" w14:textId="77777777" w:rsidR="00CC5AA4" w:rsidRPr="00C61E96" w:rsidRDefault="00CC5AA4" w:rsidP="00CC5AA4">
      <w:pPr>
        <w:pStyle w:val="ListParagraph"/>
        <w:numPr>
          <w:ilvl w:val="0"/>
          <w:numId w:val="34"/>
        </w:numPr>
        <w:ind w:left="284" w:hanging="284"/>
        <w:contextualSpacing w:val="0"/>
        <w:rPr>
          <w:lang w:val="en-GB"/>
        </w:rPr>
      </w:pPr>
      <w:r w:rsidRPr="00C61E96">
        <w:rPr>
          <w:lang w:val="en-GB"/>
        </w:rPr>
        <w:t>results in congenital anomaly or birth defect;</w:t>
      </w:r>
    </w:p>
    <w:p w14:paraId="1B4F479B" w14:textId="77777777" w:rsidR="00CC5AA4" w:rsidRPr="00C61E96" w:rsidRDefault="00CC5AA4" w:rsidP="00CC5AA4">
      <w:pPr>
        <w:pStyle w:val="ListParagraph"/>
        <w:numPr>
          <w:ilvl w:val="0"/>
          <w:numId w:val="34"/>
        </w:numPr>
        <w:ind w:left="284" w:hanging="284"/>
        <w:contextualSpacing w:val="0"/>
        <w:rPr>
          <w:lang w:val="en-GB"/>
        </w:rPr>
      </w:pPr>
      <w:r w:rsidRPr="00C61E96">
        <w:rPr>
          <w:lang w:val="en-GB"/>
        </w:rPr>
        <w:t>is otherwise considered an important medical event that may not result in death, be immediately life-threatening, or require hospitalization may be considered a serious adverse experience when, based upon appropriate medical judgment, the event may jeopardize the subject and may require medical or surgical intervention to prevent one of the outcomes listed above. Examples of such medical events include allergic bronchospasm requiring intensive treatment in an emergency room or at home, blood dyscrasias or convulsions that do not result in inpatient hospitalization, or the development of drug dependency or drug abuse.</w:t>
      </w:r>
    </w:p>
    <w:p w14:paraId="1B4F479C" w14:textId="77777777" w:rsidR="00CC5AA4" w:rsidRPr="00C61E96" w:rsidRDefault="00CC5AA4" w:rsidP="00CC5AA4">
      <w:pPr>
        <w:pStyle w:val="ListParagraph"/>
        <w:numPr>
          <w:ilvl w:val="1"/>
          <w:numId w:val="34"/>
        </w:numPr>
        <w:ind w:left="851" w:hanging="567"/>
        <w:contextualSpacing w:val="0"/>
        <w:rPr>
          <w:lang w:val="en-GB"/>
        </w:rPr>
      </w:pPr>
      <w:r w:rsidRPr="00C61E96">
        <w:rPr>
          <w:lang w:val="en-GB"/>
        </w:rPr>
        <w:t xml:space="preserve">Suspected transmission of an infectious agent (pathogenic or </w:t>
      </w:r>
      <w:r w:rsidR="0078032D" w:rsidRPr="00C61E96">
        <w:rPr>
          <w:lang w:val="en-GB"/>
        </w:rPr>
        <w:t>non-pathogenic</w:t>
      </w:r>
      <w:r w:rsidRPr="00C61E96">
        <w:rPr>
          <w:lang w:val="en-GB"/>
        </w:rPr>
        <w:t>) via the study drug(s) should always be considered an SAE.</w:t>
      </w:r>
    </w:p>
    <w:p w14:paraId="1B4F479D" w14:textId="77777777" w:rsidR="00CC5AA4" w:rsidRPr="00C61E96" w:rsidRDefault="00CC5AA4" w:rsidP="00CC5AA4">
      <w:pPr>
        <w:rPr>
          <w:lang w:val="en-GB"/>
        </w:rPr>
      </w:pPr>
      <w:r w:rsidRPr="00C61E96">
        <w:rPr>
          <w:lang w:val="en-GB"/>
        </w:rPr>
        <w:t>A Grade 4 AE or laboratory abnormality does not necessarily indicate an SAE, unless the occurrence meets one or more of the above definitions.</w:t>
      </w:r>
    </w:p>
    <w:p w14:paraId="1B4F479E" w14:textId="77777777" w:rsidR="00C95A26" w:rsidRPr="00225F0F" w:rsidRDefault="00C95A26" w:rsidP="007C7B33">
      <w:pPr>
        <w:rPr>
          <w:rFonts w:cs="Arial"/>
          <w:lang w:val="en-GB" w:eastAsia="en-GB"/>
        </w:rPr>
      </w:pPr>
      <w:r w:rsidRPr="00C61E96">
        <w:rPr>
          <w:b/>
          <w:lang w:val="en-GB" w:eastAsia="en-GB"/>
        </w:rPr>
        <w:t>Significant safety issue</w:t>
      </w:r>
      <w:r w:rsidR="007C7B33" w:rsidRPr="00C61E96">
        <w:rPr>
          <w:lang w:val="en-GB" w:eastAsia="en-GB"/>
        </w:rPr>
        <w:t xml:space="preserve">: </w:t>
      </w:r>
      <w:r w:rsidRPr="00C61E96">
        <w:rPr>
          <w:lang w:val="en-GB"/>
        </w:rPr>
        <w:t xml:space="preserve">Any </w:t>
      </w:r>
      <w:r w:rsidRPr="00C61E96">
        <w:rPr>
          <w:rFonts w:cs="Arial"/>
          <w:lang w:val="en-GB" w:eastAsia="en-GB"/>
        </w:rPr>
        <w:t>event or observation which may alter the risk/</w:t>
      </w:r>
      <w:r w:rsidRPr="00225F0F">
        <w:rPr>
          <w:rFonts w:cs="Arial"/>
          <w:lang w:val="en-GB" w:eastAsia="en-GB"/>
        </w:rPr>
        <w:t xml:space="preserve">benefit assessment of the treatment and/or impacting public health, necessitating immediate changes in the administration of the drugs or important modification of the conduct of the CT/program. This includes major findings from clinical/non-clinical studies (published, from partners or internal), </w:t>
      </w:r>
      <w:r w:rsidR="00B13065">
        <w:rPr>
          <w:rFonts w:cs="Arial"/>
          <w:lang w:val="en-GB" w:eastAsia="en-GB"/>
        </w:rPr>
        <w:t>findings</w:t>
      </w:r>
      <w:r w:rsidRPr="00225F0F">
        <w:rPr>
          <w:rFonts w:cs="Arial"/>
          <w:lang w:val="en-GB" w:eastAsia="en-GB"/>
        </w:rPr>
        <w:t xml:space="preserve"> from </w:t>
      </w:r>
      <w:r w:rsidR="00B13065">
        <w:rPr>
          <w:rFonts w:cs="Arial"/>
          <w:lang w:val="en-GB" w:eastAsia="en-GB"/>
        </w:rPr>
        <w:t>drug manufacturers</w:t>
      </w:r>
      <w:r w:rsidRPr="00225F0F">
        <w:rPr>
          <w:rFonts w:cs="Arial"/>
          <w:lang w:val="en-GB" w:eastAsia="en-GB"/>
        </w:rPr>
        <w:t>, WHO or internal review, safety issue relating to trial procedures, etc.</w:t>
      </w:r>
    </w:p>
    <w:p w14:paraId="1B4F479F" w14:textId="77777777" w:rsidR="00CC5AA4" w:rsidRPr="00225F0F" w:rsidRDefault="00CC5AA4" w:rsidP="00CC5AA4">
      <w:pPr>
        <w:rPr>
          <w:lang w:val="en-GB"/>
        </w:rPr>
      </w:pPr>
      <w:r w:rsidRPr="00225F0F">
        <w:rPr>
          <w:b/>
          <w:lang w:val="en-GB"/>
        </w:rPr>
        <w:t>Suspected Unexpected Serious Adverse Reaction (SUSAR)</w:t>
      </w:r>
      <w:r w:rsidR="007C7B33" w:rsidRPr="00225F0F">
        <w:rPr>
          <w:b/>
          <w:lang w:val="en-GB"/>
        </w:rPr>
        <w:t>:</w:t>
      </w:r>
      <w:r w:rsidR="007C7B33" w:rsidRPr="00225F0F">
        <w:rPr>
          <w:lang w:val="en-GB"/>
        </w:rPr>
        <w:t xml:space="preserve"> </w:t>
      </w:r>
      <w:r w:rsidRPr="00225F0F">
        <w:rPr>
          <w:lang w:val="en-GB"/>
        </w:rPr>
        <w:t>A serious adverse reaction to a study drug, the nature or severity of which is not consistent with the applicable reference safety information.</w:t>
      </w:r>
    </w:p>
    <w:p w14:paraId="1B4F47A0" w14:textId="77777777" w:rsidR="00CC5AA4" w:rsidRPr="00225F0F" w:rsidRDefault="00CC5AA4" w:rsidP="00CC5AA4">
      <w:pPr>
        <w:rPr>
          <w:lang w:val="en-GB"/>
        </w:rPr>
      </w:pPr>
      <w:r w:rsidRPr="00225F0F">
        <w:rPr>
          <w:b/>
          <w:lang w:val="en-GB"/>
        </w:rPr>
        <w:t>Unexpected Adverse Drug Reaction</w:t>
      </w:r>
      <w:r w:rsidR="007C7B33" w:rsidRPr="00225F0F">
        <w:rPr>
          <w:lang w:val="en-GB"/>
        </w:rPr>
        <w:t xml:space="preserve">: </w:t>
      </w:r>
      <w:r w:rsidRPr="00225F0F">
        <w:rPr>
          <w:lang w:val="en-GB"/>
        </w:rPr>
        <w:t>An adverse drug reaction, the nature and severity of which is not consistent with the applicable product information (e.g. the Investigator Brochure for an unapproved investigational drug or the package insert for an approved drug).</w:t>
      </w:r>
    </w:p>
    <w:p w14:paraId="1B4F47A1" w14:textId="77777777" w:rsidR="00CC5AA4" w:rsidRPr="00225F0F" w:rsidRDefault="00CC5AA4" w:rsidP="00CC5AA4">
      <w:pPr>
        <w:rPr>
          <w:lang w:val="en-GB"/>
        </w:rPr>
      </w:pPr>
      <w:r w:rsidRPr="00225F0F">
        <w:rPr>
          <w:b/>
          <w:lang w:val="en-GB"/>
        </w:rPr>
        <w:t>Urgent safety measure</w:t>
      </w:r>
      <w:r w:rsidR="007C7B33" w:rsidRPr="00225F0F">
        <w:rPr>
          <w:b/>
          <w:lang w:val="en-GB"/>
        </w:rPr>
        <w:t>:</w:t>
      </w:r>
      <w:r w:rsidR="007C7B33" w:rsidRPr="00225F0F">
        <w:rPr>
          <w:lang w:val="en-GB"/>
        </w:rPr>
        <w:t xml:space="preserve"> </w:t>
      </w:r>
      <w:r w:rsidRPr="00225F0F">
        <w:rPr>
          <w:lang w:val="en-GB"/>
        </w:rPr>
        <w:t>Urgent risk minimization action undertaken following the identification of an event/observation which may alter the risk/benefit assessment of the study treatment, including changes in the administration of the IMPs or modification of the conduct of the clinical trial.</w:t>
      </w:r>
    </w:p>
    <w:p w14:paraId="1B4F47A2" w14:textId="77777777" w:rsidR="00D32507" w:rsidRPr="00225F0F" w:rsidRDefault="00D32507" w:rsidP="00225F0F">
      <w:pPr>
        <w:pStyle w:val="Heading1"/>
        <w:numPr>
          <w:ilvl w:val="0"/>
          <w:numId w:val="0"/>
        </w:numPr>
        <w:spacing w:after="200"/>
        <w:rPr>
          <w:lang w:val="en-GB"/>
        </w:rPr>
      </w:pPr>
      <w:bookmarkStart w:id="51" w:name="_Toc40272695"/>
      <w:r w:rsidRPr="00225F0F">
        <w:rPr>
          <w:lang w:val="en-GB"/>
        </w:rPr>
        <w:t>List of references</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8"/>
        <w:gridCol w:w="1134"/>
        <w:gridCol w:w="6878"/>
      </w:tblGrid>
      <w:tr w:rsidR="00254276" w:rsidRPr="00225F0F" w14:paraId="1B4F47A6" w14:textId="77777777" w:rsidTr="00254276">
        <w:trPr>
          <w:trHeight w:val="77"/>
          <w:tblHeader/>
        </w:trPr>
        <w:tc>
          <w:tcPr>
            <w:tcW w:w="1488" w:type="dxa"/>
            <w:shd w:val="clear" w:color="auto" w:fill="auto"/>
            <w:noWrap/>
          </w:tcPr>
          <w:p w14:paraId="1B4F47A3" w14:textId="77777777" w:rsidR="00254276" w:rsidRPr="00225F0F" w:rsidRDefault="00254276" w:rsidP="00B60E8E">
            <w:pPr>
              <w:spacing w:before="40" w:after="20"/>
              <w:jc w:val="left"/>
              <w:rPr>
                <w:b/>
                <w:color w:val="000000"/>
                <w:szCs w:val="22"/>
                <w:lang w:val="en-GB" w:eastAsia="fr-CH"/>
              </w:rPr>
            </w:pPr>
            <w:r w:rsidRPr="00225F0F">
              <w:rPr>
                <w:b/>
                <w:color w:val="000000"/>
                <w:szCs w:val="22"/>
                <w:lang w:val="en-GB" w:eastAsia="fr-CH"/>
              </w:rPr>
              <w:t>Type</w:t>
            </w:r>
          </w:p>
        </w:tc>
        <w:tc>
          <w:tcPr>
            <w:tcW w:w="1134" w:type="dxa"/>
            <w:shd w:val="clear" w:color="auto" w:fill="auto"/>
          </w:tcPr>
          <w:p w14:paraId="1B4F47A4" w14:textId="77777777" w:rsidR="00254276" w:rsidRPr="00225F0F" w:rsidRDefault="00254276" w:rsidP="00B60E8E">
            <w:pPr>
              <w:spacing w:before="40" w:after="20"/>
              <w:jc w:val="left"/>
              <w:rPr>
                <w:b/>
                <w:color w:val="000000"/>
                <w:szCs w:val="22"/>
                <w:lang w:val="en-GB" w:eastAsia="fr-CH"/>
              </w:rPr>
            </w:pPr>
            <w:r w:rsidRPr="00225F0F">
              <w:rPr>
                <w:b/>
                <w:color w:val="000000"/>
                <w:szCs w:val="22"/>
                <w:lang w:val="en-GB" w:eastAsia="fr-CH"/>
              </w:rPr>
              <w:t>Ref no.</w:t>
            </w:r>
          </w:p>
        </w:tc>
        <w:tc>
          <w:tcPr>
            <w:tcW w:w="6878" w:type="dxa"/>
            <w:shd w:val="clear" w:color="auto" w:fill="auto"/>
          </w:tcPr>
          <w:p w14:paraId="1B4F47A5" w14:textId="77777777" w:rsidR="00254276" w:rsidRPr="00225F0F" w:rsidRDefault="00254276" w:rsidP="00B60E8E">
            <w:pPr>
              <w:spacing w:before="40" w:after="20"/>
              <w:jc w:val="left"/>
              <w:rPr>
                <w:b/>
                <w:color w:val="000000"/>
                <w:szCs w:val="22"/>
                <w:lang w:val="en-GB" w:eastAsia="fr-CH"/>
              </w:rPr>
            </w:pPr>
            <w:r w:rsidRPr="00225F0F">
              <w:rPr>
                <w:b/>
                <w:color w:val="000000"/>
                <w:szCs w:val="22"/>
                <w:lang w:val="en-GB" w:eastAsia="fr-CH"/>
              </w:rPr>
              <w:t>Title</w:t>
            </w:r>
          </w:p>
        </w:tc>
      </w:tr>
      <w:tr w:rsidR="00254276" w:rsidRPr="00225F0F" w14:paraId="1B4F47AA" w14:textId="77777777" w:rsidTr="00254276">
        <w:trPr>
          <w:trHeight w:val="537"/>
        </w:trPr>
        <w:tc>
          <w:tcPr>
            <w:tcW w:w="1488" w:type="dxa"/>
            <w:vMerge w:val="restart"/>
            <w:shd w:val="clear" w:color="auto" w:fill="auto"/>
            <w:noWrap/>
          </w:tcPr>
          <w:p w14:paraId="1B4F47A7" w14:textId="77777777" w:rsidR="00254276" w:rsidRPr="00ED5AA4" w:rsidRDefault="00254276" w:rsidP="00B60E8E">
            <w:pPr>
              <w:spacing w:before="40" w:after="20"/>
              <w:jc w:val="left"/>
              <w:rPr>
                <w:color w:val="000000"/>
                <w:szCs w:val="22"/>
                <w:lang w:val="en-GB" w:eastAsia="fr-CH"/>
              </w:rPr>
            </w:pPr>
            <w:r w:rsidRPr="00225F0F">
              <w:rPr>
                <w:color w:val="000000"/>
                <w:szCs w:val="22"/>
                <w:lang w:val="en-GB" w:eastAsia="fr-CH"/>
              </w:rPr>
              <w:t>PV Unit Standard Operating Procedures</w:t>
            </w:r>
          </w:p>
        </w:tc>
        <w:tc>
          <w:tcPr>
            <w:tcW w:w="1134" w:type="dxa"/>
            <w:shd w:val="clear" w:color="auto" w:fill="auto"/>
            <w:vAlign w:val="center"/>
            <w:hideMark/>
          </w:tcPr>
          <w:p w14:paraId="1B4F47A8" w14:textId="77777777" w:rsidR="00254276" w:rsidRPr="00ED5AA4" w:rsidRDefault="00254276" w:rsidP="00B60E8E">
            <w:pPr>
              <w:spacing w:before="40" w:after="20"/>
              <w:jc w:val="left"/>
              <w:rPr>
                <w:color w:val="000000"/>
                <w:szCs w:val="22"/>
                <w:lang w:val="en-GB" w:eastAsia="fr-CH"/>
              </w:rPr>
            </w:pPr>
            <w:r w:rsidRPr="00ED5AA4">
              <w:rPr>
                <w:color w:val="000000"/>
                <w:szCs w:val="22"/>
                <w:lang w:val="en-GB" w:eastAsia="fr-CH"/>
              </w:rPr>
              <w:t>PV-TB-P01</w:t>
            </w:r>
          </w:p>
        </w:tc>
        <w:tc>
          <w:tcPr>
            <w:tcW w:w="6878" w:type="dxa"/>
            <w:shd w:val="clear" w:color="auto" w:fill="auto"/>
            <w:vAlign w:val="center"/>
            <w:hideMark/>
          </w:tcPr>
          <w:p w14:paraId="1B4F47A9" w14:textId="77777777" w:rsidR="00254276" w:rsidRPr="00ED5AA4" w:rsidRDefault="00254276" w:rsidP="00B60E8E">
            <w:pPr>
              <w:spacing w:before="40" w:after="20"/>
              <w:jc w:val="left"/>
              <w:rPr>
                <w:color w:val="000000"/>
                <w:szCs w:val="22"/>
                <w:lang w:val="en-GB" w:eastAsia="fr-CH"/>
              </w:rPr>
            </w:pPr>
            <w:r w:rsidRPr="00ED5AA4">
              <w:rPr>
                <w:color w:val="000000"/>
                <w:szCs w:val="22"/>
                <w:lang w:val="en-GB" w:eastAsia="fr-CH"/>
              </w:rPr>
              <w:t>Safety Data Collection, Processing and Reporting at MSF Pharmacovigilance unit</w:t>
            </w:r>
          </w:p>
        </w:tc>
      </w:tr>
      <w:tr w:rsidR="00254276" w:rsidRPr="00225F0F" w14:paraId="1B4F47AE" w14:textId="77777777" w:rsidTr="00225F0F">
        <w:trPr>
          <w:trHeight w:val="127"/>
        </w:trPr>
        <w:tc>
          <w:tcPr>
            <w:tcW w:w="1488" w:type="dxa"/>
            <w:vMerge/>
            <w:shd w:val="clear" w:color="auto" w:fill="auto"/>
            <w:noWrap/>
          </w:tcPr>
          <w:p w14:paraId="1B4F47AB" w14:textId="77777777" w:rsidR="00254276" w:rsidRPr="00ED5AA4" w:rsidRDefault="00254276" w:rsidP="00B60E8E">
            <w:pPr>
              <w:spacing w:before="40" w:after="20"/>
              <w:jc w:val="left"/>
              <w:rPr>
                <w:color w:val="000000"/>
                <w:szCs w:val="22"/>
                <w:lang w:val="en-GB" w:eastAsia="fr-CH"/>
              </w:rPr>
            </w:pPr>
          </w:p>
        </w:tc>
        <w:tc>
          <w:tcPr>
            <w:tcW w:w="1134" w:type="dxa"/>
            <w:shd w:val="clear" w:color="auto" w:fill="auto"/>
            <w:vAlign w:val="center"/>
            <w:hideMark/>
          </w:tcPr>
          <w:p w14:paraId="1B4F47AC" w14:textId="77777777" w:rsidR="00254276" w:rsidRPr="00ED5AA4" w:rsidRDefault="00254276" w:rsidP="00B60E8E">
            <w:pPr>
              <w:spacing w:before="40" w:after="20"/>
              <w:jc w:val="left"/>
              <w:rPr>
                <w:color w:val="000000"/>
                <w:szCs w:val="22"/>
                <w:lang w:val="en-GB" w:eastAsia="fr-CH"/>
              </w:rPr>
            </w:pPr>
            <w:r w:rsidRPr="00ED5AA4">
              <w:rPr>
                <w:color w:val="000000"/>
                <w:szCs w:val="22"/>
                <w:lang w:val="en-GB" w:eastAsia="fr-CH"/>
              </w:rPr>
              <w:t>PV-TB-P02</w:t>
            </w:r>
          </w:p>
        </w:tc>
        <w:tc>
          <w:tcPr>
            <w:tcW w:w="6878" w:type="dxa"/>
            <w:shd w:val="clear" w:color="auto" w:fill="auto"/>
            <w:vAlign w:val="center"/>
            <w:hideMark/>
          </w:tcPr>
          <w:p w14:paraId="1B4F47AD" w14:textId="77777777" w:rsidR="00254276" w:rsidRPr="00ED5AA4" w:rsidRDefault="00254276" w:rsidP="00B60E8E">
            <w:pPr>
              <w:spacing w:before="40" w:after="20"/>
              <w:jc w:val="left"/>
              <w:rPr>
                <w:color w:val="000000"/>
                <w:szCs w:val="22"/>
                <w:lang w:val="en-GB" w:eastAsia="fr-CH"/>
              </w:rPr>
            </w:pPr>
            <w:r w:rsidRPr="00ED5AA4">
              <w:rPr>
                <w:color w:val="000000"/>
                <w:szCs w:val="22"/>
                <w:lang w:val="en-GB" w:eastAsia="fr-CH"/>
              </w:rPr>
              <w:t>Safety Database Administration</w:t>
            </w:r>
          </w:p>
        </w:tc>
      </w:tr>
      <w:tr w:rsidR="00254276" w:rsidRPr="00225F0F" w14:paraId="1B4F47B2" w14:textId="77777777" w:rsidTr="00225F0F">
        <w:trPr>
          <w:trHeight w:val="77"/>
        </w:trPr>
        <w:tc>
          <w:tcPr>
            <w:tcW w:w="1488" w:type="dxa"/>
            <w:vMerge/>
            <w:shd w:val="clear" w:color="auto" w:fill="auto"/>
            <w:noWrap/>
          </w:tcPr>
          <w:p w14:paraId="1B4F47AF" w14:textId="77777777" w:rsidR="00254276" w:rsidRPr="00ED5AA4" w:rsidRDefault="00254276" w:rsidP="00B60E8E">
            <w:pPr>
              <w:spacing w:before="40" w:after="20"/>
              <w:jc w:val="left"/>
              <w:rPr>
                <w:color w:val="000000"/>
                <w:szCs w:val="22"/>
                <w:lang w:val="en-GB" w:eastAsia="fr-CH"/>
              </w:rPr>
            </w:pPr>
          </w:p>
        </w:tc>
        <w:tc>
          <w:tcPr>
            <w:tcW w:w="1134" w:type="dxa"/>
            <w:shd w:val="clear" w:color="auto" w:fill="auto"/>
            <w:vAlign w:val="center"/>
            <w:hideMark/>
          </w:tcPr>
          <w:p w14:paraId="1B4F47B0" w14:textId="77777777" w:rsidR="00254276" w:rsidRPr="00ED5AA4" w:rsidRDefault="00254276" w:rsidP="00B60E8E">
            <w:pPr>
              <w:spacing w:before="40" w:after="20"/>
              <w:jc w:val="left"/>
              <w:rPr>
                <w:color w:val="000000"/>
                <w:szCs w:val="22"/>
                <w:lang w:val="en-GB" w:eastAsia="fr-CH"/>
              </w:rPr>
            </w:pPr>
            <w:r w:rsidRPr="00ED5AA4">
              <w:rPr>
                <w:color w:val="000000"/>
                <w:szCs w:val="22"/>
                <w:lang w:val="en-GB" w:eastAsia="fr-CH"/>
              </w:rPr>
              <w:t>PV-TB-P03</w:t>
            </w:r>
          </w:p>
        </w:tc>
        <w:tc>
          <w:tcPr>
            <w:tcW w:w="6878" w:type="dxa"/>
            <w:shd w:val="clear" w:color="auto" w:fill="auto"/>
            <w:vAlign w:val="center"/>
            <w:hideMark/>
          </w:tcPr>
          <w:p w14:paraId="1B4F47B1" w14:textId="77777777" w:rsidR="00254276" w:rsidRPr="00ED5AA4" w:rsidRDefault="00254276" w:rsidP="00B60E8E">
            <w:pPr>
              <w:spacing w:before="40" w:after="20"/>
              <w:jc w:val="left"/>
              <w:rPr>
                <w:color w:val="000000"/>
                <w:szCs w:val="22"/>
                <w:lang w:val="en-GB" w:eastAsia="fr-CH"/>
              </w:rPr>
            </w:pPr>
            <w:r w:rsidRPr="00ED5AA4">
              <w:rPr>
                <w:color w:val="000000"/>
                <w:szCs w:val="22"/>
                <w:lang w:val="en-GB" w:eastAsia="fr-CH"/>
              </w:rPr>
              <w:t>Data Entry Conventions</w:t>
            </w:r>
          </w:p>
        </w:tc>
      </w:tr>
      <w:tr w:rsidR="00254276" w:rsidRPr="00225F0F" w14:paraId="1B4F47B6" w14:textId="77777777" w:rsidTr="00225F0F">
        <w:trPr>
          <w:trHeight w:val="77"/>
        </w:trPr>
        <w:tc>
          <w:tcPr>
            <w:tcW w:w="1488" w:type="dxa"/>
            <w:vMerge/>
            <w:shd w:val="clear" w:color="auto" w:fill="auto"/>
            <w:noWrap/>
          </w:tcPr>
          <w:p w14:paraId="1B4F47B3" w14:textId="77777777" w:rsidR="00254276" w:rsidRPr="00ED5AA4" w:rsidRDefault="00254276" w:rsidP="00B60E8E">
            <w:pPr>
              <w:spacing w:before="40" w:after="20"/>
              <w:jc w:val="left"/>
              <w:rPr>
                <w:color w:val="000000"/>
                <w:szCs w:val="22"/>
                <w:lang w:val="en-GB" w:eastAsia="fr-CH"/>
              </w:rPr>
            </w:pPr>
          </w:p>
        </w:tc>
        <w:tc>
          <w:tcPr>
            <w:tcW w:w="1134" w:type="dxa"/>
            <w:shd w:val="clear" w:color="auto" w:fill="auto"/>
            <w:vAlign w:val="center"/>
            <w:hideMark/>
          </w:tcPr>
          <w:p w14:paraId="1B4F47B4" w14:textId="77777777" w:rsidR="00254276" w:rsidRPr="00ED5AA4" w:rsidRDefault="00254276" w:rsidP="00B60E8E">
            <w:pPr>
              <w:spacing w:before="40" w:after="20"/>
              <w:jc w:val="left"/>
              <w:rPr>
                <w:color w:val="000000"/>
                <w:szCs w:val="22"/>
                <w:lang w:val="en-GB" w:eastAsia="fr-CH"/>
              </w:rPr>
            </w:pPr>
            <w:r w:rsidRPr="00ED5AA4">
              <w:rPr>
                <w:color w:val="000000"/>
                <w:szCs w:val="22"/>
                <w:lang w:val="en-GB" w:eastAsia="fr-CH"/>
              </w:rPr>
              <w:t>PV-TB-P04</w:t>
            </w:r>
          </w:p>
        </w:tc>
        <w:tc>
          <w:tcPr>
            <w:tcW w:w="6878" w:type="dxa"/>
            <w:shd w:val="clear" w:color="auto" w:fill="auto"/>
            <w:vAlign w:val="center"/>
            <w:hideMark/>
          </w:tcPr>
          <w:p w14:paraId="1B4F47B5" w14:textId="77777777" w:rsidR="00254276" w:rsidRPr="00ED5AA4" w:rsidRDefault="00254276" w:rsidP="00B60E8E">
            <w:pPr>
              <w:spacing w:before="40" w:after="20"/>
              <w:jc w:val="left"/>
              <w:rPr>
                <w:color w:val="000000"/>
                <w:szCs w:val="22"/>
                <w:lang w:val="en-GB" w:eastAsia="fr-CH"/>
              </w:rPr>
            </w:pPr>
            <w:r w:rsidRPr="00ED5AA4">
              <w:rPr>
                <w:color w:val="000000"/>
                <w:szCs w:val="22"/>
                <w:lang w:val="en-GB" w:eastAsia="fr-CH"/>
              </w:rPr>
              <w:t>Compliance Measurement</w:t>
            </w:r>
          </w:p>
        </w:tc>
      </w:tr>
      <w:tr w:rsidR="00254276" w:rsidRPr="00225F0F" w14:paraId="1B4F47BA" w14:textId="77777777" w:rsidTr="00225F0F">
        <w:trPr>
          <w:trHeight w:val="77"/>
        </w:trPr>
        <w:tc>
          <w:tcPr>
            <w:tcW w:w="1488" w:type="dxa"/>
            <w:vMerge/>
            <w:shd w:val="clear" w:color="auto" w:fill="auto"/>
            <w:noWrap/>
          </w:tcPr>
          <w:p w14:paraId="1B4F47B7" w14:textId="77777777" w:rsidR="00254276" w:rsidRPr="00ED5AA4" w:rsidRDefault="00254276" w:rsidP="00B60E8E">
            <w:pPr>
              <w:spacing w:before="40" w:after="20"/>
              <w:jc w:val="left"/>
              <w:rPr>
                <w:color w:val="000000"/>
                <w:szCs w:val="22"/>
                <w:lang w:val="en-GB" w:eastAsia="fr-CH"/>
              </w:rPr>
            </w:pPr>
          </w:p>
        </w:tc>
        <w:tc>
          <w:tcPr>
            <w:tcW w:w="1134" w:type="dxa"/>
            <w:shd w:val="clear" w:color="auto" w:fill="auto"/>
            <w:vAlign w:val="center"/>
            <w:hideMark/>
          </w:tcPr>
          <w:p w14:paraId="1B4F47B8" w14:textId="77777777" w:rsidR="00254276" w:rsidRPr="00ED5AA4" w:rsidRDefault="00254276" w:rsidP="00B60E8E">
            <w:pPr>
              <w:spacing w:before="40" w:after="20"/>
              <w:jc w:val="left"/>
              <w:rPr>
                <w:color w:val="000000"/>
                <w:szCs w:val="22"/>
                <w:lang w:val="en-GB" w:eastAsia="fr-CH"/>
              </w:rPr>
            </w:pPr>
            <w:r w:rsidRPr="00ED5AA4">
              <w:rPr>
                <w:color w:val="000000"/>
                <w:szCs w:val="22"/>
                <w:lang w:val="en-GB" w:eastAsia="fr-CH"/>
              </w:rPr>
              <w:t>PV-TB-P05</w:t>
            </w:r>
          </w:p>
        </w:tc>
        <w:tc>
          <w:tcPr>
            <w:tcW w:w="6878" w:type="dxa"/>
            <w:shd w:val="clear" w:color="auto" w:fill="auto"/>
            <w:vAlign w:val="center"/>
            <w:hideMark/>
          </w:tcPr>
          <w:p w14:paraId="1B4F47B9" w14:textId="77777777" w:rsidR="00254276" w:rsidRPr="00ED5AA4" w:rsidRDefault="00254276" w:rsidP="00B60E8E">
            <w:pPr>
              <w:spacing w:before="40" w:after="20"/>
              <w:jc w:val="left"/>
              <w:rPr>
                <w:color w:val="000000"/>
                <w:szCs w:val="22"/>
                <w:lang w:val="en-GB" w:eastAsia="fr-CH"/>
              </w:rPr>
            </w:pPr>
            <w:r w:rsidRPr="00ED5AA4">
              <w:rPr>
                <w:color w:val="000000"/>
                <w:szCs w:val="22"/>
                <w:lang w:val="en-GB" w:eastAsia="fr-CH"/>
              </w:rPr>
              <w:t>Safety Signal Management and Safety Communication</w:t>
            </w:r>
          </w:p>
        </w:tc>
      </w:tr>
      <w:tr w:rsidR="00254276" w:rsidRPr="00225F0F" w14:paraId="1B4F47BE" w14:textId="77777777" w:rsidTr="00225F0F">
        <w:trPr>
          <w:trHeight w:val="77"/>
        </w:trPr>
        <w:tc>
          <w:tcPr>
            <w:tcW w:w="1488" w:type="dxa"/>
            <w:vMerge/>
            <w:shd w:val="clear" w:color="auto" w:fill="auto"/>
            <w:noWrap/>
          </w:tcPr>
          <w:p w14:paraId="1B4F47BB" w14:textId="77777777" w:rsidR="00254276" w:rsidRPr="00ED5AA4" w:rsidRDefault="00254276" w:rsidP="00B60E8E">
            <w:pPr>
              <w:spacing w:before="40" w:after="20"/>
              <w:jc w:val="left"/>
              <w:rPr>
                <w:color w:val="000000"/>
                <w:szCs w:val="22"/>
                <w:lang w:val="en-GB" w:eastAsia="fr-CH"/>
              </w:rPr>
            </w:pPr>
          </w:p>
        </w:tc>
        <w:tc>
          <w:tcPr>
            <w:tcW w:w="1134" w:type="dxa"/>
            <w:shd w:val="clear" w:color="auto" w:fill="auto"/>
            <w:vAlign w:val="center"/>
            <w:hideMark/>
          </w:tcPr>
          <w:p w14:paraId="1B4F47BC" w14:textId="77777777" w:rsidR="00254276" w:rsidRPr="00ED5AA4" w:rsidRDefault="00254276" w:rsidP="00B60E8E">
            <w:pPr>
              <w:spacing w:before="40" w:after="20"/>
              <w:jc w:val="left"/>
              <w:rPr>
                <w:color w:val="000000"/>
                <w:szCs w:val="22"/>
                <w:lang w:val="en-GB" w:eastAsia="fr-CH"/>
              </w:rPr>
            </w:pPr>
            <w:r w:rsidRPr="00ED5AA4">
              <w:rPr>
                <w:color w:val="000000"/>
                <w:szCs w:val="22"/>
                <w:lang w:val="en-GB" w:eastAsia="fr-CH"/>
              </w:rPr>
              <w:t>PV-TB-P06</w:t>
            </w:r>
          </w:p>
        </w:tc>
        <w:tc>
          <w:tcPr>
            <w:tcW w:w="6878" w:type="dxa"/>
            <w:shd w:val="clear" w:color="auto" w:fill="auto"/>
            <w:vAlign w:val="center"/>
            <w:hideMark/>
          </w:tcPr>
          <w:p w14:paraId="1B4F47BD" w14:textId="77777777" w:rsidR="00254276" w:rsidRPr="00ED5AA4" w:rsidRDefault="00254276" w:rsidP="00B60E8E">
            <w:pPr>
              <w:spacing w:before="40" w:after="20"/>
              <w:jc w:val="left"/>
              <w:rPr>
                <w:color w:val="000000"/>
                <w:szCs w:val="22"/>
                <w:lang w:val="en-GB" w:eastAsia="fr-CH"/>
              </w:rPr>
            </w:pPr>
            <w:r w:rsidRPr="00ED5AA4">
              <w:rPr>
                <w:color w:val="000000"/>
                <w:szCs w:val="22"/>
                <w:lang w:val="en-GB" w:eastAsia="fr-CH"/>
              </w:rPr>
              <w:t>Periodic Safety Reports for Clinical Trials Sponsored by MSF</w:t>
            </w:r>
          </w:p>
        </w:tc>
      </w:tr>
      <w:tr w:rsidR="00254276" w:rsidRPr="00225F0F" w14:paraId="1B4F47C2" w14:textId="77777777" w:rsidTr="00225F0F">
        <w:trPr>
          <w:trHeight w:val="77"/>
        </w:trPr>
        <w:tc>
          <w:tcPr>
            <w:tcW w:w="1488" w:type="dxa"/>
            <w:vMerge/>
            <w:shd w:val="clear" w:color="auto" w:fill="auto"/>
            <w:noWrap/>
          </w:tcPr>
          <w:p w14:paraId="1B4F47BF" w14:textId="77777777" w:rsidR="00254276" w:rsidRPr="00ED5AA4" w:rsidRDefault="00254276" w:rsidP="00B60E8E">
            <w:pPr>
              <w:spacing w:before="40" w:after="20"/>
              <w:jc w:val="left"/>
              <w:rPr>
                <w:color w:val="000000"/>
                <w:szCs w:val="22"/>
                <w:lang w:val="en-GB" w:eastAsia="fr-CH"/>
              </w:rPr>
            </w:pPr>
          </w:p>
        </w:tc>
        <w:tc>
          <w:tcPr>
            <w:tcW w:w="1134" w:type="dxa"/>
            <w:shd w:val="clear" w:color="auto" w:fill="auto"/>
            <w:vAlign w:val="center"/>
            <w:hideMark/>
          </w:tcPr>
          <w:p w14:paraId="1B4F47C0" w14:textId="77777777" w:rsidR="00254276" w:rsidRPr="00ED5AA4" w:rsidRDefault="00254276" w:rsidP="00B60E8E">
            <w:pPr>
              <w:spacing w:before="40" w:after="20"/>
              <w:jc w:val="left"/>
              <w:rPr>
                <w:color w:val="000000"/>
                <w:szCs w:val="22"/>
                <w:lang w:val="en-GB" w:eastAsia="fr-CH"/>
              </w:rPr>
            </w:pPr>
            <w:r w:rsidRPr="00ED5AA4">
              <w:rPr>
                <w:color w:val="000000"/>
                <w:szCs w:val="22"/>
                <w:lang w:val="en-GB" w:eastAsia="fr-CH"/>
              </w:rPr>
              <w:t>PV-TB-P07</w:t>
            </w:r>
          </w:p>
        </w:tc>
        <w:tc>
          <w:tcPr>
            <w:tcW w:w="6878" w:type="dxa"/>
            <w:shd w:val="clear" w:color="auto" w:fill="auto"/>
            <w:vAlign w:val="center"/>
            <w:hideMark/>
          </w:tcPr>
          <w:p w14:paraId="1B4F47C1" w14:textId="77777777" w:rsidR="00254276" w:rsidRPr="00ED5AA4" w:rsidRDefault="00254276" w:rsidP="00B60E8E">
            <w:pPr>
              <w:spacing w:before="40" w:after="20"/>
              <w:jc w:val="left"/>
              <w:rPr>
                <w:color w:val="000000"/>
                <w:szCs w:val="22"/>
                <w:lang w:val="en-GB" w:eastAsia="fr-CH"/>
              </w:rPr>
            </w:pPr>
            <w:r w:rsidRPr="00ED5AA4">
              <w:rPr>
                <w:color w:val="000000"/>
                <w:szCs w:val="22"/>
                <w:lang w:val="en-GB" w:eastAsia="fr-CH"/>
              </w:rPr>
              <w:t>Audits and inspections</w:t>
            </w:r>
          </w:p>
        </w:tc>
      </w:tr>
      <w:tr w:rsidR="00254276" w:rsidRPr="00225F0F" w14:paraId="1B4F47C6" w14:textId="77777777" w:rsidTr="00225F0F">
        <w:trPr>
          <w:trHeight w:val="77"/>
        </w:trPr>
        <w:tc>
          <w:tcPr>
            <w:tcW w:w="1488" w:type="dxa"/>
            <w:vMerge/>
            <w:shd w:val="clear" w:color="auto" w:fill="auto"/>
            <w:noWrap/>
          </w:tcPr>
          <w:p w14:paraId="1B4F47C3" w14:textId="77777777" w:rsidR="00254276" w:rsidRPr="00ED5AA4" w:rsidRDefault="00254276" w:rsidP="00B60E8E">
            <w:pPr>
              <w:spacing w:before="40" w:after="20"/>
              <w:jc w:val="left"/>
              <w:rPr>
                <w:color w:val="000000"/>
                <w:szCs w:val="22"/>
                <w:lang w:val="en-GB" w:eastAsia="fr-CH"/>
              </w:rPr>
            </w:pPr>
          </w:p>
        </w:tc>
        <w:tc>
          <w:tcPr>
            <w:tcW w:w="1134" w:type="dxa"/>
            <w:shd w:val="clear" w:color="auto" w:fill="auto"/>
            <w:vAlign w:val="center"/>
            <w:hideMark/>
          </w:tcPr>
          <w:p w14:paraId="1B4F47C4" w14:textId="77777777" w:rsidR="00254276" w:rsidRPr="00ED5AA4" w:rsidRDefault="00254276" w:rsidP="00B60E8E">
            <w:pPr>
              <w:spacing w:before="40" w:after="20"/>
              <w:jc w:val="left"/>
              <w:rPr>
                <w:color w:val="000000"/>
                <w:szCs w:val="22"/>
                <w:lang w:val="en-GB" w:eastAsia="fr-CH"/>
              </w:rPr>
            </w:pPr>
            <w:r w:rsidRPr="00ED5AA4">
              <w:rPr>
                <w:color w:val="000000"/>
                <w:szCs w:val="22"/>
                <w:lang w:val="en-GB" w:eastAsia="fr-CH"/>
              </w:rPr>
              <w:t>PV-TB-P08</w:t>
            </w:r>
          </w:p>
        </w:tc>
        <w:tc>
          <w:tcPr>
            <w:tcW w:w="6878" w:type="dxa"/>
            <w:shd w:val="clear" w:color="auto" w:fill="auto"/>
            <w:vAlign w:val="center"/>
            <w:hideMark/>
          </w:tcPr>
          <w:p w14:paraId="1B4F47C5" w14:textId="77777777" w:rsidR="00254276" w:rsidRPr="00ED5AA4" w:rsidRDefault="00254276" w:rsidP="00B60E8E">
            <w:pPr>
              <w:spacing w:before="40" w:after="20"/>
              <w:jc w:val="left"/>
              <w:rPr>
                <w:color w:val="000000"/>
                <w:szCs w:val="22"/>
                <w:lang w:val="en-GB" w:eastAsia="fr-CH"/>
              </w:rPr>
            </w:pPr>
            <w:r w:rsidRPr="00ED5AA4">
              <w:rPr>
                <w:color w:val="000000"/>
                <w:szCs w:val="22"/>
                <w:lang w:val="en-GB" w:eastAsia="fr-CH"/>
              </w:rPr>
              <w:t>Quality Document Management System</w:t>
            </w:r>
          </w:p>
        </w:tc>
      </w:tr>
      <w:tr w:rsidR="00254276" w:rsidRPr="00225F0F" w14:paraId="1B4F47CA" w14:textId="77777777" w:rsidTr="00225F0F">
        <w:trPr>
          <w:trHeight w:val="398"/>
        </w:trPr>
        <w:tc>
          <w:tcPr>
            <w:tcW w:w="1488" w:type="dxa"/>
            <w:vMerge w:val="restart"/>
            <w:shd w:val="clear" w:color="auto" w:fill="auto"/>
            <w:noWrap/>
          </w:tcPr>
          <w:p w14:paraId="1B4F47C7" w14:textId="77777777" w:rsidR="00254276" w:rsidRPr="00ED5AA4" w:rsidRDefault="00254276" w:rsidP="00B60E8E">
            <w:pPr>
              <w:spacing w:before="40" w:after="20"/>
              <w:jc w:val="left"/>
              <w:rPr>
                <w:color w:val="000000"/>
                <w:szCs w:val="22"/>
                <w:lang w:val="en-GB" w:eastAsia="fr-CH"/>
              </w:rPr>
            </w:pPr>
            <w:r w:rsidRPr="00225F0F">
              <w:rPr>
                <w:color w:val="000000"/>
                <w:szCs w:val="22"/>
                <w:lang w:val="en-GB" w:eastAsia="fr-CH"/>
              </w:rPr>
              <w:t>PV Unit Standard Report Forms</w:t>
            </w:r>
          </w:p>
        </w:tc>
        <w:tc>
          <w:tcPr>
            <w:tcW w:w="1134" w:type="dxa"/>
            <w:shd w:val="clear" w:color="auto" w:fill="auto"/>
            <w:vAlign w:val="center"/>
            <w:hideMark/>
          </w:tcPr>
          <w:p w14:paraId="1B4F47C8" w14:textId="77777777" w:rsidR="00254276" w:rsidRPr="00ED5AA4" w:rsidRDefault="00254276" w:rsidP="00B60E8E">
            <w:pPr>
              <w:spacing w:before="40" w:after="20"/>
              <w:jc w:val="left"/>
              <w:rPr>
                <w:color w:val="000000"/>
                <w:szCs w:val="22"/>
                <w:lang w:val="en-GB" w:eastAsia="fr-CH"/>
              </w:rPr>
            </w:pPr>
            <w:r w:rsidRPr="00ED5AA4">
              <w:rPr>
                <w:color w:val="000000"/>
                <w:szCs w:val="22"/>
                <w:lang w:val="en-GB" w:eastAsia="fr-CH"/>
              </w:rPr>
              <w:t>PV-TB-F01</w:t>
            </w:r>
          </w:p>
        </w:tc>
        <w:tc>
          <w:tcPr>
            <w:tcW w:w="6878" w:type="dxa"/>
            <w:shd w:val="clear" w:color="auto" w:fill="auto"/>
            <w:vAlign w:val="center"/>
            <w:hideMark/>
          </w:tcPr>
          <w:p w14:paraId="1B4F47C9" w14:textId="77777777" w:rsidR="00254276" w:rsidRPr="00ED5AA4" w:rsidRDefault="00254276" w:rsidP="00B60E8E">
            <w:pPr>
              <w:spacing w:before="40" w:after="20"/>
              <w:jc w:val="left"/>
              <w:rPr>
                <w:color w:val="000000"/>
                <w:szCs w:val="22"/>
                <w:lang w:val="en-GB" w:eastAsia="fr-CH"/>
              </w:rPr>
            </w:pPr>
            <w:r w:rsidRPr="00ED5AA4">
              <w:rPr>
                <w:color w:val="000000"/>
                <w:szCs w:val="22"/>
                <w:lang w:val="en-GB" w:eastAsia="fr-CH"/>
              </w:rPr>
              <w:t>SAE Report Form</w:t>
            </w:r>
          </w:p>
        </w:tc>
      </w:tr>
      <w:tr w:rsidR="00254276" w:rsidRPr="00225F0F" w14:paraId="1B4F47CE" w14:textId="77777777" w:rsidTr="00225F0F">
        <w:trPr>
          <w:trHeight w:val="398"/>
        </w:trPr>
        <w:tc>
          <w:tcPr>
            <w:tcW w:w="1488" w:type="dxa"/>
            <w:vMerge/>
            <w:shd w:val="clear" w:color="auto" w:fill="auto"/>
            <w:noWrap/>
          </w:tcPr>
          <w:p w14:paraId="1B4F47CB" w14:textId="77777777" w:rsidR="00254276" w:rsidRPr="00ED5AA4" w:rsidRDefault="00254276" w:rsidP="00B60E8E">
            <w:pPr>
              <w:spacing w:before="40" w:after="20"/>
              <w:jc w:val="left"/>
              <w:rPr>
                <w:color w:val="000000"/>
                <w:szCs w:val="22"/>
                <w:lang w:val="en-GB" w:eastAsia="fr-CH"/>
              </w:rPr>
            </w:pPr>
          </w:p>
        </w:tc>
        <w:tc>
          <w:tcPr>
            <w:tcW w:w="1134" w:type="dxa"/>
            <w:shd w:val="clear" w:color="auto" w:fill="auto"/>
            <w:vAlign w:val="center"/>
            <w:hideMark/>
          </w:tcPr>
          <w:p w14:paraId="1B4F47CC" w14:textId="77777777" w:rsidR="00254276" w:rsidRPr="00ED5AA4" w:rsidRDefault="00254276" w:rsidP="00B60E8E">
            <w:pPr>
              <w:spacing w:before="40" w:after="20"/>
              <w:jc w:val="left"/>
              <w:rPr>
                <w:color w:val="000000"/>
                <w:szCs w:val="22"/>
                <w:lang w:val="en-GB" w:eastAsia="fr-CH"/>
              </w:rPr>
            </w:pPr>
            <w:r w:rsidRPr="00ED5AA4">
              <w:rPr>
                <w:color w:val="000000"/>
                <w:szCs w:val="22"/>
                <w:lang w:val="en-GB" w:eastAsia="fr-CH"/>
              </w:rPr>
              <w:t>PV-TB-F02</w:t>
            </w:r>
          </w:p>
        </w:tc>
        <w:tc>
          <w:tcPr>
            <w:tcW w:w="6878" w:type="dxa"/>
            <w:shd w:val="clear" w:color="auto" w:fill="auto"/>
            <w:vAlign w:val="center"/>
            <w:hideMark/>
          </w:tcPr>
          <w:p w14:paraId="1B4F47CD" w14:textId="77777777" w:rsidR="00254276" w:rsidRPr="00ED5AA4" w:rsidRDefault="00254276" w:rsidP="00B60E8E">
            <w:pPr>
              <w:spacing w:before="40" w:after="20"/>
              <w:jc w:val="left"/>
              <w:rPr>
                <w:color w:val="000000"/>
                <w:szCs w:val="22"/>
                <w:lang w:val="en-GB" w:eastAsia="fr-CH"/>
              </w:rPr>
            </w:pPr>
            <w:r w:rsidRPr="00ED5AA4">
              <w:rPr>
                <w:color w:val="000000"/>
                <w:szCs w:val="22"/>
                <w:lang w:val="en-GB" w:eastAsia="fr-CH"/>
              </w:rPr>
              <w:t>Pregnancy Report Form</w:t>
            </w:r>
          </w:p>
        </w:tc>
      </w:tr>
      <w:tr w:rsidR="00315539" w:rsidRPr="00225F0F" w14:paraId="1B4F47D2" w14:textId="77777777" w:rsidTr="00225F0F">
        <w:trPr>
          <w:trHeight w:val="77"/>
        </w:trPr>
        <w:tc>
          <w:tcPr>
            <w:tcW w:w="1488" w:type="dxa"/>
            <w:vMerge w:val="restart"/>
            <w:shd w:val="clear" w:color="auto" w:fill="auto"/>
            <w:hideMark/>
          </w:tcPr>
          <w:p w14:paraId="1B4F47CF" w14:textId="77777777" w:rsidR="00315539" w:rsidRPr="00ED5AA4" w:rsidRDefault="00315539" w:rsidP="00B60E8E">
            <w:pPr>
              <w:spacing w:before="40" w:after="20"/>
              <w:jc w:val="left"/>
              <w:rPr>
                <w:color w:val="000000"/>
                <w:szCs w:val="22"/>
                <w:lang w:val="en-GB" w:eastAsia="fr-CH"/>
              </w:rPr>
            </w:pPr>
            <w:r w:rsidRPr="00225F0F">
              <w:rPr>
                <w:color w:val="000000"/>
                <w:szCs w:val="22"/>
                <w:lang w:val="en-GB" w:eastAsia="fr-CH"/>
              </w:rPr>
              <w:t>PV Unit Standard</w:t>
            </w:r>
            <w:r w:rsidRPr="00ED5AA4">
              <w:rPr>
                <w:color w:val="000000"/>
                <w:szCs w:val="22"/>
                <w:lang w:val="en-GB" w:eastAsia="fr-CH"/>
              </w:rPr>
              <w:t xml:space="preserve"> </w:t>
            </w:r>
            <w:r w:rsidRPr="00225F0F">
              <w:rPr>
                <w:color w:val="000000"/>
                <w:szCs w:val="22"/>
                <w:lang w:val="en-GB" w:eastAsia="fr-CH"/>
              </w:rPr>
              <w:t xml:space="preserve">and Project –specific Reference </w:t>
            </w:r>
            <w:r w:rsidRPr="00ED5AA4">
              <w:rPr>
                <w:color w:val="000000"/>
                <w:szCs w:val="22"/>
                <w:lang w:val="en-GB" w:eastAsia="fr-CH"/>
              </w:rPr>
              <w:t>Documents</w:t>
            </w:r>
          </w:p>
        </w:tc>
        <w:tc>
          <w:tcPr>
            <w:tcW w:w="1134" w:type="dxa"/>
            <w:shd w:val="clear" w:color="auto" w:fill="auto"/>
            <w:vAlign w:val="center"/>
            <w:hideMark/>
          </w:tcPr>
          <w:p w14:paraId="1B4F47D0"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PV-TB-D01</w:t>
            </w:r>
          </w:p>
        </w:tc>
        <w:tc>
          <w:tcPr>
            <w:tcW w:w="6878" w:type="dxa"/>
            <w:shd w:val="clear" w:color="auto" w:fill="auto"/>
            <w:vAlign w:val="center"/>
            <w:hideMark/>
          </w:tcPr>
          <w:p w14:paraId="1B4F47D1"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SAE Report Form completion guideline</w:t>
            </w:r>
          </w:p>
        </w:tc>
      </w:tr>
      <w:tr w:rsidR="00315539" w:rsidRPr="00225F0F" w14:paraId="1B4F47D6" w14:textId="77777777" w:rsidTr="00225F0F">
        <w:trPr>
          <w:trHeight w:val="77"/>
        </w:trPr>
        <w:tc>
          <w:tcPr>
            <w:tcW w:w="1488" w:type="dxa"/>
            <w:vMerge/>
            <w:shd w:val="clear" w:color="auto" w:fill="auto"/>
          </w:tcPr>
          <w:p w14:paraId="1B4F47D3" w14:textId="77777777" w:rsidR="00315539" w:rsidRPr="00ED5AA4" w:rsidRDefault="00315539" w:rsidP="00B60E8E">
            <w:pPr>
              <w:spacing w:before="40" w:after="20"/>
              <w:jc w:val="left"/>
              <w:rPr>
                <w:color w:val="000000"/>
                <w:szCs w:val="22"/>
                <w:lang w:val="en-GB" w:eastAsia="fr-CH"/>
              </w:rPr>
            </w:pPr>
          </w:p>
        </w:tc>
        <w:tc>
          <w:tcPr>
            <w:tcW w:w="1134" w:type="dxa"/>
            <w:shd w:val="clear" w:color="auto" w:fill="auto"/>
            <w:vAlign w:val="center"/>
            <w:hideMark/>
          </w:tcPr>
          <w:p w14:paraId="1B4F47D4"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PV-TB-D02</w:t>
            </w:r>
          </w:p>
        </w:tc>
        <w:tc>
          <w:tcPr>
            <w:tcW w:w="6878" w:type="dxa"/>
            <w:shd w:val="clear" w:color="auto" w:fill="auto"/>
            <w:vAlign w:val="center"/>
            <w:hideMark/>
          </w:tcPr>
          <w:p w14:paraId="1B4F47D5"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Pregnancy Report Form completion guideline</w:t>
            </w:r>
          </w:p>
        </w:tc>
      </w:tr>
      <w:tr w:rsidR="00315539" w:rsidRPr="00225F0F" w14:paraId="1B4F47DA" w14:textId="77777777" w:rsidTr="00225F0F">
        <w:trPr>
          <w:trHeight w:val="77"/>
        </w:trPr>
        <w:tc>
          <w:tcPr>
            <w:tcW w:w="1488" w:type="dxa"/>
            <w:vMerge/>
            <w:shd w:val="clear" w:color="auto" w:fill="auto"/>
          </w:tcPr>
          <w:p w14:paraId="1B4F47D7" w14:textId="77777777" w:rsidR="00315539" w:rsidRPr="00ED5AA4" w:rsidRDefault="00315539" w:rsidP="00B60E8E">
            <w:pPr>
              <w:spacing w:before="40" w:after="20"/>
              <w:jc w:val="left"/>
              <w:rPr>
                <w:color w:val="000000"/>
                <w:szCs w:val="22"/>
                <w:lang w:val="en-GB" w:eastAsia="fr-CH"/>
              </w:rPr>
            </w:pPr>
          </w:p>
        </w:tc>
        <w:tc>
          <w:tcPr>
            <w:tcW w:w="1134" w:type="dxa"/>
            <w:shd w:val="clear" w:color="auto" w:fill="auto"/>
            <w:vAlign w:val="center"/>
            <w:hideMark/>
          </w:tcPr>
          <w:p w14:paraId="1B4F47D8"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PV-TB-D03</w:t>
            </w:r>
          </w:p>
        </w:tc>
        <w:tc>
          <w:tcPr>
            <w:tcW w:w="6878" w:type="dxa"/>
            <w:shd w:val="clear" w:color="auto" w:fill="auto"/>
            <w:vAlign w:val="center"/>
            <w:hideMark/>
          </w:tcPr>
          <w:p w14:paraId="1B4F47D9"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Causality assessment aide-memoire</w:t>
            </w:r>
          </w:p>
        </w:tc>
      </w:tr>
      <w:tr w:rsidR="00315539" w:rsidRPr="00225F0F" w14:paraId="1B4F47DE" w14:textId="77777777" w:rsidTr="00225F0F">
        <w:trPr>
          <w:trHeight w:val="77"/>
        </w:trPr>
        <w:tc>
          <w:tcPr>
            <w:tcW w:w="1488" w:type="dxa"/>
            <w:vMerge/>
            <w:shd w:val="clear" w:color="auto" w:fill="auto"/>
          </w:tcPr>
          <w:p w14:paraId="1B4F47DB" w14:textId="77777777" w:rsidR="00315539" w:rsidRPr="00ED5AA4" w:rsidRDefault="00315539" w:rsidP="00B60E8E">
            <w:pPr>
              <w:spacing w:before="40" w:after="20"/>
              <w:jc w:val="left"/>
              <w:rPr>
                <w:color w:val="000000"/>
                <w:szCs w:val="22"/>
                <w:lang w:val="en-GB" w:eastAsia="fr-CH"/>
              </w:rPr>
            </w:pPr>
          </w:p>
        </w:tc>
        <w:tc>
          <w:tcPr>
            <w:tcW w:w="1134" w:type="dxa"/>
            <w:shd w:val="clear" w:color="auto" w:fill="auto"/>
            <w:vAlign w:val="center"/>
            <w:hideMark/>
          </w:tcPr>
          <w:p w14:paraId="1B4F47DC"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PV-TB-D04</w:t>
            </w:r>
          </w:p>
        </w:tc>
        <w:tc>
          <w:tcPr>
            <w:tcW w:w="6878" w:type="dxa"/>
            <w:shd w:val="clear" w:color="auto" w:fill="auto"/>
            <w:vAlign w:val="center"/>
            <w:hideMark/>
          </w:tcPr>
          <w:p w14:paraId="1B4F47DD"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PVDB user training certificate template</w:t>
            </w:r>
          </w:p>
        </w:tc>
      </w:tr>
      <w:tr w:rsidR="00315539" w:rsidRPr="00225F0F" w14:paraId="1B4F47E2" w14:textId="77777777" w:rsidTr="00225F0F">
        <w:trPr>
          <w:trHeight w:val="77"/>
        </w:trPr>
        <w:tc>
          <w:tcPr>
            <w:tcW w:w="1488" w:type="dxa"/>
            <w:vMerge/>
            <w:shd w:val="clear" w:color="auto" w:fill="auto"/>
          </w:tcPr>
          <w:p w14:paraId="1B4F47DF" w14:textId="77777777" w:rsidR="00315539" w:rsidRPr="00ED5AA4" w:rsidRDefault="00315539" w:rsidP="00B60E8E">
            <w:pPr>
              <w:spacing w:before="40" w:after="20"/>
              <w:jc w:val="left"/>
              <w:rPr>
                <w:color w:val="000000"/>
                <w:szCs w:val="22"/>
                <w:lang w:val="en-GB" w:eastAsia="fr-CH"/>
              </w:rPr>
            </w:pPr>
          </w:p>
        </w:tc>
        <w:tc>
          <w:tcPr>
            <w:tcW w:w="1134" w:type="dxa"/>
            <w:shd w:val="clear" w:color="auto" w:fill="auto"/>
            <w:vAlign w:val="center"/>
            <w:hideMark/>
          </w:tcPr>
          <w:p w14:paraId="1B4F47E0"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PV-TB-D05</w:t>
            </w:r>
          </w:p>
        </w:tc>
        <w:tc>
          <w:tcPr>
            <w:tcW w:w="6878" w:type="dxa"/>
            <w:shd w:val="clear" w:color="auto" w:fill="auto"/>
            <w:vAlign w:val="center"/>
            <w:hideMark/>
          </w:tcPr>
          <w:p w14:paraId="1B4F47E1"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CAPA template</w:t>
            </w:r>
          </w:p>
        </w:tc>
      </w:tr>
      <w:tr w:rsidR="00315539" w:rsidRPr="00225F0F" w14:paraId="1B4F47E6" w14:textId="77777777" w:rsidTr="00225F0F">
        <w:trPr>
          <w:trHeight w:val="77"/>
        </w:trPr>
        <w:tc>
          <w:tcPr>
            <w:tcW w:w="1488" w:type="dxa"/>
            <w:vMerge/>
            <w:shd w:val="clear" w:color="auto" w:fill="auto"/>
          </w:tcPr>
          <w:p w14:paraId="1B4F47E3" w14:textId="77777777" w:rsidR="00315539" w:rsidRPr="00ED5AA4" w:rsidRDefault="00315539" w:rsidP="00B60E8E">
            <w:pPr>
              <w:spacing w:before="40" w:after="20"/>
              <w:jc w:val="left"/>
              <w:rPr>
                <w:color w:val="000000"/>
                <w:szCs w:val="22"/>
                <w:lang w:val="en-GB" w:eastAsia="fr-CH"/>
              </w:rPr>
            </w:pPr>
          </w:p>
        </w:tc>
        <w:tc>
          <w:tcPr>
            <w:tcW w:w="1134" w:type="dxa"/>
            <w:shd w:val="clear" w:color="auto" w:fill="auto"/>
            <w:vAlign w:val="center"/>
            <w:hideMark/>
          </w:tcPr>
          <w:p w14:paraId="1B4F47E4"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PV-TB-D06</w:t>
            </w:r>
          </w:p>
        </w:tc>
        <w:tc>
          <w:tcPr>
            <w:tcW w:w="6878" w:type="dxa"/>
            <w:shd w:val="clear" w:color="auto" w:fill="auto"/>
            <w:vAlign w:val="center"/>
            <w:hideMark/>
          </w:tcPr>
          <w:p w14:paraId="1B4F47E5"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Compliance report template</w:t>
            </w:r>
          </w:p>
        </w:tc>
      </w:tr>
      <w:tr w:rsidR="00315539" w:rsidRPr="00225F0F" w14:paraId="1B4F47EA" w14:textId="77777777" w:rsidTr="00225F0F">
        <w:trPr>
          <w:trHeight w:val="77"/>
        </w:trPr>
        <w:tc>
          <w:tcPr>
            <w:tcW w:w="1488" w:type="dxa"/>
            <w:vMerge/>
            <w:shd w:val="clear" w:color="auto" w:fill="auto"/>
          </w:tcPr>
          <w:p w14:paraId="1B4F47E7" w14:textId="77777777" w:rsidR="00315539" w:rsidRPr="00ED5AA4" w:rsidRDefault="00315539" w:rsidP="00B60E8E">
            <w:pPr>
              <w:spacing w:before="40" w:after="20"/>
              <w:jc w:val="left"/>
              <w:rPr>
                <w:szCs w:val="22"/>
                <w:lang w:val="en-GB" w:eastAsia="fr-CH"/>
              </w:rPr>
            </w:pPr>
          </w:p>
        </w:tc>
        <w:tc>
          <w:tcPr>
            <w:tcW w:w="1134" w:type="dxa"/>
            <w:shd w:val="clear" w:color="auto" w:fill="auto"/>
            <w:noWrap/>
            <w:vAlign w:val="center"/>
            <w:hideMark/>
          </w:tcPr>
          <w:p w14:paraId="1B4F47E8" w14:textId="77777777" w:rsidR="00315539" w:rsidRPr="00ED5AA4" w:rsidRDefault="00315539" w:rsidP="00B60E8E">
            <w:pPr>
              <w:spacing w:before="40" w:after="20"/>
              <w:jc w:val="left"/>
              <w:rPr>
                <w:szCs w:val="22"/>
                <w:lang w:val="en-GB" w:eastAsia="fr-CH"/>
              </w:rPr>
            </w:pPr>
            <w:r w:rsidRPr="00ED5AA4">
              <w:rPr>
                <w:szCs w:val="22"/>
                <w:lang w:val="en-GB" w:eastAsia="fr-CH"/>
              </w:rPr>
              <w:t>PV-TB-D07</w:t>
            </w:r>
          </w:p>
        </w:tc>
        <w:tc>
          <w:tcPr>
            <w:tcW w:w="6878" w:type="dxa"/>
            <w:shd w:val="clear" w:color="auto" w:fill="auto"/>
            <w:vAlign w:val="center"/>
            <w:hideMark/>
          </w:tcPr>
          <w:p w14:paraId="1B4F47E9" w14:textId="77777777" w:rsidR="00315539" w:rsidRPr="00ED5AA4" w:rsidRDefault="00315539" w:rsidP="00B60E8E">
            <w:pPr>
              <w:spacing w:before="40" w:after="20"/>
              <w:jc w:val="left"/>
              <w:rPr>
                <w:szCs w:val="22"/>
                <w:lang w:val="en-GB" w:eastAsia="fr-CH"/>
              </w:rPr>
            </w:pPr>
            <w:r w:rsidRPr="00ED5AA4">
              <w:rPr>
                <w:szCs w:val="22"/>
                <w:lang w:val="en-GB" w:eastAsia="fr-CH"/>
              </w:rPr>
              <w:t>Safety Data Management at MSF PV unit flow chart - TB</w:t>
            </w:r>
          </w:p>
        </w:tc>
      </w:tr>
      <w:tr w:rsidR="00315539" w:rsidRPr="00225F0F" w14:paraId="1B4F47EE" w14:textId="77777777" w:rsidTr="00225F0F">
        <w:trPr>
          <w:trHeight w:val="77"/>
        </w:trPr>
        <w:tc>
          <w:tcPr>
            <w:tcW w:w="1488" w:type="dxa"/>
            <w:vMerge/>
            <w:shd w:val="clear" w:color="auto" w:fill="auto"/>
          </w:tcPr>
          <w:p w14:paraId="1B4F47EB" w14:textId="77777777" w:rsidR="00315539" w:rsidRPr="00ED5AA4" w:rsidRDefault="00315539" w:rsidP="00B60E8E">
            <w:pPr>
              <w:spacing w:before="40" w:after="20"/>
              <w:jc w:val="left"/>
              <w:rPr>
                <w:color w:val="000000"/>
                <w:szCs w:val="22"/>
                <w:lang w:val="en-GB" w:eastAsia="fr-CH"/>
              </w:rPr>
            </w:pPr>
          </w:p>
        </w:tc>
        <w:tc>
          <w:tcPr>
            <w:tcW w:w="1134" w:type="dxa"/>
            <w:shd w:val="clear" w:color="auto" w:fill="auto"/>
            <w:noWrap/>
            <w:vAlign w:val="center"/>
            <w:hideMark/>
          </w:tcPr>
          <w:p w14:paraId="1B4F47EC"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PV-TB-D08</w:t>
            </w:r>
          </w:p>
        </w:tc>
        <w:tc>
          <w:tcPr>
            <w:tcW w:w="6878" w:type="dxa"/>
            <w:shd w:val="clear" w:color="auto" w:fill="auto"/>
            <w:vAlign w:val="center"/>
            <w:hideMark/>
          </w:tcPr>
          <w:p w14:paraId="1B4F47ED"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Narrative &amp; Company comment templates</w:t>
            </w:r>
          </w:p>
        </w:tc>
      </w:tr>
      <w:tr w:rsidR="00315539" w:rsidRPr="00225F0F" w14:paraId="1B4F47F2" w14:textId="77777777" w:rsidTr="00225F0F">
        <w:trPr>
          <w:trHeight w:val="77"/>
        </w:trPr>
        <w:tc>
          <w:tcPr>
            <w:tcW w:w="1488" w:type="dxa"/>
            <w:vMerge/>
            <w:shd w:val="clear" w:color="auto" w:fill="auto"/>
          </w:tcPr>
          <w:p w14:paraId="1B4F47EF" w14:textId="77777777" w:rsidR="00315539" w:rsidRPr="00ED5AA4" w:rsidRDefault="00315539" w:rsidP="00B60E8E">
            <w:pPr>
              <w:spacing w:before="40" w:after="20"/>
              <w:jc w:val="left"/>
              <w:rPr>
                <w:color w:val="000000"/>
                <w:szCs w:val="22"/>
                <w:lang w:val="en-GB" w:eastAsia="fr-CH"/>
              </w:rPr>
            </w:pPr>
          </w:p>
        </w:tc>
        <w:tc>
          <w:tcPr>
            <w:tcW w:w="1134" w:type="dxa"/>
            <w:shd w:val="clear" w:color="auto" w:fill="auto"/>
            <w:noWrap/>
            <w:vAlign w:val="center"/>
            <w:hideMark/>
          </w:tcPr>
          <w:p w14:paraId="1B4F47F0"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PV-TB-D09</w:t>
            </w:r>
          </w:p>
        </w:tc>
        <w:tc>
          <w:tcPr>
            <w:tcW w:w="6878" w:type="dxa"/>
            <w:shd w:val="clear" w:color="auto" w:fill="auto"/>
            <w:vAlign w:val="center"/>
            <w:hideMark/>
          </w:tcPr>
          <w:p w14:paraId="1B4F47F1"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DSUR template</w:t>
            </w:r>
          </w:p>
        </w:tc>
      </w:tr>
      <w:tr w:rsidR="00315539" w:rsidRPr="00225F0F" w14:paraId="1B4F47F6" w14:textId="77777777" w:rsidTr="00225F0F">
        <w:trPr>
          <w:trHeight w:val="77"/>
        </w:trPr>
        <w:tc>
          <w:tcPr>
            <w:tcW w:w="1488" w:type="dxa"/>
            <w:vMerge/>
            <w:shd w:val="clear" w:color="auto" w:fill="auto"/>
          </w:tcPr>
          <w:p w14:paraId="1B4F47F3" w14:textId="77777777" w:rsidR="00315539" w:rsidRPr="00ED5AA4" w:rsidRDefault="00315539" w:rsidP="00B60E8E">
            <w:pPr>
              <w:spacing w:before="40" w:after="20"/>
              <w:jc w:val="left"/>
              <w:rPr>
                <w:color w:val="000000"/>
                <w:szCs w:val="22"/>
                <w:lang w:val="en-GB" w:eastAsia="fr-CH"/>
              </w:rPr>
            </w:pPr>
          </w:p>
        </w:tc>
        <w:tc>
          <w:tcPr>
            <w:tcW w:w="1134" w:type="dxa"/>
            <w:shd w:val="clear" w:color="auto" w:fill="auto"/>
            <w:noWrap/>
            <w:vAlign w:val="center"/>
            <w:hideMark/>
          </w:tcPr>
          <w:p w14:paraId="1B4F47F4"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PV-TB-D10</w:t>
            </w:r>
          </w:p>
        </w:tc>
        <w:tc>
          <w:tcPr>
            <w:tcW w:w="6878" w:type="dxa"/>
            <w:shd w:val="clear" w:color="auto" w:fill="auto"/>
            <w:vAlign w:val="center"/>
            <w:hideMark/>
          </w:tcPr>
          <w:p w14:paraId="1B4F47F5"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Study Periodic Safety Reports (covering &lt;1 year) template</w:t>
            </w:r>
          </w:p>
        </w:tc>
      </w:tr>
      <w:tr w:rsidR="00315539" w:rsidRPr="00225F0F" w14:paraId="1B4F47FA" w14:textId="77777777" w:rsidTr="00225F0F">
        <w:trPr>
          <w:trHeight w:val="77"/>
        </w:trPr>
        <w:tc>
          <w:tcPr>
            <w:tcW w:w="1488" w:type="dxa"/>
            <w:vMerge/>
            <w:shd w:val="clear" w:color="auto" w:fill="auto"/>
          </w:tcPr>
          <w:p w14:paraId="1B4F47F7" w14:textId="77777777" w:rsidR="00315539" w:rsidRPr="00ED5AA4" w:rsidRDefault="00315539" w:rsidP="00B60E8E">
            <w:pPr>
              <w:spacing w:before="40" w:after="20"/>
              <w:jc w:val="left"/>
              <w:rPr>
                <w:color w:val="000000"/>
                <w:szCs w:val="22"/>
                <w:lang w:val="en-GB" w:eastAsia="fr-CH"/>
              </w:rPr>
            </w:pPr>
          </w:p>
        </w:tc>
        <w:tc>
          <w:tcPr>
            <w:tcW w:w="1134" w:type="dxa"/>
            <w:shd w:val="clear" w:color="auto" w:fill="auto"/>
            <w:noWrap/>
            <w:vAlign w:val="center"/>
            <w:hideMark/>
          </w:tcPr>
          <w:p w14:paraId="1B4F47F8"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PV-TB-D11</w:t>
            </w:r>
          </w:p>
        </w:tc>
        <w:tc>
          <w:tcPr>
            <w:tcW w:w="6878" w:type="dxa"/>
            <w:shd w:val="clear" w:color="auto" w:fill="auto"/>
            <w:vAlign w:val="center"/>
            <w:hideMark/>
          </w:tcPr>
          <w:p w14:paraId="1B4F47F9"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PV Unit Standard Operating Procedure Template</w:t>
            </w:r>
          </w:p>
        </w:tc>
      </w:tr>
      <w:tr w:rsidR="00315539" w:rsidRPr="00225F0F" w14:paraId="1B4F47FE" w14:textId="77777777" w:rsidTr="00225F0F">
        <w:trPr>
          <w:trHeight w:val="77"/>
        </w:trPr>
        <w:tc>
          <w:tcPr>
            <w:tcW w:w="1488" w:type="dxa"/>
            <w:vMerge/>
            <w:shd w:val="clear" w:color="auto" w:fill="auto"/>
          </w:tcPr>
          <w:p w14:paraId="1B4F47FB" w14:textId="77777777" w:rsidR="00315539" w:rsidRPr="00ED5AA4" w:rsidRDefault="00315539" w:rsidP="00B60E8E">
            <w:pPr>
              <w:spacing w:before="40" w:after="20"/>
              <w:jc w:val="left"/>
              <w:rPr>
                <w:szCs w:val="22"/>
                <w:lang w:val="en-GB" w:eastAsia="fr-CH"/>
              </w:rPr>
            </w:pPr>
          </w:p>
        </w:tc>
        <w:tc>
          <w:tcPr>
            <w:tcW w:w="1134" w:type="dxa"/>
            <w:shd w:val="clear" w:color="auto" w:fill="auto"/>
            <w:vAlign w:val="center"/>
            <w:hideMark/>
          </w:tcPr>
          <w:p w14:paraId="1B4F47FC" w14:textId="77777777" w:rsidR="00315539" w:rsidRPr="00ED5AA4" w:rsidRDefault="00315539" w:rsidP="00B60E8E">
            <w:pPr>
              <w:spacing w:before="40" w:after="20"/>
              <w:jc w:val="left"/>
              <w:rPr>
                <w:szCs w:val="22"/>
                <w:lang w:val="en-GB" w:eastAsia="fr-CH"/>
              </w:rPr>
            </w:pPr>
            <w:r w:rsidRPr="00ED5AA4">
              <w:rPr>
                <w:szCs w:val="22"/>
                <w:lang w:val="en-GB" w:eastAsia="fr-CH"/>
              </w:rPr>
              <w:t>PV-TB-D12</w:t>
            </w:r>
          </w:p>
        </w:tc>
        <w:tc>
          <w:tcPr>
            <w:tcW w:w="6878" w:type="dxa"/>
            <w:shd w:val="clear" w:color="auto" w:fill="auto"/>
            <w:vAlign w:val="center"/>
            <w:hideMark/>
          </w:tcPr>
          <w:p w14:paraId="1B4F47FD" w14:textId="77777777" w:rsidR="00315539" w:rsidRPr="00ED5AA4" w:rsidRDefault="00315539" w:rsidP="00B60E8E">
            <w:pPr>
              <w:spacing w:before="40" w:after="20"/>
              <w:jc w:val="left"/>
              <w:rPr>
                <w:szCs w:val="22"/>
                <w:lang w:val="en-GB" w:eastAsia="fr-CH"/>
              </w:rPr>
            </w:pPr>
            <w:r w:rsidRPr="00ED5AA4">
              <w:rPr>
                <w:szCs w:val="22"/>
                <w:lang w:val="en-GB" w:eastAsia="fr-CH"/>
              </w:rPr>
              <w:t>TB Severity Grading Scale</w:t>
            </w:r>
          </w:p>
        </w:tc>
      </w:tr>
      <w:tr w:rsidR="00315539" w:rsidRPr="00225F0F" w14:paraId="1B4F4802" w14:textId="77777777" w:rsidTr="00225F0F">
        <w:trPr>
          <w:trHeight w:val="77"/>
        </w:trPr>
        <w:tc>
          <w:tcPr>
            <w:tcW w:w="1488" w:type="dxa"/>
            <w:vMerge/>
            <w:shd w:val="clear" w:color="auto" w:fill="auto"/>
          </w:tcPr>
          <w:p w14:paraId="1B4F47FF" w14:textId="77777777" w:rsidR="00315539" w:rsidRPr="00ED5AA4" w:rsidRDefault="00315539" w:rsidP="00B60E8E">
            <w:pPr>
              <w:spacing w:before="40" w:after="20"/>
              <w:jc w:val="left"/>
              <w:rPr>
                <w:color w:val="000000"/>
                <w:szCs w:val="22"/>
                <w:lang w:val="en-GB" w:eastAsia="fr-CH"/>
              </w:rPr>
            </w:pPr>
          </w:p>
        </w:tc>
        <w:tc>
          <w:tcPr>
            <w:tcW w:w="1134" w:type="dxa"/>
            <w:shd w:val="clear" w:color="auto" w:fill="auto"/>
            <w:vAlign w:val="center"/>
            <w:hideMark/>
          </w:tcPr>
          <w:p w14:paraId="1B4F4800" w14:textId="77777777" w:rsidR="00315539" w:rsidRPr="00ED5AA4" w:rsidRDefault="00315539" w:rsidP="00B60E8E">
            <w:pPr>
              <w:spacing w:before="40" w:after="20"/>
              <w:jc w:val="left"/>
              <w:rPr>
                <w:szCs w:val="22"/>
                <w:lang w:val="en-GB" w:eastAsia="fr-CH"/>
              </w:rPr>
            </w:pPr>
            <w:r w:rsidRPr="00ED5AA4">
              <w:rPr>
                <w:szCs w:val="22"/>
                <w:lang w:val="en-GB" w:eastAsia="fr-CH"/>
              </w:rPr>
              <w:t>PV-TB-D13</w:t>
            </w:r>
          </w:p>
        </w:tc>
        <w:tc>
          <w:tcPr>
            <w:tcW w:w="6878" w:type="dxa"/>
            <w:shd w:val="clear" w:color="auto" w:fill="auto"/>
            <w:vAlign w:val="center"/>
            <w:hideMark/>
          </w:tcPr>
          <w:p w14:paraId="1B4F4801" w14:textId="77777777" w:rsidR="00315539" w:rsidRPr="00C61E96" w:rsidRDefault="00315539" w:rsidP="00B60E8E">
            <w:pPr>
              <w:spacing w:before="40" w:after="20"/>
              <w:jc w:val="left"/>
              <w:rPr>
                <w:color w:val="000000"/>
                <w:szCs w:val="22"/>
                <w:lang w:val="en-GB" w:eastAsia="fr-CH"/>
              </w:rPr>
            </w:pPr>
            <w:r w:rsidRPr="00C61E96">
              <w:rPr>
                <w:color w:val="000000"/>
                <w:szCs w:val="22"/>
                <w:lang w:val="en-GB" w:eastAsia="fr-CH"/>
              </w:rPr>
              <w:t>Individual Case Safety Reports Quality check Guidance</w:t>
            </w:r>
          </w:p>
        </w:tc>
      </w:tr>
      <w:tr w:rsidR="00315539" w:rsidRPr="00225F0F" w14:paraId="1B4F4806" w14:textId="77777777" w:rsidTr="00225F0F">
        <w:trPr>
          <w:trHeight w:val="77"/>
        </w:trPr>
        <w:tc>
          <w:tcPr>
            <w:tcW w:w="1488" w:type="dxa"/>
            <w:vMerge/>
            <w:shd w:val="clear" w:color="auto" w:fill="auto"/>
          </w:tcPr>
          <w:p w14:paraId="1B4F4803" w14:textId="77777777" w:rsidR="00315539" w:rsidRPr="00ED5AA4" w:rsidRDefault="00315539" w:rsidP="00B60E8E">
            <w:pPr>
              <w:spacing w:before="40" w:after="20"/>
              <w:jc w:val="left"/>
              <w:rPr>
                <w:color w:val="000000"/>
                <w:szCs w:val="22"/>
                <w:lang w:val="en-GB" w:eastAsia="fr-CH"/>
              </w:rPr>
            </w:pPr>
          </w:p>
        </w:tc>
        <w:tc>
          <w:tcPr>
            <w:tcW w:w="1134" w:type="dxa"/>
            <w:shd w:val="clear" w:color="auto" w:fill="auto"/>
            <w:vAlign w:val="center"/>
            <w:hideMark/>
          </w:tcPr>
          <w:p w14:paraId="1B4F4804"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PV-TB-D18</w:t>
            </w:r>
          </w:p>
        </w:tc>
        <w:tc>
          <w:tcPr>
            <w:tcW w:w="6878" w:type="dxa"/>
            <w:shd w:val="clear" w:color="auto" w:fill="auto"/>
            <w:vAlign w:val="center"/>
            <w:hideMark/>
          </w:tcPr>
          <w:p w14:paraId="1B4F4805" w14:textId="6EB0885D" w:rsidR="00315539" w:rsidRPr="00C61E96" w:rsidRDefault="00315539" w:rsidP="00B60E8E">
            <w:pPr>
              <w:spacing w:before="40" w:after="20"/>
              <w:jc w:val="left"/>
              <w:rPr>
                <w:color w:val="000000"/>
                <w:szCs w:val="22"/>
                <w:lang w:val="en-GB" w:eastAsia="fr-CH"/>
              </w:rPr>
            </w:pPr>
            <w:r w:rsidRPr="00C61E96">
              <w:rPr>
                <w:color w:val="000000"/>
                <w:szCs w:val="22"/>
                <w:lang w:val="en-GB" w:eastAsia="fr-CH"/>
              </w:rPr>
              <w:t>Safety data reconciliation plan endTB</w:t>
            </w:r>
            <w:r w:rsidR="0077658E" w:rsidRPr="00C61E96">
              <w:rPr>
                <w:color w:val="000000"/>
                <w:szCs w:val="22"/>
                <w:lang w:val="en-GB" w:eastAsia="fr-CH"/>
              </w:rPr>
              <w:t xml:space="preserve"> and endTB-Q</w:t>
            </w:r>
            <w:r w:rsidRPr="00C61E96">
              <w:rPr>
                <w:color w:val="000000"/>
                <w:szCs w:val="22"/>
                <w:lang w:val="en-GB" w:eastAsia="fr-CH"/>
              </w:rPr>
              <w:t xml:space="preserve"> interventional clinical trial</w:t>
            </w:r>
            <w:r w:rsidR="0077658E" w:rsidRPr="00C61E96">
              <w:rPr>
                <w:color w:val="000000"/>
                <w:szCs w:val="22"/>
                <w:lang w:val="en-GB" w:eastAsia="fr-CH"/>
              </w:rPr>
              <w:t>s</w:t>
            </w:r>
          </w:p>
        </w:tc>
      </w:tr>
      <w:tr w:rsidR="00315539" w:rsidRPr="00225F0F" w14:paraId="1B4F480A" w14:textId="77777777" w:rsidTr="00225F0F">
        <w:trPr>
          <w:trHeight w:val="77"/>
        </w:trPr>
        <w:tc>
          <w:tcPr>
            <w:tcW w:w="1488" w:type="dxa"/>
            <w:vMerge/>
            <w:shd w:val="clear" w:color="auto" w:fill="auto"/>
          </w:tcPr>
          <w:p w14:paraId="1B4F4807" w14:textId="77777777" w:rsidR="00315539" w:rsidRPr="00ED5AA4" w:rsidRDefault="00315539" w:rsidP="00B60E8E">
            <w:pPr>
              <w:spacing w:before="40" w:after="20"/>
              <w:jc w:val="left"/>
              <w:rPr>
                <w:color w:val="000000"/>
                <w:szCs w:val="22"/>
                <w:lang w:val="en-GB" w:eastAsia="fr-CH"/>
              </w:rPr>
            </w:pPr>
          </w:p>
        </w:tc>
        <w:tc>
          <w:tcPr>
            <w:tcW w:w="1134" w:type="dxa"/>
            <w:shd w:val="clear" w:color="auto" w:fill="auto"/>
            <w:vAlign w:val="center"/>
            <w:hideMark/>
          </w:tcPr>
          <w:p w14:paraId="1B4F4808"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PV-TB-D19</w:t>
            </w:r>
          </w:p>
        </w:tc>
        <w:tc>
          <w:tcPr>
            <w:tcW w:w="6878" w:type="dxa"/>
            <w:shd w:val="clear" w:color="auto" w:fill="auto"/>
            <w:vAlign w:val="center"/>
            <w:hideMark/>
          </w:tcPr>
          <w:p w14:paraId="1B4F4809" w14:textId="77777777" w:rsidR="00315539" w:rsidRPr="00C61E96" w:rsidRDefault="00315539" w:rsidP="00B60E8E">
            <w:pPr>
              <w:spacing w:before="40" w:after="20"/>
              <w:jc w:val="left"/>
              <w:rPr>
                <w:color w:val="000000"/>
                <w:szCs w:val="22"/>
                <w:lang w:val="en-GB" w:eastAsia="fr-CH"/>
              </w:rPr>
            </w:pPr>
            <w:r w:rsidRPr="00C61E96">
              <w:rPr>
                <w:color w:val="000000"/>
                <w:szCs w:val="22"/>
                <w:lang w:val="en-GB" w:eastAsia="fr-CH"/>
              </w:rPr>
              <w:t>Medical Review Board - Terms of Reference</w:t>
            </w:r>
          </w:p>
        </w:tc>
      </w:tr>
      <w:tr w:rsidR="00315539" w:rsidRPr="00225F0F" w14:paraId="1B4F480E" w14:textId="77777777" w:rsidTr="00225F0F">
        <w:trPr>
          <w:trHeight w:val="77"/>
        </w:trPr>
        <w:tc>
          <w:tcPr>
            <w:tcW w:w="1488" w:type="dxa"/>
            <w:vMerge/>
            <w:shd w:val="clear" w:color="auto" w:fill="auto"/>
          </w:tcPr>
          <w:p w14:paraId="1B4F480B" w14:textId="77777777" w:rsidR="00315539" w:rsidRPr="00ED5AA4" w:rsidRDefault="00315539" w:rsidP="00B60E8E">
            <w:pPr>
              <w:spacing w:before="40" w:after="20"/>
              <w:jc w:val="left"/>
              <w:rPr>
                <w:color w:val="000000"/>
                <w:szCs w:val="22"/>
                <w:lang w:val="en-GB" w:eastAsia="fr-CH"/>
              </w:rPr>
            </w:pPr>
          </w:p>
        </w:tc>
        <w:tc>
          <w:tcPr>
            <w:tcW w:w="1134" w:type="dxa"/>
            <w:shd w:val="clear" w:color="auto" w:fill="auto"/>
            <w:vAlign w:val="center"/>
            <w:hideMark/>
          </w:tcPr>
          <w:p w14:paraId="1B4F480C"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PV-TB-D20</w:t>
            </w:r>
          </w:p>
        </w:tc>
        <w:tc>
          <w:tcPr>
            <w:tcW w:w="6878" w:type="dxa"/>
            <w:shd w:val="clear" w:color="auto" w:fill="auto"/>
            <w:vAlign w:val="center"/>
            <w:hideMark/>
          </w:tcPr>
          <w:p w14:paraId="1B4F480D" w14:textId="77777777" w:rsidR="00315539" w:rsidRPr="00C61E96" w:rsidRDefault="00315539" w:rsidP="00B60E8E">
            <w:pPr>
              <w:spacing w:before="40" w:after="20"/>
              <w:jc w:val="left"/>
              <w:rPr>
                <w:color w:val="000000"/>
                <w:szCs w:val="22"/>
                <w:lang w:val="en-GB" w:eastAsia="fr-CH"/>
              </w:rPr>
            </w:pPr>
            <w:r w:rsidRPr="00C61E96">
              <w:rPr>
                <w:color w:val="000000"/>
                <w:szCs w:val="22"/>
                <w:lang w:val="en-GB" w:eastAsia="fr-CH"/>
              </w:rPr>
              <w:t>MSF Pharmacovigilance unit organogram</w:t>
            </w:r>
          </w:p>
        </w:tc>
      </w:tr>
      <w:tr w:rsidR="00315539" w:rsidRPr="00225F0F" w14:paraId="1B4F4812" w14:textId="77777777" w:rsidTr="00225F0F">
        <w:trPr>
          <w:trHeight w:val="77"/>
        </w:trPr>
        <w:tc>
          <w:tcPr>
            <w:tcW w:w="1488" w:type="dxa"/>
            <w:vMerge/>
            <w:shd w:val="clear" w:color="auto" w:fill="auto"/>
          </w:tcPr>
          <w:p w14:paraId="1B4F480F" w14:textId="77777777" w:rsidR="00315539" w:rsidRPr="00ED5AA4" w:rsidRDefault="00315539" w:rsidP="00B60E8E">
            <w:pPr>
              <w:spacing w:before="40" w:after="20"/>
              <w:jc w:val="left"/>
              <w:rPr>
                <w:color w:val="000000"/>
                <w:szCs w:val="22"/>
                <w:lang w:val="en-GB" w:eastAsia="fr-CH"/>
              </w:rPr>
            </w:pPr>
          </w:p>
        </w:tc>
        <w:tc>
          <w:tcPr>
            <w:tcW w:w="1134" w:type="dxa"/>
            <w:shd w:val="clear" w:color="auto" w:fill="auto"/>
            <w:vAlign w:val="center"/>
            <w:hideMark/>
          </w:tcPr>
          <w:p w14:paraId="1B4F4810"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PV-TB-D21</w:t>
            </w:r>
          </w:p>
        </w:tc>
        <w:tc>
          <w:tcPr>
            <w:tcW w:w="6878" w:type="dxa"/>
            <w:shd w:val="clear" w:color="auto" w:fill="auto"/>
            <w:vAlign w:val="center"/>
            <w:hideMark/>
          </w:tcPr>
          <w:p w14:paraId="1B4F4811" w14:textId="77777777" w:rsidR="00315539" w:rsidRPr="00C61E96" w:rsidRDefault="00315539" w:rsidP="00B60E8E">
            <w:pPr>
              <w:spacing w:before="40" w:after="20"/>
              <w:jc w:val="left"/>
              <w:rPr>
                <w:color w:val="000000"/>
                <w:szCs w:val="22"/>
                <w:lang w:val="en-GB" w:eastAsia="fr-CH"/>
              </w:rPr>
            </w:pPr>
            <w:r w:rsidRPr="00C61E96">
              <w:rPr>
                <w:color w:val="000000"/>
                <w:szCs w:val="22"/>
                <w:lang w:val="en-GB" w:eastAsia="fr-CH"/>
              </w:rPr>
              <w:t>FAQ Severity Grading Scale</w:t>
            </w:r>
          </w:p>
        </w:tc>
      </w:tr>
      <w:tr w:rsidR="00315539" w:rsidRPr="00225F0F" w14:paraId="1B4F4816" w14:textId="77777777" w:rsidTr="00225F0F">
        <w:trPr>
          <w:trHeight w:val="77"/>
        </w:trPr>
        <w:tc>
          <w:tcPr>
            <w:tcW w:w="1488" w:type="dxa"/>
            <w:vMerge/>
            <w:shd w:val="clear" w:color="auto" w:fill="auto"/>
            <w:noWrap/>
          </w:tcPr>
          <w:p w14:paraId="1B4F4813" w14:textId="77777777" w:rsidR="00315539" w:rsidRPr="00225F0F" w:rsidRDefault="00315539" w:rsidP="00B60E8E">
            <w:pPr>
              <w:spacing w:before="40" w:after="20"/>
              <w:jc w:val="left"/>
              <w:rPr>
                <w:color w:val="000000"/>
                <w:szCs w:val="22"/>
                <w:lang w:val="en-GB" w:eastAsia="fr-CH"/>
              </w:rPr>
            </w:pPr>
          </w:p>
        </w:tc>
        <w:tc>
          <w:tcPr>
            <w:tcW w:w="1134" w:type="dxa"/>
            <w:shd w:val="clear" w:color="auto" w:fill="auto"/>
            <w:vAlign w:val="center"/>
          </w:tcPr>
          <w:p w14:paraId="1B4F4814" w14:textId="77777777" w:rsidR="00315539" w:rsidRPr="00225F0F" w:rsidRDefault="00315539" w:rsidP="00B60E8E">
            <w:pPr>
              <w:spacing w:before="40" w:after="20"/>
              <w:jc w:val="left"/>
              <w:rPr>
                <w:color w:val="000000"/>
                <w:szCs w:val="22"/>
                <w:lang w:val="en-GB" w:eastAsia="fr-CH"/>
              </w:rPr>
            </w:pPr>
            <w:r w:rsidRPr="00ED5AA4">
              <w:rPr>
                <w:color w:val="000000"/>
                <w:szCs w:val="22"/>
                <w:lang w:val="en-GB" w:eastAsia="fr-CH"/>
              </w:rPr>
              <w:t>PV-TB-D2</w:t>
            </w:r>
            <w:r w:rsidRPr="00225F0F">
              <w:rPr>
                <w:color w:val="000000"/>
                <w:szCs w:val="22"/>
                <w:lang w:val="en-GB" w:eastAsia="fr-CH"/>
              </w:rPr>
              <w:t>2</w:t>
            </w:r>
          </w:p>
        </w:tc>
        <w:tc>
          <w:tcPr>
            <w:tcW w:w="6878" w:type="dxa"/>
            <w:shd w:val="clear" w:color="auto" w:fill="auto"/>
            <w:vAlign w:val="center"/>
          </w:tcPr>
          <w:p w14:paraId="1B4F4815" w14:textId="072798CA" w:rsidR="00315539" w:rsidRPr="00C61E96" w:rsidRDefault="00315539" w:rsidP="00B60E8E">
            <w:pPr>
              <w:spacing w:before="40" w:after="20"/>
              <w:jc w:val="left"/>
              <w:rPr>
                <w:color w:val="000000"/>
                <w:szCs w:val="22"/>
                <w:lang w:val="en-GB" w:eastAsia="fr-CH"/>
              </w:rPr>
            </w:pPr>
            <w:r w:rsidRPr="00C61E96">
              <w:rPr>
                <w:color w:val="000000"/>
                <w:szCs w:val="22"/>
                <w:lang w:val="en-GB" w:eastAsia="fr-CH"/>
              </w:rPr>
              <w:t xml:space="preserve">Reporting guideline - endTB </w:t>
            </w:r>
            <w:r w:rsidR="0077658E" w:rsidRPr="00C61E96">
              <w:rPr>
                <w:color w:val="000000"/>
                <w:szCs w:val="22"/>
                <w:lang w:val="en-GB" w:eastAsia="fr-CH"/>
              </w:rPr>
              <w:t>and endTB-Q interventional clinical trials</w:t>
            </w:r>
          </w:p>
        </w:tc>
      </w:tr>
      <w:tr w:rsidR="00315539" w:rsidRPr="00225F0F" w14:paraId="1B4F481A" w14:textId="77777777" w:rsidTr="00B60E8E">
        <w:trPr>
          <w:trHeight w:val="77"/>
        </w:trPr>
        <w:tc>
          <w:tcPr>
            <w:tcW w:w="1488" w:type="dxa"/>
            <w:vMerge/>
            <w:shd w:val="clear" w:color="auto" w:fill="auto"/>
            <w:noWrap/>
          </w:tcPr>
          <w:p w14:paraId="1B4F4817" w14:textId="77777777" w:rsidR="00315539" w:rsidRPr="00225F0F" w:rsidRDefault="00315539" w:rsidP="00B60E8E">
            <w:pPr>
              <w:spacing w:before="40" w:after="20"/>
              <w:jc w:val="left"/>
              <w:rPr>
                <w:color w:val="000000"/>
                <w:szCs w:val="22"/>
                <w:lang w:val="en-GB" w:eastAsia="fr-CH"/>
              </w:rPr>
            </w:pPr>
          </w:p>
        </w:tc>
        <w:tc>
          <w:tcPr>
            <w:tcW w:w="1134" w:type="dxa"/>
            <w:shd w:val="clear" w:color="auto" w:fill="auto"/>
            <w:vAlign w:val="center"/>
          </w:tcPr>
          <w:p w14:paraId="1B4F4818" w14:textId="77777777" w:rsidR="00315539" w:rsidRPr="00ED5AA4" w:rsidRDefault="00315539" w:rsidP="00B60E8E">
            <w:pPr>
              <w:spacing w:before="40" w:after="20"/>
              <w:jc w:val="left"/>
              <w:rPr>
                <w:color w:val="000000"/>
                <w:szCs w:val="22"/>
                <w:lang w:val="en-GB" w:eastAsia="fr-CH"/>
              </w:rPr>
            </w:pPr>
            <w:r w:rsidRPr="00ED5AA4">
              <w:rPr>
                <w:color w:val="000000"/>
                <w:szCs w:val="22"/>
                <w:lang w:val="en-GB" w:eastAsia="fr-CH"/>
              </w:rPr>
              <w:t>PV-TB-D2</w:t>
            </w:r>
            <w:r>
              <w:rPr>
                <w:color w:val="000000"/>
                <w:szCs w:val="22"/>
                <w:lang w:val="en-GB" w:eastAsia="fr-CH"/>
              </w:rPr>
              <w:t>3</w:t>
            </w:r>
          </w:p>
        </w:tc>
        <w:tc>
          <w:tcPr>
            <w:tcW w:w="6878" w:type="dxa"/>
            <w:shd w:val="clear" w:color="auto" w:fill="auto"/>
            <w:vAlign w:val="center"/>
          </w:tcPr>
          <w:p w14:paraId="1B4F4819" w14:textId="1DDF42F7" w:rsidR="00315539" w:rsidRPr="00C61E96" w:rsidRDefault="00315539" w:rsidP="00B60E8E">
            <w:pPr>
              <w:spacing w:before="40" w:after="20"/>
              <w:jc w:val="left"/>
              <w:rPr>
                <w:color w:val="000000"/>
                <w:szCs w:val="22"/>
                <w:lang w:val="en-GB" w:eastAsia="fr-CH"/>
              </w:rPr>
            </w:pPr>
            <w:r w:rsidRPr="00C61E96">
              <w:rPr>
                <w:color w:val="000000"/>
                <w:szCs w:val="22"/>
                <w:lang w:val="en-GB" w:eastAsia="fr-CH"/>
              </w:rPr>
              <w:t xml:space="preserve">Safety monitoring Plan - endTB </w:t>
            </w:r>
            <w:r w:rsidR="0077658E" w:rsidRPr="00C61E96">
              <w:rPr>
                <w:color w:val="000000"/>
                <w:szCs w:val="22"/>
                <w:lang w:val="en-GB" w:eastAsia="fr-CH"/>
              </w:rPr>
              <w:t>and endTB-Q interventional clinical trials</w:t>
            </w:r>
          </w:p>
        </w:tc>
      </w:tr>
      <w:tr w:rsidR="00315539" w:rsidRPr="00225F0F" w14:paraId="1B4F481E" w14:textId="77777777" w:rsidTr="00315539">
        <w:trPr>
          <w:trHeight w:val="153"/>
        </w:trPr>
        <w:tc>
          <w:tcPr>
            <w:tcW w:w="1488" w:type="dxa"/>
            <w:vMerge/>
            <w:shd w:val="clear" w:color="auto" w:fill="auto"/>
            <w:noWrap/>
          </w:tcPr>
          <w:p w14:paraId="1B4F481B" w14:textId="77777777" w:rsidR="00315539" w:rsidRPr="00225F0F" w:rsidRDefault="00315539" w:rsidP="00B60E8E">
            <w:pPr>
              <w:spacing w:before="40" w:after="20"/>
              <w:jc w:val="left"/>
              <w:rPr>
                <w:color w:val="000000"/>
                <w:szCs w:val="22"/>
                <w:lang w:val="en-GB" w:eastAsia="fr-CH"/>
              </w:rPr>
            </w:pPr>
          </w:p>
        </w:tc>
        <w:tc>
          <w:tcPr>
            <w:tcW w:w="1134" w:type="dxa"/>
            <w:shd w:val="clear" w:color="auto" w:fill="auto"/>
            <w:vAlign w:val="center"/>
          </w:tcPr>
          <w:p w14:paraId="1B4F481C" w14:textId="77777777" w:rsidR="00315539" w:rsidRPr="00CE2491" w:rsidRDefault="00315539" w:rsidP="00315539">
            <w:pPr>
              <w:spacing w:before="40" w:after="20"/>
              <w:jc w:val="left"/>
              <w:rPr>
                <w:color w:val="000000"/>
                <w:szCs w:val="22"/>
                <w:lang w:val="en-GB" w:eastAsia="fr-CH"/>
              </w:rPr>
            </w:pPr>
            <w:r w:rsidRPr="00CE2491">
              <w:rPr>
                <w:color w:val="000000"/>
                <w:szCs w:val="22"/>
                <w:lang w:val="en-GB" w:eastAsia="fr-CH"/>
              </w:rPr>
              <w:t>PV-TB-I08</w:t>
            </w:r>
          </w:p>
        </w:tc>
        <w:tc>
          <w:tcPr>
            <w:tcW w:w="6878" w:type="dxa"/>
            <w:shd w:val="clear" w:color="auto" w:fill="auto"/>
            <w:vAlign w:val="center"/>
          </w:tcPr>
          <w:p w14:paraId="1B4F481D" w14:textId="4D44EFE2" w:rsidR="00315539" w:rsidRPr="00C61E96" w:rsidRDefault="00315539" w:rsidP="00B60E8E">
            <w:pPr>
              <w:spacing w:before="40" w:after="20"/>
              <w:jc w:val="left"/>
              <w:rPr>
                <w:color w:val="000000"/>
                <w:szCs w:val="22"/>
                <w:lang w:val="en-GB" w:eastAsia="fr-CH"/>
              </w:rPr>
            </w:pPr>
            <w:r w:rsidRPr="00C61E96">
              <w:rPr>
                <w:color w:val="000000"/>
                <w:szCs w:val="22"/>
                <w:lang w:val="en-GB" w:eastAsia="fr-CH"/>
              </w:rPr>
              <w:t>MedDRA coding working instruction - endTB</w:t>
            </w:r>
            <w:r w:rsidR="0077658E" w:rsidRPr="00C61E96">
              <w:rPr>
                <w:color w:val="000000"/>
                <w:szCs w:val="22"/>
                <w:lang w:val="en-GB" w:eastAsia="fr-CH"/>
              </w:rPr>
              <w:t xml:space="preserve"> and endTB-Q interventional clinical trials</w:t>
            </w:r>
          </w:p>
        </w:tc>
      </w:tr>
      <w:tr w:rsidR="00254276" w:rsidRPr="00225F0F" w14:paraId="1B4F4822" w14:textId="77777777" w:rsidTr="00225F0F">
        <w:trPr>
          <w:trHeight w:val="532"/>
        </w:trPr>
        <w:tc>
          <w:tcPr>
            <w:tcW w:w="1488" w:type="dxa"/>
            <w:vMerge w:val="restart"/>
            <w:shd w:val="clear" w:color="auto" w:fill="auto"/>
            <w:noWrap/>
          </w:tcPr>
          <w:p w14:paraId="1B4F481F" w14:textId="63C20B47" w:rsidR="00254276" w:rsidRPr="00C61E96" w:rsidRDefault="00254276" w:rsidP="00B60E8E">
            <w:pPr>
              <w:spacing w:before="40" w:after="20"/>
              <w:jc w:val="left"/>
              <w:rPr>
                <w:color w:val="000000"/>
                <w:szCs w:val="22"/>
                <w:lang w:val="en-GB" w:eastAsia="fr-CH"/>
              </w:rPr>
            </w:pPr>
            <w:r w:rsidRPr="00C61E96">
              <w:rPr>
                <w:color w:val="000000"/>
                <w:szCs w:val="22"/>
                <w:lang w:val="en-GB" w:eastAsia="fr-CH"/>
              </w:rPr>
              <w:t xml:space="preserve">endTB </w:t>
            </w:r>
            <w:r w:rsidR="00201E9C" w:rsidRPr="00C61E96">
              <w:rPr>
                <w:color w:val="000000"/>
                <w:szCs w:val="22"/>
                <w:lang w:val="en-GB" w:eastAsia="fr-CH"/>
              </w:rPr>
              <w:t xml:space="preserve">and endTB-Q </w:t>
            </w:r>
            <w:r w:rsidRPr="00C61E96">
              <w:rPr>
                <w:color w:val="000000"/>
                <w:szCs w:val="22"/>
                <w:lang w:val="en-GB" w:eastAsia="fr-CH"/>
              </w:rPr>
              <w:t>clinical trial</w:t>
            </w:r>
            <w:r w:rsidR="00201E9C" w:rsidRPr="00C61E96">
              <w:rPr>
                <w:color w:val="000000"/>
                <w:szCs w:val="22"/>
                <w:lang w:val="en-GB" w:eastAsia="fr-CH"/>
              </w:rPr>
              <w:t>s</w:t>
            </w:r>
            <w:r w:rsidRPr="00C61E96">
              <w:rPr>
                <w:color w:val="000000"/>
                <w:szCs w:val="22"/>
                <w:lang w:val="en-GB" w:eastAsia="fr-CH"/>
              </w:rPr>
              <w:t xml:space="preserve"> Standard Operating Procedures</w:t>
            </w:r>
          </w:p>
        </w:tc>
        <w:tc>
          <w:tcPr>
            <w:tcW w:w="1134" w:type="dxa"/>
            <w:shd w:val="clear" w:color="auto" w:fill="auto"/>
            <w:vAlign w:val="center"/>
          </w:tcPr>
          <w:p w14:paraId="1B4F4820" w14:textId="77777777" w:rsidR="00254276" w:rsidRPr="00C61E96" w:rsidRDefault="00254276" w:rsidP="00B60E8E">
            <w:pPr>
              <w:spacing w:before="40" w:after="20"/>
              <w:jc w:val="left"/>
              <w:rPr>
                <w:color w:val="000000"/>
                <w:szCs w:val="22"/>
                <w:lang w:val="en-GB" w:eastAsia="fr-CH"/>
              </w:rPr>
            </w:pPr>
            <w:r w:rsidRPr="00C61E96">
              <w:rPr>
                <w:color w:val="000000"/>
                <w:szCs w:val="22"/>
                <w:lang w:val="en-GB" w:eastAsia="fr-CH"/>
              </w:rPr>
              <w:t>PV-001-CT</w:t>
            </w:r>
          </w:p>
        </w:tc>
        <w:tc>
          <w:tcPr>
            <w:tcW w:w="6878" w:type="dxa"/>
            <w:shd w:val="clear" w:color="auto" w:fill="auto"/>
            <w:vAlign w:val="center"/>
          </w:tcPr>
          <w:p w14:paraId="1B4F4821" w14:textId="77777777" w:rsidR="00254276" w:rsidRPr="00C61E96" w:rsidRDefault="00254276" w:rsidP="00B60E8E">
            <w:pPr>
              <w:spacing w:before="40" w:after="20"/>
              <w:jc w:val="left"/>
              <w:rPr>
                <w:color w:val="000000"/>
                <w:szCs w:val="22"/>
                <w:lang w:val="en-GB" w:eastAsia="fr-CH"/>
              </w:rPr>
            </w:pPr>
            <w:r w:rsidRPr="00C61E96">
              <w:rPr>
                <w:color w:val="000000"/>
                <w:szCs w:val="22"/>
                <w:lang w:val="en-GB" w:eastAsia="fr-CH"/>
              </w:rPr>
              <w:t>Safety data collection and reporting at trial sites</w:t>
            </w:r>
          </w:p>
        </w:tc>
      </w:tr>
      <w:tr w:rsidR="00254276" w:rsidRPr="00225F0F" w14:paraId="1B4F4826" w14:textId="77777777" w:rsidTr="00225F0F">
        <w:trPr>
          <w:trHeight w:val="532"/>
        </w:trPr>
        <w:tc>
          <w:tcPr>
            <w:tcW w:w="1488" w:type="dxa"/>
            <w:vMerge/>
            <w:shd w:val="clear" w:color="auto" w:fill="auto"/>
            <w:noWrap/>
          </w:tcPr>
          <w:p w14:paraId="1B4F4823" w14:textId="77777777" w:rsidR="00254276" w:rsidRPr="00C61E96" w:rsidRDefault="00254276" w:rsidP="00B60E8E">
            <w:pPr>
              <w:spacing w:before="40" w:after="20"/>
              <w:jc w:val="left"/>
              <w:rPr>
                <w:color w:val="000000"/>
                <w:szCs w:val="22"/>
                <w:lang w:val="en-GB" w:eastAsia="fr-CH"/>
              </w:rPr>
            </w:pPr>
          </w:p>
        </w:tc>
        <w:tc>
          <w:tcPr>
            <w:tcW w:w="1134" w:type="dxa"/>
            <w:shd w:val="clear" w:color="auto" w:fill="auto"/>
            <w:vAlign w:val="center"/>
          </w:tcPr>
          <w:p w14:paraId="1B4F4824" w14:textId="77777777" w:rsidR="00254276" w:rsidRPr="00C61E96" w:rsidRDefault="00254276" w:rsidP="00B60E8E">
            <w:pPr>
              <w:spacing w:before="40" w:after="20"/>
              <w:jc w:val="left"/>
              <w:rPr>
                <w:color w:val="000000"/>
                <w:szCs w:val="22"/>
                <w:lang w:val="en-GB" w:eastAsia="fr-CH"/>
              </w:rPr>
            </w:pPr>
            <w:r w:rsidRPr="00C61E96">
              <w:rPr>
                <w:color w:val="000000"/>
                <w:szCs w:val="22"/>
                <w:lang w:val="en-GB" w:eastAsia="fr-CH"/>
              </w:rPr>
              <w:t>PV-002-CT</w:t>
            </w:r>
          </w:p>
        </w:tc>
        <w:tc>
          <w:tcPr>
            <w:tcW w:w="6878" w:type="dxa"/>
            <w:shd w:val="clear" w:color="auto" w:fill="auto"/>
            <w:vAlign w:val="center"/>
          </w:tcPr>
          <w:p w14:paraId="1B4F4825" w14:textId="77777777" w:rsidR="00254276" w:rsidRPr="00225F0F" w:rsidRDefault="00254276" w:rsidP="00B60E8E">
            <w:pPr>
              <w:spacing w:before="40" w:after="20"/>
              <w:jc w:val="left"/>
              <w:rPr>
                <w:color w:val="000000"/>
                <w:szCs w:val="22"/>
                <w:lang w:val="en-GB" w:eastAsia="fr-CH"/>
              </w:rPr>
            </w:pPr>
            <w:r w:rsidRPr="00ED5AA4">
              <w:rPr>
                <w:color w:val="000000"/>
                <w:szCs w:val="22"/>
                <w:lang w:val="en-GB" w:eastAsia="fr-CH"/>
              </w:rPr>
              <w:t>Safety data reconciliation</w:t>
            </w:r>
          </w:p>
        </w:tc>
      </w:tr>
    </w:tbl>
    <w:p w14:paraId="1B4F4827" w14:textId="77777777" w:rsidR="003561B3" w:rsidRDefault="003561B3" w:rsidP="003561B3">
      <w:pPr>
        <w:rPr>
          <w:sz w:val="2"/>
          <w:lang w:val="en-GB"/>
        </w:rPr>
      </w:pPr>
    </w:p>
    <w:p w14:paraId="1B4F4828" w14:textId="77777777" w:rsidR="00706916" w:rsidRDefault="00706916" w:rsidP="003561B3">
      <w:pPr>
        <w:rPr>
          <w:sz w:val="2"/>
          <w:lang w:val="en-GB"/>
        </w:rPr>
      </w:pPr>
    </w:p>
    <w:p w14:paraId="1B4F4829" w14:textId="77777777" w:rsidR="00706916" w:rsidRDefault="00706916" w:rsidP="003561B3">
      <w:pPr>
        <w:rPr>
          <w:sz w:val="2"/>
          <w:lang w:val="en-GB"/>
        </w:rPr>
      </w:pPr>
    </w:p>
    <w:p w14:paraId="1B4F482A" w14:textId="77777777" w:rsidR="008079B0" w:rsidRPr="00CE2491" w:rsidRDefault="008079B0" w:rsidP="008079B0">
      <w:pPr>
        <w:pStyle w:val="Heading1"/>
        <w:numPr>
          <w:ilvl w:val="0"/>
          <w:numId w:val="0"/>
        </w:numPr>
        <w:spacing w:after="200"/>
        <w:rPr>
          <w:lang w:val="en-GB"/>
        </w:rPr>
      </w:pPr>
      <w:bookmarkStart w:id="52" w:name="_Toc40272696"/>
      <w:r w:rsidRPr="00CE2491">
        <w:rPr>
          <w:lang w:val="en-GB"/>
        </w:rPr>
        <w:t>Pharmacovigilance contact information</w:t>
      </w:r>
      <w:bookmarkEnd w:id="52"/>
    </w:p>
    <w:p w14:paraId="1B4F482B" w14:textId="091D5FB8" w:rsidR="00706916" w:rsidRPr="00CE2491" w:rsidRDefault="00706916" w:rsidP="00706916">
      <w:pPr>
        <w:rPr>
          <w:lang w:val="en-GB"/>
        </w:rPr>
      </w:pPr>
      <w:r w:rsidRPr="00CE2491">
        <w:rPr>
          <w:rFonts w:cs="Arial"/>
          <w:szCs w:val="20"/>
          <w:lang w:val="en-GB"/>
        </w:rPr>
        <w:t xml:space="preserve">Completed and signed SAE (or Pregnancy) Report Form are reportable to the PV </w:t>
      </w:r>
      <w:r w:rsidR="00201E9C" w:rsidRPr="00CE2491">
        <w:rPr>
          <w:rFonts w:cs="Arial"/>
          <w:szCs w:val="20"/>
          <w:lang w:val="en-GB"/>
        </w:rPr>
        <w:t xml:space="preserve">Unit </w:t>
      </w:r>
      <w:r w:rsidR="00201E9C" w:rsidRPr="00CE2491">
        <w:rPr>
          <w:b/>
          <w:lang w:val="en-GB"/>
        </w:rPr>
        <w:t>within</w:t>
      </w:r>
      <w:r w:rsidRPr="00CE2491">
        <w:rPr>
          <w:b/>
          <w:u w:val="single"/>
          <w:lang w:val="en-GB"/>
        </w:rPr>
        <w:t xml:space="preserve"> 24 hours of first event’s awareness on site</w:t>
      </w:r>
      <w:r w:rsidRPr="00CE2491">
        <w:rPr>
          <w:rFonts w:cs="Arial"/>
          <w:szCs w:val="20"/>
          <w:lang w:val="en-GB"/>
        </w:rPr>
        <w:t>:</w:t>
      </w:r>
    </w:p>
    <w:p w14:paraId="1B4F482C" w14:textId="77777777" w:rsidR="00706916" w:rsidRPr="00B46BB6" w:rsidRDefault="00706916" w:rsidP="003561B3">
      <w:pPr>
        <w:pStyle w:val="ListParagraph"/>
        <w:numPr>
          <w:ilvl w:val="2"/>
          <w:numId w:val="25"/>
        </w:numPr>
        <w:ind w:left="851" w:hanging="425"/>
        <w:contextualSpacing w:val="0"/>
        <w:rPr>
          <w:rStyle w:val="Heading3Char"/>
          <w:lang w:val="en-GB"/>
        </w:rPr>
      </w:pPr>
      <w:r w:rsidRPr="00B46BB6">
        <w:rPr>
          <w:b/>
          <w:lang w:val="en-GB"/>
        </w:rPr>
        <w:t>PV unit</w:t>
      </w:r>
      <w:r w:rsidRPr="00B46BB6">
        <w:rPr>
          <w:lang w:val="en-GB"/>
        </w:rPr>
        <w:t xml:space="preserve">: </w:t>
      </w:r>
      <w:hyperlink r:id="rId11" w:history="1">
        <w:r w:rsidRPr="00B46BB6">
          <w:rPr>
            <w:rStyle w:val="Hyperlink"/>
            <w:lang w:val="en-GB"/>
          </w:rPr>
          <w:t>PVunit.GVA@geneva.msf.org</w:t>
        </w:r>
      </w:hyperlink>
      <w:r w:rsidRPr="00B46BB6">
        <w:rPr>
          <w:rStyle w:val="Heading3Char"/>
          <w:lang w:val="en-GB"/>
        </w:rPr>
        <w:t xml:space="preserve">; </w:t>
      </w:r>
      <w:r w:rsidR="00E74584" w:rsidRPr="00B46BB6">
        <w:rPr>
          <w:rStyle w:val="Heading3Char"/>
        </w:rPr>
        <w:t xml:space="preserve"> (refer to the locally approved version of the protocol)</w:t>
      </w:r>
    </w:p>
    <w:sectPr w:rsidR="00706916" w:rsidRPr="00B46BB6" w:rsidSect="005E056D">
      <w:headerReference w:type="default" r:id="rId12"/>
      <w:footerReference w:type="default" r:id="rId13"/>
      <w:headerReference w:type="first" r:id="rId14"/>
      <w:footerReference w:type="first" r:id="rId15"/>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CA859" w14:textId="77777777" w:rsidR="00474FE0" w:rsidRDefault="00474FE0">
      <w:r>
        <w:separator/>
      </w:r>
    </w:p>
  </w:endnote>
  <w:endnote w:type="continuationSeparator" w:id="0">
    <w:p w14:paraId="32CC2CA7" w14:textId="77777777" w:rsidR="00474FE0" w:rsidRDefault="00474FE0">
      <w:r>
        <w:continuationSeparator/>
      </w:r>
    </w:p>
  </w:endnote>
  <w:endnote w:type="continuationNotice" w:id="1">
    <w:p w14:paraId="63C04AD3" w14:textId="77777777" w:rsidR="00C21934" w:rsidRDefault="00C219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5275602"/>
      <w:docPartObj>
        <w:docPartGallery w:val="Page Numbers (Bottom of Page)"/>
        <w:docPartUnique/>
      </w:docPartObj>
    </w:sdtPr>
    <w:sdtEndPr/>
    <w:sdtContent>
      <w:sdt>
        <w:sdtPr>
          <w:id w:val="860082579"/>
          <w:docPartObj>
            <w:docPartGallery w:val="Page Numbers (Top of Page)"/>
            <w:docPartUnique/>
          </w:docPartObj>
        </w:sdtPr>
        <w:sdtEndPr/>
        <w:sdtContent>
          <w:p w14:paraId="06A31C08" w14:textId="2FB330A0" w:rsidR="00E57706" w:rsidRDefault="00E57706" w:rsidP="00E57706">
            <w:pPr>
              <w:pStyle w:val="Footer"/>
              <w:tabs>
                <w:tab w:val="right" w:pos="9498"/>
              </w:tabs>
              <w:spacing w:after="0"/>
              <w:rPr>
                <w:rFonts w:cs="Calibri"/>
                <w:sz w:val="18"/>
                <w:szCs w:val="18"/>
              </w:rPr>
            </w:pPr>
            <w:r>
              <w:rPr>
                <w:rFonts w:cs="Calibri"/>
                <w:b/>
                <w:bCs/>
                <w:i/>
                <w:iCs/>
                <w:sz w:val="18"/>
                <w:szCs w:val="18"/>
              </w:rPr>
              <w:t>NOTE:</w:t>
            </w:r>
            <w:r>
              <w:rPr>
                <w:rFonts w:cs="Calibri"/>
                <w:i/>
                <w:iCs/>
                <w:sz w:val="18"/>
                <w:szCs w:val="18"/>
              </w:rPr>
              <w:t xml:space="preserve"> This work is licensed under the Creative Commons CC BY-SA by the endTB Research Partners. To view a copy of this license, visit: </w:t>
            </w:r>
            <w:hyperlink r:id="rId1" w:history="1">
              <w:r>
                <w:rPr>
                  <w:rStyle w:val="Hyperlink"/>
                  <w:rFonts w:cs="Calibri"/>
                  <w:i/>
                  <w:iCs/>
                  <w:sz w:val="18"/>
                  <w:szCs w:val="18"/>
                </w:rPr>
                <w:t>https://creativecommons.org/licenses/by-sa/4.0/</w:t>
              </w:r>
            </w:hyperlink>
            <w:r>
              <w:rPr>
                <w:rFonts w:cs="Calibri"/>
                <w:i/>
                <w:iCs/>
                <w:sz w:val="18"/>
                <w:szCs w:val="18"/>
              </w:rPr>
              <w:t>. More information about this copyright is available in the endTB website:</w:t>
            </w:r>
            <w:r>
              <w:rPr>
                <w:rFonts w:cs="Calibri"/>
                <w:sz w:val="18"/>
                <w:szCs w:val="18"/>
              </w:rPr>
              <w:t xml:space="preserve"> </w:t>
            </w:r>
            <w:hyperlink r:id="rId2" w:history="1">
              <w:r>
                <w:rPr>
                  <w:rStyle w:val="Hyperlink"/>
                  <w:rFonts w:cs="Calibri"/>
                  <w:i/>
                  <w:iCs/>
                  <w:sz w:val="18"/>
                  <w:szCs w:val="18"/>
                </w:rPr>
                <w:t>https://endtb.org/</w:t>
              </w:r>
            </w:hyperlink>
            <w:r>
              <w:rPr>
                <w:rFonts w:cs="Calibri"/>
                <w:i/>
                <w:iCs/>
                <w:sz w:val="18"/>
                <w:szCs w:val="18"/>
              </w:rPr>
              <w:t xml:space="preserve"> in the “Toolkit” section.</w:t>
            </w:r>
          </w:p>
          <w:p w14:paraId="1B4F4836" w14:textId="6F96BB23" w:rsidR="005C0D22" w:rsidRDefault="005C0D22" w:rsidP="00E57706">
            <w:pPr>
              <w:pStyle w:val="Footer"/>
              <w:jc w:val="center"/>
            </w:pPr>
            <w:r w:rsidRPr="005E056D">
              <w:rPr>
                <w:sz w:val="20"/>
                <w:szCs w:val="20"/>
              </w:rPr>
              <w:t xml:space="preserve">Page </w:t>
            </w:r>
            <w:r w:rsidRPr="005E056D">
              <w:rPr>
                <w:bCs/>
                <w:sz w:val="20"/>
                <w:szCs w:val="20"/>
              </w:rPr>
              <w:fldChar w:fldCharType="begin"/>
            </w:r>
            <w:r w:rsidRPr="005E056D">
              <w:rPr>
                <w:bCs/>
                <w:sz w:val="20"/>
                <w:szCs w:val="20"/>
              </w:rPr>
              <w:instrText xml:space="preserve"> PAGE </w:instrText>
            </w:r>
            <w:r w:rsidRPr="005E056D">
              <w:rPr>
                <w:bCs/>
                <w:sz w:val="20"/>
                <w:szCs w:val="20"/>
              </w:rPr>
              <w:fldChar w:fldCharType="separate"/>
            </w:r>
            <w:r w:rsidR="00764988">
              <w:rPr>
                <w:bCs/>
                <w:noProof/>
                <w:sz w:val="20"/>
                <w:szCs w:val="20"/>
              </w:rPr>
              <w:t>10</w:t>
            </w:r>
            <w:r w:rsidRPr="005E056D">
              <w:rPr>
                <w:bCs/>
                <w:sz w:val="20"/>
                <w:szCs w:val="20"/>
              </w:rPr>
              <w:fldChar w:fldCharType="end"/>
            </w:r>
            <w:r w:rsidRPr="005E056D">
              <w:rPr>
                <w:sz w:val="20"/>
                <w:szCs w:val="20"/>
              </w:rPr>
              <w:t xml:space="preserve"> of </w:t>
            </w:r>
            <w:r w:rsidRPr="005E056D">
              <w:rPr>
                <w:bCs/>
                <w:sz w:val="20"/>
                <w:szCs w:val="20"/>
              </w:rPr>
              <w:fldChar w:fldCharType="begin"/>
            </w:r>
            <w:r w:rsidRPr="005E056D">
              <w:rPr>
                <w:bCs/>
                <w:sz w:val="20"/>
                <w:szCs w:val="20"/>
              </w:rPr>
              <w:instrText xml:space="preserve"> NUMPAGES  </w:instrText>
            </w:r>
            <w:r w:rsidRPr="005E056D">
              <w:rPr>
                <w:bCs/>
                <w:sz w:val="20"/>
                <w:szCs w:val="20"/>
              </w:rPr>
              <w:fldChar w:fldCharType="separate"/>
            </w:r>
            <w:r w:rsidR="00764988">
              <w:rPr>
                <w:bCs/>
                <w:noProof/>
                <w:sz w:val="20"/>
                <w:szCs w:val="20"/>
              </w:rPr>
              <w:t>10</w:t>
            </w:r>
            <w:r w:rsidRPr="005E056D">
              <w:rPr>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5E8E40E" w14:paraId="57389BCD" w14:textId="77777777" w:rsidTr="55E8E40E">
      <w:trPr>
        <w:trHeight w:val="300"/>
      </w:trPr>
      <w:tc>
        <w:tcPr>
          <w:tcW w:w="3120" w:type="dxa"/>
        </w:tcPr>
        <w:p w14:paraId="224409B6" w14:textId="42AAE070" w:rsidR="55E8E40E" w:rsidRDefault="55E8E40E" w:rsidP="55E8E40E">
          <w:pPr>
            <w:pStyle w:val="Header"/>
            <w:ind w:left="-115"/>
            <w:jc w:val="left"/>
          </w:pPr>
        </w:p>
      </w:tc>
      <w:tc>
        <w:tcPr>
          <w:tcW w:w="3120" w:type="dxa"/>
        </w:tcPr>
        <w:p w14:paraId="47FEFF6B" w14:textId="2E433591" w:rsidR="55E8E40E" w:rsidRDefault="55E8E40E" w:rsidP="55E8E40E">
          <w:pPr>
            <w:pStyle w:val="Header"/>
            <w:jc w:val="center"/>
          </w:pPr>
        </w:p>
      </w:tc>
      <w:tc>
        <w:tcPr>
          <w:tcW w:w="3120" w:type="dxa"/>
        </w:tcPr>
        <w:p w14:paraId="7776ECEF" w14:textId="667D5A7F" w:rsidR="55E8E40E" w:rsidRDefault="55E8E40E" w:rsidP="55E8E40E">
          <w:pPr>
            <w:pStyle w:val="Header"/>
            <w:ind w:right="-115"/>
            <w:jc w:val="right"/>
          </w:pPr>
        </w:p>
      </w:tc>
    </w:tr>
  </w:tbl>
  <w:p w14:paraId="478ED74E" w14:textId="6D46AF58" w:rsidR="00BF15F1" w:rsidRDefault="00BF1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68B49" w14:textId="77777777" w:rsidR="00474FE0" w:rsidRDefault="00474FE0">
      <w:r>
        <w:separator/>
      </w:r>
    </w:p>
  </w:footnote>
  <w:footnote w:type="continuationSeparator" w:id="0">
    <w:p w14:paraId="18BD4B9B" w14:textId="77777777" w:rsidR="00474FE0" w:rsidRDefault="00474FE0">
      <w:r>
        <w:continuationSeparator/>
      </w:r>
    </w:p>
  </w:footnote>
  <w:footnote w:type="continuationNotice" w:id="1">
    <w:p w14:paraId="52B50F0B" w14:textId="77777777" w:rsidR="00C21934" w:rsidRDefault="00C2193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9"/>
    </w:tblGrid>
    <w:tr w:rsidR="005C0D22" w14:paraId="1B4F4834" w14:textId="77777777" w:rsidTr="00B44967">
      <w:tc>
        <w:tcPr>
          <w:tcW w:w="4111" w:type="dxa"/>
        </w:tcPr>
        <w:p w14:paraId="1B4F4831" w14:textId="77777777" w:rsidR="005C0D22" w:rsidRPr="00C61E96" w:rsidRDefault="005C0D22">
          <w:pPr>
            <w:pStyle w:val="Header"/>
            <w:rPr>
              <w:rFonts w:ascii="Arial" w:hAnsi="Arial" w:cs="Arial"/>
              <w:b/>
            </w:rPr>
          </w:pPr>
          <w:r w:rsidRPr="00C61E96">
            <w:rPr>
              <w:noProof/>
              <w:lang w:val="fr-CH" w:eastAsia="fr-CH"/>
            </w:rPr>
            <w:drawing>
              <wp:inline distT="0" distB="0" distL="0" distR="0" wp14:anchorId="1B4F4838" wp14:editId="1B4F4839">
                <wp:extent cx="765544" cy="505283"/>
                <wp:effectExtent l="0" t="0" r="0" b="9525"/>
                <wp:docPr id="32" name="Picture 3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86" cy="505311"/>
                        </a:xfrm>
                        <a:prstGeom prst="rect">
                          <a:avLst/>
                        </a:prstGeom>
                        <a:noFill/>
                        <a:ln>
                          <a:noFill/>
                        </a:ln>
                      </pic:spPr>
                    </pic:pic>
                  </a:graphicData>
                </a:graphic>
              </wp:inline>
            </w:drawing>
          </w:r>
        </w:p>
      </w:tc>
      <w:tc>
        <w:tcPr>
          <w:tcW w:w="5249" w:type="dxa"/>
        </w:tcPr>
        <w:p w14:paraId="1B4F4832" w14:textId="44CBC568" w:rsidR="005C0D22" w:rsidRPr="00C61E96" w:rsidRDefault="005C0D22" w:rsidP="00D32507">
          <w:pPr>
            <w:pStyle w:val="Header"/>
            <w:spacing w:before="0" w:after="0"/>
            <w:jc w:val="right"/>
            <w:rPr>
              <w:rFonts w:asciiTheme="minorHAnsi" w:hAnsiTheme="minorHAnsi" w:cs="Arial"/>
            </w:rPr>
          </w:pPr>
          <w:r w:rsidRPr="00C61E96">
            <w:rPr>
              <w:rFonts w:asciiTheme="minorHAnsi" w:hAnsiTheme="minorHAnsi" w:cs="Arial"/>
            </w:rPr>
            <w:t>Safety Monitoring Plan endTB</w:t>
          </w:r>
          <w:r w:rsidR="00B44967" w:rsidRPr="00C61E96">
            <w:rPr>
              <w:rFonts w:asciiTheme="minorHAnsi" w:hAnsiTheme="minorHAnsi" w:cs="Arial"/>
            </w:rPr>
            <w:t xml:space="preserve"> and endTB-Q</w:t>
          </w:r>
          <w:r w:rsidRPr="00C61E96">
            <w:rPr>
              <w:rFonts w:asciiTheme="minorHAnsi" w:hAnsiTheme="minorHAnsi" w:cs="Arial"/>
            </w:rPr>
            <w:t xml:space="preserve"> Clinical Trial</w:t>
          </w:r>
          <w:r w:rsidR="00B44967" w:rsidRPr="00C61E96">
            <w:rPr>
              <w:rFonts w:asciiTheme="minorHAnsi" w:hAnsiTheme="minorHAnsi" w:cs="Arial"/>
            </w:rPr>
            <w:t>s</w:t>
          </w:r>
        </w:p>
        <w:p w14:paraId="1B4F4833" w14:textId="20C4D6E5" w:rsidR="005C0D22" w:rsidRDefault="005C0D22" w:rsidP="00A55964">
          <w:pPr>
            <w:pStyle w:val="Header"/>
            <w:spacing w:before="0" w:after="0"/>
            <w:jc w:val="right"/>
            <w:rPr>
              <w:rFonts w:ascii="Arial" w:hAnsi="Arial" w:cs="Arial"/>
              <w:b/>
            </w:rPr>
          </w:pPr>
          <w:r w:rsidRPr="00C61E96">
            <w:rPr>
              <w:rFonts w:asciiTheme="minorHAnsi" w:hAnsiTheme="minorHAnsi" w:cs="Arial"/>
            </w:rPr>
            <w:t>PV-TB-D23</w:t>
          </w:r>
          <w:r w:rsidR="00BF15F1">
            <w:rPr>
              <w:rFonts w:asciiTheme="minorHAnsi" w:hAnsiTheme="minorHAnsi" w:cs="Arial"/>
            </w:rPr>
            <w:t xml:space="preserve"> Version</w:t>
          </w:r>
          <w:r w:rsidR="00CE2491" w:rsidRPr="00C61E96">
            <w:rPr>
              <w:rFonts w:asciiTheme="minorHAnsi" w:hAnsiTheme="minorHAnsi" w:cs="Arial"/>
            </w:rPr>
            <w:t xml:space="preserve"> </w:t>
          </w:r>
          <w:r w:rsidR="00C506AE" w:rsidRPr="00C61E96">
            <w:rPr>
              <w:rFonts w:asciiTheme="minorHAnsi" w:hAnsiTheme="minorHAnsi" w:cs="Arial"/>
            </w:rPr>
            <w:t>4</w:t>
          </w:r>
          <w:r w:rsidR="00A55964" w:rsidRPr="00C61E96">
            <w:rPr>
              <w:rFonts w:asciiTheme="minorHAnsi" w:hAnsiTheme="minorHAnsi" w:cs="Arial"/>
            </w:rPr>
            <w:t xml:space="preserve">.0, </w:t>
          </w:r>
          <w:r w:rsidR="004D1B54" w:rsidRPr="00C61E96">
            <w:rPr>
              <w:rFonts w:asciiTheme="minorHAnsi" w:hAnsiTheme="minorHAnsi" w:cs="Arial"/>
            </w:rPr>
            <w:t>8-May</w:t>
          </w:r>
          <w:r w:rsidR="00C506AE" w:rsidRPr="00C61E96">
            <w:rPr>
              <w:rFonts w:asciiTheme="minorHAnsi" w:hAnsiTheme="minorHAnsi" w:cs="Arial"/>
            </w:rPr>
            <w:t>-2020</w:t>
          </w:r>
        </w:p>
      </w:tc>
    </w:tr>
  </w:tbl>
  <w:p w14:paraId="1B4F4835" w14:textId="77777777" w:rsidR="005C0D22" w:rsidRPr="005E056D" w:rsidRDefault="005C0D22" w:rsidP="005E056D">
    <w:pPr>
      <w:pStyle w:val="Header"/>
      <w:spacing w:before="0" w:after="0"/>
      <w:rPr>
        <w:rFonts w:ascii="Arial" w:hAnsi="Arial" w:cs="Arial"/>
        <w:b/>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4837" w14:textId="77777777" w:rsidR="005C0D22" w:rsidRDefault="005C0D22">
    <w:pPr>
      <w:pStyle w:val="Header"/>
    </w:pPr>
    <w:r>
      <w:rPr>
        <w:noProof/>
        <w:lang w:val="fr-CH" w:eastAsia="fr-CH"/>
      </w:rPr>
      <w:drawing>
        <wp:inline distT="0" distB="0" distL="0" distR="0" wp14:anchorId="1B4F483A" wp14:editId="1B4F483B">
          <wp:extent cx="1626870" cy="1073785"/>
          <wp:effectExtent l="0" t="0" r="0" b="0"/>
          <wp:docPr id="4" name="Picture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10737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4C82"/>
    <w:multiLevelType w:val="hybridMultilevel"/>
    <w:tmpl w:val="C082B2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6AC2A80"/>
    <w:multiLevelType w:val="hybridMultilevel"/>
    <w:tmpl w:val="402E95B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85D1630"/>
    <w:multiLevelType w:val="hybridMultilevel"/>
    <w:tmpl w:val="C22A45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A685A28"/>
    <w:multiLevelType w:val="hybridMultilevel"/>
    <w:tmpl w:val="CE4E4328"/>
    <w:lvl w:ilvl="0" w:tplc="B80C19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05C85"/>
    <w:multiLevelType w:val="multilevel"/>
    <w:tmpl w:val="549068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B0D23DF"/>
    <w:multiLevelType w:val="hybridMultilevel"/>
    <w:tmpl w:val="9F6A258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F9748DD"/>
    <w:multiLevelType w:val="hybridMultilevel"/>
    <w:tmpl w:val="1FAC5536"/>
    <w:lvl w:ilvl="0" w:tplc="62D4ED12">
      <w:start w:val="1"/>
      <w:numFmt w:val="bullet"/>
      <w:lvlText w:val=""/>
      <w:lvlJc w:val="left"/>
      <w:pPr>
        <w:tabs>
          <w:tab w:val="num" w:pos="360"/>
        </w:tabs>
        <w:ind w:left="720" w:hanging="72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4A102A"/>
    <w:multiLevelType w:val="hybridMultilevel"/>
    <w:tmpl w:val="B7D4DF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3BE036B"/>
    <w:multiLevelType w:val="hybridMultilevel"/>
    <w:tmpl w:val="BD8C3218"/>
    <w:lvl w:ilvl="0" w:tplc="100C000F">
      <w:start w:val="1"/>
      <w:numFmt w:val="decimal"/>
      <w:lvlText w:val="%1."/>
      <w:lvlJc w:val="left"/>
      <w:pPr>
        <w:ind w:left="765" w:hanging="360"/>
      </w:pPr>
    </w:lvl>
    <w:lvl w:ilvl="1" w:tplc="100C0019" w:tentative="1">
      <w:start w:val="1"/>
      <w:numFmt w:val="lowerLetter"/>
      <w:lvlText w:val="%2."/>
      <w:lvlJc w:val="left"/>
      <w:pPr>
        <w:ind w:left="1485" w:hanging="360"/>
      </w:pPr>
    </w:lvl>
    <w:lvl w:ilvl="2" w:tplc="100C001B" w:tentative="1">
      <w:start w:val="1"/>
      <w:numFmt w:val="lowerRoman"/>
      <w:lvlText w:val="%3."/>
      <w:lvlJc w:val="right"/>
      <w:pPr>
        <w:ind w:left="2205" w:hanging="180"/>
      </w:pPr>
    </w:lvl>
    <w:lvl w:ilvl="3" w:tplc="100C000F" w:tentative="1">
      <w:start w:val="1"/>
      <w:numFmt w:val="decimal"/>
      <w:lvlText w:val="%4."/>
      <w:lvlJc w:val="left"/>
      <w:pPr>
        <w:ind w:left="2925" w:hanging="360"/>
      </w:pPr>
    </w:lvl>
    <w:lvl w:ilvl="4" w:tplc="100C0019" w:tentative="1">
      <w:start w:val="1"/>
      <w:numFmt w:val="lowerLetter"/>
      <w:lvlText w:val="%5."/>
      <w:lvlJc w:val="left"/>
      <w:pPr>
        <w:ind w:left="3645" w:hanging="360"/>
      </w:pPr>
    </w:lvl>
    <w:lvl w:ilvl="5" w:tplc="100C001B" w:tentative="1">
      <w:start w:val="1"/>
      <w:numFmt w:val="lowerRoman"/>
      <w:lvlText w:val="%6."/>
      <w:lvlJc w:val="right"/>
      <w:pPr>
        <w:ind w:left="4365" w:hanging="180"/>
      </w:pPr>
    </w:lvl>
    <w:lvl w:ilvl="6" w:tplc="100C000F" w:tentative="1">
      <w:start w:val="1"/>
      <w:numFmt w:val="decimal"/>
      <w:lvlText w:val="%7."/>
      <w:lvlJc w:val="left"/>
      <w:pPr>
        <w:ind w:left="5085" w:hanging="360"/>
      </w:pPr>
    </w:lvl>
    <w:lvl w:ilvl="7" w:tplc="100C0019" w:tentative="1">
      <w:start w:val="1"/>
      <w:numFmt w:val="lowerLetter"/>
      <w:lvlText w:val="%8."/>
      <w:lvlJc w:val="left"/>
      <w:pPr>
        <w:ind w:left="5805" w:hanging="360"/>
      </w:pPr>
    </w:lvl>
    <w:lvl w:ilvl="8" w:tplc="100C001B" w:tentative="1">
      <w:start w:val="1"/>
      <w:numFmt w:val="lowerRoman"/>
      <w:lvlText w:val="%9."/>
      <w:lvlJc w:val="right"/>
      <w:pPr>
        <w:ind w:left="6525" w:hanging="180"/>
      </w:pPr>
    </w:lvl>
  </w:abstractNum>
  <w:abstractNum w:abstractNumId="9" w15:restartNumberingAfterBreak="0">
    <w:nsid w:val="1D130E9C"/>
    <w:multiLevelType w:val="hybridMultilevel"/>
    <w:tmpl w:val="5A307A02"/>
    <w:lvl w:ilvl="0" w:tplc="56742C22">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1FDE528A"/>
    <w:multiLevelType w:val="hybridMultilevel"/>
    <w:tmpl w:val="44FAA1FE"/>
    <w:lvl w:ilvl="0" w:tplc="1F6A7EDC">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0B15F97"/>
    <w:multiLevelType w:val="hybridMultilevel"/>
    <w:tmpl w:val="47980E8E"/>
    <w:lvl w:ilvl="0" w:tplc="F1B2EF20">
      <w:start w:val="3"/>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2555104"/>
    <w:multiLevelType w:val="hybridMultilevel"/>
    <w:tmpl w:val="82A0A0C4"/>
    <w:lvl w:ilvl="0" w:tplc="F1B2EF20">
      <w:start w:val="3"/>
      <w:numFmt w:val="bullet"/>
      <w:lvlText w:val="•"/>
      <w:lvlJc w:val="left"/>
      <w:pPr>
        <w:ind w:left="1080" w:hanging="720"/>
      </w:pPr>
      <w:rPr>
        <w:rFonts w:ascii="Calibri" w:eastAsia="Calibr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668291D"/>
    <w:multiLevelType w:val="hybridMultilevel"/>
    <w:tmpl w:val="B216799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2AFF2BC0"/>
    <w:multiLevelType w:val="hybridMultilevel"/>
    <w:tmpl w:val="3E9A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8464F"/>
    <w:multiLevelType w:val="hybridMultilevel"/>
    <w:tmpl w:val="FF8E8AEE"/>
    <w:lvl w:ilvl="0" w:tplc="040C0001">
      <w:start w:val="1"/>
      <w:numFmt w:val="bullet"/>
      <w:lvlText w:val=""/>
      <w:lvlJc w:val="left"/>
      <w:pPr>
        <w:tabs>
          <w:tab w:val="num" w:pos="2700"/>
        </w:tabs>
        <w:ind w:left="2700" w:hanging="360"/>
      </w:pPr>
      <w:rPr>
        <w:rFonts w:ascii="Symbol" w:hAnsi="Symbol" w:hint="default"/>
      </w:rPr>
    </w:lvl>
    <w:lvl w:ilvl="1" w:tplc="040C0003" w:tentative="1">
      <w:start w:val="1"/>
      <w:numFmt w:val="bullet"/>
      <w:lvlText w:val="o"/>
      <w:lvlJc w:val="left"/>
      <w:pPr>
        <w:tabs>
          <w:tab w:val="num" w:pos="3420"/>
        </w:tabs>
        <w:ind w:left="3420" w:hanging="360"/>
      </w:pPr>
      <w:rPr>
        <w:rFonts w:ascii="Courier New" w:hAnsi="Courier New" w:hint="default"/>
      </w:rPr>
    </w:lvl>
    <w:lvl w:ilvl="2" w:tplc="040C0005" w:tentative="1">
      <w:start w:val="1"/>
      <w:numFmt w:val="bullet"/>
      <w:lvlText w:val=""/>
      <w:lvlJc w:val="left"/>
      <w:pPr>
        <w:tabs>
          <w:tab w:val="num" w:pos="4140"/>
        </w:tabs>
        <w:ind w:left="4140" w:hanging="360"/>
      </w:pPr>
      <w:rPr>
        <w:rFonts w:ascii="Wingdings" w:hAnsi="Wingdings" w:hint="default"/>
      </w:rPr>
    </w:lvl>
    <w:lvl w:ilvl="3" w:tplc="040C0001" w:tentative="1">
      <w:start w:val="1"/>
      <w:numFmt w:val="bullet"/>
      <w:lvlText w:val=""/>
      <w:lvlJc w:val="left"/>
      <w:pPr>
        <w:tabs>
          <w:tab w:val="num" w:pos="4860"/>
        </w:tabs>
        <w:ind w:left="4860" w:hanging="360"/>
      </w:pPr>
      <w:rPr>
        <w:rFonts w:ascii="Symbol" w:hAnsi="Symbol" w:hint="default"/>
      </w:rPr>
    </w:lvl>
    <w:lvl w:ilvl="4" w:tplc="040C0003" w:tentative="1">
      <w:start w:val="1"/>
      <w:numFmt w:val="bullet"/>
      <w:lvlText w:val="o"/>
      <w:lvlJc w:val="left"/>
      <w:pPr>
        <w:tabs>
          <w:tab w:val="num" w:pos="5580"/>
        </w:tabs>
        <w:ind w:left="5580" w:hanging="360"/>
      </w:pPr>
      <w:rPr>
        <w:rFonts w:ascii="Courier New" w:hAnsi="Courier New" w:hint="default"/>
      </w:rPr>
    </w:lvl>
    <w:lvl w:ilvl="5" w:tplc="040C0005" w:tentative="1">
      <w:start w:val="1"/>
      <w:numFmt w:val="bullet"/>
      <w:lvlText w:val=""/>
      <w:lvlJc w:val="left"/>
      <w:pPr>
        <w:tabs>
          <w:tab w:val="num" w:pos="6300"/>
        </w:tabs>
        <w:ind w:left="6300" w:hanging="360"/>
      </w:pPr>
      <w:rPr>
        <w:rFonts w:ascii="Wingdings" w:hAnsi="Wingdings" w:hint="default"/>
      </w:rPr>
    </w:lvl>
    <w:lvl w:ilvl="6" w:tplc="040C0001" w:tentative="1">
      <w:start w:val="1"/>
      <w:numFmt w:val="bullet"/>
      <w:lvlText w:val=""/>
      <w:lvlJc w:val="left"/>
      <w:pPr>
        <w:tabs>
          <w:tab w:val="num" w:pos="7020"/>
        </w:tabs>
        <w:ind w:left="7020" w:hanging="360"/>
      </w:pPr>
      <w:rPr>
        <w:rFonts w:ascii="Symbol" w:hAnsi="Symbol" w:hint="default"/>
      </w:rPr>
    </w:lvl>
    <w:lvl w:ilvl="7" w:tplc="040C0003" w:tentative="1">
      <w:start w:val="1"/>
      <w:numFmt w:val="bullet"/>
      <w:lvlText w:val="o"/>
      <w:lvlJc w:val="left"/>
      <w:pPr>
        <w:tabs>
          <w:tab w:val="num" w:pos="7740"/>
        </w:tabs>
        <w:ind w:left="7740" w:hanging="360"/>
      </w:pPr>
      <w:rPr>
        <w:rFonts w:ascii="Courier New" w:hAnsi="Courier New" w:hint="default"/>
      </w:rPr>
    </w:lvl>
    <w:lvl w:ilvl="8" w:tplc="040C0005" w:tentative="1">
      <w:start w:val="1"/>
      <w:numFmt w:val="bullet"/>
      <w:lvlText w:val=""/>
      <w:lvlJc w:val="left"/>
      <w:pPr>
        <w:tabs>
          <w:tab w:val="num" w:pos="8460"/>
        </w:tabs>
        <w:ind w:left="8460" w:hanging="360"/>
      </w:pPr>
      <w:rPr>
        <w:rFonts w:ascii="Wingdings" w:hAnsi="Wingdings" w:hint="default"/>
      </w:rPr>
    </w:lvl>
  </w:abstractNum>
  <w:abstractNum w:abstractNumId="16" w15:restartNumberingAfterBreak="0">
    <w:nsid w:val="300B56C6"/>
    <w:multiLevelType w:val="hybridMultilevel"/>
    <w:tmpl w:val="46243EDA"/>
    <w:lvl w:ilvl="0" w:tplc="1F6A7EDC">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35AF47D6"/>
    <w:multiLevelType w:val="hybridMultilevel"/>
    <w:tmpl w:val="89E0DC58"/>
    <w:lvl w:ilvl="0" w:tplc="F0A21F6A">
      <w:start w:val="1"/>
      <w:numFmt w:val="bullet"/>
      <w:lvlText w:val="-"/>
      <w:lvlJc w:val="left"/>
      <w:pPr>
        <w:ind w:left="720" w:hanging="360"/>
      </w:pPr>
      <w:rPr>
        <w:rFonts w:ascii="Arial" w:hAnsi="Arial" w:hint="default"/>
      </w:rPr>
    </w:lvl>
    <w:lvl w:ilvl="1" w:tplc="ED383A22">
      <w:numFmt w:val="bullet"/>
      <w:lvlText w:val="-"/>
      <w:lvlJc w:val="left"/>
      <w:pPr>
        <w:ind w:left="1440" w:hanging="360"/>
      </w:pPr>
      <w:rPr>
        <w:rFonts w:ascii="Arial" w:eastAsia="Times New Roman" w:hAnsi="Arial" w:cs="Aria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380C6335"/>
    <w:multiLevelType w:val="hybridMultilevel"/>
    <w:tmpl w:val="93BAEE14"/>
    <w:lvl w:ilvl="0" w:tplc="1C30BBF4">
      <w:start w:val="1"/>
      <w:numFmt w:val="bullet"/>
      <w:lvlText w:val=""/>
      <w:lvlJc w:val="left"/>
      <w:pPr>
        <w:tabs>
          <w:tab w:val="num" w:pos="2520"/>
        </w:tabs>
        <w:ind w:left="2520" w:hanging="360"/>
      </w:pPr>
      <w:rPr>
        <w:rFonts w:ascii="Symbol" w:hAnsi="Symbol" w:hint="default"/>
        <w:sz w:val="20"/>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38572497"/>
    <w:multiLevelType w:val="hybridMultilevel"/>
    <w:tmpl w:val="DD8003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4BF23E3F"/>
    <w:multiLevelType w:val="hybridMultilevel"/>
    <w:tmpl w:val="548ABFE6"/>
    <w:lvl w:ilvl="0" w:tplc="F1B2EF20">
      <w:start w:val="3"/>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4C952EAF"/>
    <w:multiLevelType w:val="hybridMultilevel"/>
    <w:tmpl w:val="6BC01BB8"/>
    <w:lvl w:ilvl="0" w:tplc="6234EB9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9B4471"/>
    <w:multiLevelType w:val="hybridMultilevel"/>
    <w:tmpl w:val="7E0C22FA"/>
    <w:lvl w:ilvl="0" w:tplc="80EEBB8C">
      <w:start w:val="1"/>
      <w:numFmt w:val="decimal"/>
      <w:lvlText w:val="%1."/>
      <w:lvlJc w:val="left"/>
      <w:pPr>
        <w:ind w:left="720" w:hanging="360"/>
      </w:pPr>
      <w:rPr>
        <w:rFonts w:hint="default"/>
        <w:u w:val="singl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596F4C39"/>
    <w:multiLevelType w:val="hybridMultilevel"/>
    <w:tmpl w:val="B16AA42E"/>
    <w:lvl w:ilvl="0" w:tplc="56742C22">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5EA22725"/>
    <w:multiLevelType w:val="hybridMultilevel"/>
    <w:tmpl w:val="1C48513A"/>
    <w:lvl w:ilvl="0" w:tplc="100C000F">
      <w:start w:val="1"/>
      <w:numFmt w:val="decimal"/>
      <w:lvlText w:val="%1."/>
      <w:lvlJc w:val="left"/>
      <w:pPr>
        <w:ind w:left="1080" w:hanging="720"/>
      </w:pPr>
      <w:rPr>
        <w:rFonts w:hint="default"/>
      </w:rPr>
    </w:lvl>
    <w:lvl w:ilvl="1" w:tplc="4A949900">
      <w:numFmt w:val="bullet"/>
      <w:lvlText w:val="•"/>
      <w:lvlJc w:val="left"/>
      <w:pPr>
        <w:ind w:left="1440" w:hanging="360"/>
      </w:pPr>
      <w:rPr>
        <w:rFonts w:ascii="Calibri" w:eastAsia="Calibri" w:hAnsi="Calibri" w:cs="Calibri" w:hint="default"/>
      </w:rPr>
    </w:lvl>
    <w:lvl w:ilvl="2" w:tplc="100C000B">
      <w:start w:val="1"/>
      <w:numFmt w:val="bullet"/>
      <w:lvlText w:val=""/>
      <w:lvlJc w:val="left"/>
      <w:pPr>
        <w:ind w:left="2160" w:hanging="180"/>
      </w:pPr>
      <w:rPr>
        <w:rFonts w:ascii="Wingdings" w:hAnsi="Wingding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62CE4CA0"/>
    <w:multiLevelType w:val="hybridMultilevel"/>
    <w:tmpl w:val="B68CAFC2"/>
    <w:lvl w:ilvl="0" w:tplc="100C0001">
      <w:start w:val="1"/>
      <w:numFmt w:val="bullet"/>
      <w:lvlText w:val=""/>
      <w:lvlJc w:val="left"/>
      <w:pPr>
        <w:ind w:left="1179" w:hanging="360"/>
      </w:pPr>
      <w:rPr>
        <w:rFonts w:ascii="Symbol" w:hAnsi="Symbol" w:hint="default"/>
      </w:rPr>
    </w:lvl>
    <w:lvl w:ilvl="1" w:tplc="100C0003" w:tentative="1">
      <w:start w:val="1"/>
      <w:numFmt w:val="bullet"/>
      <w:lvlText w:val="o"/>
      <w:lvlJc w:val="left"/>
      <w:pPr>
        <w:ind w:left="1899" w:hanging="360"/>
      </w:pPr>
      <w:rPr>
        <w:rFonts w:ascii="Courier New" w:hAnsi="Courier New" w:cs="Courier New" w:hint="default"/>
      </w:rPr>
    </w:lvl>
    <w:lvl w:ilvl="2" w:tplc="100C0005" w:tentative="1">
      <w:start w:val="1"/>
      <w:numFmt w:val="bullet"/>
      <w:lvlText w:val=""/>
      <w:lvlJc w:val="left"/>
      <w:pPr>
        <w:ind w:left="2619" w:hanging="360"/>
      </w:pPr>
      <w:rPr>
        <w:rFonts w:ascii="Wingdings" w:hAnsi="Wingdings" w:hint="default"/>
      </w:rPr>
    </w:lvl>
    <w:lvl w:ilvl="3" w:tplc="100C0001" w:tentative="1">
      <w:start w:val="1"/>
      <w:numFmt w:val="bullet"/>
      <w:lvlText w:val=""/>
      <w:lvlJc w:val="left"/>
      <w:pPr>
        <w:ind w:left="3339" w:hanging="360"/>
      </w:pPr>
      <w:rPr>
        <w:rFonts w:ascii="Symbol" w:hAnsi="Symbol" w:hint="default"/>
      </w:rPr>
    </w:lvl>
    <w:lvl w:ilvl="4" w:tplc="100C0003" w:tentative="1">
      <w:start w:val="1"/>
      <w:numFmt w:val="bullet"/>
      <w:lvlText w:val="o"/>
      <w:lvlJc w:val="left"/>
      <w:pPr>
        <w:ind w:left="4059" w:hanging="360"/>
      </w:pPr>
      <w:rPr>
        <w:rFonts w:ascii="Courier New" w:hAnsi="Courier New" w:cs="Courier New" w:hint="default"/>
      </w:rPr>
    </w:lvl>
    <w:lvl w:ilvl="5" w:tplc="100C0005" w:tentative="1">
      <w:start w:val="1"/>
      <w:numFmt w:val="bullet"/>
      <w:lvlText w:val=""/>
      <w:lvlJc w:val="left"/>
      <w:pPr>
        <w:ind w:left="4779" w:hanging="360"/>
      </w:pPr>
      <w:rPr>
        <w:rFonts w:ascii="Wingdings" w:hAnsi="Wingdings" w:hint="default"/>
      </w:rPr>
    </w:lvl>
    <w:lvl w:ilvl="6" w:tplc="100C0001" w:tentative="1">
      <w:start w:val="1"/>
      <w:numFmt w:val="bullet"/>
      <w:lvlText w:val=""/>
      <w:lvlJc w:val="left"/>
      <w:pPr>
        <w:ind w:left="5499" w:hanging="360"/>
      </w:pPr>
      <w:rPr>
        <w:rFonts w:ascii="Symbol" w:hAnsi="Symbol" w:hint="default"/>
      </w:rPr>
    </w:lvl>
    <w:lvl w:ilvl="7" w:tplc="100C0003" w:tentative="1">
      <w:start w:val="1"/>
      <w:numFmt w:val="bullet"/>
      <w:lvlText w:val="o"/>
      <w:lvlJc w:val="left"/>
      <w:pPr>
        <w:ind w:left="6219" w:hanging="360"/>
      </w:pPr>
      <w:rPr>
        <w:rFonts w:ascii="Courier New" w:hAnsi="Courier New" w:cs="Courier New" w:hint="default"/>
      </w:rPr>
    </w:lvl>
    <w:lvl w:ilvl="8" w:tplc="100C0005" w:tentative="1">
      <w:start w:val="1"/>
      <w:numFmt w:val="bullet"/>
      <w:lvlText w:val=""/>
      <w:lvlJc w:val="left"/>
      <w:pPr>
        <w:ind w:left="6939" w:hanging="360"/>
      </w:pPr>
      <w:rPr>
        <w:rFonts w:ascii="Wingdings" w:hAnsi="Wingdings" w:hint="default"/>
      </w:rPr>
    </w:lvl>
  </w:abstractNum>
  <w:abstractNum w:abstractNumId="26" w15:restartNumberingAfterBreak="0">
    <w:nsid w:val="659A17DE"/>
    <w:multiLevelType w:val="hybridMultilevel"/>
    <w:tmpl w:val="23E6977E"/>
    <w:lvl w:ilvl="0" w:tplc="100C000F">
      <w:start w:val="1"/>
      <w:numFmt w:val="decimal"/>
      <w:lvlText w:val="%1."/>
      <w:lvlJc w:val="left"/>
      <w:pPr>
        <w:ind w:left="1080" w:hanging="720"/>
      </w:pPr>
      <w:rPr>
        <w:rFonts w:hint="default"/>
      </w:rPr>
    </w:lvl>
    <w:lvl w:ilvl="1" w:tplc="4A949900">
      <w:numFmt w:val="bullet"/>
      <w:lvlText w:val="•"/>
      <w:lvlJc w:val="left"/>
      <w:pPr>
        <w:ind w:left="1440" w:hanging="360"/>
      </w:pPr>
      <w:rPr>
        <w:rFonts w:ascii="Calibri" w:eastAsia="Calibri" w:hAnsi="Calibri" w:cs="Calibri" w:hint="default"/>
      </w:rPr>
    </w:lvl>
    <w:lvl w:ilvl="2" w:tplc="100C000B">
      <w:start w:val="1"/>
      <w:numFmt w:val="bullet"/>
      <w:lvlText w:val=""/>
      <w:lvlJc w:val="left"/>
      <w:pPr>
        <w:ind w:left="2160" w:hanging="180"/>
      </w:pPr>
      <w:rPr>
        <w:rFonts w:ascii="Wingdings" w:hAnsi="Wingding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67A15217"/>
    <w:multiLevelType w:val="hybridMultilevel"/>
    <w:tmpl w:val="AB765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C51102"/>
    <w:multiLevelType w:val="multilevel"/>
    <w:tmpl w:val="27684084"/>
    <w:lvl w:ilvl="0">
      <w:start w:val="1"/>
      <w:numFmt w:val="decimal"/>
      <w:pStyle w:val="Heading1"/>
      <w:lvlText w:val="%1."/>
      <w:lvlJc w:val="left"/>
      <w:pPr>
        <w:tabs>
          <w:tab w:val="num" w:pos="360"/>
        </w:tabs>
        <w:ind w:left="360" w:hanging="360"/>
      </w:pPr>
      <w:rPr>
        <w:rFonts w:asciiTheme="majorHAnsi" w:hAnsiTheme="majorHAnsi" w:cs="Times New Roman" w:hint="default"/>
        <w:b/>
        <w:i w:val="0"/>
        <w:sz w:val="24"/>
      </w:rPr>
    </w:lvl>
    <w:lvl w:ilvl="1">
      <w:start w:val="1"/>
      <w:numFmt w:val="decimal"/>
      <w:pStyle w:val="Heading2"/>
      <w:lvlText w:val="%1.%2"/>
      <w:lvlJc w:val="left"/>
      <w:pPr>
        <w:tabs>
          <w:tab w:val="num" w:pos="432"/>
        </w:tabs>
        <w:ind w:left="432" w:hanging="432"/>
      </w:pPr>
      <w:rPr>
        <w:rFonts w:asciiTheme="majorHAnsi" w:hAnsiTheme="majorHAnsi" w:cs="Arial" w:hint="default"/>
        <w:b/>
        <w:bCs w:val="0"/>
        <w:i w:val="0"/>
        <w:iCs w:val="0"/>
        <w:caps w:val="0"/>
        <w:smallCaps w:val="0"/>
        <w:strike w:val="0"/>
        <w:dstrike w:val="0"/>
        <w:vanish w:val="0"/>
        <w:color w:val="auto"/>
        <w:spacing w:val="0"/>
        <w:w w:val="100"/>
        <w:kern w:val="0"/>
        <w:position w:val="0"/>
        <w:sz w:val="22"/>
        <w:szCs w:val="24"/>
        <w:u w:val="none" w:color="000000"/>
        <w:vertAlign w:val="baseline"/>
      </w:rPr>
    </w:lvl>
    <w:lvl w:ilvl="2">
      <w:start w:val="1"/>
      <w:numFmt w:val="decimal"/>
      <w:lvlText w:val="%1.%2.%3"/>
      <w:lvlJc w:val="left"/>
      <w:pPr>
        <w:tabs>
          <w:tab w:val="num" w:pos="1967"/>
        </w:tabs>
        <w:ind w:left="1967" w:hanging="1116"/>
      </w:pPr>
      <w:rPr>
        <w:rFonts w:ascii="Arial" w:hAnsi="Arial" w:cs="Arial" w:hint="default"/>
        <w:b w:val="0"/>
        <w:bCs w:val="0"/>
        <w:i w:val="0"/>
        <w:iCs w:val="0"/>
        <w:caps w:val="0"/>
        <w:smallCaps w:val="0"/>
        <w:strike w:val="0"/>
        <w:dstrike w:val="0"/>
        <w:vanish w:val="0"/>
        <w:spacing w:val="0"/>
        <w:kern w:val="0"/>
        <w:position w:val="0"/>
        <w:u w:val="none"/>
        <w:vertAlign w:val="baseline"/>
      </w:rPr>
    </w:lvl>
    <w:lvl w:ilvl="3">
      <w:start w:val="1"/>
      <w:numFmt w:val="decimal"/>
      <w:pStyle w:val="Heading4"/>
      <w:lvlText w:val="%1.%2.%3.%4"/>
      <w:lvlJc w:val="left"/>
      <w:pPr>
        <w:tabs>
          <w:tab w:val="num" w:pos="2484"/>
        </w:tabs>
        <w:ind w:left="2484" w:hanging="864"/>
      </w:pPr>
      <w:rPr>
        <w:rFonts w:ascii="Arial" w:hAnsi="Arial" w:cs="Arial" w:hint="default"/>
        <w:b w:val="0"/>
        <w:bCs w:val="0"/>
        <w:i w:val="0"/>
        <w:iCs w:val="0"/>
        <w:caps w:val="0"/>
        <w:smallCaps w:val="0"/>
        <w:strike w:val="0"/>
        <w:dstrike w:val="0"/>
        <w:vanish w:val="0"/>
        <w:spacing w:val="0"/>
        <w:kern w:val="0"/>
        <w:position w:val="0"/>
        <w:sz w:val="22"/>
        <w:szCs w:val="24"/>
        <w:u w:val="none"/>
        <w:vertAlign w:val="baseline"/>
      </w:rPr>
    </w:lvl>
    <w:lvl w:ilvl="4">
      <w:start w:val="1"/>
      <w:numFmt w:val="decimal"/>
      <w:lvlText w:val="%1.%2.%3.%4.%5"/>
      <w:lvlJc w:val="left"/>
      <w:pPr>
        <w:tabs>
          <w:tab w:val="num" w:pos="2160"/>
        </w:tabs>
        <w:ind w:left="1800" w:hanging="720"/>
      </w:pPr>
      <w:rPr>
        <w:rFonts w:ascii="Arial" w:hAnsi="Arial" w:cs="Times New Roman" w:hint="default"/>
        <w:b/>
        <w:i w:val="0"/>
        <w:sz w:val="24"/>
      </w:rPr>
    </w:lvl>
    <w:lvl w:ilvl="5">
      <w:start w:val="1"/>
      <w:numFmt w:val="decimal"/>
      <w:lvlText w:val="%1.%2.%3.%4.%5.%6"/>
      <w:lvlJc w:val="left"/>
      <w:pPr>
        <w:tabs>
          <w:tab w:val="num" w:pos="2232"/>
        </w:tabs>
        <w:ind w:left="2232" w:hanging="1152"/>
      </w:pPr>
      <w:rPr>
        <w:rFonts w:ascii="Arial" w:hAnsi="Arial" w:cs="Times New Roman" w:hint="default"/>
      </w:rPr>
    </w:lvl>
    <w:lvl w:ilvl="6">
      <w:start w:val="1"/>
      <w:numFmt w:val="decimal"/>
      <w:lvlText w:val="%1.%2.%3.%4.%5.%6.%7"/>
      <w:lvlJc w:val="left"/>
      <w:pPr>
        <w:tabs>
          <w:tab w:val="num" w:pos="2520"/>
        </w:tabs>
        <w:ind w:left="2376" w:hanging="1296"/>
      </w:pPr>
      <w:rPr>
        <w:rFonts w:ascii="Arial" w:hAnsi="Arial" w:cs="Times New Roman" w:hint="default"/>
      </w:rPr>
    </w:lvl>
    <w:lvl w:ilvl="7">
      <w:start w:val="1"/>
      <w:numFmt w:val="decimal"/>
      <w:lvlText w:val="%1.%2.%3.%4.%5.%6.%7.%8"/>
      <w:lvlJc w:val="left"/>
      <w:pPr>
        <w:tabs>
          <w:tab w:val="num" w:pos="2520"/>
        </w:tabs>
        <w:ind w:left="2520" w:hanging="1440"/>
      </w:pPr>
      <w:rPr>
        <w:rFonts w:cs="Times New Roman" w:hint="default"/>
      </w:rPr>
    </w:lvl>
    <w:lvl w:ilvl="8">
      <w:start w:val="1"/>
      <w:numFmt w:val="decimal"/>
      <w:lvlText w:val="%1.%2.%3.%4.%5.%6.%7.%8.%9"/>
      <w:lvlJc w:val="left"/>
      <w:pPr>
        <w:tabs>
          <w:tab w:val="num" w:pos="2664"/>
        </w:tabs>
        <w:ind w:left="2664" w:hanging="1584"/>
      </w:pPr>
      <w:rPr>
        <w:rFonts w:cs="Times New Roman" w:hint="default"/>
      </w:rPr>
    </w:lvl>
  </w:abstractNum>
  <w:abstractNum w:abstractNumId="29" w15:restartNumberingAfterBreak="0">
    <w:nsid w:val="6A687849"/>
    <w:multiLevelType w:val="hybridMultilevel"/>
    <w:tmpl w:val="A93E4184"/>
    <w:lvl w:ilvl="0" w:tplc="665AE870">
      <w:start w:val="1"/>
      <w:numFmt w:val="decimal"/>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6E8A0013"/>
    <w:multiLevelType w:val="hybridMultilevel"/>
    <w:tmpl w:val="1F80C49E"/>
    <w:lvl w:ilvl="0" w:tplc="665AE870">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72E86E7F"/>
    <w:multiLevelType w:val="multilevel"/>
    <w:tmpl w:val="764CD4F8"/>
    <w:lvl w:ilvl="0">
      <w:start w:val="1"/>
      <w:numFmt w:val="decimal"/>
      <w:lvlText w:val="%1."/>
      <w:lvlJc w:val="left"/>
      <w:pPr>
        <w:tabs>
          <w:tab w:val="num" w:pos="360"/>
        </w:tabs>
        <w:ind w:left="360" w:hanging="360"/>
      </w:pPr>
      <w:rPr>
        <w:rFonts w:ascii="Arial" w:hAnsi="Arial" w:cs="Times New Roman" w:hint="default"/>
        <w:b/>
        <w:i w:val="0"/>
        <w:sz w:val="24"/>
      </w:rPr>
    </w:lvl>
    <w:lvl w:ilvl="1">
      <w:start w:val="1"/>
      <w:numFmt w:val="decimal"/>
      <w:lvlText w:val="%1.%2"/>
      <w:lvlJc w:val="left"/>
      <w:pPr>
        <w:tabs>
          <w:tab w:val="num" w:pos="432"/>
        </w:tabs>
        <w:ind w:left="432" w:hanging="432"/>
      </w:pPr>
      <w:rPr>
        <w:rFonts w:ascii="Arial" w:hAnsi="Arial" w:cs="Arial" w:hint="default"/>
        <w:b/>
        <w:bCs w:val="0"/>
        <w:i w:val="0"/>
        <w:iCs w:val="0"/>
        <w:caps w:val="0"/>
        <w:smallCaps w:val="0"/>
        <w:strike w:val="0"/>
        <w:dstrike w:val="0"/>
        <w:vanish w:val="0"/>
        <w:color w:val="auto"/>
        <w:spacing w:val="0"/>
        <w:w w:val="100"/>
        <w:kern w:val="0"/>
        <w:position w:val="0"/>
        <w:sz w:val="24"/>
        <w:szCs w:val="24"/>
        <w:u w:val="none" w:color="000000"/>
        <w:vertAlign w:val="baseline"/>
      </w:rPr>
    </w:lvl>
    <w:lvl w:ilvl="2">
      <w:start w:val="1"/>
      <w:numFmt w:val="bullet"/>
      <w:lvlText w:val=""/>
      <w:lvlJc w:val="left"/>
      <w:pPr>
        <w:tabs>
          <w:tab w:val="num" w:pos="1967"/>
        </w:tabs>
        <w:ind w:left="1967" w:hanging="1116"/>
      </w:pPr>
      <w:rPr>
        <w:rFonts w:ascii="Symbol" w:hAnsi="Symbol" w:hint="default"/>
        <w:b w:val="0"/>
        <w:bCs w:val="0"/>
        <w:i w:val="0"/>
        <w:iCs w:val="0"/>
        <w:caps w:val="0"/>
        <w:smallCaps w:val="0"/>
        <w:strike w:val="0"/>
        <w:dstrike w:val="0"/>
        <w:vanish w:val="0"/>
        <w:spacing w:val="0"/>
        <w:kern w:val="0"/>
        <w:position w:val="0"/>
        <w:u w:val="none"/>
        <w:vertAlign w:val="baseline"/>
      </w:rPr>
    </w:lvl>
    <w:lvl w:ilvl="3">
      <w:start w:val="1"/>
      <w:numFmt w:val="decimal"/>
      <w:lvlText w:val="%1.%2.%3.%4"/>
      <w:lvlJc w:val="left"/>
      <w:pPr>
        <w:tabs>
          <w:tab w:val="num" w:pos="2484"/>
        </w:tabs>
        <w:ind w:left="2484" w:hanging="864"/>
      </w:pPr>
      <w:rPr>
        <w:rFonts w:ascii="Arial" w:hAnsi="Arial" w:cs="Arial" w:hint="default"/>
        <w:b w:val="0"/>
        <w:bCs w:val="0"/>
        <w:i w:val="0"/>
        <w:iCs w:val="0"/>
        <w:caps w:val="0"/>
        <w:smallCaps w:val="0"/>
        <w:strike w:val="0"/>
        <w:dstrike w:val="0"/>
        <w:vanish w:val="0"/>
        <w:spacing w:val="0"/>
        <w:kern w:val="0"/>
        <w:position w:val="0"/>
        <w:sz w:val="22"/>
        <w:szCs w:val="24"/>
        <w:u w:val="none"/>
        <w:vertAlign w:val="baseline"/>
      </w:rPr>
    </w:lvl>
    <w:lvl w:ilvl="4">
      <w:start w:val="1"/>
      <w:numFmt w:val="decimal"/>
      <w:lvlText w:val="%1.%2.%3.%4.%5"/>
      <w:lvlJc w:val="left"/>
      <w:pPr>
        <w:tabs>
          <w:tab w:val="num" w:pos="2160"/>
        </w:tabs>
        <w:ind w:left="1800" w:hanging="720"/>
      </w:pPr>
      <w:rPr>
        <w:rFonts w:ascii="Arial" w:hAnsi="Arial" w:cs="Times New Roman" w:hint="default"/>
        <w:b/>
        <w:i w:val="0"/>
        <w:sz w:val="24"/>
      </w:rPr>
    </w:lvl>
    <w:lvl w:ilvl="5">
      <w:start w:val="1"/>
      <w:numFmt w:val="decimal"/>
      <w:lvlText w:val="%1.%2.%3.%4.%5.%6"/>
      <w:lvlJc w:val="left"/>
      <w:pPr>
        <w:tabs>
          <w:tab w:val="num" w:pos="2232"/>
        </w:tabs>
        <w:ind w:left="2232" w:hanging="1152"/>
      </w:pPr>
      <w:rPr>
        <w:rFonts w:ascii="Arial" w:hAnsi="Arial" w:cs="Times New Roman" w:hint="default"/>
      </w:rPr>
    </w:lvl>
    <w:lvl w:ilvl="6">
      <w:start w:val="1"/>
      <w:numFmt w:val="decimal"/>
      <w:lvlText w:val="%1.%2.%3.%4.%5.%6.%7"/>
      <w:lvlJc w:val="left"/>
      <w:pPr>
        <w:tabs>
          <w:tab w:val="num" w:pos="2520"/>
        </w:tabs>
        <w:ind w:left="2376" w:hanging="1296"/>
      </w:pPr>
      <w:rPr>
        <w:rFonts w:ascii="Arial" w:hAnsi="Arial" w:cs="Times New Roman" w:hint="default"/>
      </w:rPr>
    </w:lvl>
    <w:lvl w:ilvl="7">
      <w:start w:val="1"/>
      <w:numFmt w:val="decimal"/>
      <w:lvlText w:val="%1.%2.%3.%4.%5.%6.%7.%8"/>
      <w:lvlJc w:val="left"/>
      <w:pPr>
        <w:tabs>
          <w:tab w:val="num" w:pos="2520"/>
        </w:tabs>
        <w:ind w:left="2520" w:hanging="1440"/>
      </w:pPr>
      <w:rPr>
        <w:rFonts w:cs="Times New Roman" w:hint="default"/>
      </w:rPr>
    </w:lvl>
    <w:lvl w:ilvl="8">
      <w:start w:val="1"/>
      <w:numFmt w:val="decimal"/>
      <w:lvlText w:val="%1.%2.%3.%4.%5.%6.%7.%8.%9"/>
      <w:lvlJc w:val="left"/>
      <w:pPr>
        <w:tabs>
          <w:tab w:val="num" w:pos="2664"/>
        </w:tabs>
        <w:ind w:left="2664" w:hanging="1584"/>
      </w:pPr>
      <w:rPr>
        <w:rFonts w:cs="Times New Roman" w:hint="default"/>
      </w:rPr>
    </w:lvl>
  </w:abstractNum>
  <w:num w:numId="1" w16cid:durableId="86537030">
    <w:abstractNumId w:val="28"/>
  </w:num>
  <w:num w:numId="2" w16cid:durableId="2016420819">
    <w:abstractNumId w:val="18"/>
  </w:num>
  <w:num w:numId="3" w16cid:durableId="2122676119">
    <w:abstractNumId w:val="27"/>
  </w:num>
  <w:num w:numId="4" w16cid:durableId="1658068792">
    <w:abstractNumId w:val="3"/>
  </w:num>
  <w:num w:numId="5" w16cid:durableId="8263269">
    <w:abstractNumId w:val="21"/>
  </w:num>
  <w:num w:numId="6" w16cid:durableId="1755976953">
    <w:abstractNumId w:val="6"/>
  </w:num>
  <w:num w:numId="7" w16cid:durableId="1812868699">
    <w:abstractNumId w:val="15"/>
  </w:num>
  <w:num w:numId="8" w16cid:durableId="863516357">
    <w:abstractNumId w:val="2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0326195">
    <w:abstractNumId w:val="16"/>
  </w:num>
  <w:num w:numId="10" w16cid:durableId="1506674456">
    <w:abstractNumId w:val="17"/>
  </w:num>
  <w:num w:numId="11" w16cid:durableId="738283992">
    <w:abstractNumId w:val="25"/>
  </w:num>
  <w:num w:numId="12" w16cid:durableId="1549343035">
    <w:abstractNumId w:val="31"/>
  </w:num>
  <w:num w:numId="13" w16cid:durableId="949244625">
    <w:abstractNumId w:val="13"/>
  </w:num>
  <w:num w:numId="14" w16cid:durableId="1078407279">
    <w:abstractNumId w:val="4"/>
  </w:num>
  <w:num w:numId="15" w16cid:durableId="17477293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37644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62093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77913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2727771">
    <w:abstractNumId w:val="2"/>
  </w:num>
  <w:num w:numId="20" w16cid:durableId="1064454702">
    <w:abstractNumId w:val="22"/>
  </w:num>
  <w:num w:numId="21" w16cid:durableId="863516073">
    <w:abstractNumId w:val="19"/>
  </w:num>
  <w:num w:numId="22" w16cid:durableId="1875540480">
    <w:abstractNumId w:val="0"/>
  </w:num>
  <w:num w:numId="23" w16cid:durableId="579605063">
    <w:abstractNumId w:val="7"/>
  </w:num>
  <w:num w:numId="24" w16cid:durableId="2104296798">
    <w:abstractNumId w:val="24"/>
  </w:num>
  <w:num w:numId="25" w16cid:durableId="694385533">
    <w:abstractNumId w:val="26"/>
  </w:num>
  <w:num w:numId="26" w16cid:durableId="1669557581">
    <w:abstractNumId w:val="1"/>
  </w:num>
  <w:num w:numId="27" w16cid:durableId="1313483915">
    <w:abstractNumId w:val="23"/>
  </w:num>
  <w:num w:numId="28" w16cid:durableId="2146316687">
    <w:abstractNumId w:val="9"/>
  </w:num>
  <w:num w:numId="29" w16cid:durableId="232543387">
    <w:abstractNumId w:val="8"/>
  </w:num>
  <w:num w:numId="30" w16cid:durableId="1214198892">
    <w:abstractNumId w:val="5"/>
  </w:num>
  <w:num w:numId="31" w16cid:durableId="1028678442">
    <w:abstractNumId w:val="29"/>
  </w:num>
  <w:num w:numId="32" w16cid:durableId="1200163750">
    <w:abstractNumId w:val="30"/>
  </w:num>
  <w:num w:numId="33" w16cid:durableId="1236361319">
    <w:abstractNumId w:val="11"/>
  </w:num>
  <w:num w:numId="34" w16cid:durableId="767627362">
    <w:abstractNumId w:val="12"/>
  </w:num>
  <w:num w:numId="35" w16cid:durableId="980109273">
    <w:abstractNumId w:val="20"/>
  </w:num>
  <w:num w:numId="36" w16cid:durableId="1525249572">
    <w:abstractNumId w:val="10"/>
  </w:num>
  <w:num w:numId="37" w16cid:durableId="73219760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91"/>
    <w:rsid w:val="00001499"/>
    <w:rsid w:val="000015BC"/>
    <w:rsid w:val="00001D8B"/>
    <w:rsid w:val="00006CD9"/>
    <w:rsid w:val="00007A11"/>
    <w:rsid w:val="0001118F"/>
    <w:rsid w:val="000112AC"/>
    <w:rsid w:val="00011AE1"/>
    <w:rsid w:val="00011EF8"/>
    <w:rsid w:val="00013819"/>
    <w:rsid w:val="00013CC4"/>
    <w:rsid w:val="00013E6A"/>
    <w:rsid w:val="0001444C"/>
    <w:rsid w:val="0001544B"/>
    <w:rsid w:val="00015815"/>
    <w:rsid w:val="0001584D"/>
    <w:rsid w:val="00016BE7"/>
    <w:rsid w:val="00016DCA"/>
    <w:rsid w:val="00016E1A"/>
    <w:rsid w:val="00020569"/>
    <w:rsid w:val="00020A4E"/>
    <w:rsid w:val="00022CD1"/>
    <w:rsid w:val="00023622"/>
    <w:rsid w:val="000259B6"/>
    <w:rsid w:val="00025E74"/>
    <w:rsid w:val="000320A8"/>
    <w:rsid w:val="00032F71"/>
    <w:rsid w:val="0003341F"/>
    <w:rsid w:val="00033B3B"/>
    <w:rsid w:val="00034856"/>
    <w:rsid w:val="000348DF"/>
    <w:rsid w:val="00034AF2"/>
    <w:rsid w:val="00034BB4"/>
    <w:rsid w:val="00035028"/>
    <w:rsid w:val="0003529B"/>
    <w:rsid w:val="00036BFF"/>
    <w:rsid w:val="00037200"/>
    <w:rsid w:val="00040098"/>
    <w:rsid w:val="0004059A"/>
    <w:rsid w:val="00040EFE"/>
    <w:rsid w:val="00041130"/>
    <w:rsid w:val="00042683"/>
    <w:rsid w:val="000442BC"/>
    <w:rsid w:val="0004464F"/>
    <w:rsid w:val="00044A65"/>
    <w:rsid w:val="00044AC8"/>
    <w:rsid w:val="0004517A"/>
    <w:rsid w:val="0004614E"/>
    <w:rsid w:val="00047121"/>
    <w:rsid w:val="000476FC"/>
    <w:rsid w:val="00047B35"/>
    <w:rsid w:val="000516D2"/>
    <w:rsid w:val="000517D7"/>
    <w:rsid w:val="00052F67"/>
    <w:rsid w:val="000542B0"/>
    <w:rsid w:val="00055352"/>
    <w:rsid w:val="00057213"/>
    <w:rsid w:val="000577E9"/>
    <w:rsid w:val="00057CA6"/>
    <w:rsid w:val="00057DCA"/>
    <w:rsid w:val="0006186B"/>
    <w:rsid w:val="000619FE"/>
    <w:rsid w:val="00062074"/>
    <w:rsid w:val="00062A02"/>
    <w:rsid w:val="000631CF"/>
    <w:rsid w:val="00063B53"/>
    <w:rsid w:val="00064286"/>
    <w:rsid w:val="000646C5"/>
    <w:rsid w:val="0006765E"/>
    <w:rsid w:val="000679EF"/>
    <w:rsid w:val="00067B56"/>
    <w:rsid w:val="0007167E"/>
    <w:rsid w:val="0007218B"/>
    <w:rsid w:val="00072825"/>
    <w:rsid w:val="00075804"/>
    <w:rsid w:val="00080A57"/>
    <w:rsid w:val="00080D53"/>
    <w:rsid w:val="0008213B"/>
    <w:rsid w:val="00084CA4"/>
    <w:rsid w:val="00085979"/>
    <w:rsid w:val="00085F17"/>
    <w:rsid w:val="00090524"/>
    <w:rsid w:val="00090D0E"/>
    <w:rsid w:val="00091912"/>
    <w:rsid w:val="000921ED"/>
    <w:rsid w:val="000925DB"/>
    <w:rsid w:val="000931DA"/>
    <w:rsid w:val="00093A8F"/>
    <w:rsid w:val="00093AA0"/>
    <w:rsid w:val="0009516A"/>
    <w:rsid w:val="000959AA"/>
    <w:rsid w:val="000975E6"/>
    <w:rsid w:val="00097935"/>
    <w:rsid w:val="00097A36"/>
    <w:rsid w:val="000A0A7F"/>
    <w:rsid w:val="000A116B"/>
    <w:rsid w:val="000A39EE"/>
    <w:rsid w:val="000A40E4"/>
    <w:rsid w:val="000A481E"/>
    <w:rsid w:val="000A4FD1"/>
    <w:rsid w:val="000A5264"/>
    <w:rsid w:val="000A6157"/>
    <w:rsid w:val="000A64F6"/>
    <w:rsid w:val="000A68A2"/>
    <w:rsid w:val="000A6D6C"/>
    <w:rsid w:val="000A7016"/>
    <w:rsid w:val="000A78BA"/>
    <w:rsid w:val="000A795B"/>
    <w:rsid w:val="000B0263"/>
    <w:rsid w:val="000B086F"/>
    <w:rsid w:val="000B0A1A"/>
    <w:rsid w:val="000B0CDE"/>
    <w:rsid w:val="000B1742"/>
    <w:rsid w:val="000B17C1"/>
    <w:rsid w:val="000B19C1"/>
    <w:rsid w:val="000B28F3"/>
    <w:rsid w:val="000B30F9"/>
    <w:rsid w:val="000B3DFC"/>
    <w:rsid w:val="000B512D"/>
    <w:rsid w:val="000B531D"/>
    <w:rsid w:val="000B5891"/>
    <w:rsid w:val="000C11C7"/>
    <w:rsid w:val="000C11D4"/>
    <w:rsid w:val="000C2437"/>
    <w:rsid w:val="000C336E"/>
    <w:rsid w:val="000C34A9"/>
    <w:rsid w:val="000C3573"/>
    <w:rsid w:val="000C46E7"/>
    <w:rsid w:val="000C53C8"/>
    <w:rsid w:val="000C64BD"/>
    <w:rsid w:val="000C6780"/>
    <w:rsid w:val="000C7442"/>
    <w:rsid w:val="000D073C"/>
    <w:rsid w:val="000D3479"/>
    <w:rsid w:val="000D4FFD"/>
    <w:rsid w:val="000D6508"/>
    <w:rsid w:val="000D6726"/>
    <w:rsid w:val="000D6DA8"/>
    <w:rsid w:val="000E03CD"/>
    <w:rsid w:val="000E0BCF"/>
    <w:rsid w:val="000E0CC6"/>
    <w:rsid w:val="000E0D3B"/>
    <w:rsid w:val="000E178B"/>
    <w:rsid w:val="000E1D5C"/>
    <w:rsid w:val="000E29BF"/>
    <w:rsid w:val="000E3176"/>
    <w:rsid w:val="000E3B43"/>
    <w:rsid w:val="000E3C60"/>
    <w:rsid w:val="000E3F0D"/>
    <w:rsid w:val="000E526F"/>
    <w:rsid w:val="000E577E"/>
    <w:rsid w:val="000E6B65"/>
    <w:rsid w:val="000F0A64"/>
    <w:rsid w:val="000F0D8D"/>
    <w:rsid w:val="000F103E"/>
    <w:rsid w:val="000F2834"/>
    <w:rsid w:val="000F6286"/>
    <w:rsid w:val="000F64D4"/>
    <w:rsid w:val="000F7CBB"/>
    <w:rsid w:val="001003CF"/>
    <w:rsid w:val="00101682"/>
    <w:rsid w:val="001018C6"/>
    <w:rsid w:val="00103CC0"/>
    <w:rsid w:val="00103EE8"/>
    <w:rsid w:val="0010402D"/>
    <w:rsid w:val="001048BE"/>
    <w:rsid w:val="001054C3"/>
    <w:rsid w:val="001055B2"/>
    <w:rsid w:val="00106D0F"/>
    <w:rsid w:val="001078D3"/>
    <w:rsid w:val="0011058A"/>
    <w:rsid w:val="001137AB"/>
    <w:rsid w:val="0011408F"/>
    <w:rsid w:val="00120091"/>
    <w:rsid w:val="00121E9A"/>
    <w:rsid w:val="0012320D"/>
    <w:rsid w:val="001232A3"/>
    <w:rsid w:val="00123680"/>
    <w:rsid w:val="00123746"/>
    <w:rsid w:val="0012487D"/>
    <w:rsid w:val="00125791"/>
    <w:rsid w:val="00127809"/>
    <w:rsid w:val="00130564"/>
    <w:rsid w:val="00131478"/>
    <w:rsid w:val="00131A89"/>
    <w:rsid w:val="00131F59"/>
    <w:rsid w:val="00132A18"/>
    <w:rsid w:val="00133FB8"/>
    <w:rsid w:val="001341B9"/>
    <w:rsid w:val="001352C6"/>
    <w:rsid w:val="001354B9"/>
    <w:rsid w:val="00136BC3"/>
    <w:rsid w:val="00137ED3"/>
    <w:rsid w:val="00140D44"/>
    <w:rsid w:val="00143637"/>
    <w:rsid w:val="001443F6"/>
    <w:rsid w:val="00144533"/>
    <w:rsid w:val="00144BCF"/>
    <w:rsid w:val="00144DA7"/>
    <w:rsid w:val="00144DFC"/>
    <w:rsid w:val="00146785"/>
    <w:rsid w:val="00150929"/>
    <w:rsid w:val="00150A41"/>
    <w:rsid w:val="00150E9C"/>
    <w:rsid w:val="00151091"/>
    <w:rsid w:val="0015295F"/>
    <w:rsid w:val="0015390F"/>
    <w:rsid w:val="001559B6"/>
    <w:rsid w:val="00156856"/>
    <w:rsid w:val="00156ABF"/>
    <w:rsid w:val="00156E5F"/>
    <w:rsid w:val="00156EF3"/>
    <w:rsid w:val="00157CB8"/>
    <w:rsid w:val="0016166E"/>
    <w:rsid w:val="00162708"/>
    <w:rsid w:val="00163054"/>
    <w:rsid w:val="00164ED4"/>
    <w:rsid w:val="00164F83"/>
    <w:rsid w:val="00166619"/>
    <w:rsid w:val="0016767E"/>
    <w:rsid w:val="00167D76"/>
    <w:rsid w:val="00170731"/>
    <w:rsid w:val="0017258E"/>
    <w:rsid w:val="00172866"/>
    <w:rsid w:val="00174469"/>
    <w:rsid w:val="001745B5"/>
    <w:rsid w:val="0017494E"/>
    <w:rsid w:val="0017565E"/>
    <w:rsid w:val="00175FF5"/>
    <w:rsid w:val="0017675C"/>
    <w:rsid w:val="00180839"/>
    <w:rsid w:val="00181A85"/>
    <w:rsid w:val="00182A45"/>
    <w:rsid w:val="00184240"/>
    <w:rsid w:val="00185903"/>
    <w:rsid w:val="001867BC"/>
    <w:rsid w:val="00187292"/>
    <w:rsid w:val="001932AE"/>
    <w:rsid w:val="00193F34"/>
    <w:rsid w:val="00195D14"/>
    <w:rsid w:val="00195EA4"/>
    <w:rsid w:val="001968EB"/>
    <w:rsid w:val="00197251"/>
    <w:rsid w:val="00197E02"/>
    <w:rsid w:val="001A0000"/>
    <w:rsid w:val="001A0675"/>
    <w:rsid w:val="001A22F2"/>
    <w:rsid w:val="001A5287"/>
    <w:rsid w:val="001A52F4"/>
    <w:rsid w:val="001A5458"/>
    <w:rsid w:val="001A5674"/>
    <w:rsid w:val="001A60CA"/>
    <w:rsid w:val="001A648E"/>
    <w:rsid w:val="001A71DF"/>
    <w:rsid w:val="001B2B63"/>
    <w:rsid w:val="001B2EFD"/>
    <w:rsid w:val="001B3965"/>
    <w:rsid w:val="001B4A2A"/>
    <w:rsid w:val="001B5937"/>
    <w:rsid w:val="001B6BEC"/>
    <w:rsid w:val="001B7AAD"/>
    <w:rsid w:val="001C01F9"/>
    <w:rsid w:val="001C04AD"/>
    <w:rsid w:val="001C073F"/>
    <w:rsid w:val="001C463A"/>
    <w:rsid w:val="001C4F75"/>
    <w:rsid w:val="001C6020"/>
    <w:rsid w:val="001C677D"/>
    <w:rsid w:val="001C6B78"/>
    <w:rsid w:val="001C6C1B"/>
    <w:rsid w:val="001C79CF"/>
    <w:rsid w:val="001D04BD"/>
    <w:rsid w:val="001D0685"/>
    <w:rsid w:val="001D108E"/>
    <w:rsid w:val="001D2003"/>
    <w:rsid w:val="001D31C2"/>
    <w:rsid w:val="001D3D88"/>
    <w:rsid w:val="001D4828"/>
    <w:rsid w:val="001D551E"/>
    <w:rsid w:val="001D5973"/>
    <w:rsid w:val="001D5B18"/>
    <w:rsid w:val="001D5D37"/>
    <w:rsid w:val="001D7685"/>
    <w:rsid w:val="001D7731"/>
    <w:rsid w:val="001D7EC8"/>
    <w:rsid w:val="001E1D75"/>
    <w:rsid w:val="001E21D1"/>
    <w:rsid w:val="001E277C"/>
    <w:rsid w:val="001E4347"/>
    <w:rsid w:val="001E4CFE"/>
    <w:rsid w:val="001E56FF"/>
    <w:rsid w:val="001E5A7A"/>
    <w:rsid w:val="001E66C7"/>
    <w:rsid w:val="001E70F7"/>
    <w:rsid w:val="001E71C5"/>
    <w:rsid w:val="001E7A2D"/>
    <w:rsid w:val="001F049F"/>
    <w:rsid w:val="001F1839"/>
    <w:rsid w:val="001F3C68"/>
    <w:rsid w:val="001F477E"/>
    <w:rsid w:val="001F4C20"/>
    <w:rsid w:val="001F63EE"/>
    <w:rsid w:val="001F667B"/>
    <w:rsid w:val="00200D0F"/>
    <w:rsid w:val="00201CD3"/>
    <w:rsid w:val="00201E9C"/>
    <w:rsid w:val="00201FB3"/>
    <w:rsid w:val="0020204B"/>
    <w:rsid w:val="00203956"/>
    <w:rsid w:val="00204920"/>
    <w:rsid w:val="00204D33"/>
    <w:rsid w:val="00205921"/>
    <w:rsid w:val="00206536"/>
    <w:rsid w:val="00210F56"/>
    <w:rsid w:val="002123EC"/>
    <w:rsid w:val="00213BE9"/>
    <w:rsid w:val="00214327"/>
    <w:rsid w:val="00214D92"/>
    <w:rsid w:val="0021535C"/>
    <w:rsid w:val="00216C02"/>
    <w:rsid w:val="002179FE"/>
    <w:rsid w:val="002212B5"/>
    <w:rsid w:val="002212D2"/>
    <w:rsid w:val="00221887"/>
    <w:rsid w:val="00221C6C"/>
    <w:rsid w:val="00221DE0"/>
    <w:rsid w:val="00222E74"/>
    <w:rsid w:val="00223065"/>
    <w:rsid w:val="002233EE"/>
    <w:rsid w:val="00224C07"/>
    <w:rsid w:val="00225BDE"/>
    <w:rsid w:val="00225F0F"/>
    <w:rsid w:val="00226EAB"/>
    <w:rsid w:val="00226F6A"/>
    <w:rsid w:val="002301EC"/>
    <w:rsid w:val="002315D3"/>
    <w:rsid w:val="00231A34"/>
    <w:rsid w:val="002332ED"/>
    <w:rsid w:val="00234F3B"/>
    <w:rsid w:val="00235709"/>
    <w:rsid w:val="00236224"/>
    <w:rsid w:val="0023625F"/>
    <w:rsid w:val="00236694"/>
    <w:rsid w:val="00240799"/>
    <w:rsid w:val="00243CF7"/>
    <w:rsid w:val="0024444C"/>
    <w:rsid w:val="00246B4F"/>
    <w:rsid w:val="00246BF8"/>
    <w:rsid w:val="00247510"/>
    <w:rsid w:val="002479C6"/>
    <w:rsid w:val="002504E0"/>
    <w:rsid w:val="002507A0"/>
    <w:rsid w:val="00250B7D"/>
    <w:rsid w:val="00250C19"/>
    <w:rsid w:val="0025109F"/>
    <w:rsid w:val="002523E1"/>
    <w:rsid w:val="00252E08"/>
    <w:rsid w:val="002530C5"/>
    <w:rsid w:val="00253677"/>
    <w:rsid w:val="00253776"/>
    <w:rsid w:val="00253D9C"/>
    <w:rsid w:val="00254245"/>
    <w:rsid w:val="00254276"/>
    <w:rsid w:val="0025453C"/>
    <w:rsid w:val="00255F52"/>
    <w:rsid w:val="0025737F"/>
    <w:rsid w:val="0025799F"/>
    <w:rsid w:val="00260067"/>
    <w:rsid w:val="0026029C"/>
    <w:rsid w:val="00261759"/>
    <w:rsid w:val="00264220"/>
    <w:rsid w:val="002646DE"/>
    <w:rsid w:val="00264920"/>
    <w:rsid w:val="00266B84"/>
    <w:rsid w:val="0026745B"/>
    <w:rsid w:val="00270FF1"/>
    <w:rsid w:val="00271648"/>
    <w:rsid w:val="00271E2B"/>
    <w:rsid w:val="00271FBF"/>
    <w:rsid w:val="00272966"/>
    <w:rsid w:val="00280462"/>
    <w:rsid w:val="00281607"/>
    <w:rsid w:val="00282638"/>
    <w:rsid w:val="00282A38"/>
    <w:rsid w:val="002831BF"/>
    <w:rsid w:val="002831D8"/>
    <w:rsid w:val="00284CC5"/>
    <w:rsid w:val="00285ACD"/>
    <w:rsid w:val="002867DB"/>
    <w:rsid w:val="00286C05"/>
    <w:rsid w:val="00286D28"/>
    <w:rsid w:val="00286F11"/>
    <w:rsid w:val="00290C87"/>
    <w:rsid w:val="00291953"/>
    <w:rsid w:val="00296097"/>
    <w:rsid w:val="00297A99"/>
    <w:rsid w:val="002A0637"/>
    <w:rsid w:val="002A1495"/>
    <w:rsid w:val="002A2A4D"/>
    <w:rsid w:val="002A3789"/>
    <w:rsid w:val="002A615B"/>
    <w:rsid w:val="002B2737"/>
    <w:rsid w:val="002B4498"/>
    <w:rsid w:val="002B46B4"/>
    <w:rsid w:val="002B5B09"/>
    <w:rsid w:val="002B64AE"/>
    <w:rsid w:val="002B6B44"/>
    <w:rsid w:val="002B6B52"/>
    <w:rsid w:val="002B70B5"/>
    <w:rsid w:val="002B772B"/>
    <w:rsid w:val="002C0E14"/>
    <w:rsid w:val="002C228B"/>
    <w:rsid w:val="002C2459"/>
    <w:rsid w:val="002C2660"/>
    <w:rsid w:val="002C2F9D"/>
    <w:rsid w:val="002C3459"/>
    <w:rsid w:val="002C3A42"/>
    <w:rsid w:val="002C4EA6"/>
    <w:rsid w:val="002C5A9E"/>
    <w:rsid w:val="002D001A"/>
    <w:rsid w:val="002D1CB4"/>
    <w:rsid w:val="002D1E31"/>
    <w:rsid w:val="002D37A2"/>
    <w:rsid w:val="002D3BAB"/>
    <w:rsid w:val="002D40E3"/>
    <w:rsid w:val="002D4AEC"/>
    <w:rsid w:val="002D4D16"/>
    <w:rsid w:val="002D6964"/>
    <w:rsid w:val="002D7006"/>
    <w:rsid w:val="002D7468"/>
    <w:rsid w:val="002D7562"/>
    <w:rsid w:val="002E0DC3"/>
    <w:rsid w:val="002E1839"/>
    <w:rsid w:val="002E1E9F"/>
    <w:rsid w:val="002E39BC"/>
    <w:rsid w:val="002E4897"/>
    <w:rsid w:val="002F092B"/>
    <w:rsid w:val="002F24BB"/>
    <w:rsid w:val="002F38A1"/>
    <w:rsid w:val="002F5E0E"/>
    <w:rsid w:val="002F7EAA"/>
    <w:rsid w:val="003000A0"/>
    <w:rsid w:val="003022FE"/>
    <w:rsid w:val="00302551"/>
    <w:rsid w:val="003037CE"/>
    <w:rsid w:val="00303E8F"/>
    <w:rsid w:val="003045B6"/>
    <w:rsid w:val="003063FA"/>
    <w:rsid w:val="003127BD"/>
    <w:rsid w:val="0031442E"/>
    <w:rsid w:val="00314BB0"/>
    <w:rsid w:val="00315539"/>
    <w:rsid w:val="00315BDC"/>
    <w:rsid w:val="00315D03"/>
    <w:rsid w:val="00315D05"/>
    <w:rsid w:val="00316323"/>
    <w:rsid w:val="00316B7B"/>
    <w:rsid w:val="00316BB2"/>
    <w:rsid w:val="003207CF"/>
    <w:rsid w:val="00321D6F"/>
    <w:rsid w:val="003221AD"/>
    <w:rsid w:val="0032268F"/>
    <w:rsid w:val="00334784"/>
    <w:rsid w:val="0033674B"/>
    <w:rsid w:val="00337C79"/>
    <w:rsid w:val="00341176"/>
    <w:rsid w:val="0034227D"/>
    <w:rsid w:val="00342735"/>
    <w:rsid w:val="0034274A"/>
    <w:rsid w:val="00343F45"/>
    <w:rsid w:val="00344B0E"/>
    <w:rsid w:val="00345C6E"/>
    <w:rsid w:val="00346650"/>
    <w:rsid w:val="003501EA"/>
    <w:rsid w:val="00351961"/>
    <w:rsid w:val="00351F4E"/>
    <w:rsid w:val="00352F48"/>
    <w:rsid w:val="00353A0B"/>
    <w:rsid w:val="00353C22"/>
    <w:rsid w:val="00355DBC"/>
    <w:rsid w:val="00355F2F"/>
    <w:rsid w:val="003561B3"/>
    <w:rsid w:val="00356B7D"/>
    <w:rsid w:val="00357084"/>
    <w:rsid w:val="0035727E"/>
    <w:rsid w:val="0035750E"/>
    <w:rsid w:val="00357BFB"/>
    <w:rsid w:val="00361232"/>
    <w:rsid w:val="00362960"/>
    <w:rsid w:val="00362A9A"/>
    <w:rsid w:val="00362C17"/>
    <w:rsid w:val="0036439D"/>
    <w:rsid w:val="00364969"/>
    <w:rsid w:val="003709AB"/>
    <w:rsid w:val="003711F8"/>
    <w:rsid w:val="003734FA"/>
    <w:rsid w:val="00374561"/>
    <w:rsid w:val="00374883"/>
    <w:rsid w:val="00375F9E"/>
    <w:rsid w:val="00376A4E"/>
    <w:rsid w:val="00377C12"/>
    <w:rsid w:val="003824CC"/>
    <w:rsid w:val="00383867"/>
    <w:rsid w:val="00383CC7"/>
    <w:rsid w:val="00384B29"/>
    <w:rsid w:val="00384CEF"/>
    <w:rsid w:val="00385CD7"/>
    <w:rsid w:val="0038768A"/>
    <w:rsid w:val="00390DC8"/>
    <w:rsid w:val="00391075"/>
    <w:rsid w:val="00392367"/>
    <w:rsid w:val="003932E3"/>
    <w:rsid w:val="0039349B"/>
    <w:rsid w:val="00393849"/>
    <w:rsid w:val="00396885"/>
    <w:rsid w:val="00397BD0"/>
    <w:rsid w:val="003A0160"/>
    <w:rsid w:val="003A0906"/>
    <w:rsid w:val="003A4014"/>
    <w:rsid w:val="003A4B5E"/>
    <w:rsid w:val="003A58D9"/>
    <w:rsid w:val="003A6443"/>
    <w:rsid w:val="003A6E97"/>
    <w:rsid w:val="003A700B"/>
    <w:rsid w:val="003B0435"/>
    <w:rsid w:val="003B0516"/>
    <w:rsid w:val="003B3D2E"/>
    <w:rsid w:val="003B5279"/>
    <w:rsid w:val="003B5E91"/>
    <w:rsid w:val="003B5EDB"/>
    <w:rsid w:val="003B6CCD"/>
    <w:rsid w:val="003B74AD"/>
    <w:rsid w:val="003B7891"/>
    <w:rsid w:val="003B7CFF"/>
    <w:rsid w:val="003C19FA"/>
    <w:rsid w:val="003C1A43"/>
    <w:rsid w:val="003C2316"/>
    <w:rsid w:val="003C4DAA"/>
    <w:rsid w:val="003C5077"/>
    <w:rsid w:val="003C523A"/>
    <w:rsid w:val="003D0478"/>
    <w:rsid w:val="003D1050"/>
    <w:rsid w:val="003D227B"/>
    <w:rsid w:val="003D271D"/>
    <w:rsid w:val="003D2CB4"/>
    <w:rsid w:val="003D5689"/>
    <w:rsid w:val="003D588C"/>
    <w:rsid w:val="003D58C5"/>
    <w:rsid w:val="003D5D84"/>
    <w:rsid w:val="003D7F63"/>
    <w:rsid w:val="003E02EF"/>
    <w:rsid w:val="003E1415"/>
    <w:rsid w:val="003E2128"/>
    <w:rsid w:val="003E4460"/>
    <w:rsid w:val="003E52EC"/>
    <w:rsid w:val="003E6999"/>
    <w:rsid w:val="003E7346"/>
    <w:rsid w:val="003E79BB"/>
    <w:rsid w:val="003F0A26"/>
    <w:rsid w:val="003F0A92"/>
    <w:rsid w:val="003F2B7B"/>
    <w:rsid w:val="003F52BB"/>
    <w:rsid w:val="003F5977"/>
    <w:rsid w:val="003F5FB4"/>
    <w:rsid w:val="003F6F0F"/>
    <w:rsid w:val="003F71BD"/>
    <w:rsid w:val="004016F1"/>
    <w:rsid w:val="004019EE"/>
    <w:rsid w:val="00405F39"/>
    <w:rsid w:val="004105C4"/>
    <w:rsid w:val="004106FD"/>
    <w:rsid w:val="00411D7C"/>
    <w:rsid w:val="00413034"/>
    <w:rsid w:val="004144BE"/>
    <w:rsid w:val="004147C2"/>
    <w:rsid w:val="0041579B"/>
    <w:rsid w:val="004158F4"/>
    <w:rsid w:val="00415CFD"/>
    <w:rsid w:val="004160FA"/>
    <w:rsid w:val="00416E37"/>
    <w:rsid w:val="00417127"/>
    <w:rsid w:val="00421468"/>
    <w:rsid w:val="00421954"/>
    <w:rsid w:val="00421EC4"/>
    <w:rsid w:val="00423694"/>
    <w:rsid w:val="004241EB"/>
    <w:rsid w:val="0042445C"/>
    <w:rsid w:val="00426C03"/>
    <w:rsid w:val="004274E1"/>
    <w:rsid w:val="004301E2"/>
    <w:rsid w:val="004302CA"/>
    <w:rsid w:val="00430355"/>
    <w:rsid w:val="004308D8"/>
    <w:rsid w:val="00431229"/>
    <w:rsid w:val="004323F1"/>
    <w:rsid w:val="004324F1"/>
    <w:rsid w:val="00432DF4"/>
    <w:rsid w:val="004343CC"/>
    <w:rsid w:val="004349C2"/>
    <w:rsid w:val="004350FF"/>
    <w:rsid w:val="00436B67"/>
    <w:rsid w:val="004371D3"/>
    <w:rsid w:val="00437C63"/>
    <w:rsid w:val="00440996"/>
    <w:rsid w:val="00440C87"/>
    <w:rsid w:val="00441419"/>
    <w:rsid w:val="00442CA6"/>
    <w:rsid w:val="00442CB6"/>
    <w:rsid w:val="00443E19"/>
    <w:rsid w:val="00444697"/>
    <w:rsid w:val="00444890"/>
    <w:rsid w:val="004460B9"/>
    <w:rsid w:val="00446352"/>
    <w:rsid w:val="00446364"/>
    <w:rsid w:val="0044778B"/>
    <w:rsid w:val="00447988"/>
    <w:rsid w:val="00451ED0"/>
    <w:rsid w:val="00452363"/>
    <w:rsid w:val="00452752"/>
    <w:rsid w:val="00452E70"/>
    <w:rsid w:val="00453330"/>
    <w:rsid w:val="00455507"/>
    <w:rsid w:val="004555D5"/>
    <w:rsid w:val="00455980"/>
    <w:rsid w:val="0045692D"/>
    <w:rsid w:val="00462D27"/>
    <w:rsid w:val="0046478E"/>
    <w:rsid w:val="004656FE"/>
    <w:rsid w:val="00466E8B"/>
    <w:rsid w:val="004676A0"/>
    <w:rsid w:val="00467FF1"/>
    <w:rsid w:val="00472F5A"/>
    <w:rsid w:val="00473AE5"/>
    <w:rsid w:val="0047462D"/>
    <w:rsid w:val="00474FE0"/>
    <w:rsid w:val="00476109"/>
    <w:rsid w:val="004772FA"/>
    <w:rsid w:val="00477B85"/>
    <w:rsid w:val="00480261"/>
    <w:rsid w:val="00481402"/>
    <w:rsid w:val="00481832"/>
    <w:rsid w:val="00481DB9"/>
    <w:rsid w:val="00482C30"/>
    <w:rsid w:val="00483D1B"/>
    <w:rsid w:val="00483E6E"/>
    <w:rsid w:val="00485A22"/>
    <w:rsid w:val="00485F1F"/>
    <w:rsid w:val="00486047"/>
    <w:rsid w:val="0048667A"/>
    <w:rsid w:val="00487717"/>
    <w:rsid w:val="00490006"/>
    <w:rsid w:val="00490110"/>
    <w:rsid w:val="00490279"/>
    <w:rsid w:val="004903F4"/>
    <w:rsid w:val="004907F2"/>
    <w:rsid w:val="0049099D"/>
    <w:rsid w:val="00490E53"/>
    <w:rsid w:val="00490E61"/>
    <w:rsid w:val="00490EA2"/>
    <w:rsid w:val="004921A6"/>
    <w:rsid w:val="0049519B"/>
    <w:rsid w:val="00495C48"/>
    <w:rsid w:val="00495CFA"/>
    <w:rsid w:val="0049695B"/>
    <w:rsid w:val="00497026"/>
    <w:rsid w:val="00497360"/>
    <w:rsid w:val="004A077F"/>
    <w:rsid w:val="004A1403"/>
    <w:rsid w:val="004A14E2"/>
    <w:rsid w:val="004A1CB2"/>
    <w:rsid w:val="004A2B7C"/>
    <w:rsid w:val="004A3FEB"/>
    <w:rsid w:val="004A4B17"/>
    <w:rsid w:val="004A54FE"/>
    <w:rsid w:val="004A656F"/>
    <w:rsid w:val="004A6699"/>
    <w:rsid w:val="004A67CE"/>
    <w:rsid w:val="004A6AA5"/>
    <w:rsid w:val="004A7DAF"/>
    <w:rsid w:val="004B0D42"/>
    <w:rsid w:val="004B50C9"/>
    <w:rsid w:val="004B5243"/>
    <w:rsid w:val="004B55A0"/>
    <w:rsid w:val="004B79A9"/>
    <w:rsid w:val="004C0E73"/>
    <w:rsid w:val="004C24BD"/>
    <w:rsid w:val="004C2990"/>
    <w:rsid w:val="004C2DCB"/>
    <w:rsid w:val="004C4940"/>
    <w:rsid w:val="004C5B68"/>
    <w:rsid w:val="004D149E"/>
    <w:rsid w:val="004D1AA1"/>
    <w:rsid w:val="004D1B54"/>
    <w:rsid w:val="004D1F05"/>
    <w:rsid w:val="004D363C"/>
    <w:rsid w:val="004D3700"/>
    <w:rsid w:val="004D3FEE"/>
    <w:rsid w:val="004E0799"/>
    <w:rsid w:val="004E208B"/>
    <w:rsid w:val="004E4871"/>
    <w:rsid w:val="004E4B38"/>
    <w:rsid w:val="004E50F5"/>
    <w:rsid w:val="004E5900"/>
    <w:rsid w:val="004E608E"/>
    <w:rsid w:val="004E61F9"/>
    <w:rsid w:val="004E7474"/>
    <w:rsid w:val="004E7796"/>
    <w:rsid w:val="004E78DE"/>
    <w:rsid w:val="004F095F"/>
    <w:rsid w:val="004F1871"/>
    <w:rsid w:val="004F3C1D"/>
    <w:rsid w:val="004F5168"/>
    <w:rsid w:val="004F555D"/>
    <w:rsid w:val="004F5BC7"/>
    <w:rsid w:val="004F658B"/>
    <w:rsid w:val="004F6592"/>
    <w:rsid w:val="004F65EE"/>
    <w:rsid w:val="004F7269"/>
    <w:rsid w:val="004F7DFA"/>
    <w:rsid w:val="005004AC"/>
    <w:rsid w:val="005019B0"/>
    <w:rsid w:val="0050335A"/>
    <w:rsid w:val="005034E7"/>
    <w:rsid w:val="00505194"/>
    <w:rsid w:val="00505338"/>
    <w:rsid w:val="00506986"/>
    <w:rsid w:val="005074D3"/>
    <w:rsid w:val="005074DE"/>
    <w:rsid w:val="0051119A"/>
    <w:rsid w:val="005112CB"/>
    <w:rsid w:val="005121B2"/>
    <w:rsid w:val="005129F7"/>
    <w:rsid w:val="00512D23"/>
    <w:rsid w:val="0051333D"/>
    <w:rsid w:val="00513618"/>
    <w:rsid w:val="005136D3"/>
    <w:rsid w:val="005136FB"/>
    <w:rsid w:val="00516850"/>
    <w:rsid w:val="00516D0C"/>
    <w:rsid w:val="00517211"/>
    <w:rsid w:val="00520DB2"/>
    <w:rsid w:val="00521C35"/>
    <w:rsid w:val="00523492"/>
    <w:rsid w:val="00523D48"/>
    <w:rsid w:val="00525E7A"/>
    <w:rsid w:val="00525FD2"/>
    <w:rsid w:val="0052681D"/>
    <w:rsid w:val="00526ADF"/>
    <w:rsid w:val="00527905"/>
    <w:rsid w:val="00530FA3"/>
    <w:rsid w:val="005317FF"/>
    <w:rsid w:val="0053203D"/>
    <w:rsid w:val="0053238C"/>
    <w:rsid w:val="005326F3"/>
    <w:rsid w:val="00534155"/>
    <w:rsid w:val="00535B94"/>
    <w:rsid w:val="00535D28"/>
    <w:rsid w:val="00537EF1"/>
    <w:rsid w:val="005403B3"/>
    <w:rsid w:val="00541F85"/>
    <w:rsid w:val="00542176"/>
    <w:rsid w:val="005424F5"/>
    <w:rsid w:val="0054284E"/>
    <w:rsid w:val="00542CD7"/>
    <w:rsid w:val="0054406F"/>
    <w:rsid w:val="00544A18"/>
    <w:rsid w:val="0054502D"/>
    <w:rsid w:val="005462A8"/>
    <w:rsid w:val="00550498"/>
    <w:rsid w:val="00550D40"/>
    <w:rsid w:val="00551B82"/>
    <w:rsid w:val="00552B22"/>
    <w:rsid w:val="00554533"/>
    <w:rsid w:val="005545C1"/>
    <w:rsid w:val="005567E5"/>
    <w:rsid w:val="00560DCB"/>
    <w:rsid w:val="00561D36"/>
    <w:rsid w:val="00562DDB"/>
    <w:rsid w:val="005639D9"/>
    <w:rsid w:val="00563CDA"/>
    <w:rsid w:val="00563FB4"/>
    <w:rsid w:val="005659EE"/>
    <w:rsid w:val="00565FB6"/>
    <w:rsid w:val="005666D9"/>
    <w:rsid w:val="00570A74"/>
    <w:rsid w:val="00571051"/>
    <w:rsid w:val="005723FC"/>
    <w:rsid w:val="00572A7E"/>
    <w:rsid w:val="00572B8E"/>
    <w:rsid w:val="00572D4B"/>
    <w:rsid w:val="005746F1"/>
    <w:rsid w:val="00574EB6"/>
    <w:rsid w:val="00575976"/>
    <w:rsid w:val="005765D7"/>
    <w:rsid w:val="00576639"/>
    <w:rsid w:val="00576D4E"/>
    <w:rsid w:val="00577270"/>
    <w:rsid w:val="005777A8"/>
    <w:rsid w:val="00577BAC"/>
    <w:rsid w:val="00577F31"/>
    <w:rsid w:val="005805D3"/>
    <w:rsid w:val="00580D14"/>
    <w:rsid w:val="00582312"/>
    <w:rsid w:val="00582B3A"/>
    <w:rsid w:val="00583177"/>
    <w:rsid w:val="00583D59"/>
    <w:rsid w:val="00583F5B"/>
    <w:rsid w:val="00583F6E"/>
    <w:rsid w:val="00584A24"/>
    <w:rsid w:val="005856C1"/>
    <w:rsid w:val="00591D76"/>
    <w:rsid w:val="00592953"/>
    <w:rsid w:val="005973BB"/>
    <w:rsid w:val="005978A1"/>
    <w:rsid w:val="00597A6B"/>
    <w:rsid w:val="005A0B8E"/>
    <w:rsid w:val="005A264B"/>
    <w:rsid w:val="005A3AD9"/>
    <w:rsid w:val="005A4709"/>
    <w:rsid w:val="005A4D13"/>
    <w:rsid w:val="005A5AB3"/>
    <w:rsid w:val="005A5B19"/>
    <w:rsid w:val="005A5D2E"/>
    <w:rsid w:val="005A625F"/>
    <w:rsid w:val="005A6CBA"/>
    <w:rsid w:val="005A7CFC"/>
    <w:rsid w:val="005A7D4B"/>
    <w:rsid w:val="005B1B9B"/>
    <w:rsid w:val="005B25AE"/>
    <w:rsid w:val="005B5E9F"/>
    <w:rsid w:val="005B626B"/>
    <w:rsid w:val="005B7438"/>
    <w:rsid w:val="005B7E8F"/>
    <w:rsid w:val="005C07C7"/>
    <w:rsid w:val="005C0D22"/>
    <w:rsid w:val="005C23BD"/>
    <w:rsid w:val="005C402D"/>
    <w:rsid w:val="005C44AF"/>
    <w:rsid w:val="005C6423"/>
    <w:rsid w:val="005C652D"/>
    <w:rsid w:val="005D0E8E"/>
    <w:rsid w:val="005D3DED"/>
    <w:rsid w:val="005D55EE"/>
    <w:rsid w:val="005D5C7F"/>
    <w:rsid w:val="005D6653"/>
    <w:rsid w:val="005E056D"/>
    <w:rsid w:val="005E0C64"/>
    <w:rsid w:val="005E146C"/>
    <w:rsid w:val="005E1C64"/>
    <w:rsid w:val="005E24AF"/>
    <w:rsid w:val="005E2582"/>
    <w:rsid w:val="005E2875"/>
    <w:rsid w:val="005E2910"/>
    <w:rsid w:val="005E2CB7"/>
    <w:rsid w:val="005E2E48"/>
    <w:rsid w:val="005E3B8C"/>
    <w:rsid w:val="005E42CC"/>
    <w:rsid w:val="005E4D57"/>
    <w:rsid w:val="005E55BE"/>
    <w:rsid w:val="005E57E5"/>
    <w:rsid w:val="005E5BE5"/>
    <w:rsid w:val="005E6501"/>
    <w:rsid w:val="005E689B"/>
    <w:rsid w:val="005E7712"/>
    <w:rsid w:val="005E7CCE"/>
    <w:rsid w:val="005E7EAB"/>
    <w:rsid w:val="005F0713"/>
    <w:rsid w:val="005F2B4F"/>
    <w:rsid w:val="005F365E"/>
    <w:rsid w:val="005F3668"/>
    <w:rsid w:val="005F37DD"/>
    <w:rsid w:val="005F50F9"/>
    <w:rsid w:val="005F58EE"/>
    <w:rsid w:val="005F5A01"/>
    <w:rsid w:val="005F610B"/>
    <w:rsid w:val="005F6974"/>
    <w:rsid w:val="00601828"/>
    <w:rsid w:val="00601FFA"/>
    <w:rsid w:val="006025FF"/>
    <w:rsid w:val="00602983"/>
    <w:rsid w:val="006029DF"/>
    <w:rsid w:val="00602EA0"/>
    <w:rsid w:val="0060424F"/>
    <w:rsid w:val="00604F57"/>
    <w:rsid w:val="006078EB"/>
    <w:rsid w:val="006114CC"/>
    <w:rsid w:val="00611BA7"/>
    <w:rsid w:val="0061351F"/>
    <w:rsid w:val="00613AEF"/>
    <w:rsid w:val="006142DD"/>
    <w:rsid w:val="00614364"/>
    <w:rsid w:val="006143C0"/>
    <w:rsid w:val="00614A0A"/>
    <w:rsid w:val="0061625C"/>
    <w:rsid w:val="00616D2D"/>
    <w:rsid w:val="00616E37"/>
    <w:rsid w:val="0062009C"/>
    <w:rsid w:val="006210A1"/>
    <w:rsid w:val="006229A6"/>
    <w:rsid w:val="00623775"/>
    <w:rsid w:val="00623FD5"/>
    <w:rsid w:val="00625268"/>
    <w:rsid w:val="00625B77"/>
    <w:rsid w:val="00625DEB"/>
    <w:rsid w:val="00625ED6"/>
    <w:rsid w:val="0062636E"/>
    <w:rsid w:val="00626ECF"/>
    <w:rsid w:val="00627A3D"/>
    <w:rsid w:val="00630331"/>
    <w:rsid w:val="00630FD0"/>
    <w:rsid w:val="00631960"/>
    <w:rsid w:val="00632595"/>
    <w:rsid w:val="00632975"/>
    <w:rsid w:val="00632EE5"/>
    <w:rsid w:val="006331E9"/>
    <w:rsid w:val="006333C0"/>
    <w:rsid w:val="00633BE6"/>
    <w:rsid w:val="00634FDC"/>
    <w:rsid w:val="006356B0"/>
    <w:rsid w:val="00640618"/>
    <w:rsid w:val="00640901"/>
    <w:rsid w:val="00640B00"/>
    <w:rsid w:val="00642041"/>
    <w:rsid w:val="00642156"/>
    <w:rsid w:val="00645424"/>
    <w:rsid w:val="0064579B"/>
    <w:rsid w:val="0064595D"/>
    <w:rsid w:val="0064617D"/>
    <w:rsid w:val="006461E6"/>
    <w:rsid w:val="00646307"/>
    <w:rsid w:val="00646956"/>
    <w:rsid w:val="00646BCB"/>
    <w:rsid w:val="00651992"/>
    <w:rsid w:val="006521FA"/>
    <w:rsid w:val="006527F5"/>
    <w:rsid w:val="00652B45"/>
    <w:rsid w:val="00652F06"/>
    <w:rsid w:val="00653344"/>
    <w:rsid w:val="00654CFF"/>
    <w:rsid w:val="006558E1"/>
    <w:rsid w:val="006562B1"/>
    <w:rsid w:val="00656CA6"/>
    <w:rsid w:val="00657961"/>
    <w:rsid w:val="00660189"/>
    <w:rsid w:val="006608DC"/>
    <w:rsid w:val="00660AE4"/>
    <w:rsid w:val="00660D25"/>
    <w:rsid w:val="00661487"/>
    <w:rsid w:val="0066174B"/>
    <w:rsid w:val="00662345"/>
    <w:rsid w:val="00663E38"/>
    <w:rsid w:val="006642DC"/>
    <w:rsid w:val="00665DFE"/>
    <w:rsid w:val="00666E55"/>
    <w:rsid w:val="00670AC9"/>
    <w:rsid w:val="00671760"/>
    <w:rsid w:val="00671F62"/>
    <w:rsid w:val="00675F19"/>
    <w:rsid w:val="006778CF"/>
    <w:rsid w:val="00677973"/>
    <w:rsid w:val="00677AA2"/>
    <w:rsid w:val="00683D21"/>
    <w:rsid w:val="00683D5F"/>
    <w:rsid w:val="00684B62"/>
    <w:rsid w:val="00684DB8"/>
    <w:rsid w:val="006854C4"/>
    <w:rsid w:val="00687843"/>
    <w:rsid w:val="00687A78"/>
    <w:rsid w:val="00687F52"/>
    <w:rsid w:val="00690E66"/>
    <w:rsid w:val="00693858"/>
    <w:rsid w:val="00693915"/>
    <w:rsid w:val="00694C2D"/>
    <w:rsid w:val="00695748"/>
    <w:rsid w:val="00696D99"/>
    <w:rsid w:val="00697292"/>
    <w:rsid w:val="006A05C3"/>
    <w:rsid w:val="006A161B"/>
    <w:rsid w:val="006A33A2"/>
    <w:rsid w:val="006A3525"/>
    <w:rsid w:val="006A382D"/>
    <w:rsid w:val="006A41FF"/>
    <w:rsid w:val="006A5D01"/>
    <w:rsid w:val="006A5F77"/>
    <w:rsid w:val="006A63CE"/>
    <w:rsid w:val="006A6B73"/>
    <w:rsid w:val="006B2897"/>
    <w:rsid w:val="006B3C15"/>
    <w:rsid w:val="006B46C8"/>
    <w:rsid w:val="006B49A2"/>
    <w:rsid w:val="006C00C7"/>
    <w:rsid w:val="006C05AC"/>
    <w:rsid w:val="006C0BEA"/>
    <w:rsid w:val="006C0C75"/>
    <w:rsid w:val="006C1943"/>
    <w:rsid w:val="006C25EC"/>
    <w:rsid w:val="006C3FE6"/>
    <w:rsid w:val="006C4102"/>
    <w:rsid w:val="006C4431"/>
    <w:rsid w:val="006C4EDE"/>
    <w:rsid w:val="006C54CE"/>
    <w:rsid w:val="006C5602"/>
    <w:rsid w:val="006C6A69"/>
    <w:rsid w:val="006C7068"/>
    <w:rsid w:val="006C7974"/>
    <w:rsid w:val="006D0F5A"/>
    <w:rsid w:val="006D1608"/>
    <w:rsid w:val="006D1EB1"/>
    <w:rsid w:val="006D265F"/>
    <w:rsid w:val="006D2672"/>
    <w:rsid w:val="006D2BEC"/>
    <w:rsid w:val="006D45C8"/>
    <w:rsid w:val="006D4C71"/>
    <w:rsid w:val="006D56BE"/>
    <w:rsid w:val="006D7FA7"/>
    <w:rsid w:val="006E0E5A"/>
    <w:rsid w:val="006E178D"/>
    <w:rsid w:val="006E2BB9"/>
    <w:rsid w:val="006E376B"/>
    <w:rsid w:val="006E3875"/>
    <w:rsid w:val="006E3BF8"/>
    <w:rsid w:val="006E559C"/>
    <w:rsid w:val="006E5B97"/>
    <w:rsid w:val="006E6714"/>
    <w:rsid w:val="006E6A4F"/>
    <w:rsid w:val="006F00DE"/>
    <w:rsid w:val="006F047D"/>
    <w:rsid w:val="006F081C"/>
    <w:rsid w:val="006F106C"/>
    <w:rsid w:val="006F279F"/>
    <w:rsid w:val="006F3D84"/>
    <w:rsid w:val="006F41F1"/>
    <w:rsid w:val="006F431E"/>
    <w:rsid w:val="006F4437"/>
    <w:rsid w:val="006F6702"/>
    <w:rsid w:val="00702055"/>
    <w:rsid w:val="00702A2B"/>
    <w:rsid w:val="007042DA"/>
    <w:rsid w:val="00704676"/>
    <w:rsid w:val="00704EAE"/>
    <w:rsid w:val="00704F03"/>
    <w:rsid w:val="00706916"/>
    <w:rsid w:val="00711C27"/>
    <w:rsid w:val="00712F1A"/>
    <w:rsid w:val="007162AD"/>
    <w:rsid w:val="00717043"/>
    <w:rsid w:val="007174B8"/>
    <w:rsid w:val="007204D7"/>
    <w:rsid w:val="007211A3"/>
    <w:rsid w:val="00722293"/>
    <w:rsid w:val="007229DE"/>
    <w:rsid w:val="00723256"/>
    <w:rsid w:val="00724AD2"/>
    <w:rsid w:val="00724E89"/>
    <w:rsid w:val="007279F5"/>
    <w:rsid w:val="0073017C"/>
    <w:rsid w:val="0073020F"/>
    <w:rsid w:val="00730698"/>
    <w:rsid w:val="00730E9A"/>
    <w:rsid w:val="007342FF"/>
    <w:rsid w:val="0073478E"/>
    <w:rsid w:val="0073713E"/>
    <w:rsid w:val="007377D2"/>
    <w:rsid w:val="00740293"/>
    <w:rsid w:val="0074046A"/>
    <w:rsid w:val="0074334B"/>
    <w:rsid w:val="007444B7"/>
    <w:rsid w:val="00744A45"/>
    <w:rsid w:val="00745029"/>
    <w:rsid w:val="0074723A"/>
    <w:rsid w:val="00747C4B"/>
    <w:rsid w:val="00750DD8"/>
    <w:rsid w:val="00751D3E"/>
    <w:rsid w:val="00751FD2"/>
    <w:rsid w:val="0075337A"/>
    <w:rsid w:val="007558D5"/>
    <w:rsid w:val="00755A10"/>
    <w:rsid w:val="00755F7E"/>
    <w:rsid w:val="00756F25"/>
    <w:rsid w:val="00757310"/>
    <w:rsid w:val="0076016D"/>
    <w:rsid w:val="007604DD"/>
    <w:rsid w:val="00761522"/>
    <w:rsid w:val="007623DA"/>
    <w:rsid w:val="0076418B"/>
    <w:rsid w:val="00764988"/>
    <w:rsid w:val="00764F13"/>
    <w:rsid w:val="00766B9C"/>
    <w:rsid w:val="00770CED"/>
    <w:rsid w:val="00771AA1"/>
    <w:rsid w:val="00771D70"/>
    <w:rsid w:val="00772442"/>
    <w:rsid w:val="00772A94"/>
    <w:rsid w:val="0077363B"/>
    <w:rsid w:val="00773641"/>
    <w:rsid w:val="007736D3"/>
    <w:rsid w:val="00773917"/>
    <w:rsid w:val="007748AF"/>
    <w:rsid w:val="00775BFE"/>
    <w:rsid w:val="00775C45"/>
    <w:rsid w:val="00775EDB"/>
    <w:rsid w:val="0077658E"/>
    <w:rsid w:val="007765DE"/>
    <w:rsid w:val="007777ED"/>
    <w:rsid w:val="00780125"/>
    <w:rsid w:val="0078032D"/>
    <w:rsid w:val="00785558"/>
    <w:rsid w:val="00785E10"/>
    <w:rsid w:val="00786985"/>
    <w:rsid w:val="007873D1"/>
    <w:rsid w:val="0079087E"/>
    <w:rsid w:val="00791637"/>
    <w:rsid w:val="00791BF0"/>
    <w:rsid w:val="0079338C"/>
    <w:rsid w:val="00793C87"/>
    <w:rsid w:val="007953B6"/>
    <w:rsid w:val="00795D6F"/>
    <w:rsid w:val="00796098"/>
    <w:rsid w:val="007962A2"/>
    <w:rsid w:val="00797762"/>
    <w:rsid w:val="007A0027"/>
    <w:rsid w:val="007A0CB0"/>
    <w:rsid w:val="007A0F50"/>
    <w:rsid w:val="007A14A9"/>
    <w:rsid w:val="007A29C6"/>
    <w:rsid w:val="007A3B66"/>
    <w:rsid w:val="007A4AD5"/>
    <w:rsid w:val="007A51A6"/>
    <w:rsid w:val="007A5847"/>
    <w:rsid w:val="007A6645"/>
    <w:rsid w:val="007A7631"/>
    <w:rsid w:val="007B0A4A"/>
    <w:rsid w:val="007B0AF0"/>
    <w:rsid w:val="007B11C4"/>
    <w:rsid w:val="007B16A3"/>
    <w:rsid w:val="007B1CE3"/>
    <w:rsid w:val="007B2A41"/>
    <w:rsid w:val="007B2B9F"/>
    <w:rsid w:val="007B3772"/>
    <w:rsid w:val="007B4A06"/>
    <w:rsid w:val="007B4D69"/>
    <w:rsid w:val="007B51C4"/>
    <w:rsid w:val="007B6083"/>
    <w:rsid w:val="007B724E"/>
    <w:rsid w:val="007C23E5"/>
    <w:rsid w:val="007C2617"/>
    <w:rsid w:val="007C4DC0"/>
    <w:rsid w:val="007C7AEB"/>
    <w:rsid w:val="007C7B33"/>
    <w:rsid w:val="007D0981"/>
    <w:rsid w:val="007D1205"/>
    <w:rsid w:val="007D1450"/>
    <w:rsid w:val="007D1776"/>
    <w:rsid w:val="007D2311"/>
    <w:rsid w:val="007D33C7"/>
    <w:rsid w:val="007D375B"/>
    <w:rsid w:val="007D3835"/>
    <w:rsid w:val="007D3ED2"/>
    <w:rsid w:val="007D4425"/>
    <w:rsid w:val="007D7BAD"/>
    <w:rsid w:val="007D7F44"/>
    <w:rsid w:val="007E4541"/>
    <w:rsid w:val="007E48AB"/>
    <w:rsid w:val="007E4E6F"/>
    <w:rsid w:val="007E578B"/>
    <w:rsid w:val="007E628E"/>
    <w:rsid w:val="007E6602"/>
    <w:rsid w:val="007E6C08"/>
    <w:rsid w:val="007E7108"/>
    <w:rsid w:val="007E7CB9"/>
    <w:rsid w:val="007F0D97"/>
    <w:rsid w:val="007F1255"/>
    <w:rsid w:val="007F14CE"/>
    <w:rsid w:val="007F1977"/>
    <w:rsid w:val="007F2075"/>
    <w:rsid w:val="007F4CFD"/>
    <w:rsid w:val="007F57B3"/>
    <w:rsid w:val="007F6E78"/>
    <w:rsid w:val="007F6EA6"/>
    <w:rsid w:val="007F746A"/>
    <w:rsid w:val="007F7BB5"/>
    <w:rsid w:val="00800640"/>
    <w:rsid w:val="00801629"/>
    <w:rsid w:val="008022CD"/>
    <w:rsid w:val="00802458"/>
    <w:rsid w:val="00802B47"/>
    <w:rsid w:val="00804841"/>
    <w:rsid w:val="00804B8D"/>
    <w:rsid w:val="008051F7"/>
    <w:rsid w:val="00805EFD"/>
    <w:rsid w:val="00806745"/>
    <w:rsid w:val="008079B0"/>
    <w:rsid w:val="00807FC5"/>
    <w:rsid w:val="00810641"/>
    <w:rsid w:val="00811A91"/>
    <w:rsid w:val="00811F07"/>
    <w:rsid w:val="00813A76"/>
    <w:rsid w:val="00816B3D"/>
    <w:rsid w:val="00817705"/>
    <w:rsid w:val="00817766"/>
    <w:rsid w:val="008204FD"/>
    <w:rsid w:val="0082139F"/>
    <w:rsid w:val="008217F0"/>
    <w:rsid w:val="00821966"/>
    <w:rsid w:val="00821B12"/>
    <w:rsid w:val="00821C10"/>
    <w:rsid w:val="008230CA"/>
    <w:rsid w:val="008236BB"/>
    <w:rsid w:val="00826974"/>
    <w:rsid w:val="00827E43"/>
    <w:rsid w:val="00832835"/>
    <w:rsid w:val="008328F5"/>
    <w:rsid w:val="00832963"/>
    <w:rsid w:val="00833691"/>
    <w:rsid w:val="00833E23"/>
    <w:rsid w:val="00834CEF"/>
    <w:rsid w:val="00834D0C"/>
    <w:rsid w:val="0083627C"/>
    <w:rsid w:val="0084018F"/>
    <w:rsid w:val="00840EF9"/>
    <w:rsid w:val="00841155"/>
    <w:rsid w:val="00842CE3"/>
    <w:rsid w:val="0084437E"/>
    <w:rsid w:val="00844ED7"/>
    <w:rsid w:val="00846BCF"/>
    <w:rsid w:val="00847171"/>
    <w:rsid w:val="00847175"/>
    <w:rsid w:val="00847502"/>
    <w:rsid w:val="008507A7"/>
    <w:rsid w:val="00850FB6"/>
    <w:rsid w:val="00852ACA"/>
    <w:rsid w:val="00854CFB"/>
    <w:rsid w:val="008567E5"/>
    <w:rsid w:val="008610D4"/>
    <w:rsid w:val="00861B4A"/>
    <w:rsid w:val="0086204D"/>
    <w:rsid w:val="00865084"/>
    <w:rsid w:val="00870039"/>
    <w:rsid w:val="008706F1"/>
    <w:rsid w:val="008717E1"/>
    <w:rsid w:val="00874415"/>
    <w:rsid w:val="00876604"/>
    <w:rsid w:val="00876DA9"/>
    <w:rsid w:val="00876EFB"/>
    <w:rsid w:val="00880466"/>
    <w:rsid w:val="008812BD"/>
    <w:rsid w:val="008830DF"/>
    <w:rsid w:val="008831AE"/>
    <w:rsid w:val="00883EA9"/>
    <w:rsid w:val="0088562A"/>
    <w:rsid w:val="00885B7F"/>
    <w:rsid w:val="00886271"/>
    <w:rsid w:val="008869C4"/>
    <w:rsid w:val="00887339"/>
    <w:rsid w:val="00890533"/>
    <w:rsid w:val="00891783"/>
    <w:rsid w:val="008920C5"/>
    <w:rsid w:val="00894DEE"/>
    <w:rsid w:val="008956C1"/>
    <w:rsid w:val="00895F6D"/>
    <w:rsid w:val="00896A13"/>
    <w:rsid w:val="00896D5C"/>
    <w:rsid w:val="00897C24"/>
    <w:rsid w:val="008A1CB0"/>
    <w:rsid w:val="008A316B"/>
    <w:rsid w:val="008A45B0"/>
    <w:rsid w:val="008A4953"/>
    <w:rsid w:val="008A5EE0"/>
    <w:rsid w:val="008A5EFF"/>
    <w:rsid w:val="008A7857"/>
    <w:rsid w:val="008A7B1D"/>
    <w:rsid w:val="008A7FC4"/>
    <w:rsid w:val="008B1340"/>
    <w:rsid w:val="008B2983"/>
    <w:rsid w:val="008B2E8F"/>
    <w:rsid w:val="008B32D4"/>
    <w:rsid w:val="008B51E2"/>
    <w:rsid w:val="008B7F5E"/>
    <w:rsid w:val="008C0220"/>
    <w:rsid w:val="008C19B2"/>
    <w:rsid w:val="008C3B05"/>
    <w:rsid w:val="008C45C4"/>
    <w:rsid w:val="008C4B2C"/>
    <w:rsid w:val="008C55D2"/>
    <w:rsid w:val="008C5860"/>
    <w:rsid w:val="008C6FB3"/>
    <w:rsid w:val="008D01A3"/>
    <w:rsid w:val="008D17D7"/>
    <w:rsid w:val="008D1FAA"/>
    <w:rsid w:val="008D1FAF"/>
    <w:rsid w:val="008D2C8C"/>
    <w:rsid w:val="008D31AD"/>
    <w:rsid w:val="008D47C8"/>
    <w:rsid w:val="008D4B26"/>
    <w:rsid w:val="008D4D2E"/>
    <w:rsid w:val="008D4DAD"/>
    <w:rsid w:val="008D5D00"/>
    <w:rsid w:val="008D6038"/>
    <w:rsid w:val="008D655A"/>
    <w:rsid w:val="008D6FFD"/>
    <w:rsid w:val="008D760F"/>
    <w:rsid w:val="008E0607"/>
    <w:rsid w:val="008E14A9"/>
    <w:rsid w:val="008E43CF"/>
    <w:rsid w:val="008E4CD4"/>
    <w:rsid w:val="008E6318"/>
    <w:rsid w:val="008E65D2"/>
    <w:rsid w:val="008E7E1F"/>
    <w:rsid w:val="008F0A00"/>
    <w:rsid w:val="008F0D57"/>
    <w:rsid w:val="008F1B92"/>
    <w:rsid w:val="008F30EF"/>
    <w:rsid w:val="008F35CF"/>
    <w:rsid w:val="008F3C87"/>
    <w:rsid w:val="008F6AD1"/>
    <w:rsid w:val="008F6EE4"/>
    <w:rsid w:val="008F6F17"/>
    <w:rsid w:val="00901ED8"/>
    <w:rsid w:val="009027FB"/>
    <w:rsid w:val="00902B0E"/>
    <w:rsid w:val="00902C6D"/>
    <w:rsid w:val="00903B71"/>
    <w:rsid w:val="00903EE9"/>
    <w:rsid w:val="00903FB0"/>
    <w:rsid w:val="00905EFA"/>
    <w:rsid w:val="00906A7E"/>
    <w:rsid w:val="00910741"/>
    <w:rsid w:val="00910D01"/>
    <w:rsid w:val="0091141D"/>
    <w:rsid w:val="00911E15"/>
    <w:rsid w:val="009142B4"/>
    <w:rsid w:val="0091447A"/>
    <w:rsid w:val="00914E25"/>
    <w:rsid w:val="00915D88"/>
    <w:rsid w:val="00915EBA"/>
    <w:rsid w:val="00916BDB"/>
    <w:rsid w:val="009213E7"/>
    <w:rsid w:val="00923631"/>
    <w:rsid w:val="00923AB2"/>
    <w:rsid w:val="00923ACB"/>
    <w:rsid w:val="0092400C"/>
    <w:rsid w:val="009263C0"/>
    <w:rsid w:val="00926D6C"/>
    <w:rsid w:val="00927319"/>
    <w:rsid w:val="00927330"/>
    <w:rsid w:val="00930DD9"/>
    <w:rsid w:val="00931215"/>
    <w:rsid w:val="00931EC3"/>
    <w:rsid w:val="00935643"/>
    <w:rsid w:val="00936FFD"/>
    <w:rsid w:val="00937EDA"/>
    <w:rsid w:val="009400D9"/>
    <w:rsid w:val="0094207A"/>
    <w:rsid w:val="00943C2D"/>
    <w:rsid w:val="00944360"/>
    <w:rsid w:val="0094664E"/>
    <w:rsid w:val="00946C5F"/>
    <w:rsid w:val="009471A7"/>
    <w:rsid w:val="00947439"/>
    <w:rsid w:val="009506E9"/>
    <w:rsid w:val="00950EF6"/>
    <w:rsid w:val="009512ED"/>
    <w:rsid w:val="009523C8"/>
    <w:rsid w:val="00953B30"/>
    <w:rsid w:val="009555A9"/>
    <w:rsid w:val="009557DC"/>
    <w:rsid w:val="00955A5D"/>
    <w:rsid w:val="00955FD2"/>
    <w:rsid w:val="0095688A"/>
    <w:rsid w:val="00956B0C"/>
    <w:rsid w:val="00957183"/>
    <w:rsid w:val="00957FB5"/>
    <w:rsid w:val="00960E5A"/>
    <w:rsid w:val="00961363"/>
    <w:rsid w:val="00961BD7"/>
    <w:rsid w:val="00966332"/>
    <w:rsid w:val="00967E45"/>
    <w:rsid w:val="009705A4"/>
    <w:rsid w:val="00971935"/>
    <w:rsid w:val="00971E70"/>
    <w:rsid w:val="00972AD2"/>
    <w:rsid w:val="00972BF3"/>
    <w:rsid w:val="009732AE"/>
    <w:rsid w:val="009748B5"/>
    <w:rsid w:val="00975CE6"/>
    <w:rsid w:val="0097699B"/>
    <w:rsid w:val="00976DE0"/>
    <w:rsid w:val="00980402"/>
    <w:rsid w:val="0098054F"/>
    <w:rsid w:val="00981CBB"/>
    <w:rsid w:val="00981F82"/>
    <w:rsid w:val="009820F1"/>
    <w:rsid w:val="00982325"/>
    <w:rsid w:val="009839A1"/>
    <w:rsid w:val="00984129"/>
    <w:rsid w:val="00984DBA"/>
    <w:rsid w:val="0099075A"/>
    <w:rsid w:val="00990FF4"/>
    <w:rsid w:val="00991C74"/>
    <w:rsid w:val="00993083"/>
    <w:rsid w:val="0099335C"/>
    <w:rsid w:val="00993687"/>
    <w:rsid w:val="00994596"/>
    <w:rsid w:val="00997805"/>
    <w:rsid w:val="0099783E"/>
    <w:rsid w:val="009A23BF"/>
    <w:rsid w:val="009A3F43"/>
    <w:rsid w:val="009A54D2"/>
    <w:rsid w:val="009A5A31"/>
    <w:rsid w:val="009A6599"/>
    <w:rsid w:val="009A730B"/>
    <w:rsid w:val="009A7D14"/>
    <w:rsid w:val="009B0EE2"/>
    <w:rsid w:val="009B1064"/>
    <w:rsid w:val="009B23A6"/>
    <w:rsid w:val="009B36D4"/>
    <w:rsid w:val="009B3E07"/>
    <w:rsid w:val="009B475D"/>
    <w:rsid w:val="009B53C2"/>
    <w:rsid w:val="009B574D"/>
    <w:rsid w:val="009B5FA0"/>
    <w:rsid w:val="009B606E"/>
    <w:rsid w:val="009B62A8"/>
    <w:rsid w:val="009B69C4"/>
    <w:rsid w:val="009B7052"/>
    <w:rsid w:val="009B7083"/>
    <w:rsid w:val="009B7256"/>
    <w:rsid w:val="009B7988"/>
    <w:rsid w:val="009C0998"/>
    <w:rsid w:val="009C2842"/>
    <w:rsid w:val="009C28BF"/>
    <w:rsid w:val="009C3569"/>
    <w:rsid w:val="009C3801"/>
    <w:rsid w:val="009C406B"/>
    <w:rsid w:val="009C45F0"/>
    <w:rsid w:val="009C6F62"/>
    <w:rsid w:val="009D05CE"/>
    <w:rsid w:val="009D08E8"/>
    <w:rsid w:val="009D4246"/>
    <w:rsid w:val="009D50BA"/>
    <w:rsid w:val="009D72F3"/>
    <w:rsid w:val="009D7399"/>
    <w:rsid w:val="009E19EB"/>
    <w:rsid w:val="009E2C04"/>
    <w:rsid w:val="009E4796"/>
    <w:rsid w:val="009E65AD"/>
    <w:rsid w:val="009E70AA"/>
    <w:rsid w:val="009E7B71"/>
    <w:rsid w:val="009F0C42"/>
    <w:rsid w:val="009F122F"/>
    <w:rsid w:val="009F2A9A"/>
    <w:rsid w:val="009F38D5"/>
    <w:rsid w:val="009F5408"/>
    <w:rsid w:val="009F56D2"/>
    <w:rsid w:val="009F696B"/>
    <w:rsid w:val="009F6BC8"/>
    <w:rsid w:val="00A00035"/>
    <w:rsid w:val="00A00B3E"/>
    <w:rsid w:val="00A01571"/>
    <w:rsid w:val="00A01710"/>
    <w:rsid w:val="00A01B28"/>
    <w:rsid w:val="00A02217"/>
    <w:rsid w:val="00A023F9"/>
    <w:rsid w:val="00A02A9C"/>
    <w:rsid w:val="00A0356E"/>
    <w:rsid w:val="00A03D3C"/>
    <w:rsid w:val="00A048E0"/>
    <w:rsid w:val="00A0553E"/>
    <w:rsid w:val="00A0662D"/>
    <w:rsid w:val="00A10339"/>
    <w:rsid w:val="00A10510"/>
    <w:rsid w:val="00A10EF8"/>
    <w:rsid w:val="00A11DC1"/>
    <w:rsid w:val="00A149E7"/>
    <w:rsid w:val="00A15728"/>
    <w:rsid w:val="00A159D7"/>
    <w:rsid w:val="00A15ADF"/>
    <w:rsid w:val="00A171D7"/>
    <w:rsid w:val="00A17413"/>
    <w:rsid w:val="00A17920"/>
    <w:rsid w:val="00A17F0C"/>
    <w:rsid w:val="00A17F2D"/>
    <w:rsid w:val="00A212B8"/>
    <w:rsid w:val="00A2203B"/>
    <w:rsid w:val="00A22055"/>
    <w:rsid w:val="00A22A60"/>
    <w:rsid w:val="00A22C4F"/>
    <w:rsid w:val="00A242A9"/>
    <w:rsid w:val="00A26869"/>
    <w:rsid w:val="00A274DC"/>
    <w:rsid w:val="00A27F2A"/>
    <w:rsid w:val="00A329E5"/>
    <w:rsid w:val="00A3403E"/>
    <w:rsid w:val="00A37502"/>
    <w:rsid w:val="00A37731"/>
    <w:rsid w:val="00A403E5"/>
    <w:rsid w:val="00A404A0"/>
    <w:rsid w:val="00A40A70"/>
    <w:rsid w:val="00A41068"/>
    <w:rsid w:val="00A4268C"/>
    <w:rsid w:val="00A42AB8"/>
    <w:rsid w:val="00A451A3"/>
    <w:rsid w:val="00A457F2"/>
    <w:rsid w:val="00A46450"/>
    <w:rsid w:val="00A46B93"/>
    <w:rsid w:val="00A47AB6"/>
    <w:rsid w:val="00A50528"/>
    <w:rsid w:val="00A50FD2"/>
    <w:rsid w:val="00A51978"/>
    <w:rsid w:val="00A51D8A"/>
    <w:rsid w:val="00A5246D"/>
    <w:rsid w:val="00A53636"/>
    <w:rsid w:val="00A55636"/>
    <w:rsid w:val="00A55964"/>
    <w:rsid w:val="00A56BB4"/>
    <w:rsid w:val="00A579B8"/>
    <w:rsid w:val="00A60482"/>
    <w:rsid w:val="00A61ECF"/>
    <w:rsid w:val="00A62D74"/>
    <w:rsid w:val="00A63214"/>
    <w:rsid w:val="00A63D66"/>
    <w:rsid w:val="00A65A90"/>
    <w:rsid w:val="00A6637A"/>
    <w:rsid w:val="00A67FFD"/>
    <w:rsid w:val="00A70796"/>
    <w:rsid w:val="00A7082F"/>
    <w:rsid w:val="00A71FD1"/>
    <w:rsid w:val="00A72865"/>
    <w:rsid w:val="00A73988"/>
    <w:rsid w:val="00A74059"/>
    <w:rsid w:val="00A76FDE"/>
    <w:rsid w:val="00A77166"/>
    <w:rsid w:val="00A77377"/>
    <w:rsid w:val="00A77E36"/>
    <w:rsid w:val="00A80864"/>
    <w:rsid w:val="00A80D64"/>
    <w:rsid w:val="00A82F46"/>
    <w:rsid w:val="00A8332F"/>
    <w:rsid w:val="00A83A98"/>
    <w:rsid w:val="00A83C51"/>
    <w:rsid w:val="00A8465F"/>
    <w:rsid w:val="00A8485A"/>
    <w:rsid w:val="00A876C1"/>
    <w:rsid w:val="00A90367"/>
    <w:rsid w:val="00A910A7"/>
    <w:rsid w:val="00A9178D"/>
    <w:rsid w:val="00A91A82"/>
    <w:rsid w:val="00A91E3F"/>
    <w:rsid w:val="00A932EF"/>
    <w:rsid w:val="00A94183"/>
    <w:rsid w:val="00A9418A"/>
    <w:rsid w:val="00A95234"/>
    <w:rsid w:val="00A9546C"/>
    <w:rsid w:val="00A95956"/>
    <w:rsid w:val="00A959D7"/>
    <w:rsid w:val="00A96A2E"/>
    <w:rsid w:val="00AA0E41"/>
    <w:rsid w:val="00AA1A9A"/>
    <w:rsid w:val="00AA2104"/>
    <w:rsid w:val="00AA36C8"/>
    <w:rsid w:val="00AA3F0A"/>
    <w:rsid w:val="00AA3F7D"/>
    <w:rsid w:val="00AA5425"/>
    <w:rsid w:val="00AA5A7F"/>
    <w:rsid w:val="00AA5B97"/>
    <w:rsid w:val="00AA5BF1"/>
    <w:rsid w:val="00AA77E9"/>
    <w:rsid w:val="00AA7B0D"/>
    <w:rsid w:val="00AA7CF9"/>
    <w:rsid w:val="00AB02EA"/>
    <w:rsid w:val="00AB0C0B"/>
    <w:rsid w:val="00AB1B3A"/>
    <w:rsid w:val="00AB234B"/>
    <w:rsid w:val="00AB2DBF"/>
    <w:rsid w:val="00AB34F8"/>
    <w:rsid w:val="00AB361E"/>
    <w:rsid w:val="00AB3AF9"/>
    <w:rsid w:val="00AB3B89"/>
    <w:rsid w:val="00AC1A64"/>
    <w:rsid w:val="00AC3C7E"/>
    <w:rsid w:val="00AC526C"/>
    <w:rsid w:val="00AC5A66"/>
    <w:rsid w:val="00AC5D19"/>
    <w:rsid w:val="00AC5EBC"/>
    <w:rsid w:val="00AC75CD"/>
    <w:rsid w:val="00AC7813"/>
    <w:rsid w:val="00AD144A"/>
    <w:rsid w:val="00AD1A81"/>
    <w:rsid w:val="00AD3836"/>
    <w:rsid w:val="00AD3846"/>
    <w:rsid w:val="00AD3B5F"/>
    <w:rsid w:val="00AD4D81"/>
    <w:rsid w:val="00AD55F7"/>
    <w:rsid w:val="00AD568C"/>
    <w:rsid w:val="00AD7005"/>
    <w:rsid w:val="00AD7519"/>
    <w:rsid w:val="00AE1852"/>
    <w:rsid w:val="00AE18AD"/>
    <w:rsid w:val="00AE2E90"/>
    <w:rsid w:val="00AE4EA9"/>
    <w:rsid w:val="00AE4ECE"/>
    <w:rsid w:val="00AE4ED8"/>
    <w:rsid w:val="00AE526B"/>
    <w:rsid w:val="00AE5FA4"/>
    <w:rsid w:val="00AE67C4"/>
    <w:rsid w:val="00AE7B4D"/>
    <w:rsid w:val="00AF1732"/>
    <w:rsid w:val="00AF25A9"/>
    <w:rsid w:val="00AF2BAE"/>
    <w:rsid w:val="00AF4077"/>
    <w:rsid w:val="00AF413A"/>
    <w:rsid w:val="00AF55F1"/>
    <w:rsid w:val="00AF6051"/>
    <w:rsid w:val="00AF74BE"/>
    <w:rsid w:val="00AF755E"/>
    <w:rsid w:val="00AF7D8C"/>
    <w:rsid w:val="00AF7FB6"/>
    <w:rsid w:val="00B00C94"/>
    <w:rsid w:val="00B0128D"/>
    <w:rsid w:val="00B01693"/>
    <w:rsid w:val="00B026DF"/>
    <w:rsid w:val="00B049BD"/>
    <w:rsid w:val="00B0520E"/>
    <w:rsid w:val="00B05250"/>
    <w:rsid w:val="00B0531E"/>
    <w:rsid w:val="00B054C0"/>
    <w:rsid w:val="00B05B96"/>
    <w:rsid w:val="00B07A85"/>
    <w:rsid w:val="00B106C6"/>
    <w:rsid w:val="00B106EF"/>
    <w:rsid w:val="00B11A79"/>
    <w:rsid w:val="00B122CF"/>
    <w:rsid w:val="00B13065"/>
    <w:rsid w:val="00B14C76"/>
    <w:rsid w:val="00B150D2"/>
    <w:rsid w:val="00B152A2"/>
    <w:rsid w:val="00B154FE"/>
    <w:rsid w:val="00B15730"/>
    <w:rsid w:val="00B1612C"/>
    <w:rsid w:val="00B168BB"/>
    <w:rsid w:val="00B17208"/>
    <w:rsid w:val="00B20568"/>
    <w:rsid w:val="00B210E3"/>
    <w:rsid w:val="00B21105"/>
    <w:rsid w:val="00B21972"/>
    <w:rsid w:val="00B227E9"/>
    <w:rsid w:val="00B22AD7"/>
    <w:rsid w:val="00B234AA"/>
    <w:rsid w:val="00B237FD"/>
    <w:rsid w:val="00B259B1"/>
    <w:rsid w:val="00B2606B"/>
    <w:rsid w:val="00B260CA"/>
    <w:rsid w:val="00B2653D"/>
    <w:rsid w:val="00B26DC6"/>
    <w:rsid w:val="00B26E61"/>
    <w:rsid w:val="00B270BA"/>
    <w:rsid w:val="00B27BF5"/>
    <w:rsid w:val="00B31615"/>
    <w:rsid w:val="00B319AE"/>
    <w:rsid w:val="00B31BF4"/>
    <w:rsid w:val="00B32167"/>
    <w:rsid w:val="00B32C0D"/>
    <w:rsid w:val="00B33E56"/>
    <w:rsid w:val="00B34195"/>
    <w:rsid w:val="00B3585A"/>
    <w:rsid w:val="00B36263"/>
    <w:rsid w:val="00B36DD7"/>
    <w:rsid w:val="00B37BD1"/>
    <w:rsid w:val="00B37E5C"/>
    <w:rsid w:val="00B40939"/>
    <w:rsid w:val="00B40BA8"/>
    <w:rsid w:val="00B40D7E"/>
    <w:rsid w:val="00B419BB"/>
    <w:rsid w:val="00B42787"/>
    <w:rsid w:val="00B42D8E"/>
    <w:rsid w:val="00B4368E"/>
    <w:rsid w:val="00B4372A"/>
    <w:rsid w:val="00B44899"/>
    <w:rsid w:val="00B44967"/>
    <w:rsid w:val="00B4522B"/>
    <w:rsid w:val="00B453DD"/>
    <w:rsid w:val="00B456EC"/>
    <w:rsid w:val="00B46BB6"/>
    <w:rsid w:val="00B472E2"/>
    <w:rsid w:val="00B50127"/>
    <w:rsid w:val="00B503A6"/>
    <w:rsid w:val="00B50D14"/>
    <w:rsid w:val="00B51444"/>
    <w:rsid w:val="00B5304C"/>
    <w:rsid w:val="00B5483F"/>
    <w:rsid w:val="00B55D8E"/>
    <w:rsid w:val="00B56073"/>
    <w:rsid w:val="00B5658A"/>
    <w:rsid w:val="00B56755"/>
    <w:rsid w:val="00B56DDC"/>
    <w:rsid w:val="00B57F81"/>
    <w:rsid w:val="00B60E8E"/>
    <w:rsid w:val="00B61137"/>
    <w:rsid w:val="00B612D5"/>
    <w:rsid w:val="00B62EFF"/>
    <w:rsid w:val="00B63986"/>
    <w:rsid w:val="00B63A47"/>
    <w:rsid w:val="00B65803"/>
    <w:rsid w:val="00B65C03"/>
    <w:rsid w:val="00B66AAA"/>
    <w:rsid w:val="00B66B12"/>
    <w:rsid w:val="00B66CA0"/>
    <w:rsid w:val="00B66D6C"/>
    <w:rsid w:val="00B67FA5"/>
    <w:rsid w:val="00B70D3D"/>
    <w:rsid w:val="00B73421"/>
    <w:rsid w:val="00B7588D"/>
    <w:rsid w:val="00B75BA4"/>
    <w:rsid w:val="00B77325"/>
    <w:rsid w:val="00B775A4"/>
    <w:rsid w:val="00B80B47"/>
    <w:rsid w:val="00B80B6F"/>
    <w:rsid w:val="00B82216"/>
    <w:rsid w:val="00B8277C"/>
    <w:rsid w:val="00B836AE"/>
    <w:rsid w:val="00B8377D"/>
    <w:rsid w:val="00B86201"/>
    <w:rsid w:val="00B9141E"/>
    <w:rsid w:val="00B9179F"/>
    <w:rsid w:val="00B92E22"/>
    <w:rsid w:val="00B934F7"/>
    <w:rsid w:val="00B93AA0"/>
    <w:rsid w:val="00B93C0A"/>
    <w:rsid w:val="00B94D29"/>
    <w:rsid w:val="00B96E64"/>
    <w:rsid w:val="00B97872"/>
    <w:rsid w:val="00B978C7"/>
    <w:rsid w:val="00B978FD"/>
    <w:rsid w:val="00BA1D3F"/>
    <w:rsid w:val="00BA3647"/>
    <w:rsid w:val="00BA5AC0"/>
    <w:rsid w:val="00BA623E"/>
    <w:rsid w:val="00BA6296"/>
    <w:rsid w:val="00BA6E7E"/>
    <w:rsid w:val="00BB0134"/>
    <w:rsid w:val="00BB0269"/>
    <w:rsid w:val="00BB057B"/>
    <w:rsid w:val="00BB123E"/>
    <w:rsid w:val="00BB166D"/>
    <w:rsid w:val="00BB2BE9"/>
    <w:rsid w:val="00BB2D39"/>
    <w:rsid w:val="00BB3F41"/>
    <w:rsid w:val="00BB577B"/>
    <w:rsid w:val="00BB58C1"/>
    <w:rsid w:val="00BC1238"/>
    <w:rsid w:val="00BC1B7F"/>
    <w:rsid w:val="00BC31DA"/>
    <w:rsid w:val="00BC373F"/>
    <w:rsid w:val="00BC38D2"/>
    <w:rsid w:val="00BC39F3"/>
    <w:rsid w:val="00BC49D2"/>
    <w:rsid w:val="00BC5EB8"/>
    <w:rsid w:val="00BC6AD9"/>
    <w:rsid w:val="00BC7D46"/>
    <w:rsid w:val="00BD094D"/>
    <w:rsid w:val="00BD2B07"/>
    <w:rsid w:val="00BD357B"/>
    <w:rsid w:val="00BD36DB"/>
    <w:rsid w:val="00BD3EC7"/>
    <w:rsid w:val="00BD44FD"/>
    <w:rsid w:val="00BE03D5"/>
    <w:rsid w:val="00BE232E"/>
    <w:rsid w:val="00BE2CC0"/>
    <w:rsid w:val="00BE3507"/>
    <w:rsid w:val="00BE376D"/>
    <w:rsid w:val="00BE44FF"/>
    <w:rsid w:val="00BE5EDE"/>
    <w:rsid w:val="00BE5FA4"/>
    <w:rsid w:val="00BE6FB2"/>
    <w:rsid w:val="00BE7A41"/>
    <w:rsid w:val="00BE7DDD"/>
    <w:rsid w:val="00BF069D"/>
    <w:rsid w:val="00BF0CA4"/>
    <w:rsid w:val="00BF0D80"/>
    <w:rsid w:val="00BF15F1"/>
    <w:rsid w:val="00BF16BF"/>
    <w:rsid w:val="00BF1F9E"/>
    <w:rsid w:val="00BF27DD"/>
    <w:rsid w:val="00BF2AF8"/>
    <w:rsid w:val="00BF361D"/>
    <w:rsid w:val="00BF456A"/>
    <w:rsid w:val="00BF482E"/>
    <w:rsid w:val="00BF4BF2"/>
    <w:rsid w:val="00BF4FD0"/>
    <w:rsid w:val="00BF56F9"/>
    <w:rsid w:val="00BF5991"/>
    <w:rsid w:val="00BF7742"/>
    <w:rsid w:val="00BF7F90"/>
    <w:rsid w:val="00C00E1E"/>
    <w:rsid w:val="00C00E2F"/>
    <w:rsid w:val="00C00FB2"/>
    <w:rsid w:val="00C01B90"/>
    <w:rsid w:val="00C02159"/>
    <w:rsid w:val="00C03B15"/>
    <w:rsid w:val="00C04423"/>
    <w:rsid w:val="00C07299"/>
    <w:rsid w:val="00C074A8"/>
    <w:rsid w:val="00C104F9"/>
    <w:rsid w:val="00C10723"/>
    <w:rsid w:val="00C110BE"/>
    <w:rsid w:val="00C11495"/>
    <w:rsid w:val="00C12390"/>
    <w:rsid w:val="00C1272E"/>
    <w:rsid w:val="00C132E1"/>
    <w:rsid w:val="00C13668"/>
    <w:rsid w:val="00C136EC"/>
    <w:rsid w:val="00C13EBC"/>
    <w:rsid w:val="00C1645D"/>
    <w:rsid w:val="00C16807"/>
    <w:rsid w:val="00C17B26"/>
    <w:rsid w:val="00C20E52"/>
    <w:rsid w:val="00C21934"/>
    <w:rsid w:val="00C21DFA"/>
    <w:rsid w:val="00C2274C"/>
    <w:rsid w:val="00C23544"/>
    <w:rsid w:val="00C25216"/>
    <w:rsid w:val="00C252FA"/>
    <w:rsid w:val="00C25404"/>
    <w:rsid w:val="00C254E8"/>
    <w:rsid w:val="00C2718D"/>
    <w:rsid w:val="00C27C69"/>
    <w:rsid w:val="00C30CD0"/>
    <w:rsid w:val="00C30D46"/>
    <w:rsid w:val="00C31585"/>
    <w:rsid w:val="00C34736"/>
    <w:rsid w:val="00C35BCF"/>
    <w:rsid w:val="00C36867"/>
    <w:rsid w:val="00C36A00"/>
    <w:rsid w:val="00C3748C"/>
    <w:rsid w:val="00C413B0"/>
    <w:rsid w:val="00C41BA7"/>
    <w:rsid w:val="00C431D7"/>
    <w:rsid w:val="00C43FA2"/>
    <w:rsid w:val="00C45107"/>
    <w:rsid w:val="00C45E8E"/>
    <w:rsid w:val="00C46392"/>
    <w:rsid w:val="00C47C90"/>
    <w:rsid w:val="00C506AE"/>
    <w:rsid w:val="00C511CA"/>
    <w:rsid w:val="00C5216B"/>
    <w:rsid w:val="00C52CC2"/>
    <w:rsid w:val="00C52D7D"/>
    <w:rsid w:val="00C54D56"/>
    <w:rsid w:val="00C553C0"/>
    <w:rsid w:val="00C558D2"/>
    <w:rsid w:val="00C56163"/>
    <w:rsid w:val="00C56B6F"/>
    <w:rsid w:val="00C573BB"/>
    <w:rsid w:val="00C5756E"/>
    <w:rsid w:val="00C5760B"/>
    <w:rsid w:val="00C60FE0"/>
    <w:rsid w:val="00C61E96"/>
    <w:rsid w:val="00C61EC3"/>
    <w:rsid w:val="00C61F1D"/>
    <w:rsid w:val="00C633E8"/>
    <w:rsid w:val="00C633FD"/>
    <w:rsid w:val="00C63A20"/>
    <w:rsid w:val="00C6488B"/>
    <w:rsid w:val="00C64BA6"/>
    <w:rsid w:val="00C66BE5"/>
    <w:rsid w:val="00C67C42"/>
    <w:rsid w:val="00C703A9"/>
    <w:rsid w:val="00C70737"/>
    <w:rsid w:val="00C710FF"/>
    <w:rsid w:val="00C72698"/>
    <w:rsid w:val="00C73579"/>
    <w:rsid w:val="00C74DEC"/>
    <w:rsid w:val="00C760AA"/>
    <w:rsid w:val="00C7696A"/>
    <w:rsid w:val="00C77BA8"/>
    <w:rsid w:val="00C80608"/>
    <w:rsid w:val="00C815B4"/>
    <w:rsid w:val="00C83191"/>
    <w:rsid w:val="00C83668"/>
    <w:rsid w:val="00C83730"/>
    <w:rsid w:val="00C84904"/>
    <w:rsid w:val="00C852AA"/>
    <w:rsid w:val="00C90004"/>
    <w:rsid w:val="00C907F8"/>
    <w:rsid w:val="00C93594"/>
    <w:rsid w:val="00C93C4C"/>
    <w:rsid w:val="00C95A26"/>
    <w:rsid w:val="00C96781"/>
    <w:rsid w:val="00C97A29"/>
    <w:rsid w:val="00C97B40"/>
    <w:rsid w:val="00CA02C1"/>
    <w:rsid w:val="00CA3B40"/>
    <w:rsid w:val="00CA3BF8"/>
    <w:rsid w:val="00CA416F"/>
    <w:rsid w:val="00CA41E4"/>
    <w:rsid w:val="00CA4A5E"/>
    <w:rsid w:val="00CA6B49"/>
    <w:rsid w:val="00CA7D59"/>
    <w:rsid w:val="00CB09DA"/>
    <w:rsid w:val="00CB0C86"/>
    <w:rsid w:val="00CB15BC"/>
    <w:rsid w:val="00CB16FC"/>
    <w:rsid w:val="00CB1802"/>
    <w:rsid w:val="00CB2969"/>
    <w:rsid w:val="00CB3C19"/>
    <w:rsid w:val="00CB4A79"/>
    <w:rsid w:val="00CB5542"/>
    <w:rsid w:val="00CB72A1"/>
    <w:rsid w:val="00CC17B6"/>
    <w:rsid w:val="00CC1EA9"/>
    <w:rsid w:val="00CC345B"/>
    <w:rsid w:val="00CC5AA4"/>
    <w:rsid w:val="00CC5CC7"/>
    <w:rsid w:val="00CC5FD7"/>
    <w:rsid w:val="00CC6677"/>
    <w:rsid w:val="00CC6AAE"/>
    <w:rsid w:val="00CC6CC0"/>
    <w:rsid w:val="00CC7311"/>
    <w:rsid w:val="00CD0D8B"/>
    <w:rsid w:val="00CD11B6"/>
    <w:rsid w:val="00CD1AAA"/>
    <w:rsid w:val="00CD1D6B"/>
    <w:rsid w:val="00CD20A1"/>
    <w:rsid w:val="00CD2468"/>
    <w:rsid w:val="00CD2C47"/>
    <w:rsid w:val="00CD53D2"/>
    <w:rsid w:val="00CD5427"/>
    <w:rsid w:val="00CD62C8"/>
    <w:rsid w:val="00CD71B0"/>
    <w:rsid w:val="00CD7352"/>
    <w:rsid w:val="00CD7F08"/>
    <w:rsid w:val="00CE0B1A"/>
    <w:rsid w:val="00CE2491"/>
    <w:rsid w:val="00CE5077"/>
    <w:rsid w:val="00CE509B"/>
    <w:rsid w:val="00CE66A1"/>
    <w:rsid w:val="00CE7F0E"/>
    <w:rsid w:val="00CF0E59"/>
    <w:rsid w:val="00CF108B"/>
    <w:rsid w:val="00CF1350"/>
    <w:rsid w:val="00CF140A"/>
    <w:rsid w:val="00CF2A9D"/>
    <w:rsid w:val="00CF2BB9"/>
    <w:rsid w:val="00CF30B6"/>
    <w:rsid w:val="00CF3AC1"/>
    <w:rsid w:val="00CF452E"/>
    <w:rsid w:val="00CF6451"/>
    <w:rsid w:val="00CF65FD"/>
    <w:rsid w:val="00CF6C21"/>
    <w:rsid w:val="00CF7EBD"/>
    <w:rsid w:val="00D000E7"/>
    <w:rsid w:val="00D00167"/>
    <w:rsid w:val="00D00341"/>
    <w:rsid w:val="00D01415"/>
    <w:rsid w:val="00D019D3"/>
    <w:rsid w:val="00D03428"/>
    <w:rsid w:val="00D0576A"/>
    <w:rsid w:val="00D0695D"/>
    <w:rsid w:val="00D07DA1"/>
    <w:rsid w:val="00D07E46"/>
    <w:rsid w:val="00D101D1"/>
    <w:rsid w:val="00D1098B"/>
    <w:rsid w:val="00D1272C"/>
    <w:rsid w:val="00D15917"/>
    <w:rsid w:val="00D16350"/>
    <w:rsid w:val="00D168FC"/>
    <w:rsid w:val="00D16A7D"/>
    <w:rsid w:val="00D16B93"/>
    <w:rsid w:val="00D204D3"/>
    <w:rsid w:val="00D209F9"/>
    <w:rsid w:val="00D20BDB"/>
    <w:rsid w:val="00D2178B"/>
    <w:rsid w:val="00D21823"/>
    <w:rsid w:val="00D300EE"/>
    <w:rsid w:val="00D309C6"/>
    <w:rsid w:val="00D3225B"/>
    <w:rsid w:val="00D32507"/>
    <w:rsid w:val="00D3329A"/>
    <w:rsid w:val="00D33434"/>
    <w:rsid w:val="00D33695"/>
    <w:rsid w:val="00D33B3D"/>
    <w:rsid w:val="00D34468"/>
    <w:rsid w:val="00D34F38"/>
    <w:rsid w:val="00D3547D"/>
    <w:rsid w:val="00D355CD"/>
    <w:rsid w:val="00D35926"/>
    <w:rsid w:val="00D3592B"/>
    <w:rsid w:val="00D37BCE"/>
    <w:rsid w:val="00D37E97"/>
    <w:rsid w:val="00D40659"/>
    <w:rsid w:val="00D41C91"/>
    <w:rsid w:val="00D42E3C"/>
    <w:rsid w:val="00D43D87"/>
    <w:rsid w:val="00D440AC"/>
    <w:rsid w:val="00D457B6"/>
    <w:rsid w:val="00D46F9C"/>
    <w:rsid w:val="00D4734C"/>
    <w:rsid w:val="00D47F8C"/>
    <w:rsid w:val="00D500AB"/>
    <w:rsid w:val="00D5512D"/>
    <w:rsid w:val="00D5523F"/>
    <w:rsid w:val="00D5677A"/>
    <w:rsid w:val="00D6020F"/>
    <w:rsid w:val="00D6073D"/>
    <w:rsid w:val="00D6274C"/>
    <w:rsid w:val="00D64D69"/>
    <w:rsid w:val="00D66746"/>
    <w:rsid w:val="00D66A12"/>
    <w:rsid w:val="00D711D2"/>
    <w:rsid w:val="00D719CC"/>
    <w:rsid w:val="00D7470A"/>
    <w:rsid w:val="00D74EA3"/>
    <w:rsid w:val="00D75D88"/>
    <w:rsid w:val="00D76A5B"/>
    <w:rsid w:val="00D803A3"/>
    <w:rsid w:val="00D808B8"/>
    <w:rsid w:val="00D810AF"/>
    <w:rsid w:val="00D8166D"/>
    <w:rsid w:val="00D83CF6"/>
    <w:rsid w:val="00D8528C"/>
    <w:rsid w:val="00D85AA8"/>
    <w:rsid w:val="00D871AB"/>
    <w:rsid w:val="00D90105"/>
    <w:rsid w:val="00D90309"/>
    <w:rsid w:val="00D91529"/>
    <w:rsid w:val="00D91DAA"/>
    <w:rsid w:val="00D92905"/>
    <w:rsid w:val="00D9316D"/>
    <w:rsid w:val="00D947F5"/>
    <w:rsid w:val="00D95E0E"/>
    <w:rsid w:val="00D964D2"/>
    <w:rsid w:val="00D96AA1"/>
    <w:rsid w:val="00D96B7A"/>
    <w:rsid w:val="00D97749"/>
    <w:rsid w:val="00DA1C25"/>
    <w:rsid w:val="00DA30C0"/>
    <w:rsid w:val="00DA4764"/>
    <w:rsid w:val="00DA47F9"/>
    <w:rsid w:val="00DA4D02"/>
    <w:rsid w:val="00DA66F6"/>
    <w:rsid w:val="00DA68D5"/>
    <w:rsid w:val="00DA6A89"/>
    <w:rsid w:val="00DA6BA2"/>
    <w:rsid w:val="00DB2BB3"/>
    <w:rsid w:val="00DB2ECC"/>
    <w:rsid w:val="00DB3F40"/>
    <w:rsid w:val="00DB4FFC"/>
    <w:rsid w:val="00DB572D"/>
    <w:rsid w:val="00DB5F83"/>
    <w:rsid w:val="00DB634A"/>
    <w:rsid w:val="00DC03BC"/>
    <w:rsid w:val="00DC17D4"/>
    <w:rsid w:val="00DC24F5"/>
    <w:rsid w:val="00DC379B"/>
    <w:rsid w:val="00DC4E11"/>
    <w:rsid w:val="00DC4EA6"/>
    <w:rsid w:val="00DD0D86"/>
    <w:rsid w:val="00DD1CF1"/>
    <w:rsid w:val="00DD26F9"/>
    <w:rsid w:val="00DD5434"/>
    <w:rsid w:val="00DD549E"/>
    <w:rsid w:val="00DD54D0"/>
    <w:rsid w:val="00DD55C5"/>
    <w:rsid w:val="00DD5964"/>
    <w:rsid w:val="00DD6491"/>
    <w:rsid w:val="00DD6E49"/>
    <w:rsid w:val="00DE03E0"/>
    <w:rsid w:val="00DE0555"/>
    <w:rsid w:val="00DE0E89"/>
    <w:rsid w:val="00DE1B7F"/>
    <w:rsid w:val="00DE2924"/>
    <w:rsid w:val="00DE2A18"/>
    <w:rsid w:val="00DE3E05"/>
    <w:rsid w:val="00DE4FA9"/>
    <w:rsid w:val="00DE514A"/>
    <w:rsid w:val="00DE5F1D"/>
    <w:rsid w:val="00DE73C5"/>
    <w:rsid w:val="00DE787D"/>
    <w:rsid w:val="00DE7C88"/>
    <w:rsid w:val="00DF1177"/>
    <w:rsid w:val="00DF39E1"/>
    <w:rsid w:val="00DF3DB9"/>
    <w:rsid w:val="00DF3FC1"/>
    <w:rsid w:val="00DF432C"/>
    <w:rsid w:val="00DF5FE5"/>
    <w:rsid w:val="00DF7D9D"/>
    <w:rsid w:val="00E00B76"/>
    <w:rsid w:val="00E01CA3"/>
    <w:rsid w:val="00E01EBE"/>
    <w:rsid w:val="00E02557"/>
    <w:rsid w:val="00E0261E"/>
    <w:rsid w:val="00E0350D"/>
    <w:rsid w:val="00E04D8F"/>
    <w:rsid w:val="00E0516F"/>
    <w:rsid w:val="00E0592A"/>
    <w:rsid w:val="00E06C98"/>
    <w:rsid w:val="00E075F1"/>
    <w:rsid w:val="00E0777C"/>
    <w:rsid w:val="00E077D5"/>
    <w:rsid w:val="00E10684"/>
    <w:rsid w:val="00E12531"/>
    <w:rsid w:val="00E12F31"/>
    <w:rsid w:val="00E13738"/>
    <w:rsid w:val="00E1481D"/>
    <w:rsid w:val="00E14E2E"/>
    <w:rsid w:val="00E153F5"/>
    <w:rsid w:val="00E1567A"/>
    <w:rsid w:val="00E16247"/>
    <w:rsid w:val="00E170A5"/>
    <w:rsid w:val="00E17409"/>
    <w:rsid w:val="00E17CE6"/>
    <w:rsid w:val="00E20627"/>
    <w:rsid w:val="00E20F2C"/>
    <w:rsid w:val="00E2135A"/>
    <w:rsid w:val="00E21EB1"/>
    <w:rsid w:val="00E22758"/>
    <w:rsid w:val="00E25D2D"/>
    <w:rsid w:val="00E27568"/>
    <w:rsid w:val="00E304B0"/>
    <w:rsid w:val="00E31F19"/>
    <w:rsid w:val="00E32423"/>
    <w:rsid w:val="00E3330C"/>
    <w:rsid w:val="00E3350F"/>
    <w:rsid w:val="00E33AC1"/>
    <w:rsid w:val="00E33B14"/>
    <w:rsid w:val="00E34F1D"/>
    <w:rsid w:val="00E360BF"/>
    <w:rsid w:val="00E37044"/>
    <w:rsid w:val="00E37DF5"/>
    <w:rsid w:val="00E4075B"/>
    <w:rsid w:val="00E432D9"/>
    <w:rsid w:val="00E45276"/>
    <w:rsid w:val="00E46157"/>
    <w:rsid w:val="00E467E2"/>
    <w:rsid w:val="00E46F23"/>
    <w:rsid w:val="00E500FD"/>
    <w:rsid w:val="00E52A2C"/>
    <w:rsid w:val="00E52CD3"/>
    <w:rsid w:val="00E530AB"/>
    <w:rsid w:val="00E53A48"/>
    <w:rsid w:val="00E53C76"/>
    <w:rsid w:val="00E5404A"/>
    <w:rsid w:val="00E54A10"/>
    <w:rsid w:val="00E5718D"/>
    <w:rsid w:val="00E573F6"/>
    <w:rsid w:val="00E57706"/>
    <w:rsid w:val="00E60199"/>
    <w:rsid w:val="00E6419C"/>
    <w:rsid w:val="00E67692"/>
    <w:rsid w:val="00E67963"/>
    <w:rsid w:val="00E70A7B"/>
    <w:rsid w:val="00E70DA2"/>
    <w:rsid w:val="00E72A01"/>
    <w:rsid w:val="00E734B0"/>
    <w:rsid w:val="00E73832"/>
    <w:rsid w:val="00E73D12"/>
    <w:rsid w:val="00E74584"/>
    <w:rsid w:val="00E76A5B"/>
    <w:rsid w:val="00E77CBF"/>
    <w:rsid w:val="00E8395E"/>
    <w:rsid w:val="00E84160"/>
    <w:rsid w:val="00E84DC4"/>
    <w:rsid w:val="00E87155"/>
    <w:rsid w:val="00E8744A"/>
    <w:rsid w:val="00E87F13"/>
    <w:rsid w:val="00E945D8"/>
    <w:rsid w:val="00E94757"/>
    <w:rsid w:val="00E9600A"/>
    <w:rsid w:val="00E96B0A"/>
    <w:rsid w:val="00E97ABA"/>
    <w:rsid w:val="00E97E5A"/>
    <w:rsid w:val="00EA24F5"/>
    <w:rsid w:val="00EA3F99"/>
    <w:rsid w:val="00EA53DF"/>
    <w:rsid w:val="00EA6719"/>
    <w:rsid w:val="00EA76B9"/>
    <w:rsid w:val="00EA7C3B"/>
    <w:rsid w:val="00EB31B5"/>
    <w:rsid w:val="00EB40D1"/>
    <w:rsid w:val="00EB4EAC"/>
    <w:rsid w:val="00EB70A9"/>
    <w:rsid w:val="00EB70F4"/>
    <w:rsid w:val="00EC1367"/>
    <w:rsid w:val="00EC15CD"/>
    <w:rsid w:val="00EC29B5"/>
    <w:rsid w:val="00EC3A16"/>
    <w:rsid w:val="00EC5AF3"/>
    <w:rsid w:val="00EC6858"/>
    <w:rsid w:val="00EC7591"/>
    <w:rsid w:val="00EC7F21"/>
    <w:rsid w:val="00ED0195"/>
    <w:rsid w:val="00ED15EF"/>
    <w:rsid w:val="00ED2330"/>
    <w:rsid w:val="00ED28A5"/>
    <w:rsid w:val="00ED30DD"/>
    <w:rsid w:val="00ED378A"/>
    <w:rsid w:val="00ED3EC8"/>
    <w:rsid w:val="00ED466C"/>
    <w:rsid w:val="00ED593F"/>
    <w:rsid w:val="00ED5A6E"/>
    <w:rsid w:val="00ED5AA4"/>
    <w:rsid w:val="00ED6E11"/>
    <w:rsid w:val="00ED7B01"/>
    <w:rsid w:val="00ED7B61"/>
    <w:rsid w:val="00EE0386"/>
    <w:rsid w:val="00EE0569"/>
    <w:rsid w:val="00EE2241"/>
    <w:rsid w:val="00EE26AE"/>
    <w:rsid w:val="00EE3291"/>
    <w:rsid w:val="00EE43A1"/>
    <w:rsid w:val="00EF096C"/>
    <w:rsid w:val="00EF229E"/>
    <w:rsid w:val="00EF2C48"/>
    <w:rsid w:val="00EF32D7"/>
    <w:rsid w:val="00EF3940"/>
    <w:rsid w:val="00EF3F82"/>
    <w:rsid w:val="00EF43E4"/>
    <w:rsid w:val="00EF498A"/>
    <w:rsid w:val="00F0400B"/>
    <w:rsid w:val="00F04068"/>
    <w:rsid w:val="00F04877"/>
    <w:rsid w:val="00F04A0B"/>
    <w:rsid w:val="00F10B43"/>
    <w:rsid w:val="00F118F0"/>
    <w:rsid w:val="00F11C75"/>
    <w:rsid w:val="00F120B1"/>
    <w:rsid w:val="00F1352B"/>
    <w:rsid w:val="00F14B47"/>
    <w:rsid w:val="00F1538B"/>
    <w:rsid w:val="00F1547F"/>
    <w:rsid w:val="00F179D8"/>
    <w:rsid w:val="00F17AF7"/>
    <w:rsid w:val="00F17C67"/>
    <w:rsid w:val="00F17C81"/>
    <w:rsid w:val="00F204FB"/>
    <w:rsid w:val="00F2077A"/>
    <w:rsid w:val="00F22F4C"/>
    <w:rsid w:val="00F230AC"/>
    <w:rsid w:val="00F24688"/>
    <w:rsid w:val="00F25D5E"/>
    <w:rsid w:val="00F27980"/>
    <w:rsid w:val="00F30368"/>
    <w:rsid w:val="00F30A3F"/>
    <w:rsid w:val="00F32A77"/>
    <w:rsid w:val="00F3384E"/>
    <w:rsid w:val="00F3417C"/>
    <w:rsid w:val="00F34BEF"/>
    <w:rsid w:val="00F37DB4"/>
    <w:rsid w:val="00F40FEA"/>
    <w:rsid w:val="00F44320"/>
    <w:rsid w:val="00F46200"/>
    <w:rsid w:val="00F46559"/>
    <w:rsid w:val="00F47390"/>
    <w:rsid w:val="00F47514"/>
    <w:rsid w:val="00F47C86"/>
    <w:rsid w:val="00F50829"/>
    <w:rsid w:val="00F525E7"/>
    <w:rsid w:val="00F52AF7"/>
    <w:rsid w:val="00F5438C"/>
    <w:rsid w:val="00F548A0"/>
    <w:rsid w:val="00F54F8F"/>
    <w:rsid w:val="00F55179"/>
    <w:rsid w:val="00F55FFB"/>
    <w:rsid w:val="00F56AD7"/>
    <w:rsid w:val="00F57385"/>
    <w:rsid w:val="00F5760F"/>
    <w:rsid w:val="00F608D2"/>
    <w:rsid w:val="00F60F68"/>
    <w:rsid w:val="00F61046"/>
    <w:rsid w:val="00F622D4"/>
    <w:rsid w:val="00F62C7B"/>
    <w:rsid w:val="00F63AAD"/>
    <w:rsid w:val="00F6525C"/>
    <w:rsid w:val="00F664AC"/>
    <w:rsid w:val="00F66542"/>
    <w:rsid w:val="00F667DD"/>
    <w:rsid w:val="00F66918"/>
    <w:rsid w:val="00F66A8E"/>
    <w:rsid w:val="00F677CC"/>
    <w:rsid w:val="00F705B5"/>
    <w:rsid w:val="00F707C1"/>
    <w:rsid w:val="00F70DC1"/>
    <w:rsid w:val="00F7268E"/>
    <w:rsid w:val="00F73709"/>
    <w:rsid w:val="00F73D5C"/>
    <w:rsid w:val="00F750A4"/>
    <w:rsid w:val="00F753E0"/>
    <w:rsid w:val="00F76CCF"/>
    <w:rsid w:val="00F7758D"/>
    <w:rsid w:val="00F7765C"/>
    <w:rsid w:val="00F779C7"/>
    <w:rsid w:val="00F77F5A"/>
    <w:rsid w:val="00F805EB"/>
    <w:rsid w:val="00F834DF"/>
    <w:rsid w:val="00F83E28"/>
    <w:rsid w:val="00F84219"/>
    <w:rsid w:val="00F85823"/>
    <w:rsid w:val="00F86B75"/>
    <w:rsid w:val="00F86F07"/>
    <w:rsid w:val="00F909D9"/>
    <w:rsid w:val="00F90AB7"/>
    <w:rsid w:val="00F91E9E"/>
    <w:rsid w:val="00F9463D"/>
    <w:rsid w:val="00F947FC"/>
    <w:rsid w:val="00F95170"/>
    <w:rsid w:val="00F95794"/>
    <w:rsid w:val="00F95830"/>
    <w:rsid w:val="00F95FC4"/>
    <w:rsid w:val="00F97B44"/>
    <w:rsid w:val="00FA01B7"/>
    <w:rsid w:val="00FA04A7"/>
    <w:rsid w:val="00FA067D"/>
    <w:rsid w:val="00FA16DB"/>
    <w:rsid w:val="00FA3173"/>
    <w:rsid w:val="00FA3D96"/>
    <w:rsid w:val="00FA4725"/>
    <w:rsid w:val="00FA48D8"/>
    <w:rsid w:val="00FA517A"/>
    <w:rsid w:val="00FA60A3"/>
    <w:rsid w:val="00FA78E6"/>
    <w:rsid w:val="00FB043A"/>
    <w:rsid w:val="00FB06F7"/>
    <w:rsid w:val="00FB11DF"/>
    <w:rsid w:val="00FB1A8E"/>
    <w:rsid w:val="00FB2879"/>
    <w:rsid w:val="00FB2D4F"/>
    <w:rsid w:val="00FB3AA2"/>
    <w:rsid w:val="00FB3D1C"/>
    <w:rsid w:val="00FB3DB0"/>
    <w:rsid w:val="00FB4081"/>
    <w:rsid w:val="00FB4E73"/>
    <w:rsid w:val="00FB5B97"/>
    <w:rsid w:val="00FB6FFA"/>
    <w:rsid w:val="00FB7804"/>
    <w:rsid w:val="00FC0672"/>
    <w:rsid w:val="00FC1464"/>
    <w:rsid w:val="00FC1A02"/>
    <w:rsid w:val="00FC2B2F"/>
    <w:rsid w:val="00FC4028"/>
    <w:rsid w:val="00FC4919"/>
    <w:rsid w:val="00FC62D0"/>
    <w:rsid w:val="00FC6401"/>
    <w:rsid w:val="00FC67BC"/>
    <w:rsid w:val="00FC766E"/>
    <w:rsid w:val="00FC77AE"/>
    <w:rsid w:val="00FC7C40"/>
    <w:rsid w:val="00FD1F5A"/>
    <w:rsid w:val="00FD3CC7"/>
    <w:rsid w:val="00FD3D3E"/>
    <w:rsid w:val="00FD436D"/>
    <w:rsid w:val="00FD46BC"/>
    <w:rsid w:val="00FD6E64"/>
    <w:rsid w:val="00FD75F6"/>
    <w:rsid w:val="00FD7DD4"/>
    <w:rsid w:val="00FE087F"/>
    <w:rsid w:val="00FE13DF"/>
    <w:rsid w:val="00FE1444"/>
    <w:rsid w:val="00FE1E5C"/>
    <w:rsid w:val="00FE3C64"/>
    <w:rsid w:val="00FE3D8D"/>
    <w:rsid w:val="00FE3F08"/>
    <w:rsid w:val="00FE53B3"/>
    <w:rsid w:val="00FE5853"/>
    <w:rsid w:val="00FE7597"/>
    <w:rsid w:val="00FF03C9"/>
    <w:rsid w:val="00FF34BD"/>
    <w:rsid w:val="00FF3CE3"/>
    <w:rsid w:val="00FF50E4"/>
    <w:rsid w:val="00FF5185"/>
    <w:rsid w:val="00FF61D0"/>
    <w:rsid w:val="00FF6D90"/>
    <w:rsid w:val="00FF7467"/>
    <w:rsid w:val="00FF78CC"/>
    <w:rsid w:val="55E8E40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B4F46CD"/>
  <w15:docId w15:val="{B077730B-CEF5-4D68-8942-31F8A1F0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279"/>
    <w:pPr>
      <w:spacing w:before="120" w:after="120"/>
      <w:jc w:val="both"/>
    </w:pPr>
    <w:rPr>
      <w:rFonts w:ascii="Calibri" w:hAnsi="Calibri"/>
      <w:szCs w:val="24"/>
      <w:lang w:val="en-US" w:eastAsia="en-US"/>
    </w:rPr>
  </w:style>
  <w:style w:type="paragraph" w:styleId="Heading1">
    <w:name w:val="heading 1"/>
    <w:basedOn w:val="Normal"/>
    <w:next w:val="Normal"/>
    <w:link w:val="Heading1Char"/>
    <w:qFormat/>
    <w:rsid w:val="00FF03C9"/>
    <w:pPr>
      <w:keepNext/>
      <w:numPr>
        <w:numId w:val="1"/>
      </w:numPr>
      <w:autoSpaceDE w:val="0"/>
      <w:autoSpaceDN w:val="0"/>
      <w:adjustRightInd w:val="0"/>
      <w:spacing w:before="240" w:after="240"/>
      <w:ind w:left="357" w:hanging="357"/>
      <w:outlineLvl w:val="0"/>
    </w:pPr>
    <w:rPr>
      <w:rFonts w:asciiTheme="majorHAnsi" w:hAnsiTheme="majorHAnsi"/>
      <w:b/>
      <w:bCs/>
      <w:sz w:val="24"/>
    </w:rPr>
  </w:style>
  <w:style w:type="paragraph" w:styleId="Heading2">
    <w:name w:val="heading 2"/>
    <w:basedOn w:val="Normal"/>
    <w:next w:val="Normal"/>
    <w:link w:val="Heading2Char"/>
    <w:qFormat/>
    <w:rsid w:val="002523E1"/>
    <w:pPr>
      <w:keepNext/>
      <w:numPr>
        <w:ilvl w:val="1"/>
        <w:numId w:val="1"/>
      </w:numPr>
      <w:spacing w:before="240"/>
      <w:ind w:left="431" w:hanging="431"/>
      <w:outlineLvl w:val="1"/>
    </w:pPr>
    <w:rPr>
      <w:rFonts w:asciiTheme="majorHAnsi" w:hAnsiTheme="majorHAnsi" w:cs="Arial"/>
      <w:b/>
    </w:rPr>
  </w:style>
  <w:style w:type="paragraph" w:styleId="Heading3">
    <w:name w:val="heading 3"/>
    <w:basedOn w:val="Normal"/>
    <w:next w:val="Normal"/>
    <w:link w:val="Heading3Char"/>
    <w:qFormat/>
    <w:rsid w:val="00694C2D"/>
    <w:pPr>
      <w:spacing w:before="240" w:after="60"/>
      <w:outlineLvl w:val="2"/>
    </w:pPr>
    <w:rPr>
      <w:rFonts w:cs="Arial"/>
      <w:bCs/>
      <w:i/>
    </w:rPr>
  </w:style>
  <w:style w:type="paragraph" w:styleId="Heading4">
    <w:name w:val="heading 4"/>
    <w:basedOn w:val="Normal"/>
    <w:next w:val="Normal"/>
    <w:link w:val="Heading4Char"/>
    <w:qFormat/>
    <w:rsid w:val="003B7891"/>
    <w:pPr>
      <w:keepNext/>
      <w:numPr>
        <w:ilvl w:val="3"/>
        <w:numId w:val="1"/>
      </w:numPr>
      <w:tabs>
        <w:tab w:val="left" w:pos="0"/>
      </w:tabs>
      <w:outlineLvl w:val="3"/>
    </w:pPr>
    <w:rPr>
      <w:rFonts w:ascii="Arial" w:hAnsi="Arial" w:cs="Arial"/>
      <w:sz w:val="20"/>
    </w:rPr>
  </w:style>
  <w:style w:type="paragraph" w:styleId="Heading5">
    <w:name w:val="heading 5"/>
    <w:basedOn w:val="Normal"/>
    <w:next w:val="Normal"/>
    <w:link w:val="Heading5Char"/>
    <w:uiPriority w:val="99"/>
    <w:qFormat/>
    <w:rsid w:val="003B7891"/>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3B7891"/>
    <w:pPr>
      <w:spacing w:before="240" w:after="60"/>
      <w:outlineLvl w:val="5"/>
    </w:pPr>
    <w:rPr>
      <w:b/>
      <w:bCs/>
      <w:szCs w:val="22"/>
    </w:rPr>
  </w:style>
  <w:style w:type="paragraph" w:styleId="Heading7">
    <w:name w:val="heading 7"/>
    <w:basedOn w:val="Normal"/>
    <w:next w:val="Normal"/>
    <w:link w:val="Heading7Char"/>
    <w:uiPriority w:val="99"/>
    <w:qFormat/>
    <w:rsid w:val="003B7891"/>
    <w:pPr>
      <w:spacing w:before="240" w:after="60"/>
      <w:outlineLvl w:val="6"/>
    </w:pPr>
  </w:style>
  <w:style w:type="paragraph" w:styleId="Heading8">
    <w:name w:val="heading 8"/>
    <w:basedOn w:val="Normal"/>
    <w:next w:val="Normal"/>
    <w:link w:val="Heading8Char"/>
    <w:uiPriority w:val="99"/>
    <w:qFormat/>
    <w:rsid w:val="003B7891"/>
    <w:pPr>
      <w:spacing w:before="240" w:after="60"/>
      <w:outlineLvl w:val="7"/>
    </w:pPr>
    <w:rPr>
      <w:i/>
      <w:iCs/>
    </w:rPr>
  </w:style>
  <w:style w:type="paragraph" w:styleId="Heading9">
    <w:name w:val="heading 9"/>
    <w:basedOn w:val="Normal"/>
    <w:next w:val="Normal"/>
    <w:link w:val="Heading9Char"/>
    <w:uiPriority w:val="99"/>
    <w:qFormat/>
    <w:rsid w:val="003B7891"/>
    <w:pPr>
      <w:keepNext/>
      <w:jc w:val="center"/>
      <w:outlineLvl w:val="8"/>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F03C9"/>
    <w:rPr>
      <w:rFonts w:asciiTheme="majorHAnsi" w:hAnsiTheme="majorHAnsi"/>
      <w:b/>
      <w:bCs/>
      <w:sz w:val="24"/>
      <w:szCs w:val="24"/>
      <w:lang w:val="en-US" w:eastAsia="en-US"/>
    </w:rPr>
  </w:style>
  <w:style w:type="character" w:customStyle="1" w:styleId="Heading2Char">
    <w:name w:val="Heading 2 Char"/>
    <w:basedOn w:val="DefaultParagraphFont"/>
    <w:link w:val="Heading2"/>
    <w:locked/>
    <w:rsid w:val="002523E1"/>
    <w:rPr>
      <w:rFonts w:asciiTheme="majorHAnsi" w:hAnsiTheme="majorHAnsi" w:cs="Arial"/>
      <w:b/>
      <w:szCs w:val="24"/>
      <w:lang w:val="en-US" w:eastAsia="en-US"/>
    </w:rPr>
  </w:style>
  <w:style w:type="character" w:customStyle="1" w:styleId="Heading3Char">
    <w:name w:val="Heading 3 Char"/>
    <w:basedOn w:val="DefaultParagraphFont"/>
    <w:link w:val="Heading3"/>
    <w:locked/>
    <w:rsid w:val="00694C2D"/>
    <w:rPr>
      <w:rFonts w:ascii="Calibri" w:hAnsi="Calibri" w:cs="Arial"/>
      <w:bCs/>
      <w:i/>
      <w:szCs w:val="24"/>
      <w:lang w:val="en-US" w:eastAsia="en-US"/>
    </w:rPr>
  </w:style>
  <w:style w:type="character" w:customStyle="1" w:styleId="Heading4Char">
    <w:name w:val="Heading 4 Char"/>
    <w:basedOn w:val="DefaultParagraphFont"/>
    <w:link w:val="Heading4"/>
    <w:locked/>
    <w:rsid w:val="00AC7813"/>
    <w:rPr>
      <w:rFonts w:ascii="Arial" w:hAnsi="Arial" w:cs="Arial"/>
      <w:sz w:val="20"/>
      <w:szCs w:val="24"/>
      <w:lang w:val="en-US" w:eastAsia="en-US"/>
    </w:rPr>
  </w:style>
  <w:style w:type="character" w:customStyle="1" w:styleId="Heading5Char">
    <w:name w:val="Heading 5 Char"/>
    <w:basedOn w:val="DefaultParagraphFont"/>
    <w:link w:val="Heading5"/>
    <w:uiPriority w:val="99"/>
    <w:semiHidden/>
    <w:locked/>
    <w:rsid w:val="00AC7813"/>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AC7813"/>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AC7813"/>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AC7813"/>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AC7813"/>
    <w:rPr>
      <w:rFonts w:ascii="Cambria" w:hAnsi="Cambria" w:cs="Times New Roman"/>
      <w:lang w:val="en-US" w:eastAsia="en-US"/>
    </w:rPr>
  </w:style>
  <w:style w:type="paragraph" w:styleId="NormalWeb">
    <w:name w:val="Normal (Web)"/>
    <w:basedOn w:val="Normal"/>
    <w:uiPriority w:val="99"/>
    <w:rsid w:val="003B7891"/>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uiPriority w:val="99"/>
    <w:rsid w:val="003B7891"/>
    <w:pPr>
      <w:tabs>
        <w:tab w:val="center" w:pos="4320"/>
        <w:tab w:val="right" w:pos="8640"/>
      </w:tabs>
    </w:pPr>
  </w:style>
  <w:style w:type="character" w:customStyle="1" w:styleId="HeaderChar">
    <w:name w:val="Header Char"/>
    <w:basedOn w:val="DefaultParagraphFont"/>
    <w:link w:val="Header"/>
    <w:uiPriority w:val="99"/>
    <w:locked/>
    <w:rsid w:val="003B7891"/>
    <w:rPr>
      <w:rFonts w:cs="Times New Roman"/>
      <w:sz w:val="24"/>
      <w:szCs w:val="24"/>
      <w:lang w:val="en-US" w:eastAsia="en-US" w:bidi="ar-SA"/>
    </w:rPr>
  </w:style>
  <w:style w:type="paragraph" w:styleId="Footer">
    <w:name w:val="footer"/>
    <w:basedOn w:val="Normal"/>
    <w:link w:val="FooterChar"/>
    <w:uiPriority w:val="99"/>
    <w:rsid w:val="003B7891"/>
    <w:pPr>
      <w:tabs>
        <w:tab w:val="center" w:pos="4320"/>
        <w:tab w:val="right" w:pos="8640"/>
      </w:tabs>
    </w:pPr>
  </w:style>
  <w:style w:type="character" w:customStyle="1" w:styleId="FooterChar">
    <w:name w:val="Footer Char"/>
    <w:basedOn w:val="DefaultParagraphFont"/>
    <w:link w:val="Footer"/>
    <w:uiPriority w:val="99"/>
    <w:locked/>
    <w:rsid w:val="00AC7813"/>
    <w:rPr>
      <w:rFonts w:cs="Times New Roman"/>
      <w:sz w:val="24"/>
      <w:szCs w:val="24"/>
      <w:lang w:val="en-US" w:eastAsia="en-US"/>
    </w:rPr>
  </w:style>
  <w:style w:type="character" w:styleId="PageNumber">
    <w:name w:val="page number"/>
    <w:basedOn w:val="DefaultParagraphFont"/>
    <w:uiPriority w:val="99"/>
    <w:rsid w:val="003B7891"/>
    <w:rPr>
      <w:rFonts w:cs="Times New Roman"/>
    </w:rPr>
  </w:style>
  <w:style w:type="paragraph" w:customStyle="1" w:styleId="MMHeader">
    <w:name w:val="MMHeader"/>
    <w:basedOn w:val="NormalWeb"/>
    <w:uiPriority w:val="99"/>
    <w:rsid w:val="003B7891"/>
    <w:pPr>
      <w:jc w:val="center"/>
    </w:pPr>
    <w:rPr>
      <w:rFonts w:ascii="Arial" w:hAnsi="Arial" w:cs="Arial"/>
      <w:b/>
      <w:bCs/>
      <w:color w:val="000000"/>
      <w:sz w:val="28"/>
    </w:rPr>
  </w:style>
  <w:style w:type="paragraph" w:customStyle="1" w:styleId="MMHeader2">
    <w:name w:val="MMHeader2"/>
    <w:basedOn w:val="NormalWeb"/>
    <w:uiPriority w:val="99"/>
    <w:rsid w:val="003B7891"/>
    <w:rPr>
      <w:rFonts w:ascii="Arial" w:hAnsi="Arial" w:cs="Arial"/>
      <w:b/>
      <w:bCs/>
      <w:color w:val="000000"/>
      <w:sz w:val="28"/>
    </w:rPr>
  </w:style>
  <w:style w:type="paragraph" w:customStyle="1" w:styleId="MMsubheader">
    <w:name w:val="MM sub header"/>
    <w:basedOn w:val="NormalWeb"/>
    <w:uiPriority w:val="99"/>
    <w:rsid w:val="003B7891"/>
    <w:pPr>
      <w:ind w:left="720"/>
    </w:pPr>
    <w:rPr>
      <w:rFonts w:ascii="Arial" w:hAnsi="Arial" w:cs="Arial"/>
      <w:b/>
      <w:bCs/>
      <w:color w:val="000000"/>
    </w:rPr>
  </w:style>
  <w:style w:type="paragraph" w:customStyle="1" w:styleId="Paragraph">
    <w:name w:val="Paragraph"/>
    <w:basedOn w:val="Normal"/>
    <w:link w:val="ParagraphChar"/>
    <w:autoRedefine/>
    <w:uiPriority w:val="99"/>
    <w:rsid w:val="003B7891"/>
    <w:pPr>
      <w:jc w:val="center"/>
    </w:pPr>
    <w:rPr>
      <w:rFonts w:ascii="Arial" w:hAnsi="Arial"/>
      <w:b/>
      <w:sz w:val="28"/>
    </w:rPr>
  </w:style>
  <w:style w:type="paragraph" w:styleId="Title">
    <w:name w:val="Title"/>
    <w:basedOn w:val="Normal"/>
    <w:link w:val="TitleChar"/>
    <w:uiPriority w:val="99"/>
    <w:qFormat/>
    <w:rsid w:val="003B7891"/>
    <w:pPr>
      <w:jc w:val="center"/>
    </w:pPr>
    <w:rPr>
      <w:sz w:val="28"/>
    </w:rPr>
  </w:style>
  <w:style w:type="character" w:customStyle="1" w:styleId="TitleChar">
    <w:name w:val="Title Char"/>
    <w:basedOn w:val="DefaultParagraphFont"/>
    <w:link w:val="Title"/>
    <w:uiPriority w:val="99"/>
    <w:locked/>
    <w:rsid w:val="00AC7813"/>
    <w:rPr>
      <w:rFonts w:ascii="Cambria" w:hAnsi="Cambria" w:cs="Times New Roman"/>
      <w:b/>
      <w:bCs/>
      <w:kern w:val="28"/>
      <w:sz w:val="32"/>
      <w:szCs w:val="32"/>
      <w:lang w:val="en-US" w:eastAsia="en-US"/>
    </w:rPr>
  </w:style>
  <w:style w:type="paragraph" w:styleId="BodyText3">
    <w:name w:val="Body Text 3"/>
    <w:basedOn w:val="Normal"/>
    <w:link w:val="BodyText3Char"/>
    <w:uiPriority w:val="99"/>
    <w:rsid w:val="003B7891"/>
    <w:rPr>
      <w:rFonts w:ascii="Arial" w:hAnsi="Arial" w:cs="Arial"/>
      <w:i/>
      <w:iCs/>
      <w:color w:val="FF0000"/>
    </w:rPr>
  </w:style>
  <w:style w:type="character" w:customStyle="1" w:styleId="BodyText3Char">
    <w:name w:val="Body Text 3 Char"/>
    <w:basedOn w:val="DefaultParagraphFont"/>
    <w:link w:val="BodyText3"/>
    <w:uiPriority w:val="99"/>
    <w:semiHidden/>
    <w:locked/>
    <w:rsid w:val="00AC7813"/>
    <w:rPr>
      <w:rFonts w:cs="Times New Roman"/>
      <w:sz w:val="16"/>
      <w:szCs w:val="16"/>
      <w:lang w:val="en-US" w:eastAsia="en-US"/>
    </w:rPr>
  </w:style>
  <w:style w:type="paragraph" w:styleId="BodyText">
    <w:name w:val="Body Text"/>
    <w:basedOn w:val="Normal"/>
    <w:link w:val="BodyTextChar"/>
    <w:uiPriority w:val="99"/>
    <w:rsid w:val="003B7891"/>
    <w:rPr>
      <w:b/>
      <w:bCs/>
    </w:rPr>
  </w:style>
  <w:style w:type="character" w:customStyle="1" w:styleId="BodyTextChar">
    <w:name w:val="Body Text Char"/>
    <w:basedOn w:val="DefaultParagraphFont"/>
    <w:link w:val="BodyText"/>
    <w:uiPriority w:val="99"/>
    <w:semiHidden/>
    <w:locked/>
    <w:rsid w:val="00AC7813"/>
    <w:rPr>
      <w:rFonts w:cs="Times New Roman"/>
      <w:sz w:val="24"/>
      <w:szCs w:val="24"/>
      <w:lang w:val="en-US" w:eastAsia="en-US"/>
    </w:rPr>
  </w:style>
  <w:style w:type="paragraph" w:styleId="BodyText2">
    <w:name w:val="Body Text 2"/>
    <w:basedOn w:val="Normal"/>
    <w:link w:val="BodyText2Char"/>
    <w:uiPriority w:val="99"/>
    <w:rsid w:val="003B7891"/>
    <w:pPr>
      <w:autoSpaceDE w:val="0"/>
      <w:autoSpaceDN w:val="0"/>
      <w:adjustRightInd w:val="0"/>
      <w:jc w:val="center"/>
    </w:pPr>
    <w:rPr>
      <w:rFonts w:ascii="Arial,Bold" w:hAnsi="Arial,Bold"/>
      <w:b/>
      <w:bCs/>
    </w:rPr>
  </w:style>
  <w:style w:type="character" w:customStyle="1" w:styleId="BodyText2Char">
    <w:name w:val="Body Text 2 Char"/>
    <w:basedOn w:val="DefaultParagraphFont"/>
    <w:link w:val="BodyText2"/>
    <w:uiPriority w:val="99"/>
    <w:semiHidden/>
    <w:locked/>
    <w:rsid w:val="00AC7813"/>
    <w:rPr>
      <w:rFonts w:cs="Times New Roman"/>
      <w:sz w:val="24"/>
      <w:szCs w:val="24"/>
      <w:lang w:val="en-US" w:eastAsia="en-US"/>
    </w:rPr>
  </w:style>
  <w:style w:type="paragraph" w:styleId="BodyTextIndent">
    <w:name w:val="Body Text Indent"/>
    <w:basedOn w:val="Normal"/>
    <w:link w:val="BodyTextIndentChar"/>
    <w:uiPriority w:val="99"/>
    <w:rsid w:val="003B7891"/>
    <w:pPr>
      <w:ind w:left="360"/>
    </w:pPr>
    <w:rPr>
      <w:rFonts w:ascii="Arial" w:hAnsi="Arial" w:cs="Arial"/>
    </w:rPr>
  </w:style>
  <w:style w:type="character" w:customStyle="1" w:styleId="BodyTextIndentChar">
    <w:name w:val="Body Text Indent Char"/>
    <w:basedOn w:val="DefaultParagraphFont"/>
    <w:link w:val="BodyTextIndent"/>
    <w:uiPriority w:val="99"/>
    <w:semiHidden/>
    <w:locked/>
    <w:rsid w:val="00AC7813"/>
    <w:rPr>
      <w:rFonts w:cs="Times New Roman"/>
      <w:sz w:val="24"/>
      <w:szCs w:val="24"/>
      <w:lang w:val="en-US" w:eastAsia="en-US"/>
    </w:rPr>
  </w:style>
  <w:style w:type="character" w:customStyle="1" w:styleId="EmailStyle441">
    <w:name w:val="EmailStyle441"/>
    <w:basedOn w:val="DefaultParagraphFont"/>
    <w:uiPriority w:val="99"/>
    <w:rsid w:val="003B7891"/>
    <w:rPr>
      <w:rFonts w:ascii="Arial" w:hAnsi="Arial" w:cs="Arial"/>
      <w:color w:val="000080"/>
      <w:sz w:val="20"/>
    </w:rPr>
  </w:style>
  <w:style w:type="character" w:styleId="Hyperlink">
    <w:name w:val="Hyperlink"/>
    <w:basedOn w:val="DefaultParagraphFont"/>
    <w:uiPriority w:val="99"/>
    <w:rsid w:val="003B7891"/>
    <w:rPr>
      <w:rFonts w:cs="Times New Roman"/>
      <w:color w:val="0000FF"/>
      <w:u w:val="single"/>
    </w:rPr>
  </w:style>
  <w:style w:type="character" w:styleId="FollowedHyperlink">
    <w:name w:val="FollowedHyperlink"/>
    <w:basedOn w:val="DefaultParagraphFont"/>
    <w:uiPriority w:val="99"/>
    <w:rsid w:val="003B7891"/>
    <w:rPr>
      <w:rFonts w:cs="Times New Roman"/>
      <w:color w:val="800080"/>
      <w:u w:val="single"/>
    </w:rPr>
  </w:style>
  <w:style w:type="paragraph" w:styleId="BodyTextIndent2">
    <w:name w:val="Body Text Indent 2"/>
    <w:basedOn w:val="Normal"/>
    <w:link w:val="BodyTextIndent2Char"/>
    <w:uiPriority w:val="99"/>
    <w:rsid w:val="003B7891"/>
    <w:pPr>
      <w:spacing w:line="480" w:lineRule="auto"/>
      <w:ind w:left="360"/>
    </w:pPr>
  </w:style>
  <w:style w:type="character" w:customStyle="1" w:styleId="BodyTextIndent2Char">
    <w:name w:val="Body Text Indent 2 Char"/>
    <w:basedOn w:val="DefaultParagraphFont"/>
    <w:link w:val="BodyTextIndent2"/>
    <w:uiPriority w:val="99"/>
    <w:semiHidden/>
    <w:locked/>
    <w:rsid w:val="00AC7813"/>
    <w:rPr>
      <w:rFonts w:cs="Times New Roman"/>
      <w:sz w:val="24"/>
      <w:szCs w:val="24"/>
      <w:lang w:val="en-US" w:eastAsia="en-US"/>
    </w:rPr>
  </w:style>
  <w:style w:type="paragraph" w:styleId="Subtitle">
    <w:name w:val="Subtitle"/>
    <w:basedOn w:val="Normal"/>
    <w:link w:val="SubtitleChar"/>
    <w:uiPriority w:val="99"/>
    <w:qFormat/>
    <w:rsid w:val="003B7891"/>
    <w:rPr>
      <w:b/>
      <w:bCs/>
      <w:sz w:val="32"/>
    </w:rPr>
  </w:style>
  <w:style w:type="character" w:customStyle="1" w:styleId="SubtitleChar">
    <w:name w:val="Subtitle Char"/>
    <w:basedOn w:val="DefaultParagraphFont"/>
    <w:link w:val="Subtitle"/>
    <w:uiPriority w:val="99"/>
    <w:locked/>
    <w:rsid w:val="00AC7813"/>
    <w:rPr>
      <w:rFonts w:ascii="Cambria" w:hAnsi="Cambria" w:cs="Times New Roman"/>
      <w:sz w:val="24"/>
      <w:szCs w:val="24"/>
      <w:lang w:val="en-US" w:eastAsia="en-US"/>
    </w:rPr>
  </w:style>
  <w:style w:type="character" w:styleId="Emphasis">
    <w:name w:val="Emphasis"/>
    <w:basedOn w:val="DefaultParagraphFont"/>
    <w:uiPriority w:val="99"/>
    <w:qFormat/>
    <w:rsid w:val="003B7891"/>
    <w:rPr>
      <w:rFonts w:ascii="Arial Black" w:hAnsi="Arial Black" w:cs="Times New Roman"/>
      <w:sz w:val="18"/>
    </w:rPr>
  </w:style>
  <w:style w:type="character" w:customStyle="1" w:styleId="MessageHeaderLabel">
    <w:name w:val="Message Header Label"/>
    <w:uiPriority w:val="99"/>
    <w:rsid w:val="003B7891"/>
    <w:rPr>
      <w:rFonts w:ascii="Arial Black" w:hAnsi="Arial Black"/>
      <w:sz w:val="18"/>
    </w:rPr>
  </w:style>
  <w:style w:type="table" w:styleId="TableGrid">
    <w:name w:val="Table Grid"/>
    <w:basedOn w:val="TableNormal"/>
    <w:uiPriority w:val="99"/>
    <w:rsid w:val="003B789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FF5185"/>
    <w:pPr>
      <w:tabs>
        <w:tab w:val="left" w:pos="480"/>
        <w:tab w:val="right" w:leader="dot" w:pos="8990"/>
      </w:tabs>
    </w:pPr>
    <w:rPr>
      <w:rFonts w:ascii="Arial" w:hAnsi="Arial" w:cs="Arial"/>
      <w:noProof/>
    </w:rPr>
  </w:style>
  <w:style w:type="paragraph" w:styleId="TOC3">
    <w:name w:val="toc 3"/>
    <w:basedOn w:val="Normal"/>
    <w:next w:val="Normal"/>
    <w:autoRedefine/>
    <w:uiPriority w:val="99"/>
    <w:semiHidden/>
    <w:rsid w:val="003B7891"/>
    <w:pPr>
      <w:ind w:left="480"/>
    </w:pPr>
  </w:style>
  <w:style w:type="paragraph" w:styleId="PlainText">
    <w:name w:val="Plain Text"/>
    <w:basedOn w:val="Normal"/>
    <w:link w:val="PlainTextChar"/>
    <w:uiPriority w:val="99"/>
    <w:rsid w:val="003B7891"/>
    <w:rPr>
      <w:rFonts w:ascii="Courier New" w:hAnsi="Courier New" w:cs="Courier New"/>
      <w:sz w:val="20"/>
      <w:szCs w:val="20"/>
      <w:lang w:val="en-GB" w:eastAsia="en-GB"/>
    </w:rPr>
  </w:style>
  <w:style w:type="character" w:customStyle="1" w:styleId="PlainTextChar">
    <w:name w:val="Plain Text Char"/>
    <w:basedOn w:val="DefaultParagraphFont"/>
    <w:link w:val="PlainText"/>
    <w:uiPriority w:val="99"/>
    <w:semiHidden/>
    <w:locked/>
    <w:rsid w:val="00AC7813"/>
    <w:rPr>
      <w:rFonts w:ascii="Courier New" w:hAnsi="Courier New" w:cs="Courier New"/>
      <w:sz w:val="20"/>
      <w:szCs w:val="20"/>
      <w:lang w:val="en-US" w:eastAsia="en-US"/>
    </w:rPr>
  </w:style>
  <w:style w:type="paragraph" w:customStyle="1" w:styleId="Attachmenttitle">
    <w:name w:val="Attachment title"/>
    <w:uiPriority w:val="99"/>
    <w:rsid w:val="00490006"/>
    <w:pPr>
      <w:keepNext/>
      <w:tabs>
        <w:tab w:val="left" w:pos="2520"/>
      </w:tabs>
      <w:spacing w:before="240" w:after="60"/>
      <w:ind w:left="2520" w:hanging="2520"/>
    </w:pPr>
    <w:rPr>
      <w:rFonts w:ascii="Arial" w:hAnsi="Arial" w:cs="Arial"/>
      <w:b/>
      <w:bCs/>
      <w:sz w:val="32"/>
      <w:szCs w:val="26"/>
      <w:lang w:val="en-US" w:eastAsia="en-US"/>
    </w:rPr>
  </w:style>
  <w:style w:type="paragraph" w:styleId="TOC2">
    <w:name w:val="toc 2"/>
    <w:basedOn w:val="Normal"/>
    <w:next w:val="Normal"/>
    <w:autoRedefine/>
    <w:uiPriority w:val="39"/>
    <w:rsid w:val="00490006"/>
    <w:pPr>
      <w:tabs>
        <w:tab w:val="left" w:pos="960"/>
        <w:tab w:val="right" w:leader="dot" w:pos="8990"/>
      </w:tabs>
      <w:ind w:left="990" w:hanging="750"/>
    </w:pPr>
  </w:style>
  <w:style w:type="paragraph" w:styleId="TOC4">
    <w:name w:val="toc 4"/>
    <w:basedOn w:val="Normal"/>
    <w:next w:val="Normal"/>
    <w:autoRedefine/>
    <w:uiPriority w:val="99"/>
    <w:semiHidden/>
    <w:rsid w:val="00490006"/>
    <w:pPr>
      <w:tabs>
        <w:tab w:val="left" w:pos="2326"/>
        <w:tab w:val="right" w:leader="dot" w:pos="8990"/>
      </w:tabs>
      <w:ind w:left="720"/>
    </w:pPr>
    <w:rPr>
      <w:rFonts w:ascii="Arial" w:hAnsi="Arial" w:cs="Arial"/>
      <w:noProof/>
    </w:rPr>
  </w:style>
  <w:style w:type="paragraph" w:customStyle="1" w:styleId="StyleHeading3Bold">
    <w:name w:val="Style Heading 3 + Bold"/>
    <w:basedOn w:val="Heading3"/>
    <w:link w:val="StyleHeading3BoldChar"/>
    <w:autoRedefine/>
    <w:uiPriority w:val="99"/>
    <w:rsid w:val="00946C5F"/>
    <w:rPr>
      <w:b/>
    </w:rPr>
  </w:style>
  <w:style w:type="character" w:customStyle="1" w:styleId="StyleHeading3BoldChar">
    <w:name w:val="Style Heading 3 + Bold Char"/>
    <w:basedOn w:val="Heading3Char"/>
    <w:link w:val="StyleHeading3Bold"/>
    <w:uiPriority w:val="99"/>
    <w:locked/>
    <w:rsid w:val="00946C5F"/>
    <w:rPr>
      <w:rFonts w:ascii="Arial" w:hAnsi="Arial" w:cs="Arial"/>
      <w:b/>
      <w:bCs/>
      <w:i/>
      <w:sz w:val="24"/>
      <w:szCs w:val="24"/>
      <w:lang w:val="en-US" w:eastAsia="en-US"/>
    </w:rPr>
  </w:style>
  <w:style w:type="paragraph" w:styleId="BalloonText">
    <w:name w:val="Balloon Text"/>
    <w:basedOn w:val="Normal"/>
    <w:link w:val="BalloonTextChar"/>
    <w:uiPriority w:val="99"/>
    <w:semiHidden/>
    <w:rsid w:val="00B514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7813"/>
    <w:rPr>
      <w:rFonts w:cs="Times New Roman"/>
      <w:sz w:val="2"/>
      <w:lang w:val="en-US" w:eastAsia="en-US"/>
    </w:rPr>
  </w:style>
  <w:style w:type="paragraph" w:styleId="DocumentMap">
    <w:name w:val="Document Map"/>
    <w:basedOn w:val="Normal"/>
    <w:link w:val="DocumentMapChar"/>
    <w:uiPriority w:val="99"/>
    <w:semiHidden/>
    <w:rsid w:val="00C7073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C7813"/>
    <w:rPr>
      <w:rFonts w:cs="Times New Roman"/>
      <w:sz w:val="2"/>
      <w:lang w:val="en-US" w:eastAsia="en-US"/>
    </w:rPr>
  </w:style>
  <w:style w:type="character" w:customStyle="1" w:styleId="ParagraphChar">
    <w:name w:val="Paragraph Char"/>
    <w:basedOn w:val="DefaultParagraphFont"/>
    <w:link w:val="Paragraph"/>
    <w:uiPriority w:val="99"/>
    <w:locked/>
    <w:rsid w:val="00AC1A64"/>
    <w:rPr>
      <w:rFonts w:ascii="Arial" w:hAnsi="Arial" w:cs="Times New Roman"/>
      <w:b/>
      <w:sz w:val="24"/>
      <w:szCs w:val="24"/>
      <w:lang w:val="en-US" w:eastAsia="en-US" w:bidi="ar-SA"/>
    </w:rPr>
  </w:style>
  <w:style w:type="character" w:customStyle="1" w:styleId="CharChar1">
    <w:name w:val="Char Char1"/>
    <w:basedOn w:val="DefaultParagraphFont"/>
    <w:uiPriority w:val="99"/>
    <w:rsid w:val="00841155"/>
    <w:rPr>
      <w:rFonts w:ascii="Arial" w:hAnsi="Arial" w:cs="Arial"/>
      <w:bCs/>
      <w:sz w:val="24"/>
      <w:szCs w:val="24"/>
      <w:lang w:val="en-US" w:eastAsia="en-US" w:bidi="ar-SA"/>
    </w:rPr>
  </w:style>
  <w:style w:type="character" w:styleId="CommentReference">
    <w:name w:val="annotation reference"/>
    <w:basedOn w:val="DefaultParagraphFont"/>
    <w:uiPriority w:val="99"/>
    <w:semiHidden/>
    <w:rsid w:val="000C6780"/>
    <w:rPr>
      <w:rFonts w:cs="Times New Roman"/>
      <w:sz w:val="16"/>
      <w:szCs w:val="16"/>
    </w:rPr>
  </w:style>
  <w:style w:type="paragraph" w:styleId="CommentText">
    <w:name w:val="annotation text"/>
    <w:basedOn w:val="Normal"/>
    <w:link w:val="CommentTextChar"/>
    <w:uiPriority w:val="99"/>
    <w:semiHidden/>
    <w:rsid w:val="000C6780"/>
    <w:rPr>
      <w:sz w:val="20"/>
      <w:szCs w:val="20"/>
    </w:rPr>
  </w:style>
  <w:style w:type="character" w:customStyle="1" w:styleId="CommentTextChar">
    <w:name w:val="Comment Text Char"/>
    <w:basedOn w:val="DefaultParagraphFont"/>
    <w:link w:val="CommentText"/>
    <w:uiPriority w:val="99"/>
    <w:semiHidden/>
    <w:locked/>
    <w:rsid w:val="00AC7813"/>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0C6780"/>
    <w:rPr>
      <w:b/>
      <w:bCs/>
    </w:rPr>
  </w:style>
  <w:style w:type="character" w:customStyle="1" w:styleId="CommentSubjectChar">
    <w:name w:val="Comment Subject Char"/>
    <w:basedOn w:val="CommentTextChar"/>
    <w:link w:val="CommentSubject"/>
    <w:uiPriority w:val="99"/>
    <w:semiHidden/>
    <w:locked/>
    <w:rsid w:val="00AC7813"/>
    <w:rPr>
      <w:rFonts w:cs="Times New Roman"/>
      <w:b/>
      <w:bCs/>
      <w:sz w:val="20"/>
      <w:szCs w:val="20"/>
      <w:lang w:val="en-US" w:eastAsia="en-US"/>
    </w:rPr>
  </w:style>
  <w:style w:type="paragraph" w:customStyle="1" w:styleId="Default">
    <w:name w:val="Default"/>
    <w:rsid w:val="00BF27DD"/>
    <w:pPr>
      <w:autoSpaceDE w:val="0"/>
      <w:autoSpaceDN w:val="0"/>
      <w:adjustRightInd w:val="0"/>
    </w:pPr>
    <w:rPr>
      <w:color w:val="000000"/>
      <w:sz w:val="24"/>
      <w:szCs w:val="24"/>
      <w:lang w:val="fr-FR" w:eastAsia="fr-FR"/>
    </w:rPr>
  </w:style>
  <w:style w:type="paragraph" w:customStyle="1" w:styleId="C-BodyText">
    <w:name w:val="C-Body Text"/>
    <w:uiPriority w:val="99"/>
    <w:rsid w:val="005A4D13"/>
    <w:pPr>
      <w:spacing w:before="120" w:after="120" w:line="280" w:lineRule="atLeast"/>
    </w:pPr>
    <w:rPr>
      <w:sz w:val="24"/>
      <w:szCs w:val="20"/>
      <w:lang w:val="en-US" w:eastAsia="en-US"/>
    </w:rPr>
  </w:style>
  <w:style w:type="paragraph" w:customStyle="1" w:styleId="C-TableHeader">
    <w:name w:val="C-Table Header"/>
    <w:next w:val="C-TableText"/>
    <w:uiPriority w:val="99"/>
    <w:rsid w:val="005A4D13"/>
    <w:pPr>
      <w:keepNext/>
      <w:spacing w:before="60" w:after="60"/>
    </w:pPr>
    <w:rPr>
      <w:b/>
      <w:szCs w:val="20"/>
      <w:lang w:val="en-US" w:eastAsia="en-US"/>
    </w:rPr>
  </w:style>
  <w:style w:type="paragraph" w:customStyle="1" w:styleId="C-TableText">
    <w:name w:val="C-Table Text"/>
    <w:uiPriority w:val="99"/>
    <w:rsid w:val="005A4D13"/>
    <w:pPr>
      <w:spacing w:before="60" w:after="60"/>
    </w:pPr>
    <w:rPr>
      <w:szCs w:val="20"/>
      <w:lang w:val="en-US" w:eastAsia="en-US"/>
    </w:rPr>
  </w:style>
  <w:style w:type="paragraph" w:styleId="Revision">
    <w:name w:val="Revision"/>
    <w:hidden/>
    <w:uiPriority w:val="99"/>
    <w:semiHidden/>
    <w:rsid w:val="004B55A0"/>
    <w:rPr>
      <w:sz w:val="24"/>
      <w:szCs w:val="24"/>
      <w:lang w:val="en-US" w:eastAsia="en-US"/>
    </w:rPr>
  </w:style>
  <w:style w:type="paragraph" w:customStyle="1" w:styleId="russite">
    <w:name w:val="russite"/>
    <w:basedOn w:val="Normal"/>
    <w:uiPriority w:val="99"/>
    <w:rsid w:val="00437C63"/>
    <w:pPr>
      <w:ind w:left="720" w:hanging="360"/>
    </w:pPr>
    <w:rPr>
      <w:lang w:val="fr-FR" w:eastAsia="fr-FR"/>
    </w:rPr>
  </w:style>
  <w:style w:type="character" w:styleId="Strong">
    <w:name w:val="Strong"/>
    <w:basedOn w:val="DefaultParagraphFont"/>
    <w:uiPriority w:val="99"/>
    <w:qFormat/>
    <w:rsid w:val="00437C63"/>
    <w:rPr>
      <w:rFonts w:cs="Times New Roman"/>
      <w:b/>
    </w:rPr>
  </w:style>
  <w:style w:type="paragraph" w:customStyle="1" w:styleId="CM1">
    <w:name w:val="CM1"/>
    <w:basedOn w:val="Default"/>
    <w:next w:val="Default"/>
    <w:uiPriority w:val="99"/>
    <w:rsid w:val="009557DC"/>
    <w:rPr>
      <w:rFonts w:ascii="EUAlbertina" w:hAnsi="EUAlbertina"/>
      <w:color w:val="auto"/>
    </w:rPr>
  </w:style>
  <w:style w:type="paragraph" w:customStyle="1" w:styleId="CM3">
    <w:name w:val="CM3"/>
    <w:basedOn w:val="Default"/>
    <w:next w:val="Default"/>
    <w:uiPriority w:val="99"/>
    <w:rsid w:val="009557DC"/>
    <w:rPr>
      <w:rFonts w:ascii="EUAlbertina" w:hAnsi="EUAlbertina"/>
      <w:color w:val="auto"/>
    </w:rPr>
  </w:style>
  <w:style w:type="paragraph" w:customStyle="1" w:styleId="CM4">
    <w:name w:val="CM4"/>
    <w:basedOn w:val="Default"/>
    <w:next w:val="Default"/>
    <w:uiPriority w:val="99"/>
    <w:rsid w:val="009557DC"/>
    <w:rPr>
      <w:rFonts w:ascii="EUAlbertina" w:hAnsi="EUAlbertina"/>
      <w:color w:val="auto"/>
    </w:rPr>
  </w:style>
  <w:style w:type="paragraph" w:styleId="ListParagraph">
    <w:name w:val="List Paragraph"/>
    <w:basedOn w:val="Normal"/>
    <w:uiPriority w:val="99"/>
    <w:qFormat/>
    <w:rsid w:val="007A4AD5"/>
    <w:pPr>
      <w:ind w:left="720"/>
      <w:contextualSpacing/>
    </w:pPr>
  </w:style>
  <w:style w:type="paragraph" w:styleId="Caption">
    <w:name w:val="caption"/>
    <w:basedOn w:val="Normal"/>
    <w:next w:val="Normal"/>
    <w:unhideWhenUsed/>
    <w:qFormat/>
    <w:rsid w:val="00F7765C"/>
    <w:pPr>
      <w:spacing w:before="0"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666304">
      <w:bodyDiv w:val="1"/>
      <w:marLeft w:val="0"/>
      <w:marRight w:val="0"/>
      <w:marTop w:val="0"/>
      <w:marBottom w:val="0"/>
      <w:divBdr>
        <w:top w:val="none" w:sz="0" w:space="0" w:color="auto"/>
        <w:left w:val="none" w:sz="0" w:space="0" w:color="auto"/>
        <w:bottom w:val="none" w:sz="0" w:space="0" w:color="auto"/>
        <w:right w:val="none" w:sz="0" w:space="0" w:color="auto"/>
      </w:divBdr>
    </w:div>
    <w:div w:id="1632705037">
      <w:bodyDiv w:val="1"/>
      <w:marLeft w:val="0"/>
      <w:marRight w:val="0"/>
      <w:marTop w:val="0"/>
      <w:marBottom w:val="0"/>
      <w:divBdr>
        <w:top w:val="none" w:sz="0" w:space="0" w:color="auto"/>
        <w:left w:val="none" w:sz="0" w:space="0" w:color="auto"/>
        <w:bottom w:val="none" w:sz="0" w:space="0" w:color="auto"/>
        <w:right w:val="none" w:sz="0" w:space="0" w:color="auto"/>
      </w:divBdr>
    </w:div>
    <w:div w:id="17492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Vunit.GVA@geneva.msf.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d60e0b-bbcc-4e8c-ae17-1bc07bf7b2a6">
      <Terms xmlns="http://schemas.microsoft.com/office/infopath/2007/PartnerControls"/>
    </lcf76f155ced4ddcb4097134ff3c332f>
    <_Flow_SignoffStatus xmlns="57d60e0b-bbcc-4e8c-ae17-1bc07bf7b2a6" xsi:nil="true"/>
    <TaxCatchAll xmlns="20c1abfa-485b-41c9-a329-38772ca1fd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473AE-79A5-4750-AD08-356CA284BE52}">
  <ds:schemaRefs>
    <ds:schemaRef ds:uri="http://purl.org/dc/elements/1.1/"/>
    <ds:schemaRef ds:uri="20c1abfa-485b-41c9-a329-38772ca1fd48"/>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d1dc8e9d-c2d7-4f1e-a8b8-6d152e0fdc8f"/>
    <ds:schemaRef ds:uri="57d60e0b-bbcc-4e8c-ae17-1bc07bf7b2a6"/>
    <ds:schemaRef ds:uri="http://www.w3.org/XML/1998/namespace"/>
    <ds:schemaRef ds:uri="http://purl.org/dc/dcmitype/"/>
  </ds:schemaRefs>
</ds:datastoreItem>
</file>

<file path=customXml/itemProps2.xml><?xml version="1.0" encoding="utf-8"?>
<ds:datastoreItem xmlns:ds="http://schemas.openxmlformats.org/officeDocument/2006/customXml" ds:itemID="{C7B455C3-9A14-46EB-8400-083DFDC8C34A}">
  <ds:schemaRefs>
    <ds:schemaRef ds:uri="http://schemas.microsoft.com/sharepoint/v3/contenttype/forms"/>
  </ds:schemaRefs>
</ds:datastoreItem>
</file>

<file path=customXml/itemProps3.xml><?xml version="1.0" encoding="utf-8"?>
<ds:datastoreItem xmlns:ds="http://schemas.openxmlformats.org/officeDocument/2006/customXml" ds:itemID="{FF33F2F0-DF62-44E4-961D-1C2C45132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60e0b-bbcc-4e8c-ae17-1bc07bf7b2a6"/>
    <ds:schemaRef ds:uri="d1dc8e9d-c2d7-4f1e-a8b8-6d152e0fdc8f"/>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BD8DD6-B4D7-4439-8CC0-BEA78CE4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3381</Words>
  <Characters>20811</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Debiopharm</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NBC</dc:creator>
  <cp:lastModifiedBy>Marhaba Chaudhry</cp:lastModifiedBy>
  <cp:revision>8</cp:revision>
  <cp:lastPrinted>2020-05-13T12:31:00Z</cp:lastPrinted>
  <dcterms:created xsi:type="dcterms:W3CDTF">2020-05-13T12:29:00Z</dcterms:created>
  <dcterms:modified xsi:type="dcterms:W3CDTF">2024-10-25T11:55:00Z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0x0101008A725E7E39776844B9FB9FC2FCA9A30F</vt:lpwstr>
  </property>
  <property fmtid="{D5CDD505-2E9C-101B-9397-08002B2CF9AE}" pid="4" name="MediaServiceImageTags">
    <vt:lpwstr/>
  </property>
</Properties>
</file>