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E86C366" w14:textId="1EA9CD5A" w:rsidR="007B12D1" w:rsidRDefault="000B2C99" w:rsidP="00544891">
      <w:pPr>
        <w:pStyle w:val="Heading1"/>
        <w:spacing w:before="0" w:after="0"/>
        <w:contextualSpacing/>
      </w:pPr>
      <w:bookmarkStart w:id="0" w:name="_Toc166232767"/>
      <w:r>
        <w:t>Standard Operating Procedures for</w:t>
      </w:r>
      <w:bookmarkEnd w:id="0"/>
    </w:p>
    <w:p w14:paraId="1E86C367" w14:textId="77777777" w:rsidR="00C540ED" w:rsidRDefault="000B2C99" w:rsidP="00544891">
      <w:pPr>
        <w:tabs>
          <w:tab w:val="center" w:pos="4680"/>
          <w:tab w:val="right" w:pos="9360"/>
        </w:tabs>
        <w:spacing w:after="0" w:line="240" w:lineRule="auto"/>
        <w:contextualSpacing/>
        <w:rPr>
          <w:b/>
          <w:sz w:val="36"/>
          <w:szCs w:val="36"/>
        </w:rPr>
      </w:pPr>
      <w:r>
        <w:rPr>
          <w:b/>
          <w:sz w:val="36"/>
          <w:szCs w:val="36"/>
        </w:rPr>
        <w:tab/>
      </w:r>
      <w:r w:rsidR="00987472">
        <w:rPr>
          <w:b/>
          <w:sz w:val="36"/>
          <w:szCs w:val="36"/>
        </w:rPr>
        <w:t>Brief Peripheral Neuropathy Screening</w:t>
      </w:r>
    </w:p>
    <w:p w14:paraId="1E86C368" w14:textId="77777777" w:rsidR="007B12D1" w:rsidRDefault="000B2C99">
      <w:pPr>
        <w:tabs>
          <w:tab w:val="center" w:pos="4680"/>
          <w:tab w:val="right" w:pos="9360"/>
        </w:tabs>
        <w:spacing w:after="0" w:line="240" w:lineRule="auto"/>
      </w:pPr>
      <w:r>
        <w:rPr>
          <w:b/>
          <w:sz w:val="36"/>
          <w:szCs w:val="36"/>
        </w:rPr>
        <w:tab/>
      </w:r>
    </w:p>
    <w:p w14:paraId="1E86C369" w14:textId="77777777" w:rsidR="007B12D1" w:rsidRDefault="007B12D1">
      <w:pPr>
        <w:spacing w:after="0"/>
        <w:jc w:val="center"/>
      </w:pPr>
    </w:p>
    <w:tbl>
      <w:tblPr>
        <w:tblW w:w="93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088"/>
        <w:gridCol w:w="3258"/>
      </w:tblGrid>
      <w:tr w:rsidR="007B12D1" w14:paraId="1E86C36C" w14:textId="77777777" w:rsidTr="00072B26">
        <w:trPr>
          <w:trHeight w:val="340"/>
        </w:trPr>
        <w:tc>
          <w:tcPr>
            <w:tcW w:w="6088" w:type="dxa"/>
            <w:shd w:val="clear" w:color="auto" w:fill="F2F2F2"/>
            <w:vAlign w:val="center"/>
          </w:tcPr>
          <w:p w14:paraId="1E86C36A" w14:textId="77777777" w:rsidR="007B12D1" w:rsidRDefault="000B2C99" w:rsidP="00072B26">
            <w:r>
              <w:rPr>
                <w:b/>
                <w:sz w:val="24"/>
                <w:szCs w:val="24"/>
              </w:rPr>
              <w:t>SOP Number</w:t>
            </w:r>
            <w:r w:rsidR="00987472">
              <w:rPr>
                <w:sz w:val="24"/>
                <w:szCs w:val="24"/>
              </w:rPr>
              <w:t>: SP-002</w:t>
            </w:r>
            <w:r>
              <w:rPr>
                <w:sz w:val="24"/>
                <w:szCs w:val="24"/>
              </w:rPr>
              <w:t>-ET</w:t>
            </w:r>
          </w:p>
        </w:tc>
        <w:tc>
          <w:tcPr>
            <w:tcW w:w="3258" w:type="dxa"/>
            <w:shd w:val="clear" w:color="auto" w:fill="F2F2F2"/>
            <w:vAlign w:val="center"/>
          </w:tcPr>
          <w:p w14:paraId="1E86C36B" w14:textId="77777777" w:rsidR="007B12D1" w:rsidRDefault="000B2C99" w:rsidP="00072B26">
            <w:r>
              <w:rPr>
                <w:b/>
                <w:sz w:val="24"/>
                <w:szCs w:val="24"/>
              </w:rPr>
              <w:t>Effective Date</w:t>
            </w:r>
            <w:r>
              <w:rPr>
                <w:sz w:val="24"/>
                <w:szCs w:val="24"/>
              </w:rPr>
              <w:t>:</w:t>
            </w:r>
            <w:r w:rsidR="00481AA1">
              <w:rPr>
                <w:sz w:val="24"/>
                <w:szCs w:val="24"/>
              </w:rPr>
              <w:t xml:space="preserve"> </w:t>
            </w:r>
            <w:r w:rsidR="006F5F92">
              <w:rPr>
                <w:sz w:val="24"/>
                <w:szCs w:val="24"/>
              </w:rPr>
              <w:t>1</w:t>
            </w:r>
            <w:r w:rsidR="00FD2789">
              <w:rPr>
                <w:sz w:val="24"/>
                <w:szCs w:val="24"/>
              </w:rPr>
              <w:t>5</w:t>
            </w:r>
            <w:r w:rsidR="00481AA1">
              <w:rPr>
                <w:sz w:val="24"/>
                <w:szCs w:val="24"/>
              </w:rPr>
              <w:t>-</w:t>
            </w:r>
            <w:r w:rsidR="006F5F92">
              <w:rPr>
                <w:sz w:val="24"/>
                <w:szCs w:val="24"/>
              </w:rPr>
              <w:t>Sep</w:t>
            </w:r>
            <w:r w:rsidR="00481AA1">
              <w:rPr>
                <w:sz w:val="24"/>
                <w:szCs w:val="24"/>
              </w:rPr>
              <w:t>-201</w:t>
            </w:r>
            <w:r w:rsidR="005C1D5F">
              <w:rPr>
                <w:sz w:val="24"/>
                <w:szCs w:val="24"/>
              </w:rPr>
              <w:t>7</w:t>
            </w:r>
          </w:p>
        </w:tc>
      </w:tr>
      <w:tr w:rsidR="00CF76BD" w14:paraId="1E86C36E" w14:textId="77777777" w:rsidTr="00072B26">
        <w:trPr>
          <w:trHeight w:val="258"/>
        </w:trPr>
        <w:tc>
          <w:tcPr>
            <w:tcW w:w="9346" w:type="dxa"/>
            <w:gridSpan w:val="2"/>
            <w:shd w:val="clear" w:color="auto" w:fill="F2F2F2"/>
            <w:vAlign w:val="center"/>
          </w:tcPr>
          <w:p w14:paraId="1E86C36D" w14:textId="7D6C9862" w:rsidR="00CF76BD" w:rsidRDefault="00CF76BD" w:rsidP="00072B26">
            <w:r>
              <w:rPr>
                <w:b/>
                <w:sz w:val="24"/>
                <w:szCs w:val="24"/>
              </w:rPr>
              <w:t>Version Number and Date</w:t>
            </w:r>
            <w:r w:rsidR="007622C0">
              <w:rPr>
                <w:sz w:val="24"/>
                <w:szCs w:val="24"/>
              </w:rPr>
              <w:t xml:space="preserve">: </w:t>
            </w:r>
            <w:r w:rsidR="005C1D5F">
              <w:rPr>
                <w:sz w:val="24"/>
                <w:szCs w:val="24"/>
              </w:rPr>
              <w:t>3</w:t>
            </w:r>
            <w:r w:rsidR="00200910">
              <w:rPr>
                <w:sz w:val="24"/>
                <w:szCs w:val="24"/>
              </w:rPr>
              <w:t xml:space="preserve">.0, </w:t>
            </w:r>
            <w:r w:rsidR="006F5F92">
              <w:rPr>
                <w:sz w:val="24"/>
                <w:szCs w:val="24"/>
              </w:rPr>
              <w:t>23</w:t>
            </w:r>
            <w:r w:rsidR="00481AA1">
              <w:rPr>
                <w:sz w:val="24"/>
                <w:szCs w:val="24"/>
              </w:rPr>
              <w:t>-</w:t>
            </w:r>
            <w:r w:rsidR="005C1D5F">
              <w:rPr>
                <w:sz w:val="24"/>
                <w:szCs w:val="24"/>
              </w:rPr>
              <w:t>Aug</w:t>
            </w:r>
            <w:r w:rsidR="00481AA1">
              <w:rPr>
                <w:sz w:val="24"/>
                <w:szCs w:val="24"/>
              </w:rPr>
              <w:t>-201</w:t>
            </w:r>
            <w:r w:rsidR="005C1D5F">
              <w:rPr>
                <w:sz w:val="24"/>
                <w:szCs w:val="24"/>
              </w:rPr>
              <w:t>7</w:t>
            </w:r>
          </w:p>
        </w:tc>
      </w:tr>
    </w:tbl>
    <w:p w14:paraId="1E86C36F" w14:textId="77777777" w:rsidR="007B12D1" w:rsidRDefault="007B12D1">
      <w:pPr>
        <w:spacing w:after="0"/>
        <w:jc w:val="center"/>
      </w:pPr>
    </w:p>
    <w:sdt>
      <w:sdtPr>
        <w:rPr>
          <w:rFonts w:ascii="Calibri" w:eastAsia="PMingLiU" w:hAnsi="Calibri" w:cs="Calibri"/>
          <w:color w:val="000000"/>
          <w:sz w:val="22"/>
          <w:szCs w:val="22"/>
          <w:lang w:eastAsia="zh-TW"/>
        </w:rPr>
        <w:id w:val="-1958712254"/>
        <w:docPartObj>
          <w:docPartGallery w:val="Table of Contents"/>
          <w:docPartUnique/>
        </w:docPartObj>
      </w:sdtPr>
      <w:sdtEndPr>
        <w:rPr>
          <w:b/>
          <w:bCs/>
          <w:noProof/>
        </w:rPr>
      </w:sdtEndPr>
      <w:sdtContent>
        <w:p w14:paraId="4EA40433" w14:textId="69C29C37" w:rsidR="002A58B2" w:rsidRDefault="0001755E" w:rsidP="0001755E">
          <w:pPr>
            <w:pStyle w:val="TOCHeading"/>
            <w:rPr>
              <w:noProof/>
            </w:rPr>
          </w:pPr>
          <w:r w:rsidRPr="003855B4">
            <w:rPr>
              <w:rFonts w:ascii="Calibri" w:eastAsia="PMingLiU" w:hAnsi="Calibri" w:cs="Calibri"/>
              <w:b/>
              <w:bCs/>
              <w:color w:val="000000"/>
              <w:sz w:val="24"/>
              <w:szCs w:val="24"/>
              <w:lang w:eastAsia="zh-TW"/>
            </w:rPr>
            <w:t>Table of Contents</w:t>
          </w:r>
          <w:r w:rsidR="002A58B2">
            <w:fldChar w:fldCharType="begin"/>
          </w:r>
          <w:r w:rsidR="002A58B2">
            <w:instrText xml:space="preserve"> TOC \o "1-3" \h \z \u </w:instrText>
          </w:r>
          <w:r w:rsidR="002A58B2">
            <w:fldChar w:fldCharType="separate"/>
          </w:r>
        </w:p>
        <w:p w14:paraId="0541FF42" w14:textId="7639B840" w:rsidR="002A58B2" w:rsidRDefault="0023403E">
          <w:pPr>
            <w:pStyle w:val="TOC2"/>
            <w:tabs>
              <w:tab w:val="left" w:pos="660"/>
              <w:tab w:val="right" w:leader="dot" w:pos="9350"/>
            </w:tabs>
            <w:rPr>
              <w:noProof/>
            </w:rPr>
          </w:pPr>
          <w:hyperlink w:anchor="_Toc166232770" w:history="1">
            <w:r w:rsidR="002A58B2" w:rsidRPr="00F620A7">
              <w:rPr>
                <w:rStyle w:val="Hyperlink"/>
                <w:noProof/>
              </w:rPr>
              <w:t>1.</w:t>
            </w:r>
            <w:r w:rsidR="002A58B2">
              <w:rPr>
                <w:noProof/>
              </w:rPr>
              <w:tab/>
            </w:r>
            <w:r w:rsidR="002A58B2" w:rsidRPr="00F620A7">
              <w:rPr>
                <w:rStyle w:val="Hyperlink"/>
                <w:noProof/>
              </w:rPr>
              <w:t>PURPOSE</w:t>
            </w:r>
            <w:r w:rsidR="002A58B2">
              <w:rPr>
                <w:noProof/>
                <w:webHidden/>
              </w:rPr>
              <w:tab/>
            </w:r>
            <w:r w:rsidR="002A58B2">
              <w:rPr>
                <w:noProof/>
                <w:webHidden/>
              </w:rPr>
              <w:fldChar w:fldCharType="begin"/>
            </w:r>
            <w:r w:rsidR="002A58B2">
              <w:rPr>
                <w:noProof/>
                <w:webHidden/>
              </w:rPr>
              <w:instrText xml:space="preserve"> PAGEREF _Toc166232770 \h </w:instrText>
            </w:r>
            <w:r w:rsidR="002A58B2">
              <w:rPr>
                <w:noProof/>
                <w:webHidden/>
              </w:rPr>
            </w:r>
            <w:r w:rsidR="002A58B2">
              <w:rPr>
                <w:noProof/>
                <w:webHidden/>
              </w:rPr>
              <w:fldChar w:fldCharType="separate"/>
            </w:r>
            <w:r w:rsidR="002A58B2">
              <w:rPr>
                <w:noProof/>
                <w:webHidden/>
              </w:rPr>
              <w:t>3</w:t>
            </w:r>
            <w:r w:rsidR="002A58B2">
              <w:rPr>
                <w:noProof/>
                <w:webHidden/>
              </w:rPr>
              <w:fldChar w:fldCharType="end"/>
            </w:r>
          </w:hyperlink>
        </w:p>
        <w:p w14:paraId="4FEA3B93" w14:textId="1D34EB51" w:rsidR="002A58B2" w:rsidRDefault="0023403E">
          <w:pPr>
            <w:pStyle w:val="TOC2"/>
            <w:tabs>
              <w:tab w:val="left" w:pos="660"/>
              <w:tab w:val="right" w:leader="dot" w:pos="9350"/>
            </w:tabs>
            <w:rPr>
              <w:noProof/>
            </w:rPr>
          </w:pPr>
          <w:hyperlink w:anchor="_Toc166232771" w:history="1">
            <w:r w:rsidR="002A58B2" w:rsidRPr="00F620A7">
              <w:rPr>
                <w:rStyle w:val="Hyperlink"/>
                <w:noProof/>
              </w:rPr>
              <w:t>2.</w:t>
            </w:r>
            <w:r w:rsidR="002A58B2">
              <w:rPr>
                <w:noProof/>
              </w:rPr>
              <w:tab/>
            </w:r>
            <w:r w:rsidR="002A58B2" w:rsidRPr="00F620A7">
              <w:rPr>
                <w:rStyle w:val="Hyperlink"/>
                <w:noProof/>
              </w:rPr>
              <w:t>SCOPE</w:t>
            </w:r>
            <w:r w:rsidR="002A58B2">
              <w:rPr>
                <w:noProof/>
                <w:webHidden/>
              </w:rPr>
              <w:tab/>
            </w:r>
            <w:r w:rsidR="002A58B2">
              <w:rPr>
                <w:noProof/>
                <w:webHidden/>
              </w:rPr>
              <w:fldChar w:fldCharType="begin"/>
            </w:r>
            <w:r w:rsidR="002A58B2">
              <w:rPr>
                <w:noProof/>
                <w:webHidden/>
              </w:rPr>
              <w:instrText xml:space="preserve"> PAGEREF _Toc166232771 \h </w:instrText>
            </w:r>
            <w:r w:rsidR="002A58B2">
              <w:rPr>
                <w:noProof/>
                <w:webHidden/>
              </w:rPr>
            </w:r>
            <w:r w:rsidR="002A58B2">
              <w:rPr>
                <w:noProof/>
                <w:webHidden/>
              </w:rPr>
              <w:fldChar w:fldCharType="separate"/>
            </w:r>
            <w:r w:rsidR="002A58B2">
              <w:rPr>
                <w:noProof/>
                <w:webHidden/>
              </w:rPr>
              <w:t>3</w:t>
            </w:r>
            <w:r w:rsidR="002A58B2">
              <w:rPr>
                <w:noProof/>
                <w:webHidden/>
              </w:rPr>
              <w:fldChar w:fldCharType="end"/>
            </w:r>
          </w:hyperlink>
        </w:p>
        <w:p w14:paraId="67FC63DF" w14:textId="27131805" w:rsidR="002A58B2" w:rsidRDefault="0023403E">
          <w:pPr>
            <w:pStyle w:val="TOC2"/>
            <w:tabs>
              <w:tab w:val="left" w:pos="660"/>
              <w:tab w:val="right" w:leader="dot" w:pos="9350"/>
            </w:tabs>
            <w:rPr>
              <w:noProof/>
            </w:rPr>
          </w:pPr>
          <w:hyperlink w:anchor="_Toc166232772" w:history="1">
            <w:r w:rsidR="002A58B2" w:rsidRPr="00F620A7">
              <w:rPr>
                <w:rStyle w:val="Hyperlink"/>
                <w:noProof/>
              </w:rPr>
              <w:t>3.</w:t>
            </w:r>
            <w:r w:rsidR="002A58B2">
              <w:rPr>
                <w:noProof/>
              </w:rPr>
              <w:tab/>
            </w:r>
            <w:r w:rsidR="002A58B2" w:rsidRPr="00F620A7">
              <w:rPr>
                <w:rStyle w:val="Hyperlink"/>
                <w:noProof/>
              </w:rPr>
              <w:t>RESPONSIBLE FUNCTIONS</w:t>
            </w:r>
            <w:r w:rsidR="002A58B2">
              <w:rPr>
                <w:noProof/>
                <w:webHidden/>
              </w:rPr>
              <w:tab/>
            </w:r>
            <w:r w:rsidR="002A58B2">
              <w:rPr>
                <w:noProof/>
                <w:webHidden/>
              </w:rPr>
              <w:fldChar w:fldCharType="begin"/>
            </w:r>
            <w:r w:rsidR="002A58B2">
              <w:rPr>
                <w:noProof/>
                <w:webHidden/>
              </w:rPr>
              <w:instrText xml:space="preserve"> PAGEREF _Toc166232772 \h </w:instrText>
            </w:r>
            <w:r w:rsidR="002A58B2">
              <w:rPr>
                <w:noProof/>
                <w:webHidden/>
              </w:rPr>
            </w:r>
            <w:r w:rsidR="002A58B2">
              <w:rPr>
                <w:noProof/>
                <w:webHidden/>
              </w:rPr>
              <w:fldChar w:fldCharType="separate"/>
            </w:r>
            <w:r w:rsidR="002A58B2">
              <w:rPr>
                <w:noProof/>
                <w:webHidden/>
              </w:rPr>
              <w:t>3</w:t>
            </w:r>
            <w:r w:rsidR="002A58B2">
              <w:rPr>
                <w:noProof/>
                <w:webHidden/>
              </w:rPr>
              <w:fldChar w:fldCharType="end"/>
            </w:r>
          </w:hyperlink>
        </w:p>
        <w:p w14:paraId="58904A50" w14:textId="6B0270A6" w:rsidR="002A58B2" w:rsidRDefault="0023403E">
          <w:pPr>
            <w:pStyle w:val="TOC2"/>
            <w:tabs>
              <w:tab w:val="left" w:pos="660"/>
              <w:tab w:val="right" w:leader="dot" w:pos="9350"/>
            </w:tabs>
            <w:rPr>
              <w:noProof/>
            </w:rPr>
          </w:pPr>
          <w:hyperlink w:anchor="_Toc166232773" w:history="1">
            <w:r w:rsidR="002A58B2" w:rsidRPr="00F620A7">
              <w:rPr>
                <w:rStyle w:val="Hyperlink"/>
                <w:noProof/>
              </w:rPr>
              <w:t>4.</w:t>
            </w:r>
            <w:r w:rsidR="002A58B2">
              <w:rPr>
                <w:noProof/>
              </w:rPr>
              <w:tab/>
            </w:r>
            <w:r w:rsidR="002A58B2" w:rsidRPr="00F620A7">
              <w:rPr>
                <w:rStyle w:val="Hyperlink"/>
                <w:noProof/>
              </w:rPr>
              <w:t>DEFINITIONS and ABBREVIATIONS</w:t>
            </w:r>
            <w:r w:rsidR="002A58B2">
              <w:rPr>
                <w:noProof/>
                <w:webHidden/>
              </w:rPr>
              <w:tab/>
            </w:r>
            <w:r w:rsidR="002A58B2">
              <w:rPr>
                <w:noProof/>
                <w:webHidden/>
              </w:rPr>
              <w:fldChar w:fldCharType="begin"/>
            </w:r>
            <w:r w:rsidR="002A58B2">
              <w:rPr>
                <w:noProof/>
                <w:webHidden/>
              </w:rPr>
              <w:instrText xml:space="preserve"> PAGEREF _Toc166232773 \h </w:instrText>
            </w:r>
            <w:r w:rsidR="002A58B2">
              <w:rPr>
                <w:noProof/>
                <w:webHidden/>
              </w:rPr>
            </w:r>
            <w:r w:rsidR="002A58B2">
              <w:rPr>
                <w:noProof/>
                <w:webHidden/>
              </w:rPr>
              <w:fldChar w:fldCharType="separate"/>
            </w:r>
            <w:r w:rsidR="002A58B2">
              <w:rPr>
                <w:noProof/>
                <w:webHidden/>
              </w:rPr>
              <w:t>3</w:t>
            </w:r>
            <w:r w:rsidR="002A58B2">
              <w:rPr>
                <w:noProof/>
                <w:webHidden/>
              </w:rPr>
              <w:fldChar w:fldCharType="end"/>
            </w:r>
          </w:hyperlink>
        </w:p>
        <w:p w14:paraId="327FB2E9" w14:textId="03A4861B" w:rsidR="002A58B2" w:rsidRDefault="0023403E">
          <w:pPr>
            <w:pStyle w:val="TOC2"/>
            <w:tabs>
              <w:tab w:val="left" w:pos="660"/>
              <w:tab w:val="right" w:leader="dot" w:pos="9350"/>
            </w:tabs>
            <w:rPr>
              <w:noProof/>
            </w:rPr>
          </w:pPr>
          <w:hyperlink w:anchor="_Toc166232774" w:history="1">
            <w:r w:rsidR="002A58B2" w:rsidRPr="00F620A7">
              <w:rPr>
                <w:rStyle w:val="Hyperlink"/>
                <w:noProof/>
              </w:rPr>
              <w:t>5.</w:t>
            </w:r>
            <w:r w:rsidR="002A58B2">
              <w:rPr>
                <w:noProof/>
              </w:rPr>
              <w:tab/>
            </w:r>
            <w:r w:rsidR="002A58B2" w:rsidRPr="00F620A7">
              <w:rPr>
                <w:rStyle w:val="Hyperlink"/>
                <w:noProof/>
              </w:rPr>
              <w:t>PROCEDURE</w:t>
            </w:r>
            <w:r w:rsidR="002A58B2">
              <w:rPr>
                <w:noProof/>
                <w:webHidden/>
              </w:rPr>
              <w:tab/>
            </w:r>
            <w:r w:rsidR="002A58B2">
              <w:rPr>
                <w:noProof/>
                <w:webHidden/>
              </w:rPr>
              <w:fldChar w:fldCharType="begin"/>
            </w:r>
            <w:r w:rsidR="002A58B2">
              <w:rPr>
                <w:noProof/>
                <w:webHidden/>
              </w:rPr>
              <w:instrText xml:space="preserve"> PAGEREF _Toc166232774 \h </w:instrText>
            </w:r>
            <w:r w:rsidR="002A58B2">
              <w:rPr>
                <w:noProof/>
                <w:webHidden/>
              </w:rPr>
            </w:r>
            <w:r w:rsidR="002A58B2">
              <w:rPr>
                <w:noProof/>
                <w:webHidden/>
              </w:rPr>
              <w:fldChar w:fldCharType="separate"/>
            </w:r>
            <w:r w:rsidR="002A58B2">
              <w:rPr>
                <w:noProof/>
                <w:webHidden/>
              </w:rPr>
              <w:t>3</w:t>
            </w:r>
            <w:r w:rsidR="002A58B2">
              <w:rPr>
                <w:noProof/>
                <w:webHidden/>
              </w:rPr>
              <w:fldChar w:fldCharType="end"/>
            </w:r>
          </w:hyperlink>
        </w:p>
        <w:p w14:paraId="67FF51EF" w14:textId="0C6B9E5C" w:rsidR="002A58B2" w:rsidRDefault="0023403E" w:rsidP="00B85CE4">
          <w:pPr>
            <w:pStyle w:val="TOC3"/>
            <w:rPr>
              <w:noProof/>
            </w:rPr>
          </w:pPr>
          <w:hyperlink w:anchor="_Toc166232775" w:history="1">
            <w:r w:rsidR="002A58B2" w:rsidRPr="00F620A7">
              <w:rPr>
                <w:rStyle w:val="Hyperlink"/>
                <w:noProof/>
              </w:rPr>
              <w:t>5.1. Materials Needed for BPNS</w:t>
            </w:r>
            <w:r w:rsidR="002A58B2">
              <w:rPr>
                <w:noProof/>
                <w:webHidden/>
              </w:rPr>
              <w:tab/>
            </w:r>
            <w:r w:rsidR="002A58B2">
              <w:rPr>
                <w:noProof/>
                <w:webHidden/>
              </w:rPr>
              <w:fldChar w:fldCharType="begin"/>
            </w:r>
            <w:r w:rsidR="002A58B2">
              <w:rPr>
                <w:noProof/>
                <w:webHidden/>
              </w:rPr>
              <w:instrText xml:space="preserve"> PAGEREF _Toc166232775 \h </w:instrText>
            </w:r>
            <w:r w:rsidR="002A58B2">
              <w:rPr>
                <w:noProof/>
                <w:webHidden/>
              </w:rPr>
            </w:r>
            <w:r w:rsidR="002A58B2">
              <w:rPr>
                <w:noProof/>
                <w:webHidden/>
              </w:rPr>
              <w:fldChar w:fldCharType="separate"/>
            </w:r>
            <w:r w:rsidR="002A58B2">
              <w:rPr>
                <w:noProof/>
                <w:webHidden/>
              </w:rPr>
              <w:t>3</w:t>
            </w:r>
            <w:r w:rsidR="002A58B2">
              <w:rPr>
                <w:noProof/>
                <w:webHidden/>
              </w:rPr>
              <w:fldChar w:fldCharType="end"/>
            </w:r>
          </w:hyperlink>
        </w:p>
        <w:p w14:paraId="48F72DFE" w14:textId="17C3EB4D" w:rsidR="002A58B2" w:rsidRDefault="0023403E" w:rsidP="00B85CE4">
          <w:pPr>
            <w:pStyle w:val="TOC3"/>
            <w:rPr>
              <w:noProof/>
            </w:rPr>
          </w:pPr>
          <w:hyperlink w:anchor="_Toc166232776" w:history="1">
            <w:r w:rsidR="002A58B2" w:rsidRPr="00F620A7">
              <w:rPr>
                <w:rStyle w:val="Hyperlink"/>
                <w:noProof/>
              </w:rPr>
              <w:t>5.2. Preparation</w:t>
            </w:r>
            <w:r w:rsidR="002A58B2">
              <w:rPr>
                <w:noProof/>
                <w:webHidden/>
              </w:rPr>
              <w:tab/>
            </w:r>
            <w:r w:rsidR="002A58B2">
              <w:rPr>
                <w:noProof/>
                <w:webHidden/>
              </w:rPr>
              <w:fldChar w:fldCharType="begin"/>
            </w:r>
            <w:r w:rsidR="002A58B2">
              <w:rPr>
                <w:noProof/>
                <w:webHidden/>
              </w:rPr>
              <w:instrText xml:space="preserve"> PAGEREF _Toc166232776 \h </w:instrText>
            </w:r>
            <w:r w:rsidR="002A58B2">
              <w:rPr>
                <w:noProof/>
                <w:webHidden/>
              </w:rPr>
            </w:r>
            <w:r w:rsidR="002A58B2">
              <w:rPr>
                <w:noProof/>
                <w:webHidden/>
              </w:rPr>
              <w:fldChar w:fldCharType="separate"/>
            </w:r>
            <w:r w:rsidR="002A58B2">
              <w:rPr>
                <w:noProof/>
                <w:webHidden/>
              </w:rPr>
              <w:t>3</w:t>
            </w:r>
            <w:r w:rsidR="002A58B2">
              <w:rPr>
                <w:noProof/>
                <w:webHidden/>
              </w:rPr>
              <w:fldChar w:fldCharType="end"/>
            </w:r>
          </w:hyperlink>
        </w:p>
        <w:p w14:paraId="4DAC3FE4" w14:textId="4CA5820A" w:rsidR="002A58B2" w:rsidRDefault="0023403E" w:rsidP="00B85CE4">
          <w:pPr>
            <w:pStyle w:val="TOC3"/>
            <w:rPr>
              <w:noProof/>
            </w:rPr>
          </w:pPr>
          <w:hyperlink w:anchor="_Toc166232777" w:history="1">
            <w:r w:rsidR="002A58B2" w:rsidRPr="00F620A7">
              <w:rPr>
                <w:rStyle w:val="Hyperlink"/>
                <w:noProof/>
              </w:rPr>
              <w:t>5.3.</w:t>
            </w:r>
            <w:r w:rsidR="002A58B2">
              <w:rPr>
                <w:noProof/>
              </w:rPr>
              <w:tab/>
            </w:r>
            <w:r w:rsidR="002A58B2" w:rsidRPr="00F620A7">
              <w:rPr>
                <w:rStyle w:val="Hyperlink"/>
                <w:noProof/>
              </w:rPr>
              <w:t>Subjective Symptoms Screening</w:t>
            </w:r>
            <w:r w:rsidR="002A58B2">
              <w:rPr>
                <w:noProof/>
                <w:webHidden/>
              </w:rPr>
              <w:tab/>
            </w:r>
            <w:r w:rsidR="002A58B2">
              <w:rPr>
                <w:noProof/>
                <w:webHidden/>
              </w:rPr>
              <w:fldChar w:fldCharType="begin"/>
            </w:r>
            <w:r w:rsidR="002A58B2">
              <w:rPr>
                <w:noProof/>
                <w:webHidden/>
              </w:rPr>
              <w:instrText xml:space="preserve"> PAGEREF _Toc166232777 \h </w:instrText>
            </w:r>
            <w:r w:rsidR="002A58B2">
              <w:rPr>
                <w:noProof/>
                <w:webHidden/>
              </w:rPr>
            </w:r>
            <w:r w:rsidR="002A58B2">
              <w:rPr>
                <w:noProof/>
                <w:webHidden/>
              </w:rPr>
              <w:fldChar w:fldCharType="separate"/>
            </w:r>
            <w:r w:rsidR="002A58B2">
              <w:rPr>
                <w:noProof/>
                <w:webHidden/>
              </w:rPr>
              <w:t>3</w:t>
            </w:r>
            <w:r w:rsidR="002A58B2">
              <w:rPr>
                <w:noProof/>
                <w:webHidden/>
              </w:rPr>
              <w:fldChar w:fldCharType="end"/>
            </w:r>
          </w:hyperlink>
        </w:p>
        <w:p w14:paraId="641BE6C4" w14:textId="72666E34" w:rsidR="002A58B2" w:rsidRDefault="0023403E" w:rsidP="00B85CE4">
          <w:pPr>
            <w:pStyle w:val="TOC3"/>
            <w:rPr>
              <w:noProof/>
            </w:rPr>
          </w:pPr>
          <w:hyperlink w:anchor="_Toc166232778" w:history="1">
            <w:r w:rsidR="002A58B2" w:rsidRPr="00F620A7">
              <w:rPr>
                <w:rStyle w:val="Hyperlink"/>
                <w:noProof/>
              </w:rPr>
              <w:t>5.4.</w:t>
            </w:r>
            <w:r w:rsidR="002A58B2">
              <w:rPr>
                <w:noProof/>
              </w:rPr>
              <w:tab/>
            </w:r>
            <w:r w:rsidR="002A58B2" w:rsidRPr="00F620A7">
              <w:rPr>
                <w:rStyle w:val="Hyperlink"/>
                <w:noProof/>
              </w:rPr>
              <w:t>Evaluation of Vibration Perception in the Great Toes</w:t>
            </w:r>
            <w:r w:rsidR="002A58B2">
              <w:rPr>
                <w:noProof/>
                <w:webHidden/>
              </w:rPr>
              <w:tab/>
            </w:r>
            <w:r w:rsidR="002A58B2">
              <w:rPr>
                <w:noProof/>
                <w:webHidden/>
              </w:rPr>
              <w:fldChar w:fldCharType="begin"/>
            </w:r>
            <w:r w:rsidR="002A58B2">
              <w:rPr>
                <w:noProof/>
                <w:webHidden/>
              </w:rPr>
              <w:instrText xml:space="preserve"> PAGEREF _Toc166232778 \h </w:instrText>
            </w:r>
            <w:r w:rsidR="002A58B2">
              <w:rPr>
                <w:noProof/>
                <w:webHidden/>
              </w:rPr>
            </w:r>
            <w:r w:rsidR="002A58B2">
              <w:rPr>
                <w:noProof/>
                <w:webHidden/>
              </w:rPr>
              <w:fldChar w:fldCharType="separate"/>
            </w:r>
            <w:r w:rsidR="002A58B2">
              <w:rPr>
                <w:noProof/>
                <w:webHidden/>
              </w:rPr>
              <w:t>4</w:t>
            </w:r>
            <w:r w:rsidR="002A58B2">
              <w:rPr>
                <w:noProof/>
                <w:webHidden/>
              </w:rPr>
              <w:fldChar w:fldCharType="end"/>
            </w:r>
          </w:hyperlink>
        </w:p>
        <w:p w14:paraId="1D70DE59" w14:textId="7FBE42F4" w:rsidR="002A58B2" w:rsidRDefault="0023403E" w:rsidP="00B85CE4">
          <w:pPr>
            <w:pStyle w:val="TOC3"/>
            <w:rPr>
              <w:noProof/>
            </w:rPr>
          </w:pPr>
          <w:hyperlink w:anchor="_Toc166232779" w:history="1">
            <w:r w:rsidR="002A58B2" w:rsidRPr="00F620A7">
              <w:rPr>
                <w:rStyle w:val="Hyperlink"/>
                <w:noProof/>
              </w:rPr>
              <w:t>5.5.</w:t>
            </w:r>
            <w:r w:rsidR="002A58B2">
              <w:rPr>
                <w:noProof/>
              </w:rPr>
              <w:tab/>
            </w:r>
            <w:r w:rsidR="002A58B2" w:rsidRPr="00F620A7">
              <w:rPr>
                <w:rStyle w:val="Hyperlink"/>
                <w:noProof/>
              </w:rPr>
              <w:t>Evaluation of the Achilles Tendon Reflexes</w:t>
            </w:r>
            <w:r w:rsidR="002A58B2">
              <w:rPr>
                <w:noProof/>
                <w:webHidden/>
              </w:rPr>
              <w:tab/>
            </w:r>
            <w:r w:rsidR="002A58B2">
              <w:rPr>
                <w:noProof/>
                <w:webHidden/>
              </w:rPr>
              <w:fldChar w:fldCharType="begin"/>
            </w:r>
            <w:r w:rsidR="002A58B2">
              <w:rPr>
                <w:noProof/>
                <w:webHidden/>
              </w:rPr>
              <w:instrText xml:space="preserve"> PAGEREF _Toc166232779 \h </w:instrText>
            </w:r>
            <w:r w:rsidR="002A58B2">
              <w:rPr>
                <w:noProof/>
                <w:webHidden/>
              </w:rPr>
            </w:r>
            <w:r w:rsidR="002A58B2">
              <w:rPr>
                <w:noProof/>
                <w:webHidden/>
              </w:rPr>
              <w:fldChar w:fldCharType="separate"/>
            </w:r>
            <w:r w:rsidR="002A58B2">
              <w:rPr>
                <w:noProof/>
                <w:webHidden/>
              </w:rPr>
              <w:t>4</w:t>
            </w:r>
            <w:r w:rsidR="002A58B2">
              <w:rPr>
                <w:noProof/>
                <w:webHidden/>
              </w:rPr>
              <w:fldChar w:fldCharType="end"/>
            </w:r>
          </w:hyperlink>
        </w:p>
        <w:p w14:paraId="0E0EBA73" w14:textId="65FA272E" w:rsidR="002A58B2" w:rsidRDefault="0023403E" w:rsidP="00B85CE4">
          <w:pPr>
            <w:pStyle w:val="TOC3"/>
            <w:rPr>
              <w:noProof/>
            </w:rPr>
          </w:pPr>
          <w:hyperlink w:anchor="_Toc166232780" w:history="1">
            <w:r w:rsidR="002A58B2" w:rsidRPr="00F620A7">
              <w:rPr>
                <w:rStyle w:val="Hyperlink"/>
                <w:noProof/>
              </w:rPr>
              <w:t>5.6.</w:t>
            </w:r>
            <w:r w:rsidR="002A58B2">
              <w:rPr>
                <w:noProof/>
              </w:rPr>
              <w:tab/>
            </w:r>
            <w:r w:rsidR="002A58B2" w:rsidRPr="00F620A7">
              <w:rPr>
                <w:rStyle w:val="Hyperlink"/>
                <w:noProof/>
              </w:rPr>
              <w:t>Overall BPNS Assessment</w:t>
            </w:r>
            <w:r w:rsidR="002A58B2">
              <w:rPr>
                <w:noProof/>
                <w:webHidden/>
              </w:rPr>
              <w:tab/>
            </w:r>
            <w:r w:rsidR="002A58B2">
              <w:rPr>
                <w:noProof/>
                <w:webHidden/>
              </w:rPr>
              <w:fldChar w:fldCharType="begin"/>
            </w:r>
            <w:r w:rsidR="002A58B2">
              <w:rPr>
                <w:noProof/>
                <w:webHidden/>
              </w:rPr>
              <w:instrText xml:space="preserve"> PAGEREF _Toc166232780 \h </w:instrText>
            </w:r>
            <w:r w:rsidR="002A58B2">
              <w:rPr>
                <w:noProof/>
                <w:webHidden/>
              </w:rPr>
            </w:r>
            <w:r w:rsidR="002A58B2">
              <w:rPr>
                <w:noProof/>
                <w:webHidden/>
              </w:rPr>
              <w:fldChar w:fldCharType="separate"/>
            </w:r>
            <w:r w:rsidR="002A58B2">
              <w:rPr>
                <w:noProof/>
                <w:webHidden/>
              </w:rPr>
              <w:t>5</w:t>
            </w:r>
            <w:r w:rsidR="002A58B2">
              <w:rPr>
                <w:noProof/>
                <w:webHidden/>
              </w:rPr>
              <w:fldChar w:fldCharType="end"/>
            </w:r>
          </w:hyperlink>
        </w:p>
        <w:p w14:paraId="66139781" w14:textId="40E02AC6" w:rsidR="002A58B2" w:rsidRDefault="0023403E" w:rsidP="00B85CE4">
          <w:pPr>
            <w:pStyle w:val="TOC3"/>
            <w:rPr>
              <w:noProof/>
            </w:rPr>
          </w:pPr>
          <w:hyperlink w:anchor="_Toc166232781" w:history="1">
            <w:r w:rsidR="002A58B2" w:rsidRPr="00F620A7">
              <w:rPr>
                <w:rStyle w:val="Hyperlink"/>
                <w:noProof/>
              </w:rPr>
              <w:t>5.7</w:t>
            </w:r>
            <w:r w:rsidR="002A58B2">
              <w:rPr>
                <w:noProof/>
              </w:rPr>
              <w:tab/>
            </w:r>
            <w:r w:rsidR="002A58B2" w:rsidRPr="00F620A7">
              <w:rPr>
                <w:rStyle w:val="Hyperlink"/>
                <w:noProof/>
              </w:rPr>
              <w:t>Reporting BPNS Results</w:t>
            </w:r>
            <w:r w:rsidR="002A58B2">
              <w:rPr>
                <w:noProof/>
                <w:webHidden/>
              </w:rPr>
              <w:tab/>
            </w:r>
            <w:r w:rsidR="002A58B2">
              <w:rPr>
                <w:noProof/>
                <w:webHidden/>
              </w:rPr>
              <w:fldChar w:fldCharType="begin"/>
            </w:r>
            <w:r w:rsidR="002A58B2">
              <w:rPr>
                <w:noProof/>
                <w:webHidden/>
              </w:rPr>
              <w:instrText xml:space="preserve"> PAGEREF _Toc166232781 \h </w:instrText>
            </w:r>
            <w:r w:rsidR="002A58B2">
              <w:rPr>
                <w:noProof/>
                <w:webHidden/>
              </w:rPr>
            </w:r>
            <w:r w:rsidR="002A58B2">
              <w:rPr>
                <w:noProof/>
                <w:webHidden/>
              </w:rPr>
              <w:fldChar w:fldCharType="separate"/>
            </w:r>
            <w:r w:rsidR="002A58B2">
              <w:rPr>
                <w:noProof/>
                <w:webHidden/>
              </w:rPr>
              <w:t>5</w:t>
            </w:r>
            <w:r w:rsidR="002A58B2">
              <w:rPr>
                <w:noProof/>
                <w:webHidden/>
              </w:rPr>
              <w:fldChar w:fldCharType="end"/>
            </w:r>
          </w:hyperlink>
        </w:p>
        <w:p w14:paraId="18A825E1" w14:textId="5C3BAC85" w:rsidR="002A58B2" w:rsidRDefault="0023403E">
          <w:pPr>
            <w:pStyle w:val="TOC2"/>
            <w:tabs>
              <w:tab w:val="left" w:pos="660"/>
              <w:tab w:val="right" w:leader="dot" w:pos="9350"/>
            </w:tabs>
            <w:rPr>
              <w:noProof/>
            </w:rPr>
          </w:pPr>
          <w:hyperlink w:anchor="_Toc166232782" w:history="1">
            <w:r w:rsidR="002A58B2" w:rsidRPr="00F620A7">
              <w:rPr>
                <w:rStyle w:val="Hyperlink"/>
                <w:noProof/>
              </w:rPr>
              <w:t>6.</w:t>
            </w:r>
            <w:r w:rsidR="002A58B2">
              <w:rPr>
                <w:noProof/>
              </w:rPr>
              <w:tab/>
            </w:r>
            <w:r w:rsidR="002A58B2" w:rsidRPr="00F620A7">
              <w:rPr>
                <w:rStyle w:val="Hyperlink"/>
                <w:noProof/>
              </w:rPr>
              <w:t>REFERENCES</w:t>
            </w:r>
            <w:r w:rsidR="002A58B2">
              <w:rPr>
                <w:noProof/>
                <w:webHidden/>
              </w:rPr>
              <w:tab/>
            </w:r>
            <w:r w:rsidR="002A58B2">
              <w:rPr>
                <w:noProof/>
                <w:webHidden/>
              </w:rPr>
              <w:fldChar w:fldCharType="begin"/>
            </w:r>
            <w:r w:rsidR="002A58B2">
              <w:rPr>
                <w:noProof/>
                <w:webHidden/>
              </w:rPr>
              <w:instrText xml:space="preserve"> PAGEREF _Toc166232782 \h </w:instrText>
            </w:r>
            <w:r w:rsidR="002A58B2">
              <w:rPr>
                <w:noProof/>
                <w:webHidden/>
              </w:rPr>
            </w:r>
            <w:r w:rsidR="002A58B2">
              <w:rPr>
                <w:noProof/>
                <w:webHidden/>
              </w:rPr>
              <w:fldChar w:fldCharType="separate"/>
            </w:r>
            <w:r w:rsidR="002A58B2">
              <w:rPr>
                <w:noProof/>
                <w:webHidden/>
              </w:rPr>
              <w:t>5</w:t>
            </w:r>
            <w:r w:rsidR="002A58B2">
              <w:rPr>
                <w:noProof/>
                <w:webHidden/>
              </w:rPr>
              <w:fldChar w:fldCharType="end"/>
            </w:r>
          </w:hyperlink>
        </w:p>
        <w:p w14:paraId="780ADDBA" w14:textId="7E962F7C" w:rsidR="002A58B2" w:rsidRDefault="0023403E" w:rsidP="003855B4">
          <w:pPr>
            <w:pStyle w:val="TOC2"/>
            <w:tabs>
              <w:tab w:val="left" w:pos="660"/>
              <w:tab w:val="right" w:leader="dot" w:pos="9350"/>
            </w:tabs>
            <w:rPr>
              <w:noProof/>
            </w:rPr>
          </w:pPr>
          <w:hyperlink w:anchor="_Toc166232783" w:history="1">
            <w:r w:rsidR="002A58B2" w:rsidRPr="00F620A7">
              <w:rPr>
                <w:rStyle w:val="Hyperlink"/>
                <w:noProof/>
              </w:rPr>
              <w:t>7.</w:t>
            </w:r>
            <w:r w:rsidR="002A58B2">
              <w:rPr>
                <w:noProof/>
              </w:rPr>
              <w:tab/>
            </w:r>
            <w:r w:rsidR="002A58B2" w:rsidRPr="00F620A7">
              <w:rPr>
                <w:rStyle w:val="Hyperlink"/>
                <w:noProof/>
              </w:rPr>
              <w:t>APPENDIX</w:t>
            </w:r>
            <w:r w:rsidR="002A58B2">
              <w:rPr>
                <w:noProof/>
                <w:webHidden/>
              </w:rPr>
              <w:tab/>
            </w:r>
            <w:r w:rsidR="002A58B2">
              <w:rPr>
                <w:noProof/>
                <w:webHidden/>
              </w:rPr>
              <w:fldChar w:fldCharType="begin"/>
            </w:r>
            <w:r w:rsidR="002A58B2">
              <w:rPr>
                <w:noProof/>
                <w:webHidden/>
              </w:rPr>
              <w:instrText xml:space="preserve"> PAGEREF _Toc166232783 \h </w:instrText>
            </w:r>
            <w:r w:rsidR="002A58B2">
              <w:rPr>
                <w:noProof/>
                <w:webHidden/>
              </w:rPr>
            </w:r>
            <w:r w:rsidR="002A58B2">
              <w:rPr>
                <w:noProof/>
                <w:webHidden/>
              </w:rPr>
              <w:fldChar w:fldCharType="separate"/>
            </w:r>
            <w:r w:rsidR="002A58B2">
              <w:rPr>
                <w:noProof/>
                <w:webHidden/>
              </w:rPr>
              <w:t>5</w:t>
            </w:r>
            <w:r w:rsidR="002A58B2">
              <w:rPr>
                <w:noProof/>
                <w:webHidden/>
              </w:rPr>
              <w:fldChar w:fldCharType="end"/>
            </w:r>
          </w:hyperlink>
          <w:r w:rsidR="002A58B2">
            <w:rPr>
              <w:b/>
              <w:bCs/>
              <w:noProof/>
            </w:rPr>
            <w:fldChar w:fldCharType="end"/>
          </w:r>
        </w:p>
      </w:sdtContent>
    </w:sdt>
    <w:p w14:paraId="1E86C396" w14:textId="77777777" w:rsidR="007B12D1" w:rsidRDefault="007B12D1">
      <w:pPr>
        <w:spacing w:after="0"/>
        <w:jc w:val="center"/>
      </w:pPr>
    </w:p>
    <w:p w14:paraId="1E86C397" w14:textId="77777777" w:rsidR="007B12D1" w:rsidRDefault="000B2C99" w:rsidP="00BF0915">
      <w:pPr>
        <w:ind w:right="146"/>
      </w:pPr>
      <w:r>
        <w:br w:type="page"/>
      </w:r>
    </w:p>
    <w:p w14:paraId="1E86C399" w14:textId="77777777" w:rsidR="00BC35EC" w:rsidRPr="00594465" w:rsidRDefault="000B2C99" w:rsidP="00544891">
      <w:pPr>
        <w:pStyle w:val="Heading1"/>
        <w:spacing w:before="0" w:after="0"/>
        <w:contextualSpacing/>
      </w:pPr>
      <w:bookmarkStart w:id="1" w:name="_Toc166232768"/>
      <w:r w:rsidRPr="00594465">
        <w:lastRenderedPageBreak/>
        <w:t>Standard Operating Procedures for</w:t>
      </w:r>
      <w:r w:rsidR="00BC35EC" w:rsidRPr="00594465">
        <w:t>:</w:t>
      </w:r>
      <w:bookmarkEnd w:id="1"/>
    </w:p>
    <w:p w14:paraId="1E86C39A" w14:textId="77777777" w:rsidR="007B12D1" w:rsidRPr="00594465" w:rsidRDefault="00987472" w:rsidP="00544891">
      <w:pPr>
        <w:pStyle w:val="Heading1"/>
        <w:spacing w:before="0" w:after="0"/>
        <w:contextualSpacing/>
      </w:pPr>
      <w:bookmarkStart w:id="2" w:name="_Toc166232769"/>
      <w:r>
        <w:t>Brief Peripheral Neuropathy Screening</w:t>
      </w:r>
      <w:bookmarkEnd w:id="2"/>
    </w:p>
    <w:p w14:paraId="1E86C39B" w14:textId="77777777" w:rsidR="00594465" w:rsidRDefault="00594465" w:rsidP="00BC35EC">
      <w:pPr>
        <w:spacing w:after="0" w:line="240" w:lineRule="auto"/>
        <w:jc w:val="center"/>
      </w:pPr>
    </w:p>
    <w:p w14:paraId="1E86C39C" w14:textId="77777777" w:rsidR="007B12D1" w:rsidRDefault="000B2C99" w:rsidP="00594465">
      <w:pPr>
        <w:pStyle w:val="Heading2"/>
      </w:pPr>
      <w:bookmarkStart w:id="3" w:name="_Toc166232770"/>
      <w:r w:rsidRPr="00594465">
        <w:t>PURPOSE</w:t>
      </w:r>
      <w:bookmarkEnd w:id="3"/>
      <w:r>
        <w:t xml:space="preserve"> </w:t>
      </w:r>
    </w:p>
    <w:tbl>
      <w:tblPr>
        <w:tblW w:w="93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46"/>
      </w:tblGrid>
      <w:tr w:rsidR="007B12D1" w14:paraId="1E86C39E" w14:textId="77777777" w:rsidTr="00BA1BB2">
        <w:tc>
          <w:tcPr>
            <w:tcW w:w="9346" w:type="dxa"/>
          </w:tcPr>
          <w:p w14:paraId="1E86C39D" w14:textId="77777777" w:rsidR="007B12D1" w:rsidRDefault="00987472" w:rsidP="00544891">
            <w:pPr>
              <w:spacing w:before="120"/>
              <w:jc w:val="both"/>
            </w:pPr>
            <w:r>
              <w:t>This standard operating procedure (SOP) describes the procedures for brief peripheral neuropathy screening (BPNS) in the endTB observational study and clinical trial for participant safety monitoring.</w:t>
            </w:r>
          </w:p>
        </w:tc>
      </w:tr>
    </w:tbl>
    <w:p w14:paraId="1E86C39F" w14:textId="77777777" w:rsidR="007B12D1" w:rsidRDefault="000B2C99" w:rsidP="00594465">
      <w:pPr>
        <w:pStyle w:val="Heading2"/>
      </w:pPr>
      <w:bookmarkStart w:id="4" w:name="_Toc166232771"/>
      <w:r>
        <w:t>SCOPE</w:t>
      </w:r>
      <w:bookmarkEnd w:id="4"/>
    </w:p>
    <w:tbl>
      <w:tblPr>
        <w:tblW w:w="93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46"/>
      </w:tblGrid>
      <w:tr w:rsidR="007B12D1" w14:paraId="1E86C3A1" w14:textId="77777777" w:rsidTr="00BA1BB2">
        <w:tc>
          <w:tcPr>
            <w:tcW w:w="9346" w:type="dxa"/>
          </w:tcPr>
          <w:p w14:paraId="1E86C3A0" w14:textId="77777777" w:rsidR="007B12D1" w:rsidRDefault="00987472" w:rsidP="00544891">
            <w:pPr>
              <w:spacing w:before="120"/>
              <w:jc w:val="both"/>
            </w:pPr>
            <w:r>
              <w:t>This SOP is developed for health care professionals conducting brief peripheral neuropathy screening (BPNS) among participants of the endTB observational study and clinical trial.</w:t>
            </w:r>
          </w:p>
        </w:tc>
      </w:tr>
    </w:tbl>
    <w:p w14:paraId="1E86C3A2" w14:textId="77777777" w:rsidR="007B12D1" w:rsidRDefault="000B2C99" w:rsidP="00594465">
      <w:pPr>
        <w:pStyle w:val="Heading2"/>
      </w:pPr>
      <w:bookmarkStart w:id="5" w:name="_Toc166232772"/>
      <w:r>
        <w:t>RESPONSIBLE FUNCTIONS</w:t>
      </w:r>
      <w:bookmarkEnd w:id="5"/>
    </w:p>
    <w:tbl>
      <w:tblPr>
        <w:tblW w:w="93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913"/>
        <w:gridCol w:w="7433"/>
      </w:tblGrid>
      <w:tr w:rsidR="007B12D1" w14:paraId="1E86C3A5" w14:textId="77777777" w:rsidTr="00BA1BB2">
        <w:trPr>
          <w:trHeight w:val="60"/>
        </w:trPr>
        <w:tc>
          <w:tcPr>
            <w:tcW w:w="1913" w:type="dxa"/>
            <w:shd w:val="clear" w:color="auto" w:fill="F2F2F2"/>
          </w:tcPr>
          <w:p w14:paraId="1E86C3A3" w14:textId="77777777" w:rsidR="007B12D1" w:rsidRDefault="000B2C99">
            <w:pPr>
              <w:spacing w:before="80" w:after="80"/>
            </w:pPr>
            <w:r>
              <w:rPr>
                <w:b/>
              </w:rPr>
              <w:t>Function</w:t>
            </w:r>
          </w:p>
        </w:tc>
        <w:tc>
          <w:tcPr>
            <w:tcW w:w="7433" w:type="dxa"/>
            <w:shd w:val="clear" w:color="auto" w:fill="F2F2F2"/>
            <w:vAlign w:val="center"/>
          </w:tcPr>
          <w:p w14:paraId="1E86C3A4" w14:textId="77777777" w:rsidR="007B12D1" w:rsidRDefault="000B2C99">
            <w:pPr>
              <w:spacing w:before="80" w:after="80"/>
            </w:pPr>
            <w:r>
              <w:rPr>
                <w:b/>
              </w:rPr>
              <w:t>Activities</w:t>
            </w:r>
          </w:p>
        </w:tc>
      </w:tr>
      <w:tr w:rsidR="00987472" w14:paraId="1E86C3AC" w14:textId="77777777" w:rsidTr="00BA1BB2">
        <w:tc>
          <w:tcPr>
            <w:tcW w:w="1913" w:type="dxa"/>
            <w:shd w:val="clear" w:color="auto" w:fill="FFFFFF"/>
          </w:tcPr>
          <w:p w14:paraId="1E86C3A6" w14:textId="77777777" w:rsidR="00987472" w:rsidRDefault="00987472" w:rsidP="00B061E0">
            <w:pPr>
              <w:spacing w:before="80" w:after="80"/>
            </w:pPr>
            <w:r>
              <w:t>Clinical staff</w:t>
            </w:r>
          </w:p>
        </w:tc>
        <w:tc>
          <w:tcPr>
            <w:tcW w:w="7433" w:type="dxa"/>
            <w:shd w:val="clear" w:color="auto" w:fill="FFFFFF"/>
            <w:vAlign w:val="center"/>
          </w:tcPr>
          <w:p w14:paraId="1E86C3A7" w14:textId="77777777" w:rsidR="00987472" w:rsidRDefault="00987472" w:rsidP="00544891">
            <w:pPr>
              <w:numPr>
                <w:ilvl w:val="0"/>
                <w:numId w:val="16"/>
              </w:numPr>
              <w:spacing w:before="80" w:after="80"/>
              <w:ind w:left="461" w:hanging="360"/>
              <w:contextualSpacing/>
              <w:jc w:val="both"/>
            </w:pPr>
            <w:r>
              <w:t>Prepares BPNS materials and test environment,</w:t>
            </w:r>
          </w:p>
          <w:p w14:paraId="1E86C3A8" w14:textId="77777777" w:rsidR="00987472" w:rsidRDefault="00987472" w:rsidP="00544891">
            <w:pPr>
              <w:numPr>
                <w:ilvl w:val="0"/>
                <w:numId w:val="16"/>
              </w:numPr>
              <w:spacing w:before="80" w:after="80"/>
              <w:ind w:left="461" w:hanging="360"/>
              <w:contextualSpacing/>
              <w:jc w:val="both"/>
            </w:pPr>
            <w:r>
              <w:t>Instructs patients on the screening procedures,</w:t>
            </w:r>
          </w:p>
          <w:p w14:paraId="1E86C3A9" w14:textId="77777777" w:rsidR="00987472" w:rsidRDefault="00987472" w:rsidP="00544891">
            <w:pPr>
              <w:numPr>
                <w:ilvl w:val="0"/>
                <w:numId w:val="16"/>
              </w:numPr>
              <w:spacing w:before="80" w:after="80"/>
              <w:ind w:left="461" w:hanging="360"/>
              <w:contextualSpacing/>
              <w:jc w:val="both"/>
            </w:pPr>
            <w:r>
              <w:t>Conducts subjective symptom screening, evaluates vibration perception and deep tendon reflexes,</w:t>
            </w:r>
          </w:p>
          <w:p w14:paraId="1E86C3AA" w14:textId="77777777" w:rsidR="00987472" w:rsidRDefault="00987472" w:rsidP="00544891">
            <w:pPr>
              <w:numPr>
                <w:ilvl w:val="0"/>
                <w:numId w:val="16"/>
              </w:numPr>
              <w:spacing w:before="80" w:after="80"/>
              <w:ind w:left="461" w:hanging="360"/>
              <w:contextualSpacing/>
              <w:jc w:val="both"/>
            </w:pPr>
            <w:r>
              <w:t>Completes BPNS scoring sheet,</w:t>
            </w:r>
          </w:p>
          <w:p w14:paraId="1E86C3AB" w14:textId="77777777" w:rsidR="00987472" w:rsidRDefault="00987472" w:rsidP="00544891">
            <w:pPr>
              <w:numPr>
                <w:ilvl w:val="0"/>
                <w:numId w:val="16"/>
              </w:numPr>
              <w:spacing w:before="80" w:after="80"/>
              <w:ind w:left="461" w:hanging="360"/>
              <w:contextualSpacing/>
              <w:jc w:val="both"/>
            </w:pPr>
            <w:r>
              <w:t>Reviews patients’ medical history to detect abnormal changes from baseline.</w:t>
            </w:r>
          </w:p>
        </w:tc>
      </w:tr>
      <w:tr w:rsidR="00987472" w14:paraId="1E86C3B1" w14:textId="77777777" w:rsidTr="00BA1BB2">
        <w:tc>
          <w:tcPr>
            <w:tcW w:w="1913" w:type="dxa"/>
            <w:shd w:val="clear" w:color="auto" w:fill="FFFFFF"/>
          </w:tcPr>
          <w:p w14:paraId="1E86C3AD" w14:textId="77777777" w:rsidR="00987472" w:rsidRDefault="00987472" w:rsidP="00B061E0">
            <w:pPr>
              <w:spacing w:before="80" w:after="80"/>
            </w:pPr>
            <w:r>
              <w:t>Research staff</w:t>
            </w:r>
          </w:p>
        </w:tc>
        <w:tc>
          <w:tcPr>
            <w:tcW w:w="7433" w:type="dxa"/>
            <w:shd w:val="clear" w:color="auto" w:fill="FFFFFF"/>
            <w:vAlign w:val="center"/>
          </w:tcPr>
          <w:p w14:paraId="1E86C3AE" w14:textId="77777777" w:rsidR="00987472" w:rsidRPr="00987472" w:rsidRDefault="00987472" w:rsidP="00544891">
            <w:pPr>
              <w:numPr>
                <w:ilvl w:val="0"/>
                <w:numId w:val="17"/>
              </w:numPr>
              <w:spacing w:before="80" w:after="80"/>
              <w:ind w:left="461" w:hanging="360"/>
              <w:contextualSpacing/>
              <w:jc w:val="both"/>
            </w:pPr>
            <w:r w:rsidRPr="00987472">
              <w:t>Prepares BPNS materials and test environment,</w:t>
            </w:r>
          </w:p>
          <w:p w14:paraId="1E86C3AF" w14:textId="77777777" w:rsidR="00987472" w:rsidRPr="00987472" w:rsidRDefault="00987472" w:rsidP="00544891">
            <w:pPr>
              <w:numPr>
                <w:ilvl w:val="0"/>
                <w:numId w:val="17"/>
              </w:numPr>
              <w:spacing w:before="80" w:after="80"/>
              <w:ind w:left="461" w:hanging="360"/>
              <w:contextualSpacing/>
              <w:jc w:val="both"/>
            </w:pPr>
            <w:r w:rsidRPr="00987472">
              <w:t>Instructs patients on the screening procedures,</w:t>
            </w:r>
          </w:p>
          <w:p w14:paraId="1E86C3B0" w14:textId="77777777" w:rsidR="00987472" w:rsidRDefault="00987472" w:rsidP="00544891">
            <w:pPr>
              <w:numPr>
                <w:ilvl w:val="0"/>
                <w:numId w:val="17"/>
              </w:numPr>
              <w:spacing w:before="80" w:after="80"/>
              <w:ind w:left="461" w:hanging="360"/>
              <w:contextualSpacing/>
              <w:jc w:val="both"/>
            </w:pPr>
            <w:r w:rsidRPr="00987472">
              <w:t>Completes BPNS scoring sheet.</w:t>
            </w:r>
          </w:p>
        </w:tc>
      </w:tr>
    </w:tbl>
    <w:p w14:paraId="1E86C3B2" w14:textId="77777777" w:rsidR="007B12D1" w:rsidRDefault="000B2C99" w:rsidP="00594465">
      <w:pPr>
        <w:pStyle w:val="Heading2"/>
      </w:pPr>
      <w:bookmarkStart w:id="6" w:name="_Toc166232773"/>
      <w:r>
        <w:t>DEFINITIONS and ABBREVIATIONS</w:t>
      </w:r>
      <w:bookmarkEnd w:id="6"/>
    </w:p>
    <w:p w14:paraId="1E86C3B3" w14:textId="77777777" w:rsidR="00987472" w:rsidRDefault="00987472" w:rsidP="00544891">
      <w:pPr>
        <w:pStyle w:val="ListNumber"/>
        <w:numPr>
          <w:ilvl w:val="0"/>
          <w:numId w:val="0"/>
        </w:numPr>
      </w:pPr>
      <w:r>
        <w:rPr>
          <w:b/>
        </w:rPr>
        <w:t xml:space="preserve">ACTG brief peripheral neuropathy screening tool: </w:t>
      </w:r>
      <w:r>
        <w:t xml:space="preserve">A validated screening tool developed by the AIDS Clinical Trials Group (ACTG) funded by the National Institute of Health of USA. This tool assesses both clinical signs and subjective symptoms suggestive of peripheral neuropathy. It can </w:t>
      </w:r>
      <w:r w:rsidR="00E462B4">
        <w:t>be administered</w:t>
      </w:r>
      <w:r>
        <w:t xml:space="preserve"> by non-neurologists following minimal training.</w:t>
      </w:r>
    </w:p>
    <w:p w14:paraId="1E86C3B4" w14:textId="77777777" w:rsidR="00987472" w:rsidRDefault="00987472" w:rsidP="00544891">
      <w:pPr>
        <w:pStyle w:val="ListNumber"/>
        <w:numPr>
          <w:ilvl w:val="0"/>
          <w:numId w:val="0"/>
        </w:numPr>
      </w:pPr>
      <w:r>
        <w:rPr>
          <w:b/>
        </w:rPr>
        <w:t xml:space="preserve">BPNS: </w:t>
      </w:r>
      <w:r>
        <w:t xml:space="preserve">Brief peripheral neuropathy screening. </w:t>
      </w:r>
    </w:p>
    <w:p w14:paraId="1E86C3B5" w14:textId="77777777" w:rsidR="007B12D1" w:rsidRDefault="007B12D1" w:rsidP="00F7372C">
      <w:pPr>
        <w:spacing w:after="120"/>
        <w:ind w:left="360"/>
      </w:pPr>
    </w:p>
    <w:p w14:paraId="1E86C3B6" w14:textId="77777777" w:rsidR="007B12D1" w:rsidRDefault="000B2C99" w:rsidP="00594465">
      <w:pPr>
        <w:pStyle w:val="Heading2"/>
      </w:pPr>
      <w:bookmarkStart w:id="7" w:name="_Toc166232774"/>
      <w:r>
        <w:lastRenderedPageBreak/>
        <w:t>PROCEDURE:</w:t>
      </w:r>
      <w:bookmarkEnd w:id="7"/>
    </w:p>
    <w:p w14:paraId="1E86C3B7" w14:textId="77777777" w:rsidR="007B12D1" w:rsidRDefault="000B2C99" w:rsidP="00BF0915">
      <w:pPr>
        <w:pStyle w:val="Heading3"/>
      </w:pPr>
      <w:bookmarkStart w:id="8" w:name="_Toc166232775"/>
      <w:r>
        <w:t xml:space="preserve">5.1. </w:t>
      </w:r>
      <w:r w:rsidR="008019E2">
        <w:t>Mater</w:t>
      </w:r>
      <w:r w:rsidR="00200910">
        <w:t xml:space="preserve">ials Needed for </w:t>
      </w:r>
      <w:r w:rsidR="00987472">
        <w:t>BPNS</w:t>
      </w:r>
      <w:bookmarkEnd w:id="8"/>
    </w:p>
    <w:p w14:paraId="1E86C3B8" w14:textId="77777777" w:rsidR="00987472" w:rsidRDefault="00987472" w:rsidP="00987472">
      <w:pPr>
        <w:numPr>
          <w:ilvl w:val="0"/>
          <w:numId w:val="18"/>
        </w:numPr>
        <w:tabs>
          <w:tab w:val="left" w:pos="1080"/>
        </w:tabs>
        <w:ind w:hanging="360"/>
        <w:contextualSpacing/>
        <w:rPr>
          <w:b/>
          <w:i/>
        </w:rPr>
      </w:pPr>
      <w:r>
        <w:t>BPNS scoring sheet (Appendix 1)</w:t>
      </w:r>
    </w:p>
    <w:p w14:paraId="1E86C3B9" w14:textId="77777777" w:rsidR="00987472" w:rsidRDefault="00987472" w:rsidP="00987472">
      <w:pPr>
        <w:numPr>
          <w:ilvl w:val="0"/>
          <w:numId w:val="18"/>
        </w:numPr>
        <w:tabs>
          <w:tab w:val="left" w:pos="1080"/>
        </w:tabs>
        <w:ind w:hanging="360"/>
        <w:contextualSpacing/>
        <w:rPr>
          <w:b/>
          <w:i/>
        </w:rPr>
      </w:pPr>
      <w:r>
        <w:t>128 Hz tuning fork</w:t>
      </w:r>
    </w:p>
    <w:p w14:paraId="1E86C3BA" w14:textId="77777777" w:rsidR="007B12D1" w:rsidRPr="00987472" w:rsidRDefault="00987472" w:rsidP="00987472">
      <w:pPr>
        <w:numPr>
          <w:ilvl w:val="0"/>
          <w:numId w:val="18"/>
        </w:numPr>
        <w:tabs>
          <w:tab w:val="left" w:pos="1080"/>
        </w:tabs>
        <w:ind w:hanging="360"/>
        <w:contextualSpacing/>
        <w:rPr>
          <w:b/>
          <w:i/>
        </w:rPr>
      </w:pPr>
      <w:r>
        <w:t>Reflex hammer</w:t>
      </w:r>
    </w:p>
    <w:p w14:paraId="1E86C3BB" w14:textId="77777777" w:rsidR="007B12D1" w:rsidRDefault="008019E2" w:rsidP="00987472">
      <w:pPr>
        <w:pStyle w:val="Heading3"/>
      </w:pPr>
      <w:bookmarkStart w:id="9" w:name="_Toc166232776"/>
      <w:r>
        <w:t>5.</w:t>
      </w:r>
      <w:r w:rsidR="00987472">
        <w:t xml:space="preserve">2. </w:t>
      </w:r>
      <w:r w:rsidR="00987472" w:rsidRPr="00987472">
        <w:t>Preparation</w:t>
      </w:r>
      <w:bookmarkEnd w:id="9"/>
    </w:p>
    <w:p w14:paraId="1E86C3BC" w14:textId="77777777" w:rsidR="00987472" w:rsidRDefault="00987472" w:rsidP="00987472">
      <w:pPr>
        <w:tabs>
          <w:tab w:val="left" w:pos="980"/>
        </w:tabs>
        <w:ind w:left="360"/>
        <w:jc w:val="both"/>
      </w:pPr>
      <w:r>
        <w:rPr>
          <w:b/>
        </w:rPr>
        <w:t xml:space="preserve">Clinical staff </w:t>
      </w:r>
      <w:r>
        <w:t>should be trained on administering the ACTG BPNS tool and the scoring/grading system.</w:t>
      </w:r>
    </w:p>
    <w:p w14:paraId="1E86C3BD" w14:textId="77777777" w:rsidR="00987472" w:rsidRDefault="00987472" w:rsidP="00987472">
      <w:pPr>
        <w:tabs>
          <w:tab w:val="left" w:pos="980"/>
        </w:tabs>
        <w:ind w:left="360"/>
        <w:jc w:val="both"/>
      </w:pPr>
      <w:r>
        <w:rPr>
          <w:b/>
        </w:rPr>
        <w:t xml:space="preserve">Clinical staff </w:t>
      </w:r>
      <w:r>
        <w:t>should locate a quiet work environment with minimal interruption to seat the participant comfortably. The participant should be informed of the purpose and procedures of BPNS.</w:t>
      </w:r>
    </w:p>
    <w:p w14:paraId="1E86C3BE" w14:textId="77777777" w:rsidR="007B12D1" w:rsidRDefault="00987472" w:rsidP="00987472">
      <w:pPr>
        <w:pStyle w:val="Heading3"/>
        <w:numPr>
          <w:ilvl w:val="1"/>
          <w:numId w:val="5"/>
        </w:numPr>
        <w:ind w:left="810" w:hanging="450"/>
      </w:pPr>
      <w:bookmarkStart w:id="10" w:name="_Toc166232777"/>
      <w:r>
        <w:t>Subjective Symptoms Screening</w:t>
      </w:r>
      <w:bookmarkEnd w:id="10"/>
    </w:p>
    <w:p w14:paraId="1E86C3BF" w14:textId="77777777" w:rsidR="00987472" w:rsidRDefault="00987472" w:rsidP="00987472">
      <w:pPr>
        <w:tabs>
          <w:tab w:val="left" w:pos="980"/>
        </w:tabs>
        <w:spacing w:before="200"/>
        <w:ind w:left="360"/>
        <w:jc w:val="both"/>
      </w:pPr>
      <w:r>
        <w:rPr>
          <w:b/>
        </w:rPr>
        <w:t xml:space="preserve">Clinic staff </w:t>
      </w:r>
      <w:r>
        <w:t>is recommended to follow the procedural details below:</w:t>
      </w:r>
    </w:p>
    <w:p w14:paraId="1E86C3C0" w14:textId="77777777" w:rsidR="00416052" w:rsidRDefault="00416052" w:rsidP="00987472">
      <w:pPr>
        <w:numPr>
          <w:ilvl w:val="0"/>
          <w:numId w:val="19"/>
        </w:numPr>
        <w:ind w:hanging="576"/>
      </w:pPr>
      <w:r>
        <w:t>Introduce one’s self and verify the subject’s name and date of birth. Subject identifier must match the clinical chart.</w:t>
      </w:r>
    </w:p>
    <w:p w14:paraId="1E86C3C1" w14:textId="77777777" w:rsidR="00651A91" w:rsidRDefault="00987472" w:rsidP="00651A91">
      <w:pPr>
        <w:numPr>
          <w:ilvl w:val="0"/>
          <w:numId w:val="19"/>
        </w:numPr>
        <w:ind w:hanging="576"/>
      </w:pPr>
      <w:r>
        <w:t>Ask the participant “</w:t>
      </w:r>
      <w:r w:rsidR="00DB07E3">
        <w:t>Are you</w:t>
      </w:r>
      <w:r w:rsidR="001D606C" w:rsidRPr="001D606C">
        <w:t xml:space="preserve"> </w:t>
      </w:r>
      <w:r w:rsidR="001D606C">
        <w:t>currently</w:t>
      </w:r>
      <w:r w:rsidR="00DB07E3">
        <w:t xml:space="preserve"> suffering</w:t>
      </w:r>
      <w:r>
        <w:t xml:space="preserve"> from pain</w:t>
      </w:r>
      <w:r w:rsidR="00CF76BD">
        <w:t xml:space="preserve"> or burning in your right foo</w:t>
      </w:r>
      <w:r>
        <w:t>t or leg?”</w:t>
      </w:r>
      <w:r w:rsidR="00651A91">
        <w:t xml:space="preserve"> </w:t>
      </w:r>
      <w:r w:rsidR="00927E91">
        <w:t>When</w:t>
      </w:r>
      <w:r w:rsidR="00675C7C">
        <w:t xml:space="preserve"> asking the question to the participant, </w:t>
      </w:r>
      <w:r w:rsidR="00927E91">
        <w:t>assess</w:t>
      </w:r>
      <w:r w:rsidR="00675C7C">
        <w:t xml:space="preserve"> whether his/her symptom is suggestive of neuropathic pain. Although</w:t>
      </w:r>
      <w:r w:rsidR="00651A91" w:rsidRPr="00544891">
        <w:t xml:space="preserve"> difficult to </w:t>
      </w:r>
      <w:r w:rsidR="00927E91">
        <w:t>define</w:t>
      </w:r>
      <w:r w:rsidR="00675C7C" w:rsidRPr="00675C7C">
        <w:t xml:space="preserve"> and variable fo</w:t>
      </w:r>
      <w:r w:rsidR="00675C7C">
        <w:t>r each individual, n</w:t>
      </w:r>
      <w:r w:rsidR="00675C7C" w:rsidRPr="00927E91">
        <w:t xml:space="preserve">europathic pain </w:t>
      </w:r>
      <w:r w:rsidR="00675C7C" w:rsidRPr="005A2795">
        <w:t>is</w:t>
      </w:r>
      <w:r w:rsidR="00675C7C">
        <w:t xml:space="preserve"> often</w:t>
      </w:r>
      <w:r w:rsidR="00675C7C" w:rsidRPr="005A2795">
        <w:t xml:space="preserve"> described as "burning", "electric", "ting</w:t>
      </w:r>
      <w:r w:rsidR="00675C7C">
        <w:t>ling", and "shooting" in nature</w:t>
      </w:r>
      <w:r w:rsidR="00651A91" w:rsidRPr="00544891">
        <w:t>. It can vary from a constant pain to intermittent sharp shooting pains.</w:t>
      </w:r>
      <w:r w:rsidR="00622A09" w:rsidRPr="00544891">
        <w:t xml:space="preserve"> </w:t>
      </w:r>
      <w:r w:rsidR="00360C74" w:rsidRPr="00360C74">
        <w:t>As described, the pain is most often present without associated stimulation,</w:t>
      </w:r>
      <w:r w:rsidR="00CA4F82">
        <w:t xml:space="preserve"> but can be exacerbated by</w:t>
      </w:r>
      <w:r w:rsidR="00675C7C">
        <w:t xml:space="preserve"> stimuli</w:t>
      </w:r>
      <w:r w:rsidR="00CA4F82">
        <w:t>.</w:t>
      </w:r>
    </w:p>
    <w:p w14:paraId="1E86C3C2" w14:textId="77777777" w:rsidR="00987472" w:rsidRDefault="00987472" w:rsidP="00987472">
      <w:pPr>
        <w:numPr>
          <w:ilvl w:val="1"/>
          <w:numId w:val="19"/>
        </w:numPr>
        <w:ind w:hanging="360"/>
      </w:pPr>
      <w:r>
        <w:t xml:space="preserve">Record “00- Currently absent” as the subjective symptom score if the participant </w:t>
      </w:r>
      <w:r w:rsidR="00BD728D">
        <w:t>does not have the symptom</w:t>
      </w:r>
      <w:r>
        <w:t>.</w:t>
      </w:r>
    </w:p>
    <w:p w14:paraId="1E86C3C3" w14:textId="77777777" w:rsidR="00987472" w:rsidRDefault="00675C7C" w:rsidP="00987472">
      <w:pPr>
        <w:numPr>
          <w:ilvl w:val="1"/>
          <w:numId w:val="19"/>
        </w:numPr>
        <w:ind w:hanging="360"/>
      </w:pPr>
      <w:r>
        <w:t xml:space="preserve">If the patient has a symptom which is suggestive of neuropathic pain, </w:t>
      </w:r>
      <w:r w:rsidR="00B72644">
        <w:t xml:space="preserve">instruct </w:t>
      </w:r>
      <w:r w:rsidR="00987472">
        <w:t>the participant to rate his/her symptom on a scale of 1 (mild) to 10 (most severe). Record the score.</w:t>
      </w:r>
    </w:p>
    <w:p w14:paraId="1E86C3C4" w14:textId="77777777" w:rsidR="00987472" w:rsidRDefault="00987472" w:rsidP="00987472">
      <w:pPr>
        <w:numPr>
          <w:ilvl w:val="0"/>
          <w:numId w:val="19"/>
        </w:numPr>
        <w:ind w:hanging="576"/>
      </w:pPr>
      <w:r>
        <w:t>Ask the participant “</w:t>
      </w:r>
      <w:r w:rsidR="00DB07E3">
        <w:t>Are you</w:t>
      </w:r>
      <w:r w:rsidR="001D606C">
        <w:t xml:space="preserve"> currently</w:t>
      </w:r>
      <w:r w:rsidR="00DB07E3">
        <w:t xml:space="preserve"> suffering</w:t>
      </w:r>
      <w:r w:rsidR="00675C7C">
        <w:t xml:space="preserve"> </w:t>
      </w:r>
      <w:r>
        <w:t>from ‘pin</w:t>
      </w:r>
      <w:r w:rsidR="00CF76BD">
        <w:t>s and needles’ in your right foot or leg</w:t>
      </w:r>
      <w:r>
        <w:t>?”</w:t>
      </w:r>
    </w:p>
    <w:p w14:paraId="1E86C3C5" w14:textId="77777777" w:rsidR="00987472" w:rsidRDefault="00987472" w:rsidP="00987472">
      <w:pPr>
        <w:numPr>
          <w:ilvl w:val="1"/>
          <w:numId w:val="19"/>
        </w:numPr>
        <w:ind w:hanging="360"/>
      </w:pPr>
      <w:r>
        <w:t xml:space="preserve">Record “00- Currently absent” as the subjective symptom score if the participant </w:t>
      </w:r>
      <w:r w:rsidR="00BD728D">
        <w:t>does not have the symptom</w:t>
      </w:r>
      <w:r>
        <w:t>.</w:t>
      </w:r>
    </w:p>
    <w:p w14:paraId="1E86C3C6" w14:textId="77777777" w:rsidR="00987472" w:rsidRDefault="00987472" w:rsidP="00987472">
      <w:pPr>
        <w:numPr>
          <w:ilvl w:val="1"/>
          <w:numId w:val="19"/>
        </w:numPr>
        <w:ind w:hanging="360"/>
      </w:pPr>
      <w:r>
        <w:t>Instruct the participant to rate his/her symptom on a scale of 1 (mild) to 10 (most severe) if the participant is currently having such symptom. Record the score.</w:t>
      </w:r>
    </w:p>
    <w:p w14:paraId="1E86C3C7" w14:textId="77777777" w:rsidR="00987472" w:rsidRDefault="00987472" w:rsidP="00987472">
      <w:pPr>
        <w:numPr>
          <w:ilvl w:val="0"/>
          <w:numId w:val="19"/>
        </w:numPr>
        <w:ind w:hanging="576"/>
      </w:pPr>
      <w:r>
        <w:lastRenderedPageBreak/>
        <w:t>Ask the participant “</w:t>
      </w:r>
      <w:r w:rsidR="00DB07E3">
        <w:t>Are you</w:t>
      </w:r>
      <w:r w:rsidR="001D606C" w:rsidRPr="001D606C">
        <w:t xml:space="preserve"> </w:t>
      </w:r>
      <w:r w:rsidR="001D606C">
        <w:t>currently</w:t>
      </w:r>
      <w:r w:rsidR="00DB07E3">
        <w:t xml:space="preserve"> suffering</w:t>
      </w:r>
      <w:r w:rsidR="00675C7C">
        <w:t xml:space="preserve"> </w:t>
      </w:r>
      <w:r>
        <w:t>f</w:t>
      </w:r>
      <w:r w:rsidR="00CF76BD">
        <w:t>rom ‘numbness’ in your right foo</w:t>
      </w:r>
      <w:r>
        <w:t xml:space="preserve">t or leg?” </w:t>
      </w:r>
    </w:p>
    <w:p w14:paraId="1E86C3C8" w14:textId="77777777" w:rsidR="00987472" w:rsidRDefault="00987472" w:rsidP="00987472">
      <w:pPr>
        <w:numPr>
          <w:ilvl w:val="1"/>
          <w:numId w:val="19"/>
        </w:numPr>
        <w:ind w:hanging="360"/>
      </w:pPr>
      <w:r>
        <w:t xml:space="preserve">Record “00- Currently absent” as the subjective symptom score if the participant </w:t>
      </w:r>
      <w:r w:rsidR="00BD728D">
        <w:t>does not have the symptom</w:t>
      </w:r>
      <w:r>
        <w:t>.</w:t>
      </w:r>
    </w:p>
    <w:p w14:paraId="1E86C3C9" w14:textId="77777777" w:rsidR="00987472" w:rsidRDefault="00987472" w:rsidP="00987472">
      <w:pPr>
        <w:numPr>
          <w:ilvl w:val="1"/>
          <w:numId w:val="19"/>
        </w:numPr>
        <w:ind w:hanging="360"/>
      </w:pPr>
      <w:r>
        <w:t>Instruct the participant to rate his/her symptom on a scale of 1 (mild) to 10 (most severe) if the participant is currently having such symptom. Record the score.</w:t>
      </w:r>
    </w:p>
    <w:p w14:paraId="1E86C3CA" w14:textId="77777777" w:rsidR="00987472" w:rsidRDefault="00987472" w:rsidP="00987472">
      <w:pPr>
        <w:numPr>
          <w:ilvl w:val="0"/>
          <w:numId w:val="19"/>
        </w:numPr>
        <w:ind w:hanging="576"/>
      </w:pPr>
      <w:r>
        <w:t>Repe</w:t>
      </w:r>
      <w:r w:rsidR="00CF76BD">
        <w:t>at steps 1 to 3 for the left foo</w:t>
      </w:r>
      <w:r>
        <w:t>t or leg.</w:t>
      </w:r>
    </w:p>
    <w:p w14:paraId="1E86C3CB" w14:textId="77777777" w:rsidR="00987472" w:rsidRDefault="00987472" w:rsidP="00B50B08">
      <w:pPr>
        <w:tabs>
          <w:tab w:val="left" w:pos="980"/>
        </w:tabs>
        <w:spacing w:before="200"/>
        <w:ind w:left="360"/>
        <w:jc w:val="both"/>
      </w:pPr>
      <w:r>
        <w:rPr>
          <w:b/>
        </w:rPr>
        <w:t xml:space="preserve">Clinical staff </w:t>
      </w:r>
      <w:r>
        <w:t>should record all subjective sensory neuropathy scores on the BPNS Sc</w:t>
      </w:r>
      <w:r w:rsidR="00B50B08">
        <w:t xml:space="preserve">oring Sheet and </w:t>
      </w:r>
      <w:r>
        <w:t>obtain the subjective sensory neuropathy grade of the participant.</w:t>
      </w:r>
    </w:p>
    <w:p w14:paraId="1E86C3CC" w14:textId="77777777" w:rsidR="00987472" w:rsidRDefault="00987472" w:rsidP="00987472">
      <w:pPr>
        <w:pStyle w:val="Heading3"/>
        <w:numPr>
          <w:ilvl w:val="1"/>
          <w:numId w:val="5"/>
        </w:numPr>
        <w:ind w:left="810" w:hanging="450"/>
      </w:pPr>
      <w:bookmarkStart w:id="11" w:name="_Toc166232778"/>
      <w:r>
        <w:t>Evaluation of Vibration Perception</w:t>
      </w:r>
      <w:r w:rsidR="001D310E">
        <w:t xml:space="preserve"> in the Great Toes</w:t>
      </w:r>
      <w:bookmarkEnd w:id="11"/>
    </w:p>
    <w:p w14:paraId="1E86C3CD" w14:textId="77777777" w:rsidR="00987472" w:rsidRDefault="00987472" w:rsidP="00987472">
      <w:pPr>
        <w:spacing w:before="200"/>
        <w:ind w:left="360"/>
      </w:pPr>
      <w:r>
        <w:rPr>
          <w:b/>
        </w:rPr>
        <w:t>Clinical staff</w:t>
      </w:r>
      <w:r>
        <w:t xml:space="preserve"> is recommended to follow the procedural details below:</w:t>
      </w:r>
    </w:p>
    <w:p w14:paraId="1E86C3CE" w14:textId="77777777" w:rsidR="00987472" w:rsidRDefault="00987472" w:rsidP="00987472">
      <w:pPr>
        <w:numPr>
          <w:ilvl w:val="1"/>
          <w:numId w:val="20"/>
        </w:numPr>
        <w:spacing w:before="200"/>
        <w:ind w:hanging="360"/>
      </w:pPr>
      <w:r>
        <w:t>Compress the ends of a 128 Hz tuning fork just h</w:t>
      </w:r>
      <w:r w:rsidR="000E31C4">
        <w:t>ard enough that the sides touch, then release the ends to make the fork vibrate.</w:t>
      </w:r>
    </w:p>
    <w:p w14:paraId="1E86C3CF" w14:textId="77777777" w:rsidR="00987472" w:rsidRDefault="00987472" w:rsidP="00987472">
      <w:pPr>
        <w:numPr>
          <w:ilvl w:val="1"/>
          <w:numId w:val="20"/>
        </w:numPr>
        <w:spacing w:before="200"/>
        <w:ind w:hanging="360"/>
      </w:pPr>
      <w:r>
        <w:t>Place the vibrating tuning fork on a bony prominence on the participant’s wrist or hand to be sure that he/she can recognize the vibration or “buzzing” quality of the fork.</w:t>
      </w:r>
    </w:p>
    <w:p w14:paraId="1E86C3D0" w14:textId="77777777" w:rsidR="00987472" w:rsidRDefault="00987472" w:rsidP="00987472">
      <w:pPr>
        <w:numPr>
          <w:ilvl w:val="1"/>
          <w:numId w:val="20"/>
        </w:numPr>
        <w:spacing w:before="200"/>
        <w:ind w:hanging="360"/>
      </w:pPr>
      <w:r>
        <w:t>Compress the ends of the tuning fork again just hard enough so that the sides touch.</w:t>
      </w:r>
    </w:p>
    <w:p w14:paraId="1E86C3D1" w14:textId="77777777" w:rsidR="00987472" w:rsidRDefault="00987472" w:rsidP="00987472">
      <w:pPr>
        <w:numPr>
          <w:ilvl w:val="1"/>
          <w:numId w:val="20"/>
        </w:numPr>
        <w:spacing w:before="200"/>
        <w:ind w:hanging="360"/>
      </w:pPr>
      <w:r>
        <w:t>Immediately place the vibrating tuning fork gently but firmly on the top of the distal interphalangeal joint of the right great toe and begin counting the seconds.</w:t>
      </w:r>
    </w:p>
    <w:p w14:paraId="1E86C3D2" w14:textId="77777777" w:rsidR="00987472" w:rsidRDefault="00987472" w:rsidP="00987472">
      <w:pPr>
        <w:numPr>
          <w:ilvl w:val="1"/>
          <w:numId w:val="20"/>
        </w:numPr>
        <w:spacing w:before="200"/>
        <w:ind w:hanging="360"/>
      </w:pPr>
      <w:r>
        <w:t>Instruct the participant to te</w:t>
      </w:r>
      <w:r w:rsidR="000E31C4">
        <w:t>ll you when the “buzzing” stops and note the perception time.</w:t>
      </w:r>
    </w:p>
    <w:p w14:paraId="1E86C3D3" w14:textId="77777777" w:rsidR="00987472" w:rsidRDefault="00987472" w:rsidP="00987472">
      <w:pPr>
        <w:numPr>
          <w:ilvl w:val="1"/>
          <w:numId w:val="20"/>
        </w:numPr>
        <w:spacing w:before="200"/>
        <w:ind w:hanging="360"/>
      </w:pPr>
      <w:r>
        <w:t>Repeat steps 1 to 5 for the left great toe.</w:t>
      </w:r>
    </w:p>
    <w:p w14:paraId="1E86C3D4" w14:textId="77777777" w:rsidR="00B3070B" w:rsidRDefault="00987472" w:rsidP="00B3070B">
      <w:pPr>
        <w:tabs>
          <w:tab w:val="left" w:pos="980"/>
        </w:tabs>
        <w:spacing w:before="200"/>
        <w:ind w:left="360"/>
        <w:jc w:val="both"/>
      </w:pPr>
      <w:r>
        <w:rPr>
          <w:b/>
        </w:rPr>
        <w:t xml:space="preserve">Clinical staff </w:t>
      </w:r>
      <w:r>
        <w:t>should record all vibration perc</w:t>
      </w:r>
      <w:r w:rsidR="00FD3923">
        <w:t xml:space="preserve">eption time </w:t>
      </w:r>
      <w:r>
        <w:t>on the BPNS Scoring Sheet</w:t>
      </w:r>
      <w:r w:rsidR="00B3070B">
        <w:rPr>
          <w:rFonts w:hint="eastAsia"/>
        </w:rPr>
        <w:t xml:space="preserve"> and </w:t>
      </w:r>
      <w:r w:rsidR="00B3070B">
        <w:t>obtain the vibration perception grade of the participant.</w:t>
      </w:r>
    </w:p>
    <w:p w14:paraId="1E86C3D5" w14:textId="77777777" w:rsidR="00987472" w:rsidRDefault="00987472" w:rsidP="00987472">
      <w:pPr>
        <w:pStyle w:val="Heading3"/>
        <w:numPr>
          <w:ilvl w:val="1"/>
          <w:numId w:val="5"/>
        </w:numPr>
        <w:ind w:left="810" w:hanging="450"/>
      </w:pPr>
      <w:bookmarkStart w:id="12" w:name="_Toc166232779"/>
      <w:r>
        <w:t xml:space="preserve">Evaluation of </w:t>
      </w:r>
      <w:r w:rsidR="001D310E">
        <w:t>the Achilles</w:t>
      </w:r>
      <w:r>
        <w:t xml:space="preserve"> Tendon Reflexes</w:t>
      </w:r>
      <w:bookmarkEnd w:id="12"/>
    </w:p>
    <w:p w14:paraId="1E86C3D6" w14:textId="77777777" w:rsidR="00987472" w:rsidRDefault="00987472" w:rsidP="00987472">
      <w:pPr>
        <w:spacing w:before="200"/>
        <w:ind w:left="360"/>
      </w:pPr>
      <w:r>
        <w:rPr>
          <w:b/>
        </w:rPr>
        <w:t>Clinical staff</w:t>
      </w:r>
      <w:r>
        <w:t xml:space="preserve"> is recommended to follow the procedural details below:</w:t>
      </w:r>
    </w:p>
    <w:p w14:paraId="1E86C3D7" w14:textId="77777777" w:rsidR="00987472" w:rsidRDefault="00987472" w:rsidP="00987472">
      <w:pPr>
        <w:numPr>
          <w:ilvl w:val="0"/>
          <w:numId w:val="21"/>
        </w:numPr>
        <w:ind w:hanging="360"/>
      </w:pPr>
      <w:r>
        <w:t>Have the participant seated.</w:t>
      </w:r>
    </w:p>
    <w:p w14:paraId="1E86C3D8" w14:textId="77777777" w:rsidR="00987472" w:rsidRDefault="00987472" w:rsidP="00987472">
      <w:pPr>
        <w:numPr>
          <w:ilvl w:val="0"/>
          <w:numId w:val="21"/>
        </w:numPr>
        <w:ind w:hanging="360"/>
      </w:pPr>
      <w:r>
        <w:t>Use one hand to press upward on the ball of the right foot, dorsiflexing the participant’s ankle to 90 degrees.</w:t>
      </w:r>
    </w:p>
    <w:p w14:paraId="1E86C3D9" w14:textId="77777777" w:rsidR="00987472" w:rsidRDefault="00987472" w:rsidP="00987472">
      <w:pPr>
        <w:numPr>
          <w:ilvl w:val="0"/>
          <w:numId w:val="21"/>
        </w:numPr>
        <w:ind w:hanging="360"/>
      </w:pPr>
      <w:r>
        <w:t>Use a reflex hammer to strike the Achilles tendon.</w:t>
      </w:r>
    </w:p>
    <w:p w14:paraId="4E7D6271" w14:textId="3B366870" w:rsidR="00E36575" w:rsidRPr="00E36575" w:rsidRDefault="00E36575" w:rsidP="00E36575">
      <w:pPr>
        <w:tabs>
          <w:tab w:val="left" w:pos="6792"/>
        </w:tabs>
      </w:pPr>
      <w:r>
        <w:tab/>
      </w:r>
    </w:p>
    <w:p w14:paraId="1E86C3DA" w14:textId="77777777" w:rsidR="00987472" w:rsidRDefault="00987472" w:rsidP="00987472">
      <w:pPr>
        <w:numPr>
          <w:ilvl w:val="0"/>
          <w:numId w:val="21"/>
        </w:numPr>
        <w:ind w:hanging="360"/>
      </w:pPr>
      <w:r>
        <w:lastRenderedPageBreak/>
        <w:t>Feel the tendon reflex by hand as a plantar flexion of the foot, appearing after a slight delay from the time the tendon was struck.</w:t>
      </w:r>
    </w:p>
    <w:p w14:paraId="1E86C3DB" w14:textId="77777777" w:rsidR="00987472" w:rsidRDefault="00987472" w:rsidP="00987472">
      <w:pPr>
        <w:numPr>
          <w:ilvl w:val="0"/>
          <w:numId w:val="21"/>
        </w:numPr>
        <w:ind w:hanging="360"/>
      </w:pPr>
      <w:r>
        <w:t>Have the subject clench his/her fists while testing the tendon reflex before classifying the reflex as absent.</w:t>
      </w:r>
    </w:p>
    <w:p w14:paraId="1E86C3DC" w14:textId="77777777" w:rsidR="00987472" w:rsidRDefault="00987472" w:rsidP="00987472">
      <w:pPr>
        <w:numPr>
          <w:ilvl w:val="0"/>
          <w:numId w:val="21"/>
        </w:numPr>
        <w:ind w:hanging="360"/>
      </w:pPr>
      <w:r>
        <w:t>Repeat steps 2 to 5 for the left foot.</w:t>
      </w:r>
    </w:p>
    <w:p w14:paraId="1E86C3DD" w14:textId="77777777" w:rsidR="00987472" w:rsidRDefault="00987472" w:rsidP="00987472">
      <w:pPr>
        <w:ind w:left="360"/>
      </w:pPr>
      <w:r>
        <w:rPr>
          <w:b/>
        </w:rPr>
        <w:t xml:space="preserve">Clinical or research staff </w:t>
      </w:r>
      <w:r>
        <w:t>should complete the BPNS Scoring Sheet to obtain the ankle reflexes score of the participant.</w:t>
      </w:r>
    </w:p>
    <w:p w14:paraId="1E86C3DE" w14:textId="77777777" w:rsidR="00987472" w:rsidRDefault="00987472" w:rsidP="00987472">
      <w:pPr>
        <w:pStyle w:val="Heading3"/>
        <w:numPr>
          <w:ilvl w:val="1"/>
          <w:numId w:val="5"/>
        </w:numPr>
        <w:ind w:left="810" w:hanging="450"/>
      </w:pPr>
      <w:bookmarkStart w:id="13" w:name="_Toc166232780"/>
      <w:r>
        <w:t>Overall BPNS Assessment</w:t>
      </w:r>
      <w:bookmarkEnd w:id="13"/>
    </w:p>
    <w:p w14:paraId="1E86C3DF" w14:textId="77777777" w:rsidR="00987472" w:rsidRDefault="00987472" w:rsidP="00987472">
      <w:pPr>
        <w:pStyle w:val="ListNumber"/>
        <w:numPr>
          <w:ilvl w:val="0"/>
          <w:numId w:val="0"/>
        </w:numPr>
        <w:ind w:left="360"/>
      </w:pPr>
      <w:r w:rsidRPr="00987472">
        <w:rPr>
          <w:b/>
        </w:rPr>
        <w:t>Clinical staff</w:t>
      </w:r>
      <w:r>
        <w:t xml:space="preserve"> should refer to participant’s medical history to check for any changes of peripheral neuropathy findings from baseline. </w:t>
      </w:r>
    </w:p>
    <w:p w14:paraId="1E86C3E0" w14:textId="77777777" w:rsidR="004E3726" w:rsidRPr="004E3726" w:rsidRDefault="004E3726" w:rsidP="004E3726">
      <w:pPr>
        <w:pStyle w:val="Heading3"/>
        <w:numPr>
          <w:ilvl w:val="0"/>
          <w:numId w:val="31"/>
        </w:numPr>
      </w:pPr>
      <w:bookmarkStart w:id="14" w:name="_Toc166232781"/>
      <w:r w:rsidRPr="004E3726">
        <w:t>Reporting BPNS Results</w:t>
      </w:r>
      <w:bookmarkEnd w:id="14"/>
    </w:p>
    <w:p w14:paraId="1E86C3E1" w14:textId="77777777" w:rsidR="004E3726" w:rsidRPr="005E577B" w:rsidRDefault="00597ADF" w:rsidP="005E577B">
      <w:pPr>
        <w:numPr>
          <w:ilvl w:val="0"/>
          <w:numId w:val="32"/>
        </w:numPr>
        <w:spacing w:after="0" w:line="240" w:lineRule="auto"/>
        <w:jc w:val="both"/>
        <w:rPr>
          <w:rFonts w:eastAsia="Times New Roman"/>
          <w:color w:val="auto"/>
        </w:rPr>
      </w:pPr>
      <w:r w:rsidRPr="005E577B">
        <w:rPr>
          <w:color w:val="auto"/>
        </w:rPr>
        <w:t xml:space="preserve">BPNS is a validated procedures for a non-specialist (i.e. TB doctors) to screen for peripheral </w:t>
      </w:r>
      <w:r w:rsidR="0046356C" w:rsidRPr="0047174D">
        <w:rPr>
          <w:color w:val="auto"/>
        </w:rPr>
        <w:t>neuropathy; however it i</w:t>
      </w:r>
      <w:r w:rsidRPr="005E577B">
        <w:rPr>
          <w:color w:val="auto"/>
        </w:rPr>
        <w:t xml:space="preserve">s not a diagnostic tool for neuro-sensory disorders. The BPNS assessment described in this SOP only allows a non-specialist to detect and report event of paresthesia. </w:t>
      </w:r>
      <w:r w:rsidR="008404B6" w:rsidRPr="005E577B">
        <w:rPr>
          <w:rFonts w:eastAsia="Times New Roman"/>
          <w:color w:val="auto"/>
        </w:rPr>
        <w:t xml:space="preserve">TB Doctors and </w:t>
      </w:r>
      <w:r w:rsidR="004E3726" w:rsidRPr="005E577B">
        <w:rPr>
          <w:rFonts w:eastAsia="Times New Roman"/>
          <w:color w:val="auto"/>
        </w:rPr>
        <w:t xml:space="preserve">Specialists </w:t>
      </w:r>
      <w:r w:rsidRPr="005E577B">
        <w:rPr>
          <w:rFonts w:eastAsia="Times New Roman"/>
          <w:color w:val="auto"/>
        </w:rPr>
        <w:t xml:space="preserve">should follow the MSF Severity Grading Scale to </w:t>
      </w:r>
      <w:r w:rsidR="004E3726" w:rsidRPr="005E577B">
        <w:rPr>
          <w:rFonts w:eastAsia="Times New Roman"/>
          <w:color w:val="auto"/>
        </w:rPr>
        <w:t>grade the paresthesia according to subjective symptom score of the BPNS, and use only paresthesia to guide the management of the AE</w:t>
      </w:r>
    </w:p>
    <w:p w14:paraId="1E86C3E3" w14:textId="15CEB72F" w:rsidR="004E3726" w:rsidRPr="00B85CE4" w:rsidRDefault="00597ADF" w:rsidP="00B85CE4">
      <w:pPr>
        <w:numPr>
          <w:ilvl w:val="0"/>
          <w:numId w:val="32"/>
        </w:numPr>
        <w:spacing w:after="0" w:line="240" w:lineRule="auto"/>
        <w:jc w:val="both"/>
        <w:rPr>
          <w:rFonts w:eastAsia="Times New Roman"/>
          <w:color w:val="auto"/>
        </w:rPr>
      </w:pPr>
      <w:r w:rsidRPr="005E577B">
        <w:rPr>
          <w:rFonts w:eastAsia="Times New Roman"/>
          <w:color w:val="auto"/>
        </w:rPr>
        <w:t>BPNS is not a good diagnostic tool to detect other n</w:t>
      </w:r>
      <w:r w:rsidR="004E3726" w:rsidRPr="005E577B">
        <w:rPr>
          <w:rFonts w:eastAsia="Times New Roman"/>
          <w:color w:val="auto"/>
        </w:rPr>
        <w:t>euro-</w:t>
      </w:r>
      <w:r w:rsidRPr="005E577B">
        <w:rPr>
          <w:rFonts w:eastAsia="Times New Roman"/>
          <w:color w:val="auto"/>
        </w:rPr>
        <w:t>s</w:t>
      </w:r>
      <w:r w:rsidR="004E3726" w:rsidRPr="005E577B">
        <w:rPr>
          <w:rFonts w:eastAsia="Times New Roman"/>
          <w:color w:val="auto"/>
        </w:rPr>
        <w:t>ensory disorder</w:t>
      </w:r>
      <w:r w:rsidR="0046356C" w:rsidRPr="005E577B">
        <w:rPr>
          <w:rFonts w:eastAsia="Times New Roman"/>
          <w:color w:val="auto"/>
        </w:rPr>
        <w:t xml:space="preserve">. Thus, a non-specialist should not use the BPNS result to </w:t>
      </w:r>
      <w:r w:rsidR="004E3726" w:rsidRPr="005E577B">
        <w:rPr>
          <w:rFonts w:eastAsia="Times New Roman"/>
          <w:color w:val="auto"/>
        </w:rPr>
        <w:t xml:space="preserve">guide </w:t>
      </w:r>
      <w:r w:rsidR="0046356C" w:rsidRPr="005E577B">
        <w:rPr>
          <w:rFonts w:eastAsia="Times New Roman"/>
          <w:color w:val="auto"/>
        </w:rPr>
        <w:t>any</w:t>
      </w:r>
      <w:r w:rsidR="004E3726" w:rsidRPr="005E577B">
        <w:rPr>
          <w:rFonts w:eastAsia="Times New Roman"/>
          <w:color w:val="auto"/>
        </w:rPr>
        <w:t xml:space="preserve"> AE management</w:t>
      </w:r>
      <w:r w:rsidR="0046356C" w:rsidRPr="005E577B">
        <w:rPr>
          <w:rFonts w:eastAsia="Times New Roman"/>
          <w:color w:val="auto"/>
        </w:rPr>
        <w:t xml:space="preserve"> other than paresthesia.</w:t>
      </w:r>
      <w:r w:rsidR="004E3726" w:rsidRPr="005E577B">
        <w:rPr>
          <w:rFonts w:eastAsia="Times New Roman"/>
          <w:color w:val="auto"/>
        </w:rPr>
        <w:t xml:space="preserve"> </w:t>
      </w:r>
      <w:r w:rsidR="0046356C" w:rsidRPr="005E577B">
        <w:rPr>
          <w:color w:val="auto"/>
        </w:rPr>
        <w:t>The vibration and reflexes components may help informing a non-specialist’s screening of neurological disorders.</w:t>
      </w:r>
      <w:r w:rsidR="0046356C" w:rsidRPr="005E577B">
        <w:rPr>
          <w:rFonts w:eastAsia="Times New Roman"/>
          <w:color w:val="auto"/>
        </w:rPr>
        <w:t xml:space="preserve"> Nonetheless</w:t>
      </w:r>
      <w:r w:rsidR="004E3726" w:rsidRPr="005E577B">
        <w:rPr>
          <w:rFonts w:eastAsia="Times New Roman"/>
          <w:color w:val="auto"/>
        </w:rPr>
        <w:t xml:space="preserve">, the TB doctor </w:t>
      </w:r>
      <w:r w:rsidR="0046356C" w:rsidRPr="005E577B">
        <w:rPr>
          <w:rFonts w:eastAsia="Times New Roman"/>
          <w:color w:val="auto"/>
        </w:rPr>
        <w:t>should</w:t>
      </w:r>
      <w:r w:rsidR="004E3726" w:rsidRPr="005E577B">
        <w:rPr>
          <w:rFonts w:eastAsia="Times New Roman"/>
          <w:color w:val="auto"/>
        </w:rPr>
        <w:t xml:space="preserve"> refer patient</w:t>
      </w:r>
      <w:r w:rsidR="0046356C">
        <w:rPr>
          <w:rFonts w:eastAsia="Times New Roman"/>
          <w:color w:val="auto"/>
        </w:rPr>
        <w:t>s</w:t>
      </w:r>
      <w:r w:rsidR="004E3726" w:rsidRPr="005E577B">
        <w:rPr>
          <w:rFonts w:eastAsia="Times New Roman"/>
          <w:color w:val="auto"/>
        </w:rPr>
        <w:t xml:space="preserve"> to</w:t>
      </w:r>
      <w:r w:rsidR="0046356C">
        <w:rPr>
          <w:rFonts w:eastAsia="Times New Roman"/>
          <w:color w:val="auto"/>
        </w:rPr>
        <w:t xml:space="preserve"> a</w:t>
      </w:r>
      <w:r w:rsidR="004E3726" w:rsidRPr="005E577B">
        <w:rPr>
          <w:rFonts w:eastAsia="Times New Roman"/>
          <w:color w:val="auto"/>
        </w:rPr>
        <w:t xml:space="preserve"> specialist if </w:t>
      </w:r>
      <w:r w:rsidR="0046356C" w:rsidRPr="005E577B">
        <w:rPr>
          <w:rFonts w:eastAsia="Times New Roman"/>
          <w:color w:val="auto"/>
        </w:rPr>
        <w:t>s/</w:t>
      </w:r>
      <w:r w:rsidR="004E3726" w:rsidRPr="005E577B">
        <w:rPr>
          <w:rFonts w:eastAsia="Times New Roman"/>
          <w:color w:val="auto"/>
        </w:rPr>
        <w:t>he detects reduced reflexes or vi</w:t>
      </w:r>
      <w:r w:rsidR="001E0BB5" w:rsidRPr="005E577B">
        <w:rPr>
          <w:rFonts w:eastAsia="Times New Roman"/>
          <w:color w:val="auto"/>
        </w:rPr>
        <w:t xml:space="preserve">bration perception on the BPNS. </w:t>
      </w:r>
    </w:p>
    <w:p w14:paraId="1E86C3E4" w14:textId="77777777" w:rsidR="007B12D1" w:rsidRDefault="000B2C99" w:rsidP="00594465">
      <w:pPr>
        <w:pStyle w:val="Heading2"/>
      </w:pPr>
      <w:bookmarkStart w:id="15" w:name="_Toc166232782"/>
      <w:r>
        <w:t>REFERENCES</w:t>
      </w:r>
      <w:bookmarkEnd w:id="15"/>
    </w:p>
    <w:p w14:paraId="1E86C3E5" w14:textId="77777777" w:rsidR="00987472" w:rsidRDefault="00987472" w:rsidP="00987472">
      <w:pPr>
        <w:pStyle w:val="ListNumber"/>
        <w:numPr>
          <w:ilvl w:val="0"/>
          <w:numId w:val="23"/>
        </w:numPr>
      </w:pPr>
      <w:r>
        <w:t xml:space="preserve">ACTG Brief Peripheral Neuropathy Screening Tool. NIAID Adult AIDS Clinical Trial Group. 2009. </w:t>
      </w:r>
      <w:hyperlink r:id="rId11">
        <w:r>
          <w:rPr>
            <w:color w:val="0000FF"/>
            <w:u w:val="single"/>
          </w:rPr>
          <w:t>http://www.hiv.va.gov/provider/manual-primary-care/peripheral-neuropathy-tool1.asp</w:t>
        </w:r>
      </w:hyperlink>
      <w:r>
        <w:t xml:space="preserve"> </w:t>
      </w:r>
    </w:p>
    <w:p w14:paraId="1E86C3E6" w14:textId="77777777" w:rsidR="007B12D1" w:rsidRDefault="00987472" w:rsidP="00987472">
      <w:pPr>
        <w:pStyle w:val="ListParagraph"/>
        <w:numPr>
          <w:ilvl w:val="0"/>
          <w:numId w:val="23"/>
        </w:numPr>
        <w:spacing w:after="120"/>
      </w:pPr>
      <w:r>
        <w:t xml:space="preserve">Generic Screening Tools for Peripheral Neuropathy, Mood and AIDS Dementia Complex in HIV Positive Individuals. Neurology Working Group of the National Centre in HIV Epidemiology and Clinical Research. 2004. </w:t>
      </w:r>
      <w:hyperlink r:id="rId12">
        <w:r w:rsidRPr="00987472">
          <w:rPr>
            <w:color w:val="0000FF"/>
            <w:u w:val="single"/>
          </w:rPr>
          <w:t>http://kirby.unsw.edu.au/sites/default/files/hiv/attachment/GenScreenTools0904.pdf</w:t>
        </w:r>
      </w:hyperlink>
    </w:p>
    <w:p w14:paraId="1E86C3E7" w14:textId="77777777" w:rsidR="007B12D1" w:rsidRDefault="000B2C99" w:rsidP="00594465">
      <w:pPr>
        <w:pStyle w:val="Heading2"/>
      </w:pPr>
      <w:bookmarkStart w:id="16" w:name="_Toc166232783"/>
      <w:r>
        <w:t>APPENDIX</w:t>
      </w:r>
      <w:bookmarkEnd w:id="16"/>
    </w:p>
    <w:tbl>
      <w:tblPr>
        <w:tblW w:w="93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80"/>
        <w:gridCol w:w="8266"/>
      </w:tblGrid>
      <w:tr w:rsidR="007B12D1" w14:paraId="1E86C3E9" w14:textId="77777777" w:rsidTr="00481AA1">
        <w:tc>
          <w:tcPr>
            <w:tcW w:w="9346" w:type="dxa"/>
            <w:gridSpan w:val="2"/>
            <w:shd w:val="clear" w:color="auto" w:fill="F2F2F2"/>
          </w:tcPr>
          <w:p w14:paraId="1E86C3E8" w14:textId="77777777" w:rsidR="007B12D1" w:rsidRDefault="000B2C99">
            <w:pPr>
              <w:spacing w:before="120" w:after="120"/>
            </w:pPr>
            <w:r>
              <w:rPr>
                <w:b/>
              </w:rPr>
              <w:t>Appendices &amp; Forms for completion</w:t>
            </w:r>
          </w:p>
        </w:tc>
      </w:tr>
      <w:tr w:rsidR="007B12D1" w14:paraId="1E86C3EC" w14:textId="77777777" w:rsidTr="00481AA1">
        <w:tc>
          <w:tcPr>
            <w:tcW w:w="1080" w:type="dxa"/>
            <w:shd w:val="clear" w:color="auto" w:fill="FFFFFF"/>
            <w:vAlign w:val="center"/>
          </w:tcPr>
          <w:p w14:paraId="1E86C3EA" w14:textId="77777777" w:rsidR="007B12D1" w:rsidRDefault="000B2C99">
            <w:pPr>
              <w:spacing w:before="120" w:after="120"/>
              <w:jc w:val="center"/>
            </w:pPr>
            <w:r>
              <w:rPr>
                <w:b/>
              </w:rPr>
              <w:t>Number</w:t>
            </w:r>
          </w:p>
        </w:tc>
        <w:tc>
          <w:tcPr>
            <w:tcW w:w="8266" w:type="dxa"/>
            <w:shd w:val="clear" w:color="auto" w:fill="FFFFFF"/>
          </w:tcPr>
          <w:p w14:paraId="1E86C3EB" w14:textId="77777777" w:rsidR="007B12D1" w:rsidRDefault="000B2C99">
            <w:pPr>
              <w:spacing w:before="120" w:after="120"/>
            </w:pPr>
            <w:r>
              <w:rPr>
                <w:b/>
              </w:rPr>
              <w:t>Title</w:t>
            </w:r>
          </w:p>
        </w:tc>
      </w:tr>
      <w:tr w:rsidR="00987472" w14:paraId="1E86C3EF" w14:textId="77777777" w:rsidTr="00481AA1">
        <w:tc>
          <w:tcPr>
            <w:tcW w:w="1080" w:type="dxa"/>
            <w:tcBorders>
              <w:bottom w:val="single" w:sz="4" w:space="0" w:color="auto"/>
            </w:tcBorders>
            <w:shd w:val="clear" w:color="auto" w:fill="FFFFFF"/>
          </w:tcPr>
          <w:p w14:paraId="1E86C3ED" w14:textId="7A1ADC17" w:rsidR="00987472" w:rsidRPr="00B900B9" w:rsidRDefault="00A05AF2" w:rsidP="001B55D8">
            <w:pPr>
              <w:jc w:val="center"/>
            </w:pPr>
            <w:r>
              <w:lastRenderedPageBreak/>
              <w:t>A</w:t>
            </w:r>
            <w:r w:rsidR="00987472" w:rsidRPr="00B900B9">
              <w:t>1</w:t>
            </w:r>
          </w:p>
        </w:tc>
        <w:tc>
          <w:tcPr>
            <w:tcW w:w="8266" w:type="dxa"/>
            <w:tcBorders>
              <w:bottom w:val="single" w:sz="4" w:space="0" w:color="auto"/>
            </w:tcBorders>
            <w:shd w:val="clear" w:color="auto" w:fill="FFFFFF"/>
          </w:tcPr>
          <w:p w14:paraId="1E86C3EE" w14:textId="77777777" w:rsidR="00987472" w:rsidRDefault="00987472" w:rsidP="00D962AF">
            <w:r w:rsidRPr="00B900B9">
              <w:t>Brief Peripheral Neuropathy Screening Scoring Sheet</w:t>
            </w:r>
          </w:p>
        </w:tc>
      </w:tr>
      <w:tr w:rsidR="00481AA1" w:rsidRPr="00B900B9" w14:paraId="1E86C3F2" w14:textId="77777777" w:rsidTr="00481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80" w:type="dxa"/>
            <w:tcBorders>
              <w:top w:val="single" w:sz="4" w:space="0" w:color="auto"/>
              <w:left w:val="single" w:sz="4" w:space="0" w:color="auto"/>
              <w:bottom w:val="single" w:sz="4" w:space="0" w:color="auto"/>
              <w:right w:val="single" w:sz="4" w:space="0" w:color="auto"/>
            </w:tcBorders>
          </w:tcPr>
          <w:p w14:paraId="1E86C3F0" w14:textId="737A5FFB" w:rsidR="00481AA1" w:rsidRPr="00B900B9" w:rsidRDefault="00A05AF2" w:rsidP="001B55D8">
            <w:pPr>
              <w:jc w:val="center"/>
            </w:pPr>
            <w:r>
              <w:t>A</w:t>
            </w:r>
            <w:r w:rsidR="00481AA1">
              <w:t>2</w:t>
            </w:r>
          </w:p>
        </w:tc>
        <w:tc>
          <w:tcPr>
            <w:tcW w:w="8266" w:type="dxa"/>
            <w:tcBorders>
              <w:top w:val="single" w:sz="4" w:space="0" w:color="auto"/>
              <w:left w:val="single" w:sz="4" w:space="0" w:color="auto"/>
              <w:bottom w:val="single" w:sz="4" w:space="0" w:color="auto"/>
              <w:right w:val="single" w:sz="4" w:space="0" w:color="auto"/>
            </w:tcBorders>
          </w:tcPr>
          <w:p w14:paraId="1E86C3F1" w14:textId="77777777" w:rsidR="00481AA1" w:rsidRPr="00B900B9" w:rsidRDefault="00481AA1" w:rsidP="00684F92">
            <w:r>
              <w:t>Brief Peripheral Neuropathy Screening Guide (from endTB Clinical Guide)</w:t>
            </w:r>
          </w:p>
        </w:tc>
      </w:tr>
    </w:tbl>
    <w:p w14:paraId="1E86C3F3" w14:textId="77777777" w:rsidR="007B12D1" w:rsidRDefault="007B12D1"/>
    <w:sectPr w:rsidR="007B12D1" w:rsidSect="00085362">
      <w:headerReference w:type="default" r:id="rId13"/>
      <w:footerReference w:type="default" r:id="rId14"/>
      <w:pgSz w:w="12240" w:h="1584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E21EE" w14:textId="77777777" w:rsidR="00DD401B" w:rsidRDefault="00DD401B">
      <w:pPr>
        <w:spacing w:after="0" w:line="240" w:lineRule="auto"/>
      </w:pPr>
      <w:r>
        <w:separator/>
      </w:r>
    </w:p>
  </w:endnote>
  <w:endnote w:type="continuationSeparator" w:id="0">
    <w:p w14:paraId="7EBE6F97" w14:textId="77777777" w:rsidR="00DD401B" w:rsidRDefault="00DD401B">
      <w:pPr>
        <w:spacing w:after="0" w:line="240" w:lineRule="auto"/>
      </w:pPr>
      <w:r>
        <w:continuationSeparator/>
      </w:r>
    </w:p>
  </w:endnote>
  <w:endnote w:type="continuationNotice" w:id="1">
    <w:p w14:paraId="2A50D860" w14:textId="77777777" w:rsidR="00DD401B" w:rsidRDefault="00DD40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4C860" w14:textId="6B8DE7D5" w:rsidR="001E2551" w:rsidRDefault="001E2551" w:rsidP="001E2551">
    <w:pPr>
      <w:tabs>
        <w:tab w:val="center" w:pos="4680"/>
        <w:tab w:val="right" w:pos="9360"/>
      </w:tabs>
      <w:spacing w:after="0" w:line="240" w:lineRule="auto"/>
      <w:jc w:val="both"/>
      <w:rPr>
        <w:i/>
        <w:iCs/>
        <w:sz w:val="18"/>
        <w:szCs w:val="18"/>
      </w:rPr>
    </w:pPr>
    <w:r w:rsidRPr="001E2551">
      <w:rPr>
        <w:b/>
        <w:bCs/>
        <w:i/>
        <w:iCs/>
        <w:sz w:val="18"/>
        <w:szCs w:val="18"/>
      </w:rPr>
      <w:t>NOTE:</w:t>
    </w:r>
    <w:r w:rsidRPr="001E2551">
      <w:rPr>
        <w:i/>
        <w:iCs/>
        <w:sz w:val="18"/>
        <w:szCs w:val="18"/>
      </w:rPr>
      <w:t xml:space="preserve"> This work is licensed under the Creative Commons CC BY-SA by the endTB Research Partners. To view a copy of this license, visit: </w:t>
    </w:r>
    <w:hyperlink r:id="rId1" w:history="1">
      <w:r w:rsidRPr="001E2551">
        <w:rPr>
          <w:rStyle w:val="Hyperlink"/>
          <w:i/>
          <w:iCs/>
          <w:sz w:val="18"/>
          <w:szCs w:val="18"/>
        </w:rPr>
        <w:t>https://creativecommons.org/licenses/by-sa/4.0/</w:t>
      </w:r>
    </w:hyperlink>
    <w:r w:rsidRPr="001E2551">
      <w:rPr>
        <w:i/>
        <w:iCs/>
        <w:sz w:val="18"/>
        <w:szCs w:val="18"/>
      </w:rPr>
      <w:t>. More information about this copyright is available in the endTB website</w:t>
    </w:r>
    <w:r w:rsidR="0023403E">
      <w:rPr>
        <w:i/>
        <w:iCs/>
        <w:sz w:val="18"/>
        <w:szCs w:val="18"/>
      </w:rPr>
      <w:t>:</w:t>
    </w:r>
    <w:r w:rsidR="002C2411" w:rsidRPr="002C2411">
      <w:t xml:space="preserve"> </w:t>
    </w:r>
    <w:hyperlink r:id="rId2" w:history="1">
      <w:r w:rsidR="0023403E" w:rsidRPr="00F45F28">
        <w:rPr>
          <w:rStyle w:val="Hyperlink"/>
          <w:i/>
          <w:iCs/>
          <w:sz w:val="18"/>
          <w:szCs w:val="18"/>
        </w:rPr>
        <w:t>https://endtb.org/</w:t>
      </w:r>
    </w:hyperlink>
    <w:r w:rsidRPr="001E2551">
      <w:rPr>
        <w:i/>
        <w:iCs/>
        <w:sz w:val="18"/>
        <w:szCs w:val="18"/>
      </w:rPr>
      <w:t xml:space="preserve"> in the “Toolkit” section.</w:t>
    </w:r>
  </w:p>
  <w:p w14:paraId="69F3FABB" w14:textId="77777777" w:rsidR="001E2551" w:rsidRPr="001E2551" w:rsidRDefault="001E2551" w:rsidP="001E2551">
    <w:pPr>
      <w:tabs>
        <w:tab w:val="center" w:pos="4680"/>
        <w:tab w:val="right" w:pos="9360"/>
      </w:tabs>
      <w:spacing w:after="0" w:line="240" w:lineRule="auto"/>
      <w:jc w:val="both"/>
      <w:rPr>
        <w:i/>
        <w:iCs/>
        <w:sz w:val="18"/>
        <w:szCs w:val="18"/>
      </w:rPr>
    </w:pPr>
  </w:p>
  <w:p w14:paraId="1E86C4C2" w14:textId="6ADEEADB" w:rsidR="000B2C99" w:rsidRDefault="000B2C99" w:rsidP="001E2551">
    <w:pPr>
      <w:tabs>
        <w:tab w:val="center" w:pos="4680"/>
        <w:tab w:val="right" w:pos="9360"/>
      </w:tabs>
      <w:spacing w:after="720" w:line="240" w:lineRule="auto"/>
      <w:jc w:val="center"/>
    </w:pPr>
    <w:r>
      <w:t xml:space="preserve">Page </w:t>
    </w:r>
    <w:r w:rsidRPr="00B85CE4">
      <w:rPr>
        <w:b/>
        <w:bCs/>
      </w:rPr>
      <w:fldChar w:fldCharType="begin"/>
    </w:r>
    <w:r w:rsidRPr="00B85CE4">
      <w:rPr>
        <w:b/>
        <w:bCs/>
      </w:rPr>
      <w:instrText>PAGE</w:instrText>
    </w:r>
    <w:r w:rsidRPr="00B85CE4">
      <w:rPr>
        <w:b/>
        <w:bCs/>
      </w:rPr>
      <w:fldChar w:fldCharType="separate"/>
    </w:r>
    <w:r w:rsidR="005E577B" w:rsidRPr="00B85CE4">
      <w:rPr>
        <w:b/>
        <w:bCs/>
        <w:noProof/>
      </w:rPr>
      <w:t>9</w:t>
    </w:r>
    <w:r w:rsidRPr="00B85CE4">
      <w:rPr>
        <w:b/>
        <w:bCs/>
      </w:rPr>
      <w:fldChar w:fldCharType="end"/>
    </w:r>
    <w:r>
      <w:t xml:space="preserve"> of </w:t>
    </w:r>
    <w:r w:rsidRPr="00B85CE4">
      <w:rPr>
        <w:b/>
        <w:bCs/>
      </w:rPr>
      <w:fldChar w:fldCharType="begin"/>
    </w:r>
    <w:r w:rsidRPr="00B85CE4">
      <w:rPr>
        <w:b/>
        <w:bCs/>
      </w:rPr>
      <w:instrText>NUMPAGES</w:instrText>
    </w:r>
    <w:r w:rsidRPr="00B85CE4">
      <w:rPr>
        <w:b/>
        <w:bCs/>
      </w:rPr>
      <w:fldChar w:fldCharType="separate"/>
    </w:r>
    <w:r w:rsidR="005E577B" w:rsidRPr="00B85CE4">
      <w:rPr>
        <w:b/>
        <w:bCs/>
        <w:noProof/>
      </w:rPr>
      <w:t>9</w:t>
    </w:r>
    <w:r w:rsidRPr="00B85CE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401A0" w14:textId="77777777" w:rsidR="00DD401B" w:rsidRDefault="00DD401B">
      <w:pPr>
        <w:spacing w:after="0" w:line="240" w:lineRule="auto"/>
      </w:pPr>
      <w:r>
        <w:separator/>
      </w:r>
    </w:p>
  </w:footnote>
  <w:footnote w:type="continuationSeparator" w:id="0">
    <w:p w14:paraId="54C9403A" w14:textId="77777777" w:rsidR="00DD401B" w:rsidRDefault="00DD401B">
      <w:pPr>
        <w:spacing w:after="0" w:line="240" w:lineRule="auto"/>
      </w:pPr>
      <w:r>
        <w:continuationSeparator/>
      </w:r>
    </w:p>
  </w:footnote>
  <w:footnote w:type="continuationNotice" w:id="1">
    <w:p w14:paraId="0EBBB08A" w14:textId="77777777" w:rsidR="00DD401B" w:rsidRDefault="00DD40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6C4C1" w14:textId="698A54AD" w:rsidR="000B2C99" w:rsidRPr="00481AA1" w:rsidRDefault="009F2B16">
    <w:pPr>
      <w:tabs>
        <w:tab w:val="center" w:pos="4680"/>
        <w:tab w:val="right" w:pos="9360"/>
      </w:tabs>
      <w:spacing w:before="720" w:after="0" w:line="240" w:lineRule="auto"/>
      <w:rPr>
        <w:b/>
      </w:rPr>
    </w:pPr>
    <w:r>
      <w:rPr>
        <w:noProof/>
      </w:rPr>
      <w:drawing>
        <wp:anchor distT="0" distB="0" distL="114300" distR="114300" simplePos="0" relativeHeight="251658240" behindDoc="0" locked="0" layoutInCell="1" allowOverlap="1" wp14:anchorId="1606F391" wp14:editId="367A1386">
          <wp:simplePos x="0" y="0"/>
          <wp:positionH relativeFrom="column">
            <wp:posOffset>-498475</wp:posOffset>
          </wp:positionH>
          <wp:positionV relativeFrom="paragraph">
            <wp:posOffset>415636</wp:posOffset>
          </wp:positionV>
          <wp:extent cx="498763" cy="308147"/>
          <wp:effectExtent l="0" t="0" r="0" b="0"/>
          <wp:wrapThrough wrapText="bothSides">
            <wp:wrapPolygon edited="0">
              <wp:start x="0" y="0"/>
              <wp:lineTo x="0" y="20041"/>
              <wp:lineTo x="20637" y="20041"/>
              <wp:lineTo x="20637" y="0"/>
              <wp:lineTo x="0" y="0"/>
            </wp:wrapPolygon>
          </wp:wrapThrough>
          <wp:docPr id="613051271" name="Picture 1" descr="C:\Users\m-atger\AppData\Local\Microsoft\Windows\INetCache\Content.Word\endTB_Logo_qu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m-atger\AppData\Local\Microsoft\Windows\INetCache\Content.Word\endTB_Logo_qua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8763" cy="308147"/>
                  </a:xfrm>
                  <a:prstGeom prst="rect">
                    <a:avLst/>
                  </a:prstGeom>
                  <a:noFill/>
                  <a:ln>
                    <a:noFill/>
                  </a:ln>
                </pic:spPr>
              </pic:pic>
            </a:graphicData>
          </a:graphic>
          <wp14:sizeRelH relativeFrom="page">
            <wp14:pctWidth>0</wp14:pctWidth>
          </wp14:sizeRelH>
          <wp14:sizeRelV relativeFrom="page">
            <wp14:pctHeight>0</wp14:pctHeight>
          </wp14:sizeRelV>
        </wp:anchor>
      </w:drawing>
    </w:r>
    <w:r w:rsidR="000B2C99">
      <w:rPr>
        <w:b/>
      </w:rPr>
      <w:t xml:space="preserve">endTB Observational Study &amp; Clinical Trial </w:t>
    </w:r>
    <w:r w:rsidR="000B2C99">
      <w:rPr>
        <w:b/>
      </w:rPr>
      <w:tab/>
    </w:r>
    <w:r w:rsidR="000B2C99">
      <w:rPr>
        <w:b/>
      </w:rPr>
      <w:tab/>
    </w:r>
    <w:r w:rsidR="007622C0">
      <w:rPr>
        <w:b/>
      </w:rPr>
      <w:t>SOP SP-002-ET V</w:t>
    </w:r>
    <w:r w:rsidR="005514D8">
      <w:rPr>
        <w:b/>
      </w:rPr>
      <w:t xml:space="preserve">ersion </w:t>
    </w:r>
    <w:r w:rsidR="005C1D5F">
      <w:rPr>
        <w:b/>
      </w:rPr>
      <w:t>3</w:t>
    </w:r>
    <w:r w:rsidR="00481AA1">
      <w:rPr>
        <w:b/>
      </w:rPr>
      <w:t xml:space="preserve">.0, Date </w:t>
    </w:r>
    <w:r w:rsidR="006F5F92">
      <w:rPr>
        <w:b/>
      </w:rPr>
      <w:t>23</w:t>
    </w:r>
    <w:r w:rsidR="00481AA1">
      <w:rPr>
        <w:b/>
      </w:rPr>
      <w:t>-</w:t>
    </w:r>
    <w:r w:rsidR="005C1D5F">
      <w:rPr>
        <w:b/>
      </w:rPr>
      <w:t>Aug</w:t>
    </w:r>
    <w:r w:rsidR="00481AA1">
      <w:rPr>
        <w:b/>
      </w:rPr>
      <w:t>-201</w:t>
    </w:r>
    <w:r w:rsidR="005C1D5F">
      <w:rPr>
        <w:b/>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69EEF38"/>
    <w:lvl w:ilvl="0">
      <w:start w:val="1"/>
      <w:numFmt w:val="decimal"/>
      <w:lvlText w:val="%1."/>
      <w:lvlJc w:val="left"/>
      <w:pPr>
        <w:tabs>
          <w:tab w:val="num" w:pos="720"/>
        </w:tabs>
        <w:ind w:left="720" w:hanging="360"/>
      </w:pPr>
    </w:lvl>
  </w:abstractNum>
  <w:abstractNum w:abstractNumId="1" w15:restartNumberingAfterBreak="0">
    <w:nsid w:val="FFFFFF88"/>
    <w:multiLevelType w:val="multilevel"/>
    <w:tmpl w:val="E81AE94A"/>
    <w:lvl w:ilvl="0">
      <w:start w:val="1"/>
      <w:numFmt w:val="decimal"/>
      <w:pStyle w:val="ListNumber"/>
      <w:lvlText w:val="%1."/>
      <w:lvlJc w:val="left"/>
      <w:pPr>
        <w:tabs>
          <w:tab w:val="num" w:pos="360"/>
        </w:tabs>
        <w:ind w:left="36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00875E4F"/>
    <w:multiLevelType w:val="multilevel"/>
    <w:tmpl w:val="A92471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8CF14D4"/>
    <w:multiLevelType w:val="multilevel"/>
    <w:tmpl w:val="618A4E3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 w15:restartNumberingAfterBreak="0">
    <w:nsid w:val="0CE7245D"/>
    <w:multiLevelType w:val="multilevel"/>
    <w:tmpl w:val="940C2810"/>
    <w:lvl w:ilvl="0">
      <w:start w:val="1"/>
      <w:numFmt w:val="decimal"/>
      <w:lvlText w:val="%1."/>
      <w:lvlJc w:val="left"/>
      <w:pPr>
        <w:ind w:left="1152" w:firstLine="792"/>
      </w:pPr>
    </w:lvl>
    <w:lvl w:ilvl="1">
      <w:start w:val="1"/>
      <w:numFmt w:val="lowerLetter"/>
      <w:lvlText w:val="%2."/>
      <w:lvlJc w:val="left"/>
      <w:pPr>
        <w:ind w:left="1872" w:firstLine="1512"/>
      </w:pPr>
    </w:lvl>
    <w:lvl w:ilvl="2">
      <w:start w:val="1"/>
      <w:numFmt w:val="lowerRoman"/>
      <w:lvlText w:val="%3."/>
      <w:lvlJc w:val="right"/>
      <w:pPr>
        <w:ind w:left="2592" w:firstLine="2412"/>
      </w:pPr>
    </w:lvl>
    <w:lvl w:ilvl="3">
      <w:start w:val="1"/>
      <w:numFmt w:val="decimal"/>
      <w:lvlText w:val="%4."/>
      <w:lvlJc w:val="left"/>
      <w:pPr>
        <w:ind w:left="3312" w:firstLine="2952"/>
      </w:pPr>
    </w:lvl>
    <w:lvl w:ilvl="4">
      <w:start w:val="1"/>
      <w:numFmt w:val="lowerLetter"/>
      <w:lvlText w:val="%5."/>
      <w:lvlJc w:val="left"/>
      <w:pPr>
        <w:ind w:left="4032" w:firstLine="3672"/>
      </w:pPr>
    </w:lvl>
    <w:lvl w:ilvl="5">
      <w:start w:val="1"/>
      <w:numFmt w:val="lowerRoman"/>
      <w:lvlText w:val="%6."/>
      <w:lvlJc w:val="right"/>
      <w:pPr>
        <w:ind w:left="4752" w:firstLine="4572"/>
      </w:pPr>
    </w:lvl>
    <w:lvl w:ilvl="6">
      <w:start w:val="1"/>
      <w:numFmt w:val="decimal"/>
      <w:lvlText w:val="%7."/>
      <w:lvlJc w:val="left"/>
      <w:pPr>
        <w:ind w:left="5472" w:firstLine="5112"/>
      </w:pPr>
    </w:lvl>
    <w:lvl w:ilvl="7">
      <w:start w:val="1"/>
      <w:numFmt w:val="lowerLetter"/>
      <w:lvlText w:val="%8."/>
      <w:lvlJc w:val="left"/>
      <w:pPr>
        <w:ind w:left="6192" w:firstLine="5832"/>
      </w:pPr>
    </w:lvl>
    <w:lvl w:ilvl="8">
      <w:start w:val="1"/>
      <w:numFmt w:val="lowerRoman"/>
      <w:lvlText w:val="%9."/>
      <w:lvlJc w:val="right"/>
      <w:pPr>
        <w:ind w:left="6912" w:firstLine="6732"/>
      </w:pPr>
    </w:lvl>
  </w:abstractNum>
  <w:abstractNum w:abstractNumId="5" w15:restartNumberingAfterBreak="0">
    <w:nsid w:val="0F50183B"/>
    <w:multiLevelType w:val="multilevel"/>
    <w:tmpl w:val="79DA1AA4"/>
    <w:lvl w:ilvl="0">
      <w:start w:val="1"/>
      <w:numFmt w:val="lowerLetter"/>
      <w:lvlText w:val="%1."/>
      <w:lvlJc w:val="left"/>
      <w:pPr>
        <w:ind w:left="1512" w:firstLine="1152"/>
      </w:pPr>
      <w:rPr>
        <w:sz w:val="22"/>
        <w:szCs w:val="22"/>
      </w:rPr>
    </w:lvl>
    <w:lvl w:ilvl="1">
      <w:start w:val="1"/>
      <w:numFmt w:val="lowerLetter"/>
      <w:lvlText w:val="%2."/>
      <w:lvlJc w:val="left"/>
      <w:pPr>
        <w:ind w:left="2232" w:firstLine="1872"/>
      </w:pPr>
    </w:lvl>
    <w:lvl w:ilvl="2">
      <w:start w:val="1"/>
      <w:numFmt w:val="lowerRoman"/>
      <w:lvlText w:val="%3."/>
      <w:lvlJc w:val="right"/>
      <w:pPr>
        <w:ind w:left="2952" w:firstLine="2772"/>
      </w:pPr>
    </w:lvl>
    <w:lvl w:ilvl="3">
      <w:start w:val="1"/>
      <w:numFmt w:val="decimal"/>
      <w:lvlText w:val="%4."/>
      <w:lvlJc w:val="left"/>
      <w:pPr>
        <w:ind w:left="3672" w:firstLine="3312"/>
      </w:pPr>
    </w:lvl>
    <w:lvl w:ilvl="4">
      <w:start w:val="1"/>
      <w:numFmt w:val="lowerLetter"/>
      <w:lvlText w:val="%5."/>
      <w:lvlJc w:val="left"/>
      <w:pPr>
        <w:ind w:left="4392" w:firstLine="4032"/>
      </w:pPr>
    </w:lvl>
    <w:lvl w:ilvl="5">
      <w:start w:val="1"/>
      <w:numFmt w:val="lowerRoman"/>
      <w:lvlText w:val="%6."/>
      <w:lvlJc w:val="right"/>
      <w:pPr>
        <w:ind w:left="5112" w:firstLine="4932"/>
      </w:pPr>
    </w:lvl>
    <w:lvl w:ilvl="6">
      <w:start w:val="1"/>
      <w:numFmt w:val="decimal"/>
      <w:lvlText w:val="%7."/>
      <w:lvlJc w:val="left"/>
      <w:pPr>
        <w:ind w:left="5832" w:firstLine="5472"/>
      </w:pPr>
    </w:lvl>
    <w:lvl w:ilvl="7">
      <w:start w:val="1"/>
      <w:numFmt w:val="lowerLetter"/>
      <w:lvlText w:val="%8."/>
      <w:lvlJc w:val="left"/>
      <w:pPr>
        <w:ind w:left="6552" w:firstLine="6192"/>
      </w:pPr>
    </w:lvl>
    <w:lvl w:ilvl="8">
      <w:start w:val="1"/>
      <w:numFmt w:val="lowerRoman"/>
      <w:lvlText w:val="%9."/>
      <w:lvlJc w:val="right"/>
      <w:pPr>
        <w:ind w:left="7272" w:firstLine="7092"/>
      </w:pPr>
    </w:lvl>
  </w:abstractNum>
  <w:abstractNum w:abstractNumId="6" w15:restartNumberingAfterBreak="0">
    <w:nsid w:val="11353F0B"/>
    <w:multiLevelType w:val="multilevel"/>
    <w:tmpl w:val="8CCC00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192B454D"/>
    <w:multiLevelType w:val="multilevel"/>
    <w:tmpl w:val="B4BAE6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9726767"/>
    <w:multiLevelType w:val="multilevel"/>
    <w:tmpl w:val="469EA620"/>
    <w:lvl w:ilvl="0">
      <w:start w:val="1"/>
      <w:numFmt w:val="decimal"/>
      <w:lvlText w:val="%1."/>
      <w:lvlJc w:val="left"/>
      <w:pPr>
        <w:ind w:left="2304" w:firstLine="1728"/>
      </w:pPr>
      <w:rPr>
        <w:rFonts w:ascii="Garamond" w:eastAsia="Garamond" w:hAnsi="Garamond" w:cs="Garamond"/>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1C312FBE"/>
    <w:multiLevelType w:val="hybridMultilevel"/>
    <w:tmpl w:val="0188137E"/>
    <w:lvl w:ilvl="0" w:tplc="5094B716">
      <w:start w:val="1"/>
      <w:numFmt w:val="decimal"/>
      <w:lvlText w:val="%1.7"/>
      <w:lvlJc w:val="left"/>
      <w:pPr>
        <w:ind w:left="1440" w:hanging="360"/>
      </w:pPr>
      <w:rPr>
        <w:rFonts w:hint="default"/>
      </w:rPr>
    </w:lvl>
    <w:lvl w:ilvl="1" w:tplc="04090019" w:tentative="1">
      <w:start w:val="1"/>
      <w:numFmt w:val="lowerLetter"/>
      <w:lvlText w:val="%2."/>
      <w:lvlJc w:val="left"/>
      <w:pPr>
        <w:ind w:left="1440" w:hanging="360"/>
      </w:pPr>
    </w:lvl>
    <w:lvl w:ilvl="2" w:tplc="C97AC7FE">
      <w:start w:val="5"/>
      <w:numFmt w:val="decimal"/>
      <w:lvlText w:val="%3.7"/>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06DC1"/>
    <w:multiLevelType w:val="multilevel"/>
    <w:tmpl w:val="BC164C2C"/>
    <w:lvl w:ilvl="0">
      <w:start w:val="1"/>
      <w:numFmt w:val="decimal"/>
      <w:lvlText w:val="%1."/>
      <w:lvlJc w:val="left"/>
      <w:pPr>
        <w:ind w:left="360" w:firstLine="0"/>
      </w:pPr>
    </w:lvl>
    <w:lvl w:ilvl="1">
      <w:start w:val="1"/>
      <w:numFmt w:val="decimal"/>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15:restartNumberingAfterBreak="0">
    <w:nsid w:val="3B417501"/>
    <w:multiLevelType w:val="multilevel"/>
    <w:tmpl w:val="F0CC82C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3FAF6264"/>
    <w:multiLevelType w:val="hybridMultilevel"/>
    <w:tmpl w:val="FE883546"/>
    <w:lvl w:ilvl="0" w:tplc="AF40D6A4">
      <w:start w:val="1"/>
      <w:numFmt w:val="decimal"/>
      <w:lvlText w:val="%1.7"/>
      <w:lvlJc w:val="right"/>
      <w:pPr>
        <w:ind w:left="216" w:firstLine="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BF7337"/>
    <w:multiLevelType w:val="multilevel"/>
    <w:tmpl w:val="A66619E8"/>
    <w:lvl w:ilvl="0">
      <w:start w:val="1"/>
      <w:numFmt w:val="decimal"/>
      <w:lvlText w:val="%1."/>
      <w:lvlJc w:val="left"/>
      <w:pPr>
        <w:ind w:left="1152" w:firstLine="576"/>
      </w:pPr>
      <w:rPr>
        <w:b w:val="0"/>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48F76879"/>
    <w:multiLevelType w:val="multilevel"/>
    <w:tmpl w:val="4C969212"/>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5" w15:restartNumberingAfterBreak="0">
    <w:nsid w:val="4C1F01F5"/>
    <w:multiLevelType w:val="multilevel"/>
    <w:tmpl w:val="5F689ECC"/>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6" w15:restartNumberingAfterBreak="0">
    <w:nsid w:val="4F5C3C8B"/>
    <w:multiLevelType w:val="hybridMultilevel"/>
    <w:tmpl w:val="B54CC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72515D"/>
    <w:multiLevelType w:val="hybridMultilevel"/>
    <w:tmpl w:val="E4E8301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1ED3229"/>
    <w:multiLevelType w:val="multilevel"/>
    <w:tmpl w:val="FC46A2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4A6462"/>
    <w:multiLevelType w:val="hybridMultilevel"/>
    <w:tmpl w:val="BA2812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45F1520"/>
    <w:multiLevelType w:val="multilevel"/>
    <w:tmpl w:val="489CFCBC"/>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15:restartNumberingAfterBreak="0">
    <w:nsid w:val="54B907C0"/>
    <w:multiLevelType w:val="multilevel"/>
    <w:tmpl w:val="19182610"/>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15:restartNumberingAfterBreak="0">
    <w:nsid w:val="573B34B8"/>
    <w:multiLevelType w:val="multilevel"/>
    <w:tmpl w:val="4ABEBE5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3" w15:restartNumberingAfterBreak="0">
    <w:nsid w:val="5A037D13"/>
    <w:multiLevelType w:val="hybridMultilevel"/>
    <w:tmpl w:val="17C439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F285E28"/>
    <w:multiLevelType w:val="multilevel"/>
    <w:tmpl w:val="BB9A8D0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15:restartNumberingAfterBreak="0">
    <w:nsid w:val="633955E5"/>
    <w:multiLevelType w:val="multilevel"/>
    <w:tmpl w:val="0409001D"/>
    <w:lvl w:ilvl="0">
      <w:start w:val="1"/>
      <w:numFmt w:val="decimal"/>
      <w:lvlText w:val="%1)"/>
      <w:lvlJc w:val="left"/>
      <w:pPr>
        <w:ind w:left="1872" w:hanging="360"/>
      </w:pPr>
    </w:lvl>
    <w:lvl w:ilvl="1">
      <w:start w:val="1"/>
      <w:numFmt w:val="lowerLetter"/>
      <w:lvlText w:val="%2)"/>
      <w:lvlJc w:val="left"/>
      <w:pPr>
        <w:ind w:left="2232" w:hanging="360"/>
      </w:pPr>
    </w:lvl>
    <w:lvl w:ilvl="2">
      <w:start w:val="1"/>
      <w:numFmt w:val="lowerRoman"/>
      <w:lvlText w:val="%3)"/>
      <w:lvlJc w:val="left"/>
      <w:pPr>
        <w:ind w:left="2592" w:hanging="360"/>
      </w:pPr>
    </w:lvl>
    <w:lvl w:ilvl="3">
      <w:start w:val="1"/>
      <w:numFmt w:val="decimal"/>
      <w:lvlText w:val="(%4)"/>
      <w:lvlJc w:val="left"/>
      <w:pPr>
        <w:ind w:left="2952" w:hanging="360"/>
      </w:pPr>
    </w:lvl>
    <w:lvl w:ilvl="4">
      <w:start w:val="1"/>
      <w:numFmt w:val="lowerLetter"/>
      <w:lvlText w:val="(%5)"/>
      <w:lvlJc w:val="left"/>
      <w:pPr>
        <w:ind w:left="3312" w:hanging="360"/>
      </w:pPr>
    </w:lvl>
    <w:lvl w:ilvl="5">
      <w:start w:val="1"/>
      <w:numFmt w:val="lowerRoman"/>
      <w:lvlText w:val="(%6)"/>
      <w:lvlJc w:val="left"/>
      <w:pPr>
        <w:ind w:left="3672" w:hanging="360"/>
      </w:pPr>
    </w:lvl>
    <w:lvl w:ilvl="6">
      <w:start w:val="1"/>
      <w:numFmt w:val="decimal"/>
      <w:lvlText w:val="%7."/>
      <w:lvlJc w:val="left"/>
      <w:pPr>
        <w:ind w:left="4032" w:hanging="360"/>
      </w:pPr>
    </w:lvl>
    <w:lvl w:ilvl="7">
      <w:start w:val="1"/>
      <w:numFmt w:val="lowerLetter"/>
      <w:lvlText w:val="%8."/>
      <w:lvlJc w:val="left"/>
      <w:pPr>
        <w:ind w:left="4392" w:hanging="360"/>
      </w:pPr>
    </w:lvl>
    <w:lvl w:ilvl="8">
      <w:start w:val="1"/>
      <w:numFmt w:val="lowerRoman"/>
      <w:lvlText w:val="%9."/>
      <w:lvlJc w:val="left"/>
      <w:pPr>
        <w:ind w:left="4752" w:hanging="360"/>
      </w:pPr>
    </w:lvl>
  </w:abstractNum>
  <w:abstractNum w:abstractNumId="26" w15:restartNumberingAfterBreak="0">
    <w:nsid w:val="69E1265B"/>
    <w:multiLevelType w:val="multilevel"/>
    <w:tmpl w:val="19182610"/>
    <w:lvl w:ilvl="0">
      <w:start w:val="1"/>
      <w:numFmt w:val="decimal"/>
      <w:lvlText w:val="%1."/>
      <w:lvlJc w:val="left"/>
      <w:pPr>
        <w:ind w:left="0" w:firstLine="360"/>
      </w:pPr>
      <w:rPr>
        <w:u w:val="none"/>
      </w:rPr>
    </w:lvl>
    <w:lvl w:ilvl="1">
      <w:start w:val="1"/>
      <w:numFmt w:val="bullet"/>
      <w:lvlText w:val="○"/>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27" w15:restartNumberingAfterBreak="0">
    <w:nsid w:val="6D7E506F"/>
    <w:multiLevelType w:val="multilevel"/>
    <w:tmpl w:val="11C030B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390356C"/>
    <w:multiLevelType w:val="hybridMultilevel"/>
    <w:tmpl w:val="49803DF8"/>
    <w:lvl w:ilvl="0" w:tplc="62109C70">
      <w:start w:val="5"/>
      <w:numFmt w:val="decimal"/>
      <w:lvlText w:val="%1.7"/>
      <w:lvlJc w:val="right"/>
      <w:pPr>
        <w:ind w:left="216"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B13E41"/>
    <w:multiLevelType w:val="multilevel"/>
    <w:tmpl w:val="E6C0157A"/>
    <w:lvl w:ilvl="0">
      <w:start w:val="1"/>
      <w:numFmt w:val="decimal"/>
      <w:lvlText w:val="%1."/>
      <w:lvlJc w:val="left"/>
      <w:pPr>
        <w:ind w:left="1152" w:firstLine="576"/>
      </w:pPr>
      <w:rPr>
        <w:b w:val="0"/>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1778713014">
    <w:abstractNumId w:val="21"/>
  </w:num>
  <w:num w:numId="2" w16cid:durableId="168375668">
    <w:abstractNumId w:val="15"/>
  </w:num>
  <w:num w:numId="3" w16cid:durableId="1668090958">
    <w:abstractNumId w:val="14"/>
  </w:num>
  <w:num w:numId="4" w16cid:durableId="103766400">
    <w:abstractNumId w:val="0"/>
  </w:num>
  <w:num w:numId="5" w16cid:durableId="468717406">
    <w:abstractNumId w:val="1"/>
  </w:num>
  <w:num w:numId="6" w16cid:durableId="1355958002">
    <w:abstractNumId w:val="1"/>
    <w:lvlOverride w:ilvl="0">
      <w:startOverride w:val="1"/>
    </w:lvlOverride>
  </w:num>
  <w:num w:numId="7" w16cid:durableId="2083022459">
    <w:abstractNumId w:val="1"/>
    <w:lvlOverride w:ilvl="0">
      <w:startOverride w:val="1"/>
    </w:lvlOverride>
  </w:num>
  <w:num w:numId="8" w16cid:durableId="1056467210">
    <w:abstractNumId w:val="23"/>
  </w:num>
  <w:num w:numId="9" w16cid:durableId="1562017458">
    <w:abstractNumId w:val="26"/>
  </w:num>
  <w:num w:numId="10" w16cid:durableId="1181775501">
    <w:abstractNumId w:val="19"/>
  </w:num>
  <w:num w:numId="11" w16cid:durableId="1435058364">
    <w:abstractNumId w:val="17"/>
  </w:num>
  <w:num w:numId="12" w16cid:durableId="763460176">
    <w:abstractNumId w:val="8"/>
  </w:num>
  <w:num w:numId="13" w16cid:durableId="1500609993">
    <w:abstractNumId w:val="13"/>
  </w:num>
  <w:num w:numId="14" w16cid:durableId="729695537">
    <w:abstractNumId w:val="5"/>
  </w:num>
  <w:num w:numId="15" w16cid:durableId="1395393513">
    <w:abstractNumId w:val="25"/>
  </w:num>
  <w:num w:numId="16" w16cid:durableId="1768112596">
    <w:abstractNumId w:val="2"/>
  </w:num>
  <w:num w:numId="17" w16cid:durableId="1657955469">
    <w:abstractNumId w:val="7"/>
  </w:num>
  <w:num w:numId="18" w16cid:durableId="494957714">
    <w:abstractNumId w:val="22"/>
  </w:num>
  <w:num w:numId="19" w16cid:durableId="1701978543">
    <w:abstractNumId w:val="29"/>
  </w:num>
  <w:num w:numId="20" w16cid:durableId="204145535">
    <w:abstractNumId w:val="10"/>
  </w:num>
  <w:num w:numId="21" w16cid:durableId="1837914802">
    <w:abstractNumId w:val="4"/>
  </w:num>
  <w:num w:numId="22" w16cid:durableId="1314676394">
    <w:abstractNumId w:val="3"/>
  </w:num>
  <w:num w:numId="23" w16cid:durableId="333605789">
    <w:abstractNumId w:val="16"/>
  </w:num>
  <w:num w:numId="24" w16cid:durableId="89350295">
    <w:abstractNumId w:val="20"/>
  </w:num>
  <w:num w:numId="25" w16cid:durableId="1750537398">
    <w:abstractNumId w:val="11"/>
  </w:num>
  <w:num w:numId="26" w16cid:durableId="561646403">
    <w:abstractNumId w:val="24"/>
  </w:num>
  <w:num w:numId="27" w16cid:durableId="2057075567">
    <w:abstractNumId w:val="6"/>
  </w:num>
  <w:num w:numId="28" w16cid:durableId="837885759">
    <w:abstractNumId w:val="27"/>
  </w:num>
  <w:num w:numId="29" w16cid:durableId="1532918992">
    <w:abstractNumId w:val="9"/>
  </w:num>
  <w:num w:numId="30" w16cid:durableId="167136457">
    <w:abstractNumId w:val="12"/>
  </w:num>
  <w:num w:numId="31" w16cid:durableId="713578995">
    <w:abstractNumId w:val="28"/>
  </w:num>
  <w:num w:numId="32" w16cid:durableId="19601410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2D1"/>
    <w:rsid w:val="0000173A"/>
    <w:rsid w:val="0001755E"/>
    <w:rsid w:val="0004634E"/>
    <w:rsid w:val="00072B26"/>
    <w:rsid w:val="00076BD0"/>
    <w:rsid w:val="00085362"/>
    <w:rsid w:val="000B2C99"/>
    <w:rsid w:val="000B2D5E"/>
    <w:rsid w:val="000C4163"/>
    <w:rsid w:val="000C5176"/>
    <w:rsid w:val="000E31C4"/>
    <w:rsid w:val="000F0506"/>
    <w:rsid w:val="00111499"/>
    <w:rsid w:val="00121B81"/>
    <w:rsid w:val="00126430"/>
    <w:rsid w:val="0015016E"/>
    <w:rsid w:val="00156C86"/>
    <w:rsid w:val="00167DFF"/>
    <w:rsid w:val="00176B08"/>
    <w:rsid w:val="001B0162"/>
    <w:rsid w:val="001B55D8"/>
    <w:rsid w:val="001D310E"/>
    <w:rsid w:val="001D606C"/>
    <w:rsid w:val="001E0BB5"/>
    <w:rsid w:val="001E2551"/>
    <w:rsid w:val="00200910"/>
    <w:rsid w:val="002247A3"/>
    <w:rsid w:val="002271E8"/>
    <w:rsid w:val="0023403E"/>
    <w:rsid w:val="00242217"/>
    <w:rsid w:val="00254329"/>
    <w:rsid w:val="002735E1"/>
    <w:rsid w:val="002915E8"/>
    <w:rsid w:val="002A58B2"/>
    <w:rsid w:val="002C2411"/>
    <w:rsid w:val="002D316D"/>
    <w:rsid w:val="002D7863"/>
    <w:rsid w:val="00360B32"/>
    <w:rsid w:val="00360C74"/>
    <w:rsid w:val="00385256"/>
    <w:rsid w:val="003855B4"/>
    <w:rsid w:val="003D2E79"/>
    <w:rsid w:val="0041244E"/>
    <w:rsid w:val="00416052"/>
    <w:rsid w:val="00424CDC"/>
    <w:rsid w:val="00443652"/>
    <w:rsid w:val="00450532"/>
    <w:rsid w:val="00451D68"/>
    <w:rsid w:val="0046356C"/>
    <w:rsid w:val="0047174D"/>
    <w:rsid w:val="00481AA1"/>
    <w:rsid w:val="00483B9E"/>
    <w:rsid w:val="00495C03"/>
    <w:rsid w:val="004D3D3F"/>
    <w:rsid w:val="004E3726"/>
    <w:rsid w:val="004F389A"/>
    <w:rsid w:val="004F67B0"/>
    <w:rsid w:val="005132C0"/>
    <w:rsid w:val="0053173B"/>
    <w:rsid w:val="00544891"/>
    <w:rsid w:val="005466A7"/>
    <w:rsid w:val="005514D8"/>
    <w:rsid w:val="00594465"/>
    <w:rsid w:val="00597ADF"/>
    <w:rsid w:val="005B58CE"/>
    <w:rsid w:val="005C1D5F"/>
    <w:rsid w:val="005E4B4A"/>
    <w:rsid w:val="005E577B"/>
    <w:rsid w:val="00601255"/>
    <w:rsid w:val="00602F37"/>
    <w:rsid w:val="00613E26"/>
    <w:rsid w:val="00614ED2"/>
    <w:rsid w:val="00622A09"/>
    <w:rsid w:val="00642D8A"/>
    <w:rsid w:val="00650C15"/>
    <w:rsid w:val="00651A91"/>
    <w:rsid w:val="00675C7C"/>
    <w:rsid w:val="006B3567"/>
    <w:rsid w:val="006C6ABA"/>
    <w:rsid w:val="006F5F92"/>
    <w:rsid w:val="00754219"/>
    <w:rsid w:val="007612E5"/>
    <w:rsid w:val="007622C0"/>
    <w:rsid w:val="007B12D1"/>
    <w:rsid w:val="007C6288"/>
    <w:rsid w:val="008019E2"/>
    <w:rsid w:val="0081019E"/>
    <w:rsid w:val="00821EC8"/>
    <w:rsid w:val="00832FED"/>
    <w:rsid w:val="008404B6"/>
    <w:rsid w:val="008615A1"/>
    <w:rsid w:val="008F7E18"/>
    <w:rsid w:val="00910680"/>
    <w:rsid w:val="0092453F"/>
    <w:rsid w:val="00927E91"/>
    <w:rsid w:val="00953826"/>
    <w:rsid w:val="00974C8D"/>
    <w:rsid w:val="00987472"/>
    <w:rsid w:val="009B0CFB"/>
    <w:rsid w:val="009E5C0D"/>
    <w:rsid w:val="009F2B16"/>
    <w:rsid w:val="00A05AF2"/>
    <w:rsid w:val="00A3244B"/>
    <w:rsid w:val="00A63701"/>
    <w:rsid w:val="00AC7113"/>
    <w:rsid w:val="00AD2037"/>
    <w:rsid w:val="00AE7817"/>
    <w:rsid w:val="00B3070B"/>
    <w:rsid w:val="00B3256A"/>
    <w:rsid w:val="00B50B08"/>
    <w:rsid w:val="00B72644"/>
    <w:rsid w:val="00B85CE4"/>
    <w:rsid w:val="00B97C7D"/>
    <w:rsid w:val="00BA1BB2"/>
    <w:rsid w:val="00BC0421"/>
    <w:rsid w:val="00BC35EC"/>
    <w:rsid w:val="00BD728D"/>
    <w:rsid w:val="00BF0915"/>
    <w:rsid w:val="00C04457"/>
    <w:rsid w:val="00C051C8"/>
    <w:rsid w:val="00C27D54"/>
    <w:rsid w:val="00C338A5"/>
    <w:rsid w:val="00C540ED"/>
    <w:rsid w:val="00C777F0"/>
    <w:rsid w:val="00CA4F82"/>
    <w:rsid w:val="00CE2220"/>
    <w:rsid w:val="00CF76BD"/>
    <w:rsid w:val="00D13D81"/>
    <w:rsid w:val="00D65AC7"/>
    <w:rsid w:val="00DB07E3"/>
    <w:rsid w:val="00DB1460"/>
    <w:rsid w:val="00DD401B"/>
    <w:rsid w:val="00DF2FEE"/>
    <w:rsid w:val="00E36575"/>
    <w:rsid w:val="00E4270C"/>
    <w:rsid w:val="00E462B4"/>
    <w:rsid w:val="00E47D97"/>
    <w:rsid w:val="00E56918"/>
    <w:rsid w:val="00E70D60"/>
    <w:rsid w:val="00ED67EF"/>
    <w:rsid w:val="00EF5E73"/>
    <w:rsid w:val="00F7372C"/>
    <w:rsid w:val="00F92CBB"/>
    <w:rsid w:val="00FB7A53"/>
    <w:rsid w:val="00FD2789"/>
    <w:rsid w:val="00FD3923"/>
    <w:rsid w:val="00FF49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86C365"/>
  <w15:docId w15:val="{95464D27-3763-4F3A-A2D2-4D0F928DA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Calibri"/>
        <w:color w:val="000000"/>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594465"/>
    <w:pPr>
      <w:keepNext/>
      <w:keepLines/>
      <w:spacing w:before="120" w:after="120" w:line="240" w:lineRule="auto"/>
      <w:jc w:val="center"/>
      <w:outlineLvl w:val="0"/>
    </w:pPr>
    <w:rPr>
      <w:b/>
      <w:sz w:val="36"/>
      <w:szCs w:val="24"/>
    </w:rPr>
  </w:style>
  <w:style w:type="paragraph" w:styleId="Heading2">
    <w:name w:val="heading 2"/>
    <w:basedOn w:val="ListNumber"/>
    <w:next w:val="Normal"/>
    <w:rsid w:val="00594465"/>
    <w:pPr>
      <w:keepNext/>
      <w:keepLines/>
      <w:spacing w:before="360" w:after="80"/>
      <w:outlineLvl w:val="1"/>
    </w:pPr>
    <w:rPr>
      <w:b/>
      <w:sz w:val="24"/>
      <w:szCs w:val="36"/>
    </w:rPr>
  </w:style>
  <w:style w:type="paragraph" w:styleId="Heading3">
    <w:name w:val="heading 3"/>
    <w:basedOn w:val="Normal"/>
    <w:next w:val="Normal"/>
    <w:rsid w:val="00BF0915"/>
    <w:pPr>
      <w:keepNext/>
      <w:keepLines/>
      <w:spacing w:before="120" w:after="80"/>
      <w:ind w:left="360"/>
      <w:contextualSpacing/>
      <w:outlineLvl w:val="2"/>
    </w:pPr>
    <w:rPr>
      <w:b/>
      <w:i/>
      <w:sz w:val="24"/>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54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0ED"/>
  </w:style>
  <w:style w:type="paragraph" w:styleId="Footer">
    <w:name w:val="footer"/>
    <w:basedOn w:val="Normal"/>
    <w:link w:val="FooterChar"/>
    <w:uiPriority w:val="99"/>
    <w:unhideWhenUsed/>
    <w:rsid w:val="00C54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0ED"/>
  </w:style>
  <w:style w:type="paragraph" w:styleId="ListNumber">
    <w:name w:val="List Number"/>
    <w:basedOn w:val="Normal"/>
    <w:uiPriority w:val="99"/>
    <w:unhideWhenUsed/>
    <w:rsid w:val="00594465"/>
    <w:pPr>
      <w:numPr>
        <w:numId w:val="5"/>
      </w:numPr>
      <w:contextualSpacing/>
    </w:pPr>
  </w:style>
  <w:style w:type="paragraph" w:styleId="ListParagraph">
    <w:name w:val="List Paragraph"/>
    <w:basedOn w:val="Normal"/>
    <w:uiPriority w:val="34"/>
    <w:qFormat/>
    <w:rsid w:val="00BF0915"/>
    <w:pPr>
      <w:ind w:left="720"/>
      <w:contextualSpacing/>
    </w:pPr>
  </w:style>
  <w:style w:type="paragraph" w:styleId="BalloonText">
    <w:name w:val="Balloon Text"/>
    <w:basedOn w:val="Normal"/>
    <w:link w:val="BalloonTextChar"/>
    <w:uiPriority w:val="99"/>
    <w:semiHidden/>
    <w:unhideWhenUsed/>
    <w:rsid w:val="00987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472"/>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Normal1">
    <w:name w:val="Normal1"/>
    <w:uiPriority w:val="99"/>
    <w:rsid w:val="00481AA1"/>
    <w:pPr>
      <w:widowControl w:val="0"/>
      <w:spacing w:before="20" w:after="20" w:line="240" w:lineRule="auto"/>
    </w:pPr>
    <w:rPr>
      <w:rFonts w:ascii="Cambria" w:eastAsia="MS Mincho" w:hAnsi="Cambria" w:cs="Times New Roman"/>
      <w:color w:val="auto"/>
      <w:sz w:val="20"/>
      <w:lang w:eastAsia="en-US"/>
    </w:rPr>
  </w:style>
  <w:style w:type="paragraph" w:styleId="TOCHeading">
    <w:name w:val="TOC Heading"/>
    <w:basedOn w:val="Heading1"/>
    <w:next w:val="Normal"/>
    <w:uiPriority w:val="39"/>
    <w:unhideWhenUsed/>
    <w:qFormat/>
    <w:rsid w:val="002A58B2"/>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eastAsia="en-US"/>
    </w:rPr>
  </w:style>
  <w:style w:type="paragraph" w:styleId="TOC1">
    <w:name w:val="toc 1"/>
    <w:basedOn w:val="Normal"/>
    <w:next w:val="Normal"/>
    <w:autoRedefine/>
    <w:uiPriority w:val="39"/>
    <w:unhideWhenUsed/>
    <w:rsid w:val="002A58B2"/>
    <w:pPr>
      <w:spacing w:after="100"/>
    </w:pPr>
  </w:style>
  <w:style w:type="paragraph" w:styleId="TOC2">
    <w:name w:val="toc 2"/>
    <w:basedOn w:val="Normal"/>
    <w:next w:val="Normal"/>
    <w:autoRedefine/>
    <w:uiPriority w:val="39"/>
    <w:unhideWhenUsed/>
    <w:rsid w:val="002A58B2"/>
    <w:pPr>
      <w:spacing w:after="100"/>
      <w:ind w:left="220"/>
    </w:pPr>
  </w:style>
  <w:style w:type="paragraph" w:styleId="TOC3">
    <w:name w:val="toc 3"/>
    <w:basedOn w:val="Normal"/>
    <w:next w:val="Normal"/>
    <w:autoRedefine/>
    <w:uiPriority w:val="39"/>
    <w:unhideWhenUsed/>
    <w:rsid w:val="00B85CE4"/>
    <w:pPr>
      <w:tabs>
        <w:tab w:val="left" w:pos="851"/>
        <w:tab w:val="right" w:leader="dot" w:pos="9350"/>
      </w:tabs>
      <w:spacing w:after="100"/>
      <w:ind w:left="440"/>
    </w:pPr>
  </w:style>
  <w:style w:type="character" w:styleId="Hyperlink">
    <w:name w:val="Hyperlink"/>
    <w:basedOn w:val="DefaultParagraphFont"/>
    <w:uiPriority w:val="99"/>
    <w:unhideWhenUsed/>
    <w:rsid w:val="002A58B2"/>
    <w:rPr>
      <w:color w:val="0000FF" w:themeColor="hyperlink"/>
      <w:u w:val="single"/>
    </w:rPr>
  </w:style>
  <w:style w:type="paragraph" w:customStyle="1" w:styleId="xmsonormal">
    <w:name w:val="x_msonormal"/>
    <w:basedOn w:val="Normal"/>
    <w:rsid w:val="00D65AC7"/>
    <w:pPr>
      <w:spacing w:after="0" w:line="240" w:lineRule="auto"/>
    </w:pPr>
    <w:rPr>
      <w:rFonts w:eastAsiaTheme="minorHAnsi"/>
      <w:color w:val="auto"/>
      <w:lang w:eastAsia="en-US"/>
    </w:rPr>
  </w:style>
  <w:style w:type="character" w:styleId="UnresolvedMention">
    <w:name w:val="Unresolved Mention"/>
    <w:basedOn w:val="DefaultParagraphFont"/>
    <w:uiPriority w:val="99"/>
    <w:semiHidden/>
    <w:unhideWhenUsed/>
    <w:rsid w:val="00412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670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kirby.unsw.edu.au/sites/default/files/hiv/attachment/GenScreenTools0904.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v.va.gov/provider/manual-primary-care/peripheral-neuropathy-tool1.as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endtb.org/" TargetMode="External"/><Relationship Id="rId1" Type="http://schemas.openxmlformats.org/officeDocument/2006/relationships/hyperlink" Target="https://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725E7E39776844B9FB9FC2FCA9A30F" ma:contentTypeVersion="19" ma:contentTypeDescription="Create a new document." ma:contentTypeScope="" ma:versionID="c3d9697b685b1542fc7077058b23cb70">
  <xsd:schema xmlns:xsd="http://www.w3.org/2001/XMLSchema" xmlns:xs="http://www.w3.org/2001/XMLSchema" xmlns:p="http://schemas.microsoft.com/office/2006/metadata/properties" xmlns:ns2="57d60e0b-bbcc-4e8c-ae17-1bc07bf7b2a6" xmlns:ns3="d1dc8e9d-c2d7-4f1e-a8b8-6d152e0fdc8f" xmlns:ns4="20c1abfa-485b-41c9-a329-38772ca1fd48" targetNamespace="http://schemas.microsoft.com/office/2006/metadata/properties" ma:root="true" ma:fieldsID="0cdfa4d4f9bf0be9626f23f3ee2b05c3" ns2:_="" ns3:_="" ns4:_="">
    <xsd:import namespace="57d60e0b-bbcc-4e8c-ae17-1bc07bf7b2a6"/>
    <xsd:import namespace="d1dc8e9d-c2d7-4f1e-a8b8-6d152e0fdc8f"/>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60e0b-bbcc-4e8c-ae17-1bc07bf7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c8e9d-c2d7-4f1e-a8b8-6d152e0fdc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bb253d-ea17-4998-bf17-f6f2967cd738}" ma:internalName="TaxCatchAll" ma:showField="CatchAllData" ma:web="d1dc8e9d-c2d7-4f1e-a8b8-6d152e0fdc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57d60e0b-bbcc-4e8c-ae17-1bc07bf7b2a6">
      <Terms xmlns="http://schemas.microsoft.com/office/infopath/2007/PartnerControls"/>
    </lcf76f155ced4ddcb4097134ff3c332f>
    <_Flow_SignoffStatus xmlns="57d60e0b-bbcc-4e8c-ae17-1bc07bf7b2a6" xsi:nil="true"/>
    <SharedWithUsers xmlns="d1dc8e9d-c2d7-4f1e-a8b8-6d152e0fdc8f">
      <UserInfo>
        <DisplayName/>
        <AccountId xsi:nil="true"/>
        <AccountType/>
      </UserInfo>
    </SharedWithUsers>
    <MediaLengthInSeconds xmlns="57d60e0b-bbcc-4e8c-ae17-1bc07bf7b2a6" xsi:nil="true"/>
  </documentManagement>
</p:properties>
</file>

<file path=customXml/itemProps1.xml><?xml version="1.0" encoding="utf-8"?>
<ds:datastoreItem xmlns:ds="http://schemas.openxmlformats.org/officeDocument/2006/customXml" ds:itemID="{CAD7F604-487B-422D-8D94-D582038FB439}">
  <ds:schemaRefs>
    <ds:schemaRef ds:uri="http://schemas.openxmlformats.org/officeDocument/2006/bibliography"/>
  </ds:schemaRefs>
</ds:datastoreItem>
</file>

<file path=customXml/itemProps2.xml><?xml version="1.0" encoding="utf-8"?>
<ds:datastoreItem xmlns:ds="http://schemas.openxmlformats.org/officeDocument/2006/customXml" ds:itemID="{652A1444-FC30-4C8D-98E9-150B9C7850F4}">
  <ds:schemaRefs>
    <ds:schemaRef ds:uri="http://schemas.microsoft.com/sharepoint/v3/contenttype/forms"/>
  </ds:schemaRefs>
</ds:datastoreItem>
</file>

<file path=customXml/itemProps3.xml><?xml version="1.0" encoding="utf-8"?>
<ds:datastoreItem xmlns:ds="http://schemas.openxmlformats.org/officeDocument/2006/customXml" ds:itemID="{250A71CA-B2B7-4685-8844-D39A25AAE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60e0b-bbcc-4e8c-ae17-1bc07bf7b2a6"/>
    <ds:schemaRef ds:uri="d1dc8e9d-c2d7-4f1e-a8b8-6d152e0fdc8f"/>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4A50BE-071B-4827-A32E-8B107FD5A1F4}">
  <ds:schemaRefs>
    <ds:schemaRef ds:uri="http://purl.org/dc/terms/"/>
    <ds:schemaRef ds:uri="57d60e0b-bbcc-4e8c-ae17-1bc07bf7b2a6"/>
    <ds:schemaRef ds:uri="http://schemas.microsoft.com/office/2006/documentManagement/types"/>
    <ds:schemaRef ds:uri="http://schemas.microsoft.com/office/2006/metadata/properties"/>
    <ds:schemaRef ds:uri="http://purl.org/dc/elements/1.1/"/>
    <ds:schemaRef ds:uri="20c1abfa-485b-41c9-a329-38772ca1fd48"/>
    <ds:schemaRef ds:uri="http://schemas.microsoft.com/office/infopath/2007/PartnerControls"/>
    <ds:schemaRef ds:uri="http://schemas.openxmlformats.org/package/2006/metadata/core-properties"/>
    <ds:schemaRef ds:uri="d1dc8e9d-c2d7-4f1e-a8b8-6d152e0fdc8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1334</Words>
  <Characters>7610</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SP-002-ET - Brief Peripheral Neuropathy Screening v3_0 Date 23Aug17_clean</dc:title>
  <dc:creator>Chang, Eva</dc:creator>
  <cp:lastModifiedBy>Marhaba Chaudhry</cp:lastModifiedBy>
  <cp:revision>35</cp:revision>
  <cp:lastPrinted>2016-07-28T18:27:00Z</cp:lastPrinted>
  <dcterms:created xsi:type="dcterms:W3CDTF">2017-09-12T20:16:00Z</dcterms:created>
  <dcterms:modified xsi:type="dcterms:W3CDTF">2024-09-02T13:01:00Z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dTBStructureCentral">
    <vt:lpwstr>40;#Site SOPs|7d4ff17d-65e0-4853-b0bb-36c495f043bf</vt:lpwstr>
  </property>
  <property fmtid="{D5CDD505-2E9C-101B-9397-08002B2CF9AE}" pid="3" name="ContentTypeId">
    <vt:lpwstr>0x0101008A725E7E39776844B9FB9FC2FCA9A30F</vt:lpwstr>
  </property>
  <property fmtid="{D5CDD505-2E9C-101B-9397-08002B2CF9AE}" pid="4" name="endTBStructureCountries">
    <vt:lpwstr>6;#N/A|7a4f8743-7bab-4f6a-8a0d-b24596741886</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Order">
    <vt:r8>719200</vt:r8>
  </property>
  <property fmtid="{D5CDD505-2E9C-101B-9397-08002B2CF9AE}" pid="10" name="endTBClinicalTrial">
    <vt:lpwstr>endTB</vt:lpwstr>
  </property>
  <property fmtid="{D5CDD505-2E9C-101B-9397-08002B2CF9AE}" pid="11" name="endTBCountry">
    <vt:lpwstr>Central team</vt:lpwstr>
  </property>
  <property fmtid="{D5CDD505-2E9C-101B-9397-08002B2CF9AE}" pid="12" name="endTBStatusDocument">
    <vt:lpwstr>Final</vt:lpwstr>
  </property>
  <property fmtid="{D5CDD505-2E9C-101B-9397-08002B2CF9AE}" pid="13" name="_ExtendedDescription">
    <vt:lpwstr/>
  </property>
  <property fmtid="{D5CDD505-2E9C-101B-9397-08002B2CF9AE}" pid="14" name="ie6fc752e8314f23b9add3aacdf734e2">
    <vt:lpwstr>Site SOPs|7d4ff17d-65e0-4853-b0bb-36c495f043bf</vt:lpwstr>
  </property>
  <property fmtid="{D5CDD505-2E9C-101B-9397-08002B2CF9AE}" pid="15" name="b133059517bd4b6ba2826fe941cfd2cb">
    <vt:lpwstr>N/A|7a4f8743-7bab-4f6a-8a0d-b24596741886</vt:lpwstr>
  </property>
  <property fmtid="{D5CDD505-2E9C-101B-9397-08002B2CF9AE}" pid="16" name="TriggerFlowInfo">
    <vt:lpwstr/>
  </property>
  <property fmtid="{D5CDD505-2E9C-101B-9397-08002B2CF9AE}" pid="17" name="MediaServiceImageTags">
    <vt:lpwstr/>
  </property>
</Properties>
</file>