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8CCA63" w14:textId="77777777" w:rsidR="007B12D1" w:rsidRDefault="000B2C99" w:rsidP="00594465">
      <w:pPr>
        <w:pStyle w:val="Heading1"/>
      </w:pPr>
      <w:bookmarkStart w:id="0" w:name="_Toc166235839"/>
      <w:bookmarkStart w:id="1" w:name="_Toc180680037"/>
      <w:r>
        <w:t>Standard Operating Procedures for</w:t>
      </w:r>
      <w:bookmarkEnd w:id="0"/>
      <w:bookmarkEnd w:id="1"/>
    </w:p>
    <w:p w14:paraId="733D1925" w14:textId="77777777" w:rsidR="00C540ED" w:rsidRDefault="000B2C99">
      <w:pPr>
        <w:tabs>
          <w:tab w:val="center" w:pos="4680"/>
          <w:tab w:val="right" w:pos="9360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932037">
        <w:rPr>
          <w:b/>
          <w:sz w:val="36"/>
          <w:szCs w:val="36"/>
        </w:rPr>
        <w:t>Visual Acuity Screening</w:t>
      </w:r>
    </w:p>
    <w:p w14:paraId="09FA90D6" w14:textId="77777777" w:rsidR="007B12D1" w:rsidRDefault="000B2C99">
      <w:pPr>
        <w:tabs>
          <w:tab w:val="center" w:pos="4680"/>
          <w:tab w:val="right" w:pos="9360"/>
        </w:tabs>
        <w:spacing w:after="0" w:line="240" w:lineRule="auto"/>
      </w:pPr>
      <w:r>
        <w:rPr>
          <w:b/>
          <w:sz w:val="36"/>
          <w:szCs w:val="36"/>
        </w:rPr>
        <w:tab/>
      </w:r>
    </w:p>
    <w:p w14:paraId="6C9326E6" w14:textId="77777777" w:rsidR="007B12D1" w:rsidRDefault="00E234F2">
      <w:pPr>
        <w:spacing w:after="0"/>
        <w:jc w:val="center"/>
      </w:pPr>
      <w:r>
        <w:tab/>
      </w:r>
    </w:p>
    <w:tbl>
      <w:tblPr>
        <w:tblStyle w:val="a"/>
        <w:tblW w:w="93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8"/>
        <w:gridCol w:w="3258"/>
      </w:tblGrid>
      <w:tr w:rsidR="007B12D1" w14:paraId="0528154B" w14:textId="77777777" w:rsidTr="00BA1BB2">
        <w:tc>
          <w:tcPr>
            <w:tcW w:w="6088" w:type="dxa"/>
            <w:shd w:val="clear" w:color="auto" w:fill="F2F2F2"/>
          </w:tcPr>
          <w:p w14:paraId="6448387E" w14:textId="77777777" w:rsidR="007B12D1" w:rsidRDefault="000B2C99">
            <w:r>
              <w:rPr>
                <w:b/>
                <w:sz w:val="24"/>
                <w:szCs w:val="24"/>
              </w:rPr>
              <w:t>SOP Number</w:t>
            </w:r>
            <w:r w:rsidR="00932037">
              <w:rPr>
                <w:sz w:val="24"/>
                <w:szCs w:val="24"/>
              </w:rPr>
              <w:t>: SP-003</w:t>
            </w:r>
            <w:r>
              <w:rPr>
                <w:sz w:val="24"/>
                <w:szCs w:val="24"/>
              </w:rPr>
              <w:t>-ET</w:t>
            </w:r>
          </w:p>
        </w:tc>
        <w:tc>
          <w:tcPr>
            <w:tcW w:w="3258" w:type="dxa"/>
            <w:shd w:val="clear" w:color="auto" w:fill="F2F2F2"/>
          </w:tcPr>
          <w:p w14:paraId="41AC2C30" w14:textId="0D883C4E" w:rsidR="007B12D1" w:rsidRDefault="000B2C99" w:rsidP="00C80F7A">
            <w:r>
              <w:rPr>
                <w:b/>
                <w:sz w:val="24"/>
                <w:szCs w:val="24"/>
              </w:rPr>
              <w:t>Effective Date</w:t>
            </w:r>
            <w:r>
              <w:rPr>
                <w:sz w:val="24"/>
                <w:szCs w:val="24"/>
              </w:rPr>
              <w:t>:</w:t>
            </w:r>
            <w:r w:rsidR="00237D2B">
              <w:rPr>
                <w:sz w:val="24"/>
                <w:szCs w:val="24"/>
              </w:rPr>
              <w:t xml:space="preserve"> </w:t>
            </w:r>
            <w:r w:rsidR="00C80F7A">
              <w:rPr>
                <w:sz w:val="24"/>
                <w:szCs w:val="24"/>
              </w:rPr>
              <w:t>21-Jan</w:t>
            </w:r>
            <w:r w:rsidR="00237D2B">
              <w:rPr>
                <w:sz w:val="24"/>
                <w:szCs w:val="24"/>
              </w:rPr>
              <w:t>-201</w:t>
            </w:r>
            <w:r w:rsidR="00C80F7A">
              <w:rPr>
                <w:sz w:val="24"/>
                <w:szCs w:val="24"/>
              </w:rPr>
              <w:t>9</w:t>
            </w:r>
          </w:p>
        </w:tc>
      </w:tr>
      <w:tr w:rsidR="007D4738" w14:paraId="4E0A082C" w14:textId="77777777" w:rsidTr="00195E40">
        <w:tc>
          <w:tcPr>
            <w:tcW w:w="9346" w:type="dxa"/>
            <w:gridSpan w:val="2"/>
            <w:shd w:val="clear" w:color="auto" w:fill="F2F2F2"/>
          </w:tcPr>
          <w:p w14:paraId="6DC58847" w14:textId="4A73B6B6" w:rsidR="007D4738" w:rsidRDefault="007D4738" w:rsidP="003E24BD">
            <w:r>
              <w:rPr>
                <w:b/>
                <w:sz w:val="24"/>
                <w:szCs w:val="24"/>
              </w:rPr>
              <w:t>Version Number and Date</w:t>
            </w:r>
            <w:r w:rsidR="00237D2B">
              <w:rPr>
                <w:sz w:val="24"/>
                <w:szCs w:val="24"/>
              </w:rPr>
              <w:t>: 2</w:t>
            </w:r>
            <w:r w:rsidR="00DE5C2B">
              <w:rPr>
                <w:sz w:val="24"/>
                <w:szCs w:val="24"/>
              </w:rPr>
              <w:t>.</w:t>
            </w:r>
            <w:r w:rsidR="00C41B19">
              <w:rPr>
                <w:sz w:val="24"/>
                <w:szCs w:val="24"/>
              </w:rPr>
              <w:t>1</w:t>
            </w:r>
            <w:r w:rsidR="00DE5C2B">
              <w:rPr>
                <w:sz w:val="24"/>
                <w:szCs w:val="24"/>
              </w:rPr>
              <w:t xml:space="preserve">, </w:t>
            </w:r>
            <w:r w:rsidR="00C80F7A">
              <w:rPr>
                <w:sz w:val="24"/>
                <w:szCs w:val="24"/>
              </w:rPr>
              <w:t>12-Dec-2018</w:t>
            </w:r>
          </w:p>
        </w:tc>
      </w:tr>
    </w:tbl>
    <w:p w14:paraId="2AB93F90" w14:textId="77777777" w:rsidR="007B12D1" w:rsidRDefault="007B12D1" w:rsidP="00B259AA">
      <w:pPr>
        <w:spacing w:after="0"/>
      </w:pPr>
    </w:p>
    <w:p w14:paraId="1BF4F08C" w14:textId="77777777" w:rsidR="007B12D1" w:rsidRDefault="007B12D1">
      <w:pPr>
        <w:spacing w:after="0"/>
        <w:jc w:val="center"/>
      </w:pPr>
    </w:p>
    <w:sdt>
      <w:sdtPr>
        <w:rPr>
          <w:rFonts w:ascii="Calibri" w:eastAsia="Calibri" w:hAnsi="Calibri" w:cs="Calibri"/>
          <w:color w:val="000000"/>
          <w:sz w:val="22"/>
          <w:szCs w:val="22"/>
          <w:lang w:eastAsia="zh-TW"/>
        </w:rPr>
        <w:id w:val="14057264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848A9AB" w14:textId="77777777" w:rsidR="00CA4199" w:rsidRDefault="00F81EB9" w:rsidP="00F81EB9">
          <w:pPr>
            <w:pStyle w:val="TOCHeading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F81EB9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Table of contents</w:t>
          </w:r>
        </w:p>
        <w:p w14:paraId="73CA6169" w14:textId="3AAA09D9" w:rsidR="0057110A" w:rsidRDefault="00F81EB9" w:rsidP="00F81EB9">
          <w:pPr>
            <w:pStyle w:val="TOCHeading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770B99D" w14:textId="0AE36A6F" w:rsidR="0057110A" w:rsidRDefault="0057110A">
          <w:pPr>
            <w:pStyle w:val="TOC2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0680040" w:history="1">
            <w:r w:rsidRPr="000822EE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0822EE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_Toc180680040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D85EA" w14:textId="790715DE" w:rsidR="0057110A" w:rsidRDefault="0057110A">
          <w:pPr>
            <w:pStyle w:val="TOC2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0680041" w:history="1">
            <w:r w:rsidRPr="000822EE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0822EE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_Toc180680041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73F99" w14:textId="1F4C0A1A" w:rsidR="0057110A" w:rsidRDefault="0057110A">
          <w:pPr>
            <w:pStyle w:val="TOC2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0680042" w:history="1">
            <w:r w:rsidRPr="000822EE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0822EE">
              <w:rPr>
                <w:rStyle w:val="Hyperlink"/>
                <w:noProof/>
              </w:rPr>
              <w:t>RESPONSIBLE FUNCTIONS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_Toc180680042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F7F09" w14:textId="1BE32F14" w:rsidR="0057110A" w:rsidRDefault="0057110A">
          <w:pPr>
            <w:pStyle w:val="TOC2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0680043" w:history="1">
            <w:r w:rsidRPr="000822EE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0822EE">
              <w:rPr>
                <w:rStyle w:val="Hyperlink"/>
                <w:noProof/>
              </w:rPr>
              <w:t>DEFINITIONS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_Toc180680043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96DCB" w14:textId="54FA6EA1" w:rsidR="0057110A" w:rsidRDefault="0057110A">
          <w:pPr>
            <w:pStyle w:val="TOC2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0680044" w:history="1">
            <w:r w:rsidRPr="000822EE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0822EE">
              <w:rPr>
                <w:rStyle w:val="Hyperlink"/>
                <w:noProof/>
              </w:rPr>
              <w:t>PROCEDURE: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_Toc180680044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5AFFB" w14:textId="73D2A6EA" w:rsidR="0057110A" w:rsidRDefault="0057110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0680045" w:history="1">
            <w:r w:rsidRPr="000822EE">
              <w:rPr>
                <w:rStyle w:val="Hyperlink"/>
                <w:noProof/>
              </w:rPr>
              <w:t>5.1. Materials Needed for Visual Acuity Screening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_Toc180680045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D029B" w14:textId="1DD08B83" w:rsidR="0057110A" w:rsidRDefault="0057110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0680046" w:history="1">
            <w:r w:rsidRPr="000822EE">
              <w:rPr>
                <w:rStyle w:val="Hyperlink"/>
                <w:noProof/>
              </w:rPr>
              <w:t>5.2. Preparation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_Toc180680046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9D228" w14:textId="4448C50B" w:rsidR="0057110A" w:rsidRDefault="0057110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0680047" w:history="1">
            <w:r w:rsidRPr="000822EE">
              <w:rPr>
                <w:rStyle w:val="Hyperlink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0822EE">
              <w:rPr>
                <w:rStyle w:val="Hyperlink"/>
                <w:noProof/>
              </w:rPr>
              <w:t>Visual Acuity Screening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_Toc180680047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0228F" w14:textId="7ADEE6EB" w:rsidR="0057110A" w:rsidRDefault="0057110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0680048" w:history="1">
            <w:r w:rsidRPr="000822EE">
              <w:rPr>
                <w:rStyle w:val="Hyperlink"/>
                <w:noProof/>
              </w:rPr>
              <w:t>5.4.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0822EE">
              <w:rPr>
                <w:rStyle w:val="Hyperlink"/>
                <w:noProof/>
              </w:rPr>
              <w:t>Visual Acuity Result Interpretation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_Toc180680048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A97D2" w14:textId="45961B30" w:rsidR="0057110A" w:rsidRDefault="0057110A">
          <w:pPr>
            <w:pStyle w:val="TOC2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0680049" w:history="1">
            <w:r w:rsidRPr="000822EE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0822EE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_Toc180680049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F4541" w14:textId="747D2FBD" w:rsidR="0057110A" w:rsidRDefault="0057110A">
          <w:pPr>
            <w:pStyle w:val="TOC2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0680050" w:history="1">
            <w:r w:rsidRPr="000822EE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0822EE">
              <w:rPr>
                <w:rStyle w:val="Hyperlink"/>
                <w:noProof/>
              </w:rPr>
              <w:t>SUPPORTING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_Toc180680050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0B304" w14:textId="4AAE89FA" w:rsidR="0057110A" w:rsidRDefault="0057110A">
          <w:pPr>
            <w:pStyle w:val="TOC2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0680051" w:history="1">
            <w:r w:rsidRPr="000822EE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0822EE">
              <w:rPr>
                <w:rStyle w:val="Hyperlink"/>
                <w:noProof/>
              </w:rPr>
              <w:t>APPENDIX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_Toc180680051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30F35" w14:textId="77777777" w:rsidR="00F81EB9" w:rsidRDefault="00F81EB9" w:rsidP="00F81EB9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EBCE3A8" w14:textId="4C22D99C" w:rsidR="007B12D1" w:rsidRDefault="000B2C99" w:rsidP="00F81EB9">
      <w:r>
        <w:br w:type="page"/>
      </w:r>
    </w:p>
    <w:p w14:paraId="0DF5FAA3" w14:textId="4FE564E3" w:rsidR="00BC35EC" w:rsidRPr="00594465" w:rsidRDefault="006B12C0" w:rsidP="00594465">
      <w:pPr>
        <w:pStyle w:val="Heading1"/>
      </w:pPr>
      <w:bookmarkStart w:id="2" w:name="_Toc166235840"/>
      <w:bookmarkStart w:id="3" w:name="_Toc180680038"/>
      <w:r>
        <w:lastRenderedPageBreak/>
        <w:t>Standard Operating Procedure</w:t>
      </w:r>
      <w:r w:rsidR="000B2C99" w:rsidRPr="00594465">
        <w:t xml:space="preserve"> for</w:t>
      </w:r>
      <w:bookmarkEnd w:id="2"/>
      <w:bookmarkEnd w:id="3"/>
    </w:p>
    <w:p w14:paraId="309D01AD" w14:textId="77777777" w:rsidR="007B12D1" w:rsidRPr="00594465" w:rsidRDefault="00932037" w:rsidP="00594465">
      <w:pPr>
        <w:pStyle w:val="Heading1"/>
      </w:pPr>
      <w:bookmarkStart w:id="4" w:name="_Toc166235841"/>
      <w:bookmarkStart w:id="5" w:name="_Toc180680039"/>
      <w:r>
        <w:t>Visual Acuity Screening</w:t>
      </w:r>
      <w:bookmarkEnd w:id="4"/>
      <w:bookmarkEnd w:id="5"/>
    </w:p>
    <w:p w14:paraId="1256281C" w14:textId="77777777" w:rsidR="00594465" w:rsidRDefault="00594465" w:rsidP="00BC35EC">
      <w:pPr>
        <w:spacing w:after="0" w:line="240" w:lineRule="auto"/>
        <w:jc w:val="center"/>
      </w:pPr>
    </w:p>
    <w:p w14:paraId="0E4D80FC" w14:textId="77777777" w:rsidR="007B12D1" w:rsidRDefault="000B2C99" w:rsidP="00594465">
      <w:pPr>
        <w:pStyle w:val="Heading2"/>
      </w:pPr>
      <w:bookmarkStart w:id="6" w:name="_Toc180680040"/>
      <w:r w:rsidRPr="00594465">
        <w:t>PURPOSE</w:t>
      </w:r>
      <w:bookmarkEnd w:id="6"/>
      <w:r>
        <w:t xml:space="preserve"> </w:t>
      </w:r>
    </w:p>
    <w:tbl>
      <w:tblPr>
        <w:tblStyle w:val="a2"/>
        <w:tblW w:w="93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7B12D1" w14:paraId="6A63EA00" w14:textId="77777777" w:rsidTr="00BA1BB2">
        <w:tc>
          <w:tcPr>
            <w:tcW w:w="9346" w:type="dxa"/>
          </w:tcPr>
          <w:p w14:paraId="4E59E99C" w14:textId="018F6B26" w:rsidR="007B12D1" w:rsidRDefault="00932037" w:rsidP="000B2C99">
            <w:pPr>
              <w:spacing w:before="120" w:after="200"/>
              <w:jc w:val="both"/>
            </w:pPr>
            <w:r>
              <w:t>This standard operating procedure (SOP) describes the procedures for visual acuity screening in the endTB observational study and clinical trial</w:t>
            </w:r>
            <w:r w:rsidR="00435065">
              <w:t>s</w:t>
            </w:r>
            <w:r>
              <w:t xml:space="preserve"> to detect vision problem in participants.</w:t>
            </w:r>
          </w:p>
        </w:tc>
      </w:tr>
    </w:tbl>
    <w:p w14:paraId="1614E429" w14:textId="77777777" w:rsidR="007B12D1" w:rsidRDefault="000B2C99" w:rsidP="00594465">
      <w:pPr>
        <w:pStyle w:val="Heading2"/>
      </w:pPr>
      <w:bookmarkStart w:id="7" w:name="_Toc180680041"/>
      <w:r>
        <w:t>SCOPE</w:t>
      </w:r>
      <w:bookmarkEnd w:id="7"/>
    </w:p>
    <w:tbl>
      <w:tblPr>
        <w:tblStyle w:val="a3"/>
        <w:tblW w:w="93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7B12D1" w14:paraId="1B73CD8C" w14:textId="77777777" w:rsidTr="00BA1BB2">
        <w:tc>
          <w:tcPr>
            <w:tcW w:w="9346" w:type="dxa"/>
          </w:tcPr>
          <w:p w14:paraId="3A81AA6C" w14:textId="5EEC39FB" w:rsidR="007B12D1" w:rsidRDefault="00932037" w:rsidP="000B2C99">
            <w:pPr>
              <w:spacing w:before="120" w:after="200"/>
              <w:jc w:val="both"/>
            </w:pPr>
            <w:r>
              <w:t>This SOP is developed for health care and research professionals conducting visual acuity screening among participants of the endTB observational study and clinical trial</w:t>
            </w:r>
            <w:r w:rsidR="00435065">
              <w:t>s</w:t>
            </w:r>
            <w:r>
              <w:t>.</w:t>
            </w:r>
          </w:p>
        </w:tc>
      </w:tr>
    </w:tbl>
    <w:p w14:paraId="44A1454E" w14:textId="77777777" w:rsidR="007B12D1" w:rsidRDefault="000B2C99" w:rsidP="00594465">
      <w:pPr>
        <w:pStyle w:val="Heading2"/>
      </w:pPr>
      <w:bookmarkStart w:id="8" w:name="_Toc180680042"/>
      <w:r>
        <w:t>RESPONSIBLE FUNCTIONS</w:t>
      </w:r>
      <w:bookmarkEnd w:id="8"/>
    </w:p>
    <w:tbl>
      <w:tblPr>
        <w:tblStyle w:val="a4"/>
        <w:tblW w:w="93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3"/>
        <w:gridCol w:w="7433"/>
      </w:tblGrid>
      <w:tr w:rsidR="007B12D1" w14:paraId="2F2D8176" w14:textId="77777777" w:rsidTr="00BA1BB2">
        <w:trPr>
          <w:trHeight w:val="60"/>
        </w:trPr>
        <w:tc>
          <w:tcPr>
            <w:tcW w:w="1913" w:type="dxa"/>
            <w:shd w:val="clear" w:color="auto" w:fill="F2F2F2"/>
          </w:tcPr>
          <w:p w14:paraId="79ECAC2E" w14:textId="77777777" w:rsidR="007B12D1" w:rsidRDefault="000B2C99">
            <w:pPr>
              <w:spacing w:before="80" w:after="80"/>
            </w:pPr>
            <w:r>
              <w:rPr>
                <w:b/>
              </w:rPr>
              <w:t>Function</w:t>
            </w:r>
          </w:p>
        </w:tc>
        <w:tc>
          <w:tcPr>
            <w:tcW w:w="7433" w:type="dxa"/>
            <w:shd w:val="clear" w:color="auto" w:fill="F2F2F2"/>
            <w:vAlign w:val="center"/>
          </w:tcPr>
          <w:p w14:paraId="079661AB" w14:textId="77777777" w:rsidR="007B12D1" w:rsidRDefault="000B2C99">
            <w:pPr>
              <w:spacing w:before="80" w:after="80"/>
            </w:pPr>
            <w:r>
              <w:rPr>
                <w:b/>
              </w:rPr>
              <w:t>Activities</w:t>
            </w:r>
          </w:p>
        </w:tc>
      </w:tr>
      <w:tr w:rsidR="00932037" w14:paraId="621185CD" w14:textId="77777777" w:rsidTr="00BA1BB2">
        <w:tc>
          <w:tcPr>
            <w:tcW w:w="1913" w:type="dxa"/>
            <w:shd w:val="clear" w:color="auto" w:fill="FFFFFF"/>
          </w:tcPr>
          <w:p w14:paraId="7FCC6960" w14:textId="77777777" w:rsidR="00932037" w:rsidRDefault="00932037" w:rsidP="00195E40">
            <w:pPr>
              <w:spacing w:before="80" w:after="80"/>
            </w:pPr>
            <w:r>
              <w:rPr>
                <w:b/>
              </w:rPr>
              <w:t>Clinical staff</w:t>
            </w:r>
          </w:p>
        </w:tc>
        <w:tc>
          <w:tcPr>
            <w:tcW w:w="7433" w:type="dxa"/>
            <w:shd w:val="clear" w:color="auto" w:fill="FFFFFF"/>
            <w:vAlign w:val="center"/>
          </w:tcPr>
          <w:p w14:paraId="5FF37C16" w14:textId="77777777" w:rsidR="00932037" w:rsidRPr="00932037" w:rsidRDefault="00932037" w:rsidP="00932037">
            <w:pPr>
              <w:numPr>
                <w:ilvl w:val="0"/>
                <w:numId w:val="28"/>
              </w:numPr>
              <w:spacing w:before="80" w:after="80" w:line="240" w:lineRule="auto"/>
              <w:ind w:left="465" w:hanging="360"/>
              <w:contextualSpacing/>
              <w:jc w:val="both"/>
            </w:pPr>
            <w:r w:rsidRPr="00932037">
              <w:t>Prepares visual acuity screening materials and test environment,</w:t>
            </w:r>
          </w:p>
          <w:p w14:paraId="1AEC4DB5" w14:textId="3E89FE73" w:rsidR="00932037" w:rsidRPr="00932037" w:rsidRDefault="00932037" w:rsidP="00932037">
            <w:pPr>
              <w:numPr>
                <w:ilvl w:val="0"/>
                <w:numId w:val="28"/>
              </w:numPr>
              <w:spacing w:before="80" w:after="80" w:line="240" w:lineRule="auto"/>
              <w:ind w:left="465" w:hanging="360"/>
              <w:contextualSpacing/>
              <w:jc w:val="both"/>
            </w:pPr>
            <w:r w:rsidRPr="00932037">
              <w:t xml:space="preserve">Instructs patients on the </w:t>
            </w:r>
            <w:r w:rsidR="00B76A46">
              <w:t xml:space="preserve">visual acuity </w:t>
            </w:r>
            <w:r w:rsidRPr="00932037">
              <w:t>screening procedures,</w:t>
            </w:r>
          </w:p>
          <w:p w14:paraId="766DD9F0" w14:textId="77777777" w:rsidR="00932037" w:rsidRPr="00932037" w:rsidRDefault="00932037" w:rsidP="00932037">
            <w:pPr>
              <w:numPr>
                <w:ilvl w:val="0"/>
                <w:numId w:val="28"/>
              </w:numPr>
              <w:spacing w:before="80" w:after="80" w:line="240" w:lineRule="auto"/>
              <w:ind w:left="465" w:hanging="360"/>
              <w:contextualSpacing/>
              <w:jc w:val="both"/>
            </w:pPr>
            <w:r w:rsidRPr="00932037">
              <w:t>Conducts visual acuity screening,</w:t>
            </w:r>
          </w:p>
          <w:p w14:paraId="6F4ECD70" w14:textId="77777777" w:rsidR="00932037" w:rsidRPr="00932037" w:rsidRDefault="00932037" w:rsidP="00932037">
            <w:pPr>
              <w:numPr>
                <w:ilvl w:val="0"/>
                <w:numId w:val="28"/>
              </w:numPr>
              <w:spacing w:before="80" w:after="80" w:line="240" w:lineRule="auto"/>
              <w:ind w:left="465" w:hanging="360"/>
              <w:contextualSpacing/>
              <w:jc w:val="both"/>
            </w:pPr>
            <w:r w:rsidRPr="00932037">
              <w:t>Interprets visual acuity screening results,</w:t>
            </w:r>
          </w:p>
          <w:p w14:paraId="3D2C2844" w14:textId="77777777" w:rsidR="00932037" w:rsidRPr="00932037" w:rsidRDefault="00932037" w:rsidP="00932037">
            <w:pPr>
              <w:numPr>
                <w:ilvl w:val="0"/>
                <w:numId w:val="28"/>
              </w:numPr>
              <w:spacing w:before="80" w:after="80" w:line="240" w:lineRule="auto"/>
              <w:ind w:left="465" w:hanging="360"/>
              <w:contextualSpacing/>
              <w:jc w:val="both"/>
            </w:pPr>
            <w:r w:rsidRPr="00932037">
              <w:t>Reviews patients’ medical history to detect abnormal changes from baseline.</w:t>
            </w:r>
          </w:p>
        </w:tc>
      </w:tr>
      <w:tr w:rsidR="00932037" w14:paraId="60D04597" w14:textId="77777777" w:rsidTr="00BA1BB2">
        <w:tc>
          <w:tcPr>
            <w:tcW w:w="1913" w:type="dxa"/>
            <w:shd w:val="clear" w:color="auto" w:fill="FFFFFF"/>
          </w:tcPr>
          <w:p w14:paraId="55470627" w14:textId="77777777" w:rsidR="00932037" w:rsidRDefault="00932037" w:rsidP="00195E40">
            <w:pPr>
              <w:spacing w:before="80" w:after="80"/>
            </w:pPr>
            <w:r>
              <w:rPr>
                <w:b/>
              </w:rPr>
              <w:t>Research staff</w:t>
            </w:r>
          </w:p>
        </w:tc>
        <w:tc>
          <w:tcPr>
            <w:tcW w:w="7433" w:type="dxa"/>
            <w:shd w:val="clear" w:color="auto" w:fill="FFFFFF"/>
            <w:vAlign w:val="center"/>
          </w:tcPr>
          <w:p w14:paraId="20C3E99A" w14:textId="77777777" w:rsidR="00932037" w:rsidRPr="00932037" w:rsidRDefault="00932037" w:rsidP="00932037">
            <w:pPr>
              <w:numPr>
                <w:ilvl w:val="0"/>
                <w:numId w:val="28"/>
              </w:numPr>
              <w:spacing w:before="80" w:after="80" w:line="240" w:lineRule="auto"/>
              <w:ind w:left="465" w:hanging="360"/>
              <w:contextualSpacing/>
              <w:jc w:val="both"/>
            </w:pPr>
            <w:r w:rsidRPr="00932037">
              <w:t>Prepares visual acuity screening materials and test environment,</w:t>
            </w:r>
          </w:p>
          <w:p w14:paraId="16E56DD9" w14:textId="7BC40774" w:rsidR="00932037" w:rsidRPr="00932037" w:rsidRDefault="00932037" w:rsidP="00932037">
            <w:pPr>
              <w:numPr>
                <w:ilvl w:val="0"/>
                <w:numId w:val="28"/>
              </w:numPr>
              <w:spacing w:before="80" w:after="80" w:line="240" w:lineRule="auto"/>
              <w:ind w:left="465" w:hanging="360"/>
              <w:contextualSpacing/>
              <w:jc w:val="both"/>
            </w:pPr>
            <w:r w:rsidRPr="00932037">
              <w:t xml:space="preserve">Instructs patients on the </w:t>
            </w:r>
            <w:r w:rsidR="00B76A46">
              <w:t xml:space="preserve">visual acuity </w:t>
            </w:r>
            <w:r w:rsidRPr="00932037">
              <w:t>screening procedures,</w:t>
            </w:r>
          </w:p>
          <w:p w14:paraId="7AB3DA72" w14:textId="77777777" w:rsidR="00932037" w:rsidRPr="00932037" w:rsidRDefault="00932037" w:rsidP="00932037">
            <w:pPr>
              <w:numPr>
                <w:ilvl w:val="0"/>
                <w:numId w:val="28"/>
              </w:numPr>
              <w:spacing w:before="80" w:after="80" w:line="240" w:lineRule="auto"/>
              <w:ind w:left="465" w:hanging="360"/>
              <w:contextualSpacing/>
              <w:jc w:val="both"/>
            </w:pPr>
            <w:r w:rsidRPr="00932037">
              <w:t>Conducts visual acuity screening.</w:t>
            </w:r>
          </w:p>
        </w:tc>
      </w:tr>
    </w:tbl>
    <w:p w14:paraId="1B154521" w14:textId="77777777" w:rsidR="006B12C0" w:rsidRDefault="006B12C0" w:rsidP="006B12C0">
      <w:pPr>
        <w:pStyle w:val="Heading2"/>
        <w:numPr>
          <w:ilvl w:val="0"/>
          <w:numId w:val="0"/>
        </w:numPr>
        <w:ind w:left="360"/>
      </w:pPr>
    </w:p>
    <w:p w14:paraId="02677C5F" w14:textId="77777777" w:rsidR="006B12C0" w:rsidRDefault="006B12C0">
      <w:pPr>
        <w:rPr>
          <w:b/>
          <w:sz w:val="24"/>
          <w:szCs w:val="36"/>
        </w:rPr>
      </w:pPr>
      <w:r>
        <w:br w:type="page"/>
      </w:r>
    </w:p>
    <w:p w14:paraId="310AAD90" w14:textId="1A09BB69" w:rsidR="007B12D1" w:rsidRDefault="000B2C99" w:rsidP="00594465">
      <w:pPr>
        <w:pStyle w:val="Heading2"/>
      </w:pPr>
      <w:bookmarkStart w:id="9" w:name="_Toc180680043"/>
      <w:r>
        <w:lastRenderedPageBreak/>
        <w:t>DEFINITIONS and ABBREVIATIONS</w:t>
      </w:r>
      <w:bookmarkEnd w:id="9"/>
    </w:p>
    <w:p w14:paraId="01B142E2" w14:textId="1912F6C9" w:rsidR="00932037" w:rsidRDefault="00E323CD" w:rsidP="006B12C0">
      <w:pPr>
        <w:pStyle w:val="ListNumber"/>
        <w:numPr>
          <w:ilvl w:val="0"/>
          <w:numId w:val="38"/>
        </w:num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34A4107F" wp14:editId="66761427">
            <wp:simplePos x="0" y="0"/>
            <wp:positionH relativeFrom="column">
              <wp:posOffset>232410</wp:posOffset>
            </wp:positionH>
            <wp:positionV relativeFrom="paragraph">
              <wp:posOffset>252730</wp:posOffset>
            </wp:positionV>
            <wp:extent cx="1466215" cy="1863090"/>
            <wp:effectExtent l="19050" t="19050" r="19685" b="22860"/>
            <wp:wrapTopAndBottom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86309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037">
        <w:rPr>
          <w:b/>
        </w:rPr>
        <w:t xml:space="preserve">Snellen Chart: </w:t>
      </w:r>
      <w:r w:rsidR="00932037">
        <w:t>an eye chart with Roman alphabets used to measure visual acuity</w:t>
      </w:r>
      <w:r>
        <w:t>.</w:t>
      </w:r>
    </w:p>
    <w:p w14:paraId="1B6152CD" w14:textId="7F0C61DA" w:rsidR="007B12D1" w:rsidRDefault="007B12D1" w:rsidP="006B12C0">
      <w:pPr>
        <w:pStyle w:val="ListNumber"/>
        <w:numPr>
          <w:ilvl w:val="0"/>
          <w:numId w:val="0"/>
        </w:numPr>
        <w:ind w:left="360"/>
      </w:pPr>
    </w:p>
    <w:p w14:paraId="2B628BCB" w14:textId="5F4E4582" w:rsidR="006B12C0" w:rsidRPr="006B12C0" w:rsidRDefault="006B12C0" w:rsidP="006B12C0">
      <w:pPr>
        <w:pStyle w:val="ListNumber"/>
        <w:numPr>
          <w:ilvl w:val="0"/>
          <w:numId w:val="38"/>
        </w:numPr>
      </w:pPr>
      <w:bookmarkStart w:id="10" w:name="_Hlk518391654"/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7F446741" wp14:editId="3C594512">
            <wp:simplePos x="0" y="0"/>
            <wp:positionH relativeFrom="column">
              <wp:posOffset>-112395</wp:posOffset>
            </wp:positionH>
            <wp:positionV relativeFrom="paragraph">
              <wp:posOffset>414020</wp:posOffset>
            </wp:positionV>
            <wp:extent cx="2072640" cy="2072640"/>
            <wp:effectExtent l="0" t="0" r="3810" b="3810"/>
            <wp:wrapTopAndBottom/>
            <wp:docPr id="2" name="image03.jpg" descr="http://www.cascadilla.com/eyecharts/tumblingE/images/poster-tumblin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http://www.cascadilla.com/eyecharts/tumblingE/images/poster-tumblingE.jp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Tumbling E Chart</w:t>
      </w:r>
      <w:r>
        <w:t xml:space="preserve">: </w:t>
      </w:r>
      <w:bookmarkEnd w:id="10"/>
      <w:r>
        <w:t>an eye chart used to measure visual acuity among patients who are not familiar with the Roman alphabet or illiterate</w:t>
      </w:r>
      <w:r w:rsidR="00E323CD">
        <w:t>.</w:t>
      </w:r>
    </w:p>
    <w:p w14:paraId="47BB97D5" w14:textId="77777777" w:rsidR="006B12C0" w:rsidRPr="006B12C0" w:rsidRDefault="006B12C0" w:rsidP="006B12C0">
      <w:pPr>
        <w:pStyle w:val="ListNumber"/>
        <w:numPr>
          <w:ilvl w:val="0"/>
          <w:numId w:val="0"/>
        </w:numPr>
        <w:ind w:left="720"/>
      </w:pPr>
    </w:p>
    <w:p w14:paraId="460E00FA" w14:textId="1C96C69D" w:rsidR="006B12C0" w:rsidRDefault="006B12C0" w:rsidP="006B12C0">
      <w:pPr>
        <w:pStyle w:val="ListNumber"/>
        <w:numPr>
          <w:ilvl w:val="0"/>
          <w:numId w:val="38"/>
        </w:numPr>
      </w:pPr>
      <w:r w:rsidRPr="00B76A46">
        <w:rPr>
          <w:b/>
        </w:rPr>
        <w:t>Golovin-</w:t>
      </w:r>
      <w:proofErr w:type="spellStart"/>
      <w:r w:rsidRPr="00B76A46">
        <w:rPr>
          <w:b/>
        </w:rPr>
        <w:t>Sivtsev</w:t>
      </w:r>
      <w:proofErr w:type="spellEnd"/>
      <w:r w:rsidRPr="00B76A46">
        <w:rPr>
          <w:b/>
        </w:rPr>
        <w:t xml:space="preserve"> Chart:</w:t>
      </w:r>
      <w:r>
        <w:t xml:space="preserve">  an eye chart with Cyrillic alphabet used to measure visual acuity</w:t>
      </w:r>
      <w:r w:rsidR="00E323CD">
        <w:t xml:space="preserve"> for literate and illiterate patients.</w:t>
      </w:r>
    </w:p>
    <w:p w14:paraId="464BAB76" w14:textId="100C46EE" w:rsidR="006B12C0" w:rsidRDefault="006B12C0" w:rsidP="006B12C0">
      <w:pPr>
        <w:pStyle w:val="ListNumber"/>
        <w:numPr>
          <w:ilvl w:val="0"/>
          <w:numId w:val="0"/>
        </w:numPr>
        <w:ind w:left="720"/>
      </w:pPr>
      <w:r w:rsidRPr="006B12C0">
        <w:rPr>
          <w:noProof/>
          <w:lang w:val="fr-FR"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2CE4DB2C" wp14:editId="21B80347">
            <wp:simplePos x="0" y="0"/>
            <wp:positionH relativeFrom="column">
              <wp:posOffset>222885</wp:posOffset>
            </wp:positionH>
            <wp:positionV relativeFrom="paragraph">
              <wp:posOffset>214630</wp:posOffset>
            </wp:positionV>
            <wp:extent cx="2332990" cy="1961515"/>
            <wp:effectExtent l="19050" t="19050" r="10160" b="1968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961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23EC9" w14:textId="77777777" w:rsidR="007B12D1" w:rsidRDefault="000B2C99" w:rsidP="00594465">
      <w:pPr>
        <w:pStyle w:val="Heading2"/>
      </w:pPr>
      <w:bookmarkStart w:id="11" w:name="_Toc180680044"/>
      <w:r>
        <w:t>PROCEDURE:</w:t>
      </w:r>
      <w:bookmarkEnd w:id="11"/>
    </w:p>
    <w:p w14:paraId="741FADB0" w14:textId="77777777" w:rsidR="007B12D1" w:rsidRDefault="000B2C99" w:rsidP="00BF0915">
      <w:pPr>
        <w:pStyle w:val="Heading3"/>
      </w:pPr>
      <w:bookmarkStart w:id="12" w:name="_Toc180680045"/>
      <w:r>
        <w:t xml:space="preserve">5.1. </w:t>
      </w:r>
      <w:r w:rsidR="008019E2">
        <w:t>Mater</w:t>
      </w:r>
      <w:r w:rsidR="000E5F65">
        <w:t>ials Needed for Visual Acuity Screening</w:t>
      </w:r>
      <w:bookmarkEnd w:id="12"/>
    </w:p>
    <w:p w14:paraId="7E571EC3" w14:textId="57D99EF9" w:rsidR="007B12D1" w:rsidRPr="00932037" w:rsidRDefault="00740EE8" w:rsidP="00932037">
      <w:pPr>
        <w:numPr>
          <w:ilvl w:val="0"/>
          <w:numId w:val="18"/>
        </w:numPr>
        <w:tabs>
          <w:tab w:val="left" w:pos="1080"/>
        </w:tabs>
        <w:contextualSpacing/>
        <w:rPr>
          <w:b/>
          <w:i/>
        </w:rPr>
      </w:pPr>
      <w:r>
        <w:t xml:space="preserve">6- meter or 3-meter </w:t>
      </w:r>
      <w:r w:rsidR="00DE5C2B">
        <w:t>Snellen chart or Tumbling E C</w:t>
      </w:r>
      <w:r w:rsidR="00932037">
        <w:t>hart</w:t>
      </w:r>
      <w:r w:rsidR="001020A6">
        <w:t>, or 5-meter Golovin-</w:t>
      </w:r>
      <w:proofErr w:type="spellStart"/>
      <w:r w:rsidR="001020A6">
        <w:t>Sivtsev</w:t>
      </w:r>
      <w:proofErr w:type="spellEnd"/>
      <w:r w:rsidR="001020A6">
        <w:t xml:space="preserve"> table</w:t>
      </w:r>
    </w:p>
    <w:p w14:paraId="6F441958" w14:textId="77777777" w:rsidR="007B12D1" w:rsidRDefault="008019E2" w:rsidP="00987472">
      <w:pPr>
        <w:pStyle w:val="Heading3"/>
      </w:pPr>
      <w:bookmarkStart w:id="13" w:name="_Toc180680046"/>
      <w:r>
        <w:t>5.</w:t>
      </w:r>
      <w:r w:rsidR="00987472">
        <w:t xml:space="preserve">2. </w:t>
      </w:r>
      <w:r w:rsidR="00987472" w:rsidRPr="00987472">
        <w:t>Preparation</w:t>
      </w:r>
      <w:bookmarkEnd w:id="13"/>
    </w:p>
    <w:p w14:paraId="228D4493" w14:textId="192C5456" w:rsidR="00932037" w:rsidRDefault="00932037" w:rsidP="00932037">
      <w:pPr>
        <w:tabs>
          <w:tab w:val="left" w:pos="980"/>
        </w:tabs>
        <w:ind w:left="360"/>
        <w:jc w:val="both"/>
      </w:pPr>
      <w:r>
        <w:rPr>
          <w:b/>
        </w:rPr>
        <w:t xml:space="preserve">Clinical and research staff </w:t>
      </w:r>
      <w:r>
        <w:t>should locate a work environment with adequate natural light and mini</w:t>
      </w:r>
      <w:r w:rsidR="006B1421">
        <w:t>mal interruption. A Snellen or Tumbling E C</w:t>
      </w:r>
      <w:r>
        <w:t>hart should be placed</w:t>
      </w:r>
      <w:r w:rsidR="00740EE8">
        <w:t xml:space="preserve"> either</w:t>
      </w:r>
      <w:r>
        <w:t xml:space="preserve"> 20 feet (6 meters)</w:t>
      </w:r>
      <w:r w:rsidR="00740EE8">
        <w:t xml:space="preserve"> or 10 feet (3 meters)</w:t>
      </w:r>
      <w:r>
        <w:t xml:space="preserve"> away from the participant</w:t>
      </w:r>
      <w:r w:rsidR="00740EE8">
        <w:t>, according to the specific chart used</w:t>
      </w:r>
      <w:r>
        <w:t>.</w:t>
      </w:r>
      <w:r w:rsidR="00F81D9F">
        <w:t xml:space="preserve"> </w:t>
      </w:r>
      <w:r>
        <w:t>In a smaller room, the chart may be hung behind the participant’s seat, using mirrors to make it appear in front of you at a simulated distance of 20 feet.</w:t>
      </w:r>
      <w:r w:rsidR="00F81D9F" w:rsidRPr="00F81D9F">
        <w:t xml:space="preserve"> </w:t>
      </w:r>
      <w:r w:rsidR="00F81D9F">
        <w:t>If a Golovin-</w:t>
      </w:r>
      <w:proofErr w:type="spellStart"/>
      <w:r w:rsidR="00F81D9F">
        <w:t>Sivtsev</w:t>
      </w:r>
      <w:proofErr w:type="spellEnd"/>
      <w:r w:rsidR="00F81D9F">
        <w:t xml:space="preserve"> table is used, it should be placed 5 meters away from the participant.</w:t>
      </w:r>
    </w:p>
    <w:p w14:paraId="208C7BC5" w14:textId="77777777" w:rsidR="00932037" w:rsidRDefault="00932037" w:rsidP="00932037">
      <w:pPr>
        <w:tabs>
          <w:tab w:val="left" w:pos="980"/>
        </w:tabs>
        <w:ind w:left="360"/>
        <w:jc w:val="both"/>
      </w:pPr>
      <w:r>
        <w:t xml:space="preserve"> </w:t>
      </w:r>
      <w:r>
        <w:rPr>
          <w:b/>
        </w:rPr>
        <w:t xml:space="preserve">Clinical and research staff </w:t>
      </w:r>
      <w:r>
        <w:t>should ask participants to wear their glasses if needed for the test.</w:t>
      </w:r>
    </w:p>
    <w:p w14:paraId="4874E92A" w14:textId="77777777" w:rsidR="007B12D1" w:rsidRDefault="00932037" w:rsidP="00987472">
      <w:pPr>
        <w:pStyle w:val="Heading3"/>
        <w:numPr>
          <w:ilvl w:val="1"/>
          <w:numId w:val="5"/>
        </w:numPr>
        <w:ind w:left="810" w:hanging="450"/>
      </w:pPr>
      <w:bookmarkStart w:id="14" w:name="_Toc180680047"/>
      <w:r>
        <w:t>Visual Acuity</w:t>
      </w:r>
      <w:r w:rsidR="00987472">
        <w:t xml:space="preserve"> Screening</w:t>
      </w:r>
      <w:bookmarkEnd w:id="14"/>
    </w:p>
    <w:p w14:paraId="4821DDBA" w14:textId="77777777" w:rsidR="00932037" w:rsidRDefault="00932037" w:rsidP="00932037">
      <w:pPr>
        <w:tabs>
          <w:tab w:val="left" w:pos="980"/>
        </w:tabs>
        <w:spacing w:before="200"/>
        <w:ind w:left="360"/>
        <w:jc w:val="both"/>
      </w:pPr>
      <w:r>
        <w:rPr>
          <w:b/>
        </w:rPr>
        <w:t xml:space="preserve">Clinic and research staff </w:t>
      </w:r>
      <w:r>
        <w:t>is recommended to follow the procedural details below:</w:t>
      </w:r>
    </w:p>
    <w:p w14:paraId="564410DF" w14:textId="77777777" w:rsidR="000E5F65" w:rsidRDefault="000E5F65" w:rsidP="000E5F65">
      <w:pPr>
        <w:pStyle w:val="ListParagraph"/>
        <w:numPr>
          <w:ilvl w:val="2"/>
          <w:numId w:val="35"/>
        </w:numPr>
        <w:ind w:left="1080" w:hanging="360"/>
        <w:contextualSpacing w:val="0"/>
      </w:pPr>
      <w:r>
        <w:t xml:space="preserve">Introduce </w:t>
      </w:r>
      <w:proofErr w:type="gramStart"/>
      <w:r>
        <w:t>one’s self</w:t>
      </w:r>
      <w:proofErr w:type="gramEnd"/>
      <w:r>
        <w:t xml:space="preserve"> and verify the subject’s name and date of birth. Subject identifiers must match the clinical chart.</w:t>
      </w:r>
    </w:p>
    <w:p w14:paraId="0C480EDC" w14:textId="77777777" w:rsidR="00932037" w:rsidRDefault="00932037" w:rsidP="000E5F65">
      <w:pPr>
        <w:pStyle w:val="ListParagraph"/>
        <w:numPr>
          <w:ilvl w:val="2"/>
          <w:numId w:val="35"/>
        </w:numPr>
        <w:ind w:left="1080" w:hanging="360"/>
        <w:contextualSpacing w:val="0"/>
      </w:pPr>
      <w:r>
        <w:t>Have the participant seated in the designated work area.</w:t>
      </w:r>
    </w:p>
    <w:p w14:paraId="436ECB37" w14:textId="77777777" w:rsidR="00932037" w:rsidRDefault="00932037" w:rsidP="000E5F65">
      <w:pPr>
        <w:pStyle w:val="ListParagraph"/>
        <w:numPr>
          <w:ilvl w:val="2"/>
          <w:numId w:val="35"/>
        </w:numPr>
        <w:ind w:left="1080" w:hanging="360"/>
        <w:contextualSpacing w:val="0"/>
      </w:pPr>
      <w:r>
        <w:t>Inform the participant of the purpose and the procedures of visual acuity screening.</w:t>
      </w:r>
    </w:p>
    <w:p w14:paraId="0C76C6CA" w14:textId="77777777" w:rsidR="00932037" w:rsidRDefault="00932037" w:rsidP="000E5F65">
      <w:pPr>
        <w:pStyle w:val="ListParagraph"/>
        <w:numPr>
          <w:ilvl w:val="2"/>
          <w:numId w:val="35"/>
        </w:numPr>
        <w:ind w:left="1080" w:hanging="360"/>
        <w:contextualSpacing w:val="0"/>
      </w:pPr>
      <w:r>
        <w:t>Instruct the participant to cover one eye with</w:t>
      </w:r>
      <w:r w:rsidR="00195E40">
        <w:t xml:space="preserve"> an eye </w:t>
      </w:r>
      <w:proofErr w:type="spellStart"/>
      <w:r w:rsidR="00195E40">
        <w:t>occluder</w:t>
      </w:r>
      <w:proofErr w:type="spellEnd"/>
      <w:r w:rsidR="00195E40">
        <w:t xml:space="preserve"> without pressing it; if an eye </w:t>
      </w:r>
      <w:proofErr w:type="spellStart"/>
      <w:r w:rsidR="00195E40">
        <w:t>occluder</w:t>
      </w:r>
      <w:proofErr w:type="spellEnd"/>
      <w:r w:rsidR="00195E40">
        <w:t xml:space="preserve"> is not available, instruct the participant to use</w:t>
      </w:r>
      <w:r>
        <w:t xml:space="preserve"> his/her palm.</w:t>
      </w:r>
    </w:p>
    <w:p w14:paraId="43B4E3A3" w14:textId="77777777" w:rsidR="00932037" w:rsidRDefault="00932037" w:rsidP="000E5F65">
      <w:pPr>
        <w:pStyle w:val="ListParagraph"/>
        <w:numPr>
          <w:ilvl w:val="2"/>
          <w:numId w:val="35"/>
        </w:numPr>
        <w:ind w:left="1080" w:hanging="360"/>
        <w:contextualSpacing w:val="0"/>
      </w:pPr>
      <w:r>
        <w:lastRenderedPageBreak/>
        <w:t>Ask the participant to read aloud the smallest line of letters that he/she can see on the chart</w:t>
      </w:r>
    </w:p>
    <w:p w14:paraId="0D8DBD28" w14:textId="77777777" w:rsidR="00932037" w:rsidRDefault="00932037" w:rsidP="000E5F65">
      <w:pPr>
        <w:pStyle w:val="ListParagraph"/>
        <w:numPr>
          <w:ilvl w:val="2"/>
          <w:numId w:val="35"/>
        </w:numPr>
        <w:ind w:left="1080" w:hanging="360"/>
        <w:contextualSpacing w:val="0"/>
      </w:pPr>
      <w:r>
        <w:t>Repeat steps 4 and 5 for the other eye.</w:t>
      </w:r>
    </w:p>
    <w:p w14:paraId="119E7250" w14:textId="77777777" w:rsidR="00987472" w:rsidRDefault="00932037" w:rsidP="000E5F65">
      <w:pPr>
        <w:pStyle w:val="ListParagraph"/>
        <w:numPr>
          <w:ilvl w:val="2"/>
          <w:numId w:val="35"/>
        </w:numPr>
        <w:ind w:left="1080" w:hanging="360"/>
        <w:contextualSpacing w:val="0"/>
      </w:pPr>
      <w:r>
        <w:t>Record the t</w:t>
      </w:r>
      <w:r w:rsidR="00142070">
        <w:t xml:space="preserve">est score corresponding to the </w:t>
      </w:r>
      <w:r>
        <w:t>smallest line that the patient can read on the chart.</w:t>
      </w:r>
    </w:p>
    <w:p w14:paraId="0694252F" w14:textId="77777777" w:rsidR="00987472" w:rsidRDefault="00932037" w:rsidP="00987472">
      <w:pPr>
        <w:pStyle w:val="Heading3"/>
        <w:numPr>
          <w:ilvl w:val="1"/>
          <w:numId w:val="5"/>
        </w:numPr>
        <w:ind w:left="810" w:hanging="450"/>
      </w:pPr>
      <w:bookmarkStart w:id="15" w:name="_Toc180680048"/>
      <w:r>
        <w:t>Visual Acuity Result Interpretation</w:t>
      </w:r>
      <w:bookmarkEnd w:id="15"/>
    </w:p>
    <w:p w14:paraId="7C631F70" w14:textId="77777777" w:rsidR="00932037" w:rsidRDefault="00932037" w:rsidP="00932037">
      <w:pPr>
        <w:spacing w:before="200"/>
        <w:ind w:left="360"/>
      </w:pPr>
      <w:r>
        <w:rPr>
          <w:b/>
        </w:rPr>
        <w:t>Clinical staff</w:t>
      </w:r>
      <w:r>
        <w:t xml:space="preserve"> will record the visual acuity test score as a fraction:</w:t>
      </w:r>
    </w:p>
    <w:p w14:paraId="01BA01B4" w14:textId="191E22EA" w:rsidR="00932037" w:rsidRDefault="00932037" w:rsidP="00932037">
      <w:pPr>
        <w:numPr>
          <w:ilvl w:val="0"/>
          <w:numId w:val="29"/>
        </w:numPr>
        <w:ind w:hanging="360"/>
      </w:pPr>
      <w:r>
        <w:t>The top number refers to the distance participant sat from the chart.</w:t>
      </w:r>
    </w:p>
    <w:p w14:paraId="57E00D29" w14:textId="77777777" w:rsidR="00932037" w:rsidRDefault="00932037" w:rsidP="00932037">
      <w:pPr>
        <w:numPr>
          <w:ilvl w:val="0"/>
          <w:numId w:val="29"/>
        </w:numPr>
        <w:ind w:hanging="360"/>
      </w:pPr>
      <w:r>
        <w:t xml:space="preserve">The bottom number indicates the distance at which a person with normal eyesight could read the same line the patient correctly read. </w:t>
      </w:r>
    </w:p>
    <w:p w14:paraId="4965D5A2" w14:textId="77777777" w:rsidR="00932037" w:rsidRDefault="00932037" w:rsidP="00932037">
      <w:pPr>
        <w:numPr>
          <w:ilvl w:val="0"/>
          <w:numId w:val="29"/>
        </w:numPr>
        <w:ind w:hanging="360"/>
      </w:pPr>
      <w:r>
        <w:t>If the participant misses 1 or 2 letters on the smallest line that he/she can read, he/she is still considered to have vision equal to that line.</w:t>
      </w:r>
    </w:p>
    <w:p w14:paraId="62C17C5E" w14:textId="03596848" w:rsidR="00932037" w:rsidRDefault="00932037" w:rsidP="00932037">
      <w:pPr>
        <w:numPr>
          <w:ilvl w:val="0"/>
          <w:numId w:val="29"/>
        </w:numPr>
        <w:ind w:hanging="360"/>
      </w:pPr>
      <w:r>
        <w:t xml:space="preserve">A 20/20 result </w:t>
      </w:r>
      <w:r w:rsidR="006B12C0">
        <w:t>with Snellen</w:t>
      </w:r>
      <w:r w:rsidR="00C80F7A">
        <w:t xml:space="preserve"> or Tumbling E</w:t>
      </w:r>
      <w:r w:rsidR="006B12C0">
        <w:t>, or 1.0 with Golovin-</w:t>
      </w:r>
      <w:proofErr w:type="spellStart"/>
      <w:r w:rsidR="006B12C0">
        <w:t>Sivtsev</w:t>
      </w:r>
      <w:proofErr w:type="spellEnd"/>
      <w:r w:rsidR="006B12C0">
        <w:t>, are</w:t>
      </w:r>
      <w:r>
        <w:t xml:space="preserve"> considered normal.  Results less than 20/20</w:t>
      </w:r>
      <w:r w:rsidR="006B12C0">
        <w:t xml:space="preserve"> or 1.0</w:t>
      </w:r>
      <w:r>
        <w:t xml:space="preserve"> will be recorded as abnormal vision.</w:t>
      </w:r>
    </w:p>
    <w:p w14:paraId="33CD1E28" w14:textId="77777777" w:rsidR="00987472" w:rsidRDefault="00932037" w:rsidP="00932037">
      <w:pPr>
        <w:ind w:left="360"/>
      </w:pPr>
      <w:r>
        <w:rPr>
          <w:b/>
        </w:rPr>
        <w:t xml:space="preserve">Clinical staff </w:t>
      </w:r>
      <w:r>
        <w:t>should refer to participant’s medical history to check for any changes of vision acuity from baseline</w:t>
      </w:r>
      <w:r w:rsidR="00820F85">
        <w:t>.</w:t>
      </w:r>
    </w:p>
    <w:p w14:paraId="5F0AAF9C" w14:textId="77777777" w:rsidR="007B12D1" w:rsidRDefault="000B2C99" w:rsidP="00594465">
      <w:pPr>
        <w:pStyle w:val="Heading2"/>
      </w:pPr>
      <w:bookmarkStart w:id="16" w:name="_Toc180680049"/>
      <w:r>
        <w:t>REFERENCES</w:t>
      </w:r>
      <w:bookmarkEnd w:id="16"/>
    </w:p>
    <w:p w14:paraId="37FFCDA9" w14:textId="77777777" w:rsidR="00932037" w:rsidRDefault="00932037" w:rsidP="00932037">
      <w:pPr>
        <w:pStyle w:val="ListNumber"/>
        <w:numPr>
          <w:ilvl w:val="0"/>
          <w:numId w:val="32"/>
        </w:numPr>
      </w:pPr>
      <w:r>
        <w:t xml:space="preserve">Liz Segre. Eye testing – the eye chart and 20/20 vision. All About Vision.com 2015. </w:t>
      </w:r>
      <w:hyperlink r:id="rId14">
        <w:r>
          <w:rPr>
            <w:color w:val="0000FF"/>
            <w:u w:val="single"/>
          </w:rPr>
          <w:t>http://www.allaboutvision.com/eye-test/</w:t>
        </w:r>
      </w:hyperlink>
      <w:r>
        <w:t xml:space="preserve"> </w:t>
      </w:r>
    </w:p>
    <w:p w14:paraId="6B81AC00" w14:textId="77777777" w:rsidR="007B12D1" w:rsidRPr="0013743C" w:rsidRDefault="00932037" w:rsidP="00932037">
      <w:pPr>
        <w:pStyle w:val="ListNumber"/>
        <w:numPr>
          <w:ilvl w:val="0"/>
          <w:numId w:val="32"/>
        </w:numPr>
      </w:pPr>
      <w:r>
        <w:t xml:space="preserve">US National Library of Medicine. Visual Acuity Test. 2013. </w:t>
      </w:r>
      <w:hyperlink r:id="rId15">
        <w:r>
          <w:rPr>
            <w:color w:val="0000FF"/>
            <w:u w:val="single"/>
          </w:rPr>
          <w:t>http://www.nlm.nih.gov/medlineplus/ency/article/003396.htm</w:t>
        </w:r>
      </w:hyperlink>
    </w:p>
    <w:p w14:paraId="06C622BE" w14:textId="4A3ACB79" w:rsidR="00C11A22" w:rsidRDefault="00C11A22" w:rsidP="0013743C">
      <w:pPr>
        <w:pStyle w:val="Heading2"/>
      </w:pPr>
      <w:bookmarkStart w:id="17" w:name="_Toc180680050"/>
      <w:r>
        <w:t>SUPPORTING DOCUMENTS</w:t>
      </w:r>
      <w:bookmarkEnd w:id="17"/>
    </w:p>
    <w:p w14:paraId="0E89742E" w14:textId="4C9CB4BA" w:rsidR="00C11A22" w:rsidRPr="00C11A22" w:rsidRDefault="00C11A22" w:rsidP="00C11A22">
      <w:r>
        <w:t>None</w:t>
      </w:r>
    </w:p>
    <w:p w14:paraId="68B07382" w14:textId="77777777" w:rsidR="0013743C" w:rsidRDefault="0013743C" w:rsidP="0013743C">
      <w:pPr>
        <w:pStyle w:val="Heading2"/>
      </w:pPr>
      <w:bookmarkStart w:id="18" w:name="_Toc180680051"/>
      <w:r>
        <w:t>APPENDIX</w:t>
      </w:r>
      <w:bookmarkEnd w:id="18"/>
    </w:p>
    <w:tbl>
      <w:tblPr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8460"/>
      </w:tblGrid>
      <w:tr w:rsidR="0013743C" w14:paraId="3B97A75E" w14:textId="77777777" w:rsidTr="00195E40">
        <w:tc>
          <w:tcPr>
            <w:tcW w:w="1110" w:type="dxa"/>
            <w:vAlign w:val="center"/>
          </w:tcPr>
          <w:p w14:paraId="01365AFD" w14:textId="77777777" w:rsidR="0013743C" w:rsidRDefault="0013743C" w:rsidP="00195E40">
            <w:pPr>
              <w:spacing w:before="120" w:after="120"/>
              <w:jc w:val="center"/>
            </w:pPr>
            <w:r>
              <w:rPr>
                <w:b/>
              </w:rPr>
              <w:t>Number</w:t>
            </w:r>
          </w:p>
        </w:tc>
        <w:tc>
          <w:tcPr>
            <w:tcW w:w="8460" w:type="dxa"/>
          </w:tcPr>
          <w:p w14:paraId="1D4D5A8D" w14:textId="77777777" w:rsidR="0013743C" w:rsidRDefault="0013743C" w:rsidP="00195E40">
            <w:pPr>
              <w:spacing w:before="120" w:after="120"/>
            </w:pPr>
            <w:r>
              <w:rPr>
                <w:b/>
              </w:rPr>
              <w:t>Title</w:t>
            </w:r>
          </w:p>
        </w:tc>
      </w:tr>
      <w:tr w:rsidR="00834472" w14:paraId="027EB62B" w14:textId="77777777" w:rsidTr="00195E40">
        <w:tc>
          <w:tcPr>
            <w:tcW w:w="1110" w:type="dxa"/>
            <w:vAlign w:val="center"/>
          </w:tcPr>
          <w:p w14:paraId="5BE594B6" w14:textId="6C73C7C6" w:rsidR="00834472" w:rsidRDefault="00B76A46" w:rsidP="007B7505">
            <w:pPr>
              <w:spacing w:before="120" w:after="120"/>
              <w:jc w:val="center"/>
            </w:pPr>
            <w:r>
              <w:t>A</w:t>
            </w:r>
            <w:r w:rsidR="00232360">
              <w:t>1</w:t>
            </w:r>
          </w:p>
        </w:tc>
        <w:tc>
          <w:tcPr>
            <w:tcW w:w="8460" w:type="dxa"/>
          </w:tcPr>
          <w:p w14:paraId="1186FC03" w14:textId="74D37611" w:rsidR="00834472" w:rsidRDefault="001E23F6" w:rsidP="00195E40">
            <w:pPr>
              <w:spacing w:before="120" w:after="120"/>
              <w:rPr>
                <w:b/>
              </w:rPr>
            </w:pPr>
            <w:r w:rsidRPr="001E23F6">
              <w:rPr>
                <w:b/>
              </w:rPr>
              <w:t>Golovin–</w:t>
            </w:r>
            <w:proofErr w:type="spellStart"/>
            <w:r w:rsidRPr="001E23F6">
              <w:rPr>
                <w:b/>
              </w:rPr>
              <w:t>Sivtsev</w:t>
            </w:r>
            <w:proofErr w:type="spellEnd"/>
            <w:r w:rsidRPr="001E23F6">
              <w:rPr>
                <w:b/>
              </w:rPr>
              <w:t xml:space="preserve"> Chart Conversion Table</w:t>
            </w:r>
          </w:p>
        </w:tc>
      </w:tr>
    </w:tbl>
    <w:p w14:paraId="63EA9EC7" w14:textId="77777777" w:rsidR="00232360" w:rsidRDefault="00232360" w:rsidP="00DD36F1">
      <w:pPr>
        <w:pStyle w:val="ListNumber"/>
        <w:numPr>
          <w:ilvl w:val="0"/>
          <w:numId w:val="0"/>
        </w:numPr>
        <w:ind w:left="360" w:hanging="360"/>
        <w:rPr>
          <w:b/>
        </w:rPr>
      </w:pPr>
    </w:p>
    <w:p w14:paraId="5B6C4EB8" w14:textId="77777777" w:rsidR="00232360" w:rsidRDefault="00232360" w:rsidP="00DD36F1">
      <w:pPr>
        <w:pStyle w:val="ListNumber"/>
        <w:numPr>
          <w:ilvl w:val="0"/>
          <w:numId w:val="0"/>
        </w:numPr>
        <w:ind w:left="360" w:hanging="360"/>
        <w:rPr>
          <w:b/>
        </w:rPr>
      </w:pPr>
    </w:p>
    <w:p w14:paraId="157A99FA" w14:textId="3ADA1534" w:rsidR="00462D9C" w:rsidRDefault="00462D9C" w:rsidP="00DD36F1">
      <w:pPr>
        <w:pStyle w:val="ListNumber"/>
        <w:numPr>
          <w:ilvl w:val="0"/>
          <w:numId w:val="0"/>
        </w:numPr>
        <w:ind w:left="360" w:hanging="360"/>
        <w:rPr>
          <w:b/>
        </w:rPr>
      </w:pPr>
      <w:r w:rsidRPr="00B76A46">
        <w:rPr>
          <w:b/>
        </w:rPr>
        <w:lastRenderedPageBreak/>
        <w:t xml:space="preserve">Appendix </w:t>
      </w:r>
      <w:r w:rsidR="00BA568F">
        <w:rPr>
          <w:b/>
        </w:rPr>
        <w:t>1</w:t>
      </w:r>
      <w:r w:rsidRPr="00B76A46">
        <w:rPr>
          <w:b/>
        </w:rPr>
        <w:t xml:space="preserve">. </w:t>
      </w:r>
      <w:r w:rsidR="00DD36F1" w:rsidRPr="00B76A46">
        <w:rPr>
          <w:b/>
        </w:rPr>
        <w:t>Golovin–</w:t>
      </w:r>
      <w:proofErr w:type="spellStart"/>
      <w:r w:rsidR="00DD36F1" w:rsidRPr="00B76A46">
        <w:rPr>
          <w:b/>
        </w:rPr>
        <w:t>Sivtsev</w:t>
      </w:r>
      <w:proofErr w:type="spellEnd"/>
      <w:r w:rsidR="00DD36F1" w:rsidRPr="00B76A46">
        <w:rPr>
          <w:b/>
        </w:rPr>
        <w:t xml:space="preserve"> </w:t>
      </w:r>
      <w:r w:rsidRPr="00B76A46">
        <w:rPr>
          <w:b/>
        </w:rPr>
        <w:t>Chart Conversion Table</w:t>
      </w:r>
    </w:p>
    <w:p w14:paraId="25FCD2F0" w14:textId="77777777" w:rsidR="00DD36F1" w:rsidRPr="00B76A46" w:rsidRDefault="00DD36F1" w:rsidP="00B76A46">
      <w:pPr>
        <w:pStyle w:val="ListNumber"/>
        <w:numPr>
          <w:ilvl w:val="0"/>
          <w:numId w:val="0"/>
        </w:numPr>
        <w:ind w:left="360" w:hanging="360"/>
        <w:rPr>
          <w:b/>
        </w:rPr>
      </w:pPr>
    </w:p>
    <w:tbl>
      <w:tblPr>
        <w:tblW w:w="3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418"/>
      </w:tblGrid>
      <w:tr w:rsidR="00462D9C" w:rsidRPr="00462D9C" w14:paraId="2536E14B" w14:textId="77777777" w:rsidTr="007B7505">
        <w:tc>
          <w:tcPr>
            <w:tcW w:w="1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36BCA" w14:textId="77777777" w:rsidR="00DD36F1" w:rsidRPr="00B76A46" w:rsidRDefault="00DD36F1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fr-FR" w:eastAsia="fr-FR"/>
              </w:rPr>
            </w:pPr>
            <w:proofErr w:type="spellStart"/>
            <w:r w:rsidRPr="00B76A46">
              <w:rPr>
                <w:rFonts w:ascii="Arial" w:hAnsi="Arial" w:cs="Arial"/>
                <w:b/>
                <w:color w:val="auto"/>
                <w:sz w:val="20"/>
                <w:szCs w:val="20"/>
                <w:lang w:val="fr-FR" w:eastAsia="fr-FR"/>
              </w:rPr>
              <w:t>Golovin-Sivtsev</w:t>
            </w:r>
            <w:proofErr w:type="spellEnd"/>
          </w:p>
          <w:p w14:paraId="1B71D567" w14:textId="61292DB2" w:rsidR="00462D9C" w:rsidRPr="00B76A46" w:rsidRDefault="00DD36F1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 w:rsidRPr="00B76A46">
              <w:rPr>
                <w:rFonts w:ascii="Arial" w:hAnsi="Arial" w:cs="Arial"/>
                <w:b/>
                <w:color w:val="auto"/>
                <w:sz w:val="20"/>
                <w:szCs w:val="20"/>
                <w:lang w:val="fr-FR" w:eastAsia="fr-FR"/>
              </w:rPr>
              <w:t>(</w:t>
            </w:r>
            <w:proofErr w:type="spellStart"/>
            <w:r w:rsidR="00462D9C" w:rsidRPr="00B76A46">
              <w:rPr>
                <w:rFonts w:ascii="Arial" w:hAnsi="Arial" w:cs="Arial"/>
                <w:b/>
                <w:color w:val="auto"/>
                <w:sz w:val="20"/>
                <w:szCs w:val="20"/>
                <w:lang w:val="fr-FR" w:eastAsia="fr-FR"/>
              </w:rPr>
              <w:t>Visus</w:t>
            </w:r>
            <w:proofErr w:type="spellEnd"/>
            <w:r w:rsidR="00462D9C" w:rsidRPr="00B76A46">
              <w:rPr>
                <w:rFonts w:ascii="Arial" w:hAnsi="Arial" w:cs="Arial"/>
                <w:b/>
                <w:color w:val="auto"/>
                <w:sz w:val="20"/>
                <w:szCs w:val="20"/>
                <w:lang w:val="fr-FR" w:eastAsia="fr-FR"/>
              </w:rPr>
              <w:t>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27514" w14:textId="77777777" w:rsidR="00C80F7A" w:rsidRDefault="00462D9C" w:rsidP="00C80F7A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CA"/>
              </w:rPr>
            </w:pPr>
            <w:r w:rsidRPr="00B76A46">
              <w:rPr>
                <w:rFonts w:ascii="Arial" w:eastAsia="Arial" w:hAnsi="Arial" w:cs="Arial"/>
                <w:b/>
                <w:sz w:val="20"/>
                <w:szCs w:val="20"/>
                <w:lang w:val="en-CA"/>
              </w:rPr>
              <w:t>Visual</w:t>
            </w:r>
            <w:r w:rsidR="00C80F7A">
              <w:rPr>
                <w:rFonts w:ascii="Arial" w:eastAsia="Arial" w:hAnsi="Arial" w:cs="Arial"/>
                <w:b/>
                <w:sz w:val="20"/>
                <w:szCs w:val="20"/>
                <w:lang w:val="en-CA"/>
              </w:rPr>
              <w:t xml:space="preserve"> acuity</w:t>
            </w:r>
          </w:p>
          <w:p w14:paraId="79149220" w14:textId="7977906D" w:rsidR="00462D9C" w:rsidRPr="00C80F7A" w:rsidRDefault="00C80F7A" w:rsidP="00C80F7A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CA"/>
              </w:rPr>
              <w:t>(%)</w:t>
            </w:r>
          </w:p>
        </w:tc>
      </w:tr>
      <w:tr w:rsidR="00462D9C" w:rsidRPr="00462D9C" w14:paraId="0DA4F7C4" w14:textId="77777777" w:rsidTr="007B7505">
        <w:tc>
          <w:tcPr>
            <w:tcW w:w="1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DC3E7" w14:textId="43323DBF" w:rsidR="00462D9C" w:rsidRPr="00B76A46" w:rsidRDefault="00462D9C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1</w:t>
            </w:r>
            <w:r w:rsid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.</w:t>
            </w:r>
            <w:r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13D9A" w14:textId="77777777" w:rsidR="00462D9C" w:rsidRPr="00B76A46" w:rsidRDefault="00462D9C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100%</w:t>
            </w:r>
          </w:p>
        </w:tc>
      </w:tr>
      <w:tr w:rsidR="00462D9C" w:rsidRPr="00462D9C" w14:paraId="72750194" w14:textId="77777777" w:rsidTr="007B7505">
        <w:tc>
          <w:tcPr>
            <w:tcW w:w="1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1E43C" w14:textId="52E2F744" w:rsidR="00462D9C" w:rsidRPr="00B76A46" w:rsidRDefault="00B76A46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0.</w:t>
            </w:r>
            <w:r w:rsidR="00462D9C"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D96F6" w14:textId="77777777" w:rsidR="00462D9C" w:rsidRPr="00B76A46" w:rsidRDefault="00462D9C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90%</w:t>
            </w:r>
          </w:p>
        </w:tc>
      </w:tr>
      <w:tr w:rsidR="00462D9C" w:rsidRPr="00462D9C" w14:paraId="1A56B1CD" w14:textId="77777777" w:rsidTr="007B7505">
        <w:tc>
          <w:tcPr>
            <w:tcW w:w="1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A7D09" w14:textId="63C5E68C" w:rsidR="00462D9C" w:rsidRPr="00B76A46" w:rsidRDefault="00B76A46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0.</w:t>
            </w:r>
            <w:r w:rsidR="00462D9C"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B75E6" w14:textId="77777777" w:rsidR="00462D9C" w:rsidRPr="00B76A46" w:rsidRDefault="00462D9C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80%</w:t>
            </w:r>
          </w:p>
        </w:tc>
      </w:tr>
      <w:tr w:rsidR="00462D9C" w:rsidRPr="00462D9C" w14:paraId="38D0F75F" w14:textId="77777777" w:rsidTr="007B7505">
        <w:tc>
          <w:tcPr>
            <w:tcW w:w="1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FD6A0" w14:textId="7DDD7008" w:rsidR="00462D9C" w:rsidRPr="00B76A46" w:rsidRDefault="00B76A46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0.</w:t>
            </w:r>
            <w:r w:rsidR="00462D9C"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960BD" w14:textId="77777777" w:rsidR="00462D9C" w:rsidRPr="00B76A46" w:rsidRDefault="00462D9C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70%</w:t>
            </w:r>
          </w:p>
        </w:tc>
      </w:tr>
      <w:tr w:rsidR="00462D9C" w:rsidRPr="00462D9C" w14:paraId="6F7620EB" w14:textId="77777777" w:rsidTr="007B7505">
        <w:tc>
          <w:tcPr>
            <w:tcW w:w="1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EC0A4" w14:textId="70D5F0B9" w:rsidR="00462D9C" w:rsidRPr="00B76A46" w:rsidRDefault="00B76A46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0.</w:t>
            </w:r>
            <w:r w:rsidR="00462D9C"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13835" w14:textId="77777777" w:rsidR="00462D9C" w:rsidRPr="00B76A46" w:rsidRDefault="00462D9C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60%</w:t>
            </w:r>
          </w:p>
        </w:tc>
      </w:tr>
      <w:tr w:rsidR="00462D9C" w:rsidRPr="00462D9C" w14:paraId="7C0C750E" w14:textId="77777777" w:rsidTr="007B7505">
        <w:tc>
          <w:tcPr>
            <w:tcW w:w="1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9C525" w14:textId="02C4C328" w:rsidR="00462D9C" w:rsidRPr="00B76A46" w:rsidRDefault="00B76A46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0.</w:t>
            </w:r>
            <w:r w:rsidR="00462D9C"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CD3F7" w14:textId="77777777" w:rsidR="00462D9C" w:rsidRPr="00B76A46" w:rsidRDefault="00462D9C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50%</w:t>
            </w:r>
          </w:p>
        </w:tc>
      </w:tr>
      <w:tr w:rsidR="00462D9C" w:rsidRPr="00462D9C" w14:paraId="7BA1E859" w14:textId="77777777" w:rsidTr="007B7505">
        <w:tc>
          <w:tcPr>
            <w:tcW w:w="1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3A17C" w14:textId="0FEB6145" w:rsidR="00462D9C" w:rsidRPr="00B76A46" w:rsidRDefault="00B76A46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0.</w:t>
            </w:r>
            <w:r w:rsidR="00462D9C"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6CE38" w14:textId="77777777" w:rsidR="00462D9C" w:rsidRPr="00B76A46" w:rsidRDefault="00462D9C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40%</w:t>
            </w:r>
          </w:p>
        </w:tc>
      </w:tr>
      <w:tr w:rsidR="00462D9C" w:rsidRPr="00462D9C" w14:paraId="2D78F1C6" w14:textId="77777777" w:rsidTr="007B7505">
        <w:tc>
          <w:tcPr>
            <w:tcW w:w="1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B8C68" w14:textId="039ADA46" w:rsidR="00462D9C" w:rsidRPr="00B76A46" w:rsidRDefault="00B76A46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0.</w:t>
            </w:r>
            <w:r w:rsidR="00462D9C"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61ED1" w14:textId="77777777" w:rsidR="00462D9C" w:rsidRPr="00B76A46" w:rsidRDefault="00462D9C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30%</w:t>
            </w:r>
          </w:p>
        </w:tc>
      </w:tr>
      <w:tr w:rsidR="00462D9C" w:rsidRPr="00462D9C" w14:paraId="23ADEDD9" w14:textId="77777777" w:rsidTr="007B7505">
        <w:tc>
          <w:tcPr>
            <w:tcW w:w="1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FF51A" w14:textId="715C5B3D" w:rsidR="00462D9C" w:rsidRPr="00B76A46" w:rsidRDefault="00B76A46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0.</w:t>
            </w:r>
            <w:r w:rsidR="00462D9C"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A9474" w14:textId="77777777" w:rsidR="00462D9C" w:rsidRPr="00B76A46" w:rsidRDefault="00462D9C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20%</w:t>
            </w:r>
          </w:p>
        </w:tc>
      </w:tr>
      <w:tr w:rsidR="00462D9C" w:rsidRPr="00462D9C" w14:paraId="1A4C8270" w14:textId="77777777" w:rsidTr="007B7505">
        <w:tc>
          <w:tcPr>
            <w:tcW w:w="1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A7127" w14:textId="3CFE13CC" w:rsidR="00462D9C" w:rsidRPr="00B76A46" w:rsidRDefault="00B76A46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0.</w:t>
            </w:r>
            <w:r w:rsidR="00462D9C"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3BE68" w14:textId="77777777" w:rsidR="00462D9C" w:rsidRPr="00B76A46" w:rsidRDefault="00462D9C" w:rsidP="003B28E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auto"/>
                <w:lang w:val="fr-FR" w:eastAsia="fr-FR"/>
              </w:rPr>
            </w:pPr>
            <w:r w:rsidRPr="00B76A46">
              <w:rPr>
                <w:rFonts w:ascii="Arial" w:hAnsi="Arial" w:cs="Arial"/>
                <w:color w:val="auto"/>
                <w:sz w:val="20"/>
                <w:szCs w:val="20"/>
                <w:lang w:val="fr-FR" w:eastAsia="fr-FR"/>
              </w:rPr>
              <w:t>10%</w:t>
            </w:r>
          </w:p>
        </w:tc>
      </w:tr>
    </w:tbl>
    <w:p w14:paraId="248F1119" w14:textId="77777777" w:rsidR="00462D9C" w:rsidRDefault="00462D9C" w:rsidP="00932037">
      <w:pPr>
        <w:pStyle w:val="ListNumber"/>
        <w:numPr>
          <w:ilvl w:val="0"/>
          <w:numId w:val="0"/>
        </w:numPr>
        <w:ind w:left="360" w:hanging="360"/>
      </w:pPr>
    </w:p>
    <w:sectPr w:rsidR="00462D9C" w:rsidSect="00F30E62">
      <w:headerReference w:type="default" r:id="rId16"/>
      <w:footerReference w:type="default" r:id="rId17"/>
      <w:pgSz w:w="12240" w:h="1584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C14B" w14:textId="77777777" w:rsidR="00F30E62" w:rsidRDefault="00F30E62">
      <w:pPr>
        <w:spacing w:after="0" w:line="240" w:lineRule="auto"/>
      </w:pPr>
      <w:r>
        <w:separator/>
      </w:r>
    </w:p>
  </w:endnote>
  <w:endnote w:type="continuationSeparator" w:id="0">
    <w:p w14:paraId="629309FF" w14:textId="77777777" w:rsidR="00F30E62" w:rsidRDefault="00F3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29874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CAD31F" w14:textId="77777777" w:rsidR="00427283" w:rsidRDefault="00427283" w:rsidP="0042728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1E2551">
              <w:rPr>
                <w:b/>
                <w:bCs/>
                <w:i/>
                <w:iCs/>
                <w:sz w:val="18"/>
                <w:szCs w:val="18"/>
              </w:rPr>
              <w:t>NOTE:</w:t>
            </w:r>
            <w:r w:rsidRPr="001E2551">
              <w:rPr>
                <w:i/>
                <w:iCs/>
                <w:sz w:val="18"/>
                <w:szCs w:val="18"/>
              </w:rPr>
              <w:t xml:space="preserve"> This work is licensed under the Creative Commons CC BY-SA by the endTB Research Partners. To view a copy of this license, visit: </w:t>
            </w:r>
            <w:hyperlink r:id="rId1" w:history="1">
              <w:r w:rsidRPr="001E2551">
                <w:rPr>
                  <w:rStyle w:val="Hyperlink"/>
                  <w:i/>
                  <w:iCs/>
                  <w:sz w:val="18"/>
                  <w:szCs w:val="18"/>
                </w:rPr>
                <w:t>https://creativecommons.org/licenses/by-sa/4.0/</w:t>
              </w:r>
            </w:hyperlink>
            <w:r w:rsidRPr="001E2551">
              <w:rPr>
                <w:i/>
                <w:iCs/>
                <w:sz w:val="18"/>
                <w:szCs w:val="18"/>
              </w:rPr>
              <w:t>. More information about this copyright is available in the endTB website</w:t>
            </w:r>
            <w:r>
              <w:rPr>
                <w:i/>
                <w:iCs/>
                <w:sz w:val="18"/>
                <w:szCs w:val="18"/>
              </w:rPr>
              <w:t>:</w:t>
            </w:r>
            <w:r w:rsidRPr="002C2411">
              <w:t xml:space="preserve"> </w:t>
            </w:r>
            <w:hyperlink r:id="rId2" w:history="1">
              <w:r w:rsidRPr="00F45F28">
                <w:rPr>
                  <w:rStyle w:val="Hyperlink"/>
                  <w:i/>
                  <w:iCs/>
                  <w:sz w:val="18"/>
                  <w:szCs w:val="18"/>
                </w:rPr>
                <w:t>https://endtb.org/</w:t>
              </w:r>
            </w:hyperlink>
            <w:r w:rsidRPr="001E2551">
              <w:rPr>
                <w:i/>
                <w:iCs/>
                <w:sz w:val="18"/>
                <w:szCs w:val="18"/>
              </w:rPr>
              <w:t xml:space="preserve"> in the “Toolkit” section.</w:t>
            </w:r>
          </w:p>
          <w:p w14:paraId="1BCC4864" w14:textId="50120B33" w:rsidR="00B259AA" w:rsidRDefault="00B259AA" w:rsidP="00427283">
            <w:pPr>
              <w:pStyle w:val="Footer"/>
              <w:jc w:val="both"/>
            </w:pPr>
          </w:p>
          <w:p w14:paraId="367A54D5" w14:textId="1A1E69C4" w:rsidR="00770A13" w:rsidRDefault="00770A1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343C51" w14:textId="4730CECC" w:rsidR="00195E40" w:rsidRDefault="00195E40">
    <w:pPr>
      <w:tabs>
        <w:tab w:val="center" w:pos="4680"/>
        <w:tab w:val="right" w:pos="9360"/>
      </w:tabs>
      <w:spacing w:after="72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E4892" w14:textId="77777777" w:rsidR="00F30E62" w:rsidRDefault="00F30E62">
      <w:pPr>
        <w:spacing w:after="0" w:line="240" w:lineRule="auto"/>
      </w:pPr>
      <w:r>
        <w:separator/>
      </w:r>
    </w:p>
  </w:footnote>
  <w:footnote w:type="continuationSeparator" w:id="0">
    <w:p w14:paraId="6BB23FBF" w14:textId="77777777" w:rsidR="00F30E62" w:rsidRDefault="00F3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AC71" w14:textId="6776C863" w:rsidR="00195E40" w:rsidRDefault="00121981">
    <w:pPr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2DE120" wp14:editId="077C362B">
          <wp:simplePos x="0" y="0"/>
          <wp:positionH relativeFrom="column">
            <wp:posOffset>-581660</wp:posOffset>
          </wp:positionH>
          <wp:positionV relativeFrom="paragraph">
            <wp:posOffset>406977</wp:posOffset>
          </wp:positionV>
          <wp:extent cx="498763" cy="308147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613051271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E40">
      <w:rPr>
        <w:b/>
      </w:rPr>
      <w:t>endTB Observational Study &amp; Clinical Tria</w:t>
    </w:r>
    <w:r w:rsidR="0082081C">
      <w:rPr>
        <w:b/>
      </w:rPr>
      <w:t>ls</w:t>
    </w:r>
    <w:r w:rsidR="00195E40">
      <w:rPr>
        <w:b/>
      </w:rPr>
      <w:t xml:space="preserve"> </w:t>
    </w:r>
    <w:r w:rsidR="00195E40">
      <w:rPr>
        <w:b/>
      </w:rPr>
      <w:tab/>
    </w:r>
    <w:r w:rsidR="00195E40">
      <w:rPr>
        <w:b/>
      </w:rPr>
      <w:tab/>
      <w:t xml:space="preserve">SOP SP-003-ET </w:t>
    </w:r>
    <w:r>
      <w:rPr>
        <w:b/>
      </w:rPr>
      <w:t xml:space="preserve">Version </w:t>
    </w:r>
    <w:r w:rsidR="00195E40">
      <w:rPr>
        <w:b/>
      </w:rPr>
      <w:t>2.</w:t>
    </w:r>
    <w:r w:rsidR="00847D0F">
      <w:rPr>
        <w:b/>
      </w:rPr>
      <w:t>1</w:t>
    </w:r>
    <w:r w:rsidR="00195E40">
      <w:rPr>
        <w:b/>
      </w:rPr>
      <w:t xml:space="preserve">, </w:t>
    </w:r>
    <w:r>
      <w:rPr>
        <w:b/>
      </w:rPr>
      <w:t xml:space="preserve">Date </w:t>
    </w:r>
    <w:r w:rsidR="00C80F7A">
      <w:rPr>
        <w:b/>
      </w:rPr>
      <w:t>12-Dec</w:t>
    </w:r>
    <w:r w:rsidR="00B76A46">
      <w:rPr>
        <w:b/>
      </w:rPr>
      <w:t>-</w:t>
    </w:r>
    <w:r w:rsidR="00847D0F">
      <w:rPr>
        <w:b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69E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multilevel"/>
    <w:tmpl w:val="E81AE9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875E4F"/>
    <w:multiLevelType w:val="multilevel"/>
    <w:tmpl w:val="A92471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8CF14D4"/>
    <w:multiLevelType w:val="multilevel"/>
    <w:tmpl w:val="618A4E3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0CE7245D"/>
    <w:multiLevelType w:val="multilevel"/>
    <w:tmpl w:val="940C2810"/>
    <w:lvl w:ilvl="0">
      <w:start w:val="1"/>
      <w:numFmt w:val="decimal"/>
      <w:lvlText w:val="%1."/>
      <w:lvlJc w:val="left"/>
      <w:pPr>
        <w:ind w:left="1152" w:firstLine="792"/>
      </w:pPr>
    </w:lvl>
    <w:lvl w:ilvl="1">
      <w:start w:val="1"/>
      <w:numFmt w:val="lowerLetter"/>
      <w:lvlText w:val="%2."/>
      <w:lvlJc w:val="left"/>
      <w:pPr>
        <w:ind w:left="1872" w:firstLine="1512"/>
      </w:pPr>
    </w:lvl>
    <w:lvl w:ilvl="2">
      <w:start w:val="1"/>
      <w:numFmt w:val="lowerRoman"/>
      <w:lvlText w:val="%3."/>
      <w:lvlJc w:val="right"/>
      <w:pPr>
        <w:ind w:left="2592" w:firstLine="2412"/>
      </w:pPr>
    </w:lvl>
    <w:lvl w:ilvl="3">
      <w:start w:val="1"/>
      <w:numFmt w:val="decimal"/>
      <w:lvlText w:val="%4."/>
      <w:lvlJc w:val="left"/>
      <w:pPr>
        <w:ind w:left="3312" w:firstLine="2952"/>
      </w:pPr>
    </w:lvl>
    <w:lvl w:ilvl="4">
      <w:start w:val="1"/>
      <w:numFmt w:val="lowerLetter"/>
      <w:lvlText w:val="%5."/>
      <w:lvlJc w:val="left"/>
      <w:pPr>
        <w:ind w:left="4032" w:firstLine="3672"/>
      </w:pPr>
    </w:lvl>
    <w:lvl w:ilvl="5">
      <w:start w:val="1"/>
      <w:numFmt w:val="lowerRoman"/>
      <w:lvlText w:val="%6."/>
      <w:lvlJc w:val="right"/>
      <w:pPr>
        <w:ind w:left="4752" w:firstLine="4572"/>
      </w:pPr>
    </w:lvl>
    <w:lvl w:ilvl="6">
      <w:start w:val="1"/>
      <w:numFmt w:val="decimal"/>
      <w:lvlText w:val="%7."/>
      <w:lvlJc w:val="left"/>
      <w:pPr>
        <w:ind w:left="5472" w:firstLine="5112"/>
      </w:pPr>
    </w:lvl>
    <w:lvl w:ilvl="7">
      <w:start w:val="1"/>
      <w:numFmt w:val="lowerLetter"/>
      <w:lvlText w:val="%8."/>
      <w:lvlJc w:val="left"/>
      <w:pPr>
        <w:ind w:left="6192" w:firstLine="5832"/>
      </w:pPr>
    </w:lvl>
    <w:lvl w:ilvl="8">
      <w:start w:val="1"/>
      <w:numFmt w:val="lowerRoman"/>
      <w:lvlText w:val="%9."/>
      <w:lvlJc w:val="right"/>
      <w:pPr>
        <w:ind w:left="6912" w:firstLine="6732"/>
      </w:pPr>
    </w:lvl>
  </w:abstractNum>
  <w:abstractNum w:abstractNumId="5" w15:restartNumberingAfterBreak="0">
    <w:nsid w:val="0F50183B"/>
    <w:multiLevelType w:val="multilevel"/>
    <w:tmpl w:val="79DA1AA4"/>
    <w:lvl w:ilvl="0">
      <w:start w:val="1"/>
      <w:numFmt w:val="lowerLetter"/>
      <w:lvlText w:val="%1."/>
      <w:lvlJc w:val="left"/>
      <w:pPr>
        <w:ind w:left="1512" w:firstLine="1152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232" w:firstLine="1872"/>
      </w:pPr>
    </w:lvl>
    <w:lvl w:ilvl="2">
      <w:start w:val="1"/>
      <w:numFmt w:val="lowerRoman"/>
      <w:lvlText w:val="%3."/>
      <w:lvlJc w:val="right"/>
      <w:pPr>
        <w:ind w:left="2952" w:firstLine="2772"/>
      </w:pPr>
    </w:lvl>
    <w:lvl w:ilvl="3">
      <w:start w:val="1"/>
      <w:numFmt w:val="decimal"/>
      <w:lvlText w:val="%4."/>
      <w:lvlJc w:val="left"/>
      <w:pPr>
        <w:ind w:left="3672" w:firstLine="3312"/>
      </w:pPr>
    </w:lvl>
    <w:lvl w:ilvl="4">
      <w:start w:val="1"/>
      <w:numFmt w:val="lowerLetter"/>
      <w:lvlText w:val="%5."/>
      <w:lvlJc w:val="left"/>
      <w:pPr>
        <w:ind w:left="4392" w:firstLine="4032"/>
      </w:pPr>
    </w:lvl>
    <w:lvl w:ilvl="5">
      <w:start w:val="1"/>
      <w:numFmt w:val="lowerRoman"/>
      <w:lvlText w:val="%6."/>
      <w:lvlJc w:val="right"/>
      <w:pPr>
        <w:ind w:left="5112" w:firstLine="4932"/>
      </w:pPr>
    </w:lvl>
    <w:lvl w:ilvl="6">
      <w:start w:val="1"/>
      <w:numFmt w:val="decimal"/>
      <w:lvlText w:val="%7."/>
      <w:lvlJc w:val="left"/>
      <w:pPr>
        <w:ind w:left="5832" w:firstLine="5472"/>
      </w:pPr>
    </w:lvl>
    <w:lvl w:ilvl="7">
      <w:start w:val="1"/>
      <w:numFmt w:val="lowerLetter"/>
      <w:lvlText w:val="%8."/>
      <w:lvlJc w:val="left"/>
      <w:pPr>
        <w:ind w:left="6552" w:firstLine="6192"/>
      </w:pPr>
    </w:lvl>
    <w:lvl w:ilvl="8">
      <w:start w:val="1"/>
      <w:numFmt w:val="lowerRoman"/>
      <w:lvlText w:val="%9."/>
      <w:lvlJc w:val="right"/>
      <w:pPr>
        <w:ind w:left="7272" w:firstLine="7092"/>
      </w:pPr>
    </w:lvl>
  </w:abstractNum>
  <w:abstractNum w:abstractNumId="6" w15:restartNumberingAfterBreak="0">
    <w:nsid w:val="11353F0B"/>
    <w:multiLevelType w:val="multilevel"/>
    <w:tmpl w:val="8CCC00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1697657D"/>
    <w:multiLevelType w:val="multilevel"/>
    <w:tmpl w:val="90766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2B454D"/>
    <w:multiLevelType w:val="multilevel"/>
    <w:tmpl w:val="B4BAE6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9726767"/>
    <w:multiLevelType w:val="multilevel"/>
    <w:tmpl w:val="469EA620"/>
    <w:lvl w:ilvl="0">
      <w:start w:val="1"/>
      <w:numFmt w:val="decimal"/>
      <w:lvlText w:val="%1."/>
      <w:lvlJc w:val="left"/>
      <w:pPr>
        <w:ind w:left="2304" w:firstLine="1728"/>
      </w:pPr>
      <w:rPr>
        <w:rFonts w:ascii="Garamond" w:eastAsia="Garamond" w:hAnsi="Garamond" w:cs="Garamond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22B06DC1"/>
    <w:multiLevelType w:val="multilevel"/>
    <w:tmpl w:val="BC164C2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1" w15:restartNumberingAfterBreak="0">
    <w:nsid w:val="27FC2130"/>
    <w:multiLevelType w:val="multilevel"/>
    <w:tmpl w:val="DEC47E36"/>
    <w:lvl w:ilvl="0">
      <w:start w:val="1"/>
      <w:numFmt w:val="decimal"/>
      <w:lvlText w:val="%1."/>
      <w:lvlJc w:val="left"/>
      <w:pPr>
        <w:ind w:left="1152" w:firstLine="576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2FC3029A"/>
    <w:multiLevelType w:val="multilevel"/>
    <w:tmpl w:val="182E2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047079"/>
    <w:multiLevelType w:val="hybridMultilevel"/>
    <w:tmpl w:val="35B4A7DC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349E60F2"/>
    <w:multiLevelType w:val="multilevel"/>
    <w:tmpl w:val="5436054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78E0091"/>
    <w:multiLevelType w:val="multilevel"/>
    <w:tmpl w:val="C17C2C9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6" w15:restartNumberingAfterBreak="0">
    <w:nsid w:val="3B417501"/>
    <w:multiLevelType w:val="multilevel"/>
    <w:tmpl w:val="F0CC82C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 w15:restartNumberingAfterBreak="0">
    <w:nsid w:val="3EE52659"/>
    <w:multiLevelType w:val="hybridMultilevel"/>
    <w:tmpl w:val="D6CE5068"/>
    <w:lvl w:ilvl="0" w:tplc="EBD83E9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F7337"/>
    <w:multiLevelType w:val="multilevel"/>
    <w:tmpl w:val="A66619E8"/>
    <w:lvl w:ilvl="0">
      <w:start w:val="1"/>
      <w:numFmt w:val="decimal"/>
      <w:lvlText w:val="%1."/>
      <w:lvlJc w:val="left"/>
      <w:pPr>
        <w:ind w:left="1152" w:firstLine="576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48F76879"/>
    <w:multiLevelType w:val="multilevel"/>
    <w:tmpl w:val="4C9692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0" w15:restartNumberingAfterBreak="0">
    <w:nsid w:val="4C1F01F5"/>
    <w:multiLevelType w:val="multilevel"/>
    <w:tmpl w:val="5F689EC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1" w15:restartNumberingAfterBreak="0">
    <w:nsid w:val="4F5C3C8B"/>
    <w:multiLevelType w:val="hybridMultilevel"/>
    <w:tmpl w:val="B54C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2515D"/>
    <w:multiLevelType w:val="hybridMultilevel"/>
    <w:tmpl w:val="E4E830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3F6E0E"/>
    <w:multiLevelType w:val="hybridMultilevel"/>
    <w:tmpl w:val="A2702C86"/>
    <w:lvl w:ilvl="0" w:tplc="EFFC4DE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44A6462"/>
    <w:multiLevelType w:val="hybridMultilevel"/>
    <w:tmpl w:val="BA2812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5F1520"/>
    <w:multiLevelType w:val="multilevel"/>
    <w:tmpl w:val="489CFCB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54B907C0"/>
    <w:multiLevelType w:val="multilevel"/>
    <w:tmpl w:val="1918261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573B34B8"/>
    <w:multiLevelType w:val="multilevel"/>
    <w:tmpl w:val="4ABEBE5A"/>
    <w:lvl w:ilvl="0">
      <w:start w:val="1"/>
      <w:numFmt w:val="bullet"/>
      <w:lvlText w:val="●"/>
      <w:lvlJc w:val="left"/>
      <w:pPr>
        <w:ind w:left="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480"/>
      </w:pPr>
      <w:rPr>
        <w:rFonts w:ascii="Arial" w:eastAsia="Arial" w:hAnsi="Arial" w:cs="Arial"/>
      </w:rPr>
    </w:lvl>
  </w:abstractNum>
  <w:abstractNum w:abstractNumId="28" w15:restartNumberingAfterBreak="0">
    <w:nsid w:val="5A037D13"/>
    <w:multiLevelType w:val="hybridMultilevel"/>
    <w:tmpl w:val="17C439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85E28"/>
    <w:multiLevelType w:val="multilevel"/>
    <w:tmpl w:val="BB9A8D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 w15:restartNumberingAfterBreak="0">
    <w:nsid w:val="6293760A"/>
    <w:multiLevelType w:val="multilevel"/>
    <w:tmpl w:val="3ADA0D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633955E5"/>
    <w:multiLevelType w:val="multilevel"/>
    <w:tmpl w:val="0409001D"/>
    <w:lvl w:ilvl="0">
      <w:start w:val="1"/>
      <w:numFmt w:val="decimal"/>
      <w:lvlText w:val="%1)"/>
      <w:lvlJc w:val="left"/>
      <w:pPr>
        <w:ind w:left="1872" w:hanging="360"/>
      </w:pPr>
    </w:lvl>
    <w:lvl w:ilvl="1">
      <w:start w:val="1"/>
      <w:numFmt w:val="lowerLetter"/>
      <w:lvlText w:val="%2)"/>
      <w:lvlJc w:val="left"/>
      <w:pPr>
        <w:ind w:left="2232" w:hanging="360"/>
      </w:pPr>
    </w:lvl>
    <w:lvl w:ilvl="2">
      <w:start w:val="1"/>
      <w:numFmt w:val="lowerRoman"/>
      <w:lvlText w:val="%3)"/>
      <w:lvlJc w:val="left"/>
      <w:pPr>
        <w:ind w:left="2592" w:hanging="360"/>
      </w:pPr>
    </w:lvl>
    <w:lvl w:ilvl="3">
      <w:start w:val="1"/>
      <w:numFmt w:val="decimal"/>
      <w:lvlText w:val="(%4)"/>
      <w:lvlJc w:val="left"/>
      <w:pPr>
        <w:ind w:left="2952" w:hanging="360"/>
      </w:pPr>
    </w:lvl>
    <w:lvl w:ilvl="4">
      <w:start w:val="1"/>
      <w:numFmt w:val="lowerLetter"/>
      <w:lvlText w:val="(%5)"/>
      <w:lvlJc w:val="left"/>
      <w:pPr>
        <w:ind w:left="3312" w:hanging="360"/>
      </w:pPr>
    </w:lvl>
    <w:lvl w:ilvl="5">
      <w:start w:val="1"/>
      <w:numFmt w:val="lowerRoman"/>
      <w:lvlText w:val="(%6)"/>
      <w:lvlJc w:val="left"/>
      <w:pPr>
        <w:ind w:left="3672" w:hanging="360"/>
      </w:pPr>
    </w:lvl>
    <w:lvl w:ilvl="6">
      <w:start w:val="1"/>
      <w:numFmt w:val="decimal"/>
      <w:lvlText w:val="%7."/>
      <w:lvlJc w:val="left"/>
      <w:pPr>
        <w:ind w:left="4032" w:hanging="360"/>
      </w:pPr>
    </w:lvl>
    <w:lvl w:ilvl="7">
      <w:start w:val="1"/>
      <w:numFmt w:val="lowerLetter"/>
      <w:lvlText w:val="%8."/>
      <w:lvlJc w:val="left"/>
      <w:pPr>
        <w:ind w:left="4392" w:hanging="360"/>
      </w:pPr>
    </w:lvl>
    <w:lvl w:ilvl="8">
      <w:start w:val="1"/>
      <w:numFmt w:val="lowerRoman"/>
      <w:lvlText w:val="%9."/>
      <w:lvlJc w:val="left"/>
      <w:pPr>
        <w:ind w:left="4752" w:hanging="360"/>
      </w:pPr>
    </w:lvl>
  </w:abstractNum>
  <w:abstractNum w:abstractNumId="32" w15:restartNumberingAfterBreak="0">
    <w:nsid w:val="69E1265B"/>
    <w:multiLevelType w:val="multilevel"/>
    <w:tmpl w:val="19182610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33" w15:restartNumberingAfterBreak="0">
    <w:nsid w:val="6A1B5F6B"/>
    <w:multiLevelType w:val="multilevel"/>
    <w:tmpl w:val="9B64EC3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4" w15:restartNumberingAfterBreak="0">
    <w:nsid w:val="6C136CEA"/>
    <w:multiLevelType w:val="multilevel"/>
    <w:tmpl w:val="2D36D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9B13E41"/>
    <w:multiLevelType w:val="multilevel"/>
    <w:tmpl w:val="E6C0157A"/>
    <w:lvl w:ilvl="0">
      <w:start w:val="1"/>
      <w:numFmt w:val="decimal"/>
      <w:lvlText w:val="%1."/>
      <w:lvlJc w:val="left"/>
      <w:pPr>
        <w:ind w:left="1152" w:firstLine="576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623970349">
    <w:abstractNumId w:val="26"/>
  </w:num>
  <w:num w:numId="2" w16cid:durableId="624042441">
    <w:abstractNumId w:val="20"/>
  </w:num>
  <w:num w:numId="3" w16cid:durableId="1921406940">
    <w:abstractNumId w:val="19"/>
  </w:num>
  <w:num w:numId="4" w16cid:durableId="108941359">
    <w:abstractNumId w:val="0"/>
  </w:num>
  <w:num w:numId="5" w16cid:durableId="108085040">
    <w:abstractNumId w:val="1"/>
  </w:num>
  <w:num w:numId="6" w16cid:durableId="135998172">
    <w:abstractNumId w:val="1"/>
    <w:lvlOverride w:ilvl="0">
      <w:startOverride w:val="1"/>
    </w:lvlOverride>
  </w:num>
  <w:num w:numId="7" w16cid:durableId="464394226">
    <w:abstractNumId w:val="1"/>
    <w:lvlOverride w:ilvl="0">
      <w:startOverride w:val="1"/>
    </w:lvlOverride>
  </w:num>
  <w:num w:numId="8" w16cid:durableId="843283518">
    <w:abstractNumId w:val="28"/>
  </w:num>
  <w:num w:numId="9" w16cid:durableId="326060465">
    <w:abstractNumId w:val="32"/>
  </w:num>
  <w:num w:numId="10" w16cid:durableId="1287276453">
    <w:abstractNumId w:val="24"/>
  </w:num>
  <w:num w:numId="11" w16cid:durableId="2140997146">
    <w:abstractNumId w:val="22"/>
  </w:num>
  <w:num w:numId="12" w16cid:durableId="1555699361">
    <w:abstractNumId w:val="9"/>
  </w:num>
  <w:num w:numId="13" w16cid:durableId="953709451">
    <w:abstractNumId w:val="18"/>
  </w:num>
  <w:num w:numId="14" w16cid:durableId="1677608549">
    <w:abstractNumId w:val="5"/>
  </w:num>
  <w:num w:numId="15" w16cid:durableId="1336761491">
    <w:abstractNumId w:val="31"/>
  </w:num>
  <w:num w:numId="16" w16cid:durableId="1345934746">
    <w:abstractNumId w:val="2"/>
  </w:num>
  <w:num w:numId="17" w16cid:durableId="1479221509">
    <w:abstractNumId w:val="8"/>
  </w:num>
  <w:num w:numId="18" w16cid:durableId="748186946">
    <w:abstractNumId w:val="27"/>
  </w:num>
  <w:num w:numId="19" w16cid:durableId="1320647414">
    <w:abstractNumId w:val="35"/>
  </w:num>
  <w:num w:numId="20" w16cid:durableId="1938751818">
    <w:abstractNumId w:val="10"/>
  </w:num>
  <w:num w:numId="21" w16cid:durableId="1226647674">
    <w:abstractNumId w:val="4"/>
  </w:num>
  <w:num w:numId="22" w16cid:durableId="796795957">
    <w:abstractNumId w:val="3"/>
  </w:num>
  <w:num w:numId="23" w16cid:durableId="879587413">
    <w:abstractNumId w:val="21"/>
  </w:num>
  <w:num w:numId="24" w16cid:durableId="507719376">
    <w:abstractNumId w:val="25"/>
  </w:num>
  <w:num w:numId="25" w16cid:durableId="1975792637">
    <w:abstractNumId w:val="16"/>
  </w:num>
  <w:num w:numId="26" w16cid:durableId="211425679">
    <w:abstractNumId w:val="29"/>
  </w:num>
  <w:num w:numId="27" w16cid:durableId="943615510">
    <w:abstractNumId w:val="6"/>
  </w:num>
  <w:num w:numId="28" w16cid:durableId="72553903">
    <w:abstractNumId w:val="30"/>
  </w:num>
  <w:num w:numId="29" w16cid:durableId="1899392919">
    <w:abstractNumId w:val="15"/>
  </w:num>
  <w:num w:numId="30" w16cid:durableId="69544244">
    <w:abstractNumId w:val="11"/>
  </w:num>
  <w:num w:numId="31" w16cid:durableId="1118065745">
    <w:abstractNumId w:val="33"/>
  </w:num>
  <w:num w:numId="32" w16cid:durableId="949582699">
    <w:abstractNumId w:val="34"/>
  </w:num>
  <w:num w:numId="33" w16cid:durableId="1554076011">
    <w:abstractNumId w:val="23"/>
  </w:num>
  <w:num w:numId="34" w16cid:durableId="2011448130">
    <w:abstractNumId w:val="13"/>
  </w:num>
  <w:num w:numId="35" w16cid:durableId="108088288">
    <w:abstractNumId w:val="7"/>
  </w:num>
  <w:num w:numId="36" w16cid:durableId="1102606147">
    <w:abstractNumId w:val="14"/>
  </w:num>
  <w:num w:numId="37" w16cid:durableId="1403866187">
    <w:abstractNumId w:val="12"/>
  </w:num>
  <w:num w:numId="38" w16cid:durableId="19154330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D1"/>
    <w:rsid w:val="00025179"/>
    <w:rsid w:val="0004634E"/>
    <w:rsid w:val="00090277"/>
    <w:rsid w:val="000B2C99"/>
    <w:rsid w:val="000C53D6"/>
    <w:rsid w:val="000E3570"/>
    <w:rsid w:val="000E5F65"/>
    <w:rsid w:val="000F1E98"/>
    <w:rsid w:val="001020A6"/>
    <w:rsid w:val="00121981"/>
    <w:rsid w:val="00130E07"/>
    <w:rsid w:val="0013743C"/>
    <w:rsid w:val="00142070"/>
    <w:rsid w:val="00183617"/>
    <w:rsid w:val="00195E40"/>
    <w:rsid w:val="001B33AF"/>
    <w:rsid w:val="001C7700"/>
    <w:rsid w:val="001E23F6"/>
    <w:rsid w:val="00206952"/>
    <w:rsid w:val="00213BE9"/>
    <w:rsid w:val="00232360"/>
    <w:rsid w:val="00237D2B"/>
    <w:rsid w:val="00242217"/>
    <w:rsid w:val="002902F0"/>
    <w:rsid w:val="0029183A"/>
    <w:rsid w:val="002D2192"/>
    <w:rsid w:val="00371F24"/>
    <w:rsid w:val="003B101D"/>
    <w:rsid w:val="003B28EE"/>
    <w:rsid w:val="003C5B2E"/>
    <w:rsid w:val="003E24BD"/>
    <w:rsid w:val="003E44B8"/>
    <w:rsid w:val="003F5D04"/>
    <w:rsid w:val="00427283"/>
    <w:rsid w:val="00435065"/>
    <w:rsid w:val="00443652"/>
    <w:rsid w:val="00453564"/>
    <w:rsid w:val="004553E0"/>
    <w:rsid w:val="00460C1E"/>
    <w:rsid w:val="00462D9C"/>
    <w:rsid w:val="004E31EF"/>
    <w:rsid w:val="004F5A24"/>
    <w:rsid w:val="005132C0"/>
    <w:rsid w:val="005344AC"/>
    <w:rsid w:val="0057110A"/>
    <w:rsid w:val="00594465"/>
    <w:rsid w:val="005970C4"/>
    <w:rsid w:val="0061275E"/>
    <w:rsid w:val="00614ED2"/>
    <w:rsid w:val="00672DC0"/>
    <w:rsid w:val="006A3152"/>
    <w:rsid w:val="006B12C0"/>
    <w:rsid w:val="006B1421"/>
    <w:rsid w:val="006B2EE0"/>
    <w:rsid w:val="006C61EB"/>
    <w:rsid w:val="00740EE8"/>
    <w:rsid w:val="00765155"/>
    <w:rsid w:val="00770A13"/>
    <w:rsid w:val="007725CD"/>
    <w:rsid w:val="007B12D1"/>
    <w:rsid w:val="007B7505"/>
    <w:rsid w:val="007C0769"/>
    <w:rsid w:val="007D3C7A"/>
    <w:rsid w:val="007D4738"/>
    <w:rsid w:val="008019E2"/>
    <w:rsid w:val="0081019E"/>
    <w:rsid w:val="00812F1B"/>
    <w:rsid w:val="0082081C"/>
    <w:rsid w:val="00820F85"/>
    <w:rsid w:val="00834472"/>
    <w:rsid w:val="0084529D"/>
    <w:rsid w:val="00847D0F"/>
    <w:rsid w:val="0092446D"/>
    <w:rsid w:val="00930FE7"/>
    <w:rsid w:val="00932037"/>
    <w:rsid w:val="009429FF"/>
    <w:rsid w:val="00973285"/>
    <w:rsid w:val="00987472"/>
    <w:rsid w:val="009B0216"/>
    <w:rsid w:val="009E5C0D"/>
    <w:rsid w:val="009F73A2"/>
    <w:rsid w:val="00A11A1B"/>
    <w:rsid w:val="00A23D96"/>
    <w:rsid w:val="00A94748"/>
    <w:rsid w:val="00AA59E2"/>
    <w:rsid w:val="00AE7817"/>
    <w:rsid w:val="00B153D2"/>
    <w:rsid w:val="00B259AA"/>
    <w:rsid w:val="00B3256A"/>
    <w:rsid w:val="00B41FC6"/>
    <w:rsid w:val="00B43B89"/>
    <w:rsid w:val="00B50A64"/>
    <w:rsid w:val="00B52559"/>
    <w:rsid w:val="00B54D52"/>
    <w:rsid w:val="00B5763B"/>
    <w:rsid w:val="00B73370"/>
    <w:rsid w:val="00B76A46"/>
    <w:rsid w:val="00BA1BB2"/>
    <w:rsid w:val="00BA568F"/>
    <w:rsid w:val="00BC35EC"/>
    <w:rsid w:val="00BF0915"/>
    <w:rsid w:val="00BF4F46"/>
    <w:rsid w:val="00C06AE8"/>
    <w:rsid w:val="00C11A22"/>
    <w:rsid w:val="00C338A5"/>
    <w:rsid w:val="00C41B19"/>
    <w:rsid w:val="00C540ED"/>
    <w:rsid w:val="00C777F0"/>
    <w:rsid w:val="00C80F7A"/>
    <w:rsid w:val="00CA4199"/>
    <w:rsid w:val="00CD258A"/>
    <w:rsid w:val="00D16277"/>
    <w:rsid w:val="00D30540"/>
    <w:rsid w:val="00DD36F1"/>
    <w:rsid w:val="00DE5C2B"/>
    <w:rsid w:val="00E234F2"/>
    <w:rsid w:val="00E323CD"/>
    <w:rsid w:val="00E400E1"/>
    <w:rsid w:val="00E4270C"/>
    <w:rsid w:val="00E52BB3"/>
    <w:rsid w:val="00E6259B"/>
    <w:rsid w:val="00E70D60"/>
    <w:rsid w:val="00E8421D"/>
    <w:rsid w:val="00E91646"/>
    <w:rsid w:val="00EB519D"/>
    <w:rsid w:val="00EF4BD6"/>
    <w:rsid w:val="00F30E62"/>
    <w:rsid w:val="00F6741C"/>
    <w:rsid w:val="00F7372C"/>
    <w:rsid w:val="00F81D9F"/>
    <w:rsid w:val="00F81EB9"/>
    <w:rsid w:val="7675F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AB23C0"/>
  <w15:docId w15:val="{105A46B1-C502-429B-96B4-95E0E31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594465"/>
    <w:pPr>
      <w:keepNext/>
      <w:keepLines/>
      <w:spacing w:before="120" w:after="120" w:line="240" w:lineRule="auto"/>
      <w:jc w:val="center"/>
      <w:outlineLvl w:val="0"/>
    </w:pPr>
    <w:rPr>
      <w:b/>
      <w:sz w:val="36"/>
      <w:szCs w:val="24"/>
    </w:rPr>
  </w:style>
  <w:style w:type="paragraph" w:styleId="Heading2">
    <w:name w:val="heading 2"/>
    <w:basedOn w:val="ListNumber"/>
    <w:next w:val="Normal"/>
    <w:rsid w:val="00594465"/>
    <w:pPr>
      <w:keepNext/>
      <w:keepLines/>
      <w:spacing w:before="360" w:after="80"/>
      <w:outlineLvl w:val="1"/>
    </w:pPr>
    <w:rPr>
      <w:b/>
      <w:sz w:val="24"/>
      <w:szCs w:val="36"/>
    </w:rPr>
  </w:style>
  <w:style w:type="paragraph" w:styleId="Heading3">
    <w:name w:val="heading 3"/>
    <w:basedOn w:val="Normal"/>
    <w:next w:val="Normal"/>
    <w:rsid w:val="00BF0915"/>
    <w:pPr>
      <w:keepNext/>
      <w:keepLines/>
      <w:spacing w:before="120" w:after="80"/>
      <w:ind w:left="360"/>
      <w:contextualSpacing/>
      <w:outlineLvl w:val="2"/>
    </w:pPr>
    <w:rPr>
      <w:b/>
      <w:i/>
      <w:sz w:val="24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0ED"/>
  </w:style>
  <w:style w:type="paragraph" w:styleId="Footer">
    <w:name w:val="footer"/>
    <w:basedOn w:val="Normal"/>
    <w:link w:val="FooterChar"/>
    <w:uiPriority w:val="99"/>
    <w:unhideWhenUsed/>
    <w:rsid w:val="00C5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0ED"/>
  </w:style>
  <w:style w:type="paragraph" w:styleId="ListNumber">
    <w:name w:val="List Number"/>
    <w:basedOn w:val="Normal"/>
    <w:uiPriority w:val="99"/>
    <w:unhideWhenUsed/>
    <w:rsid w:val="00594465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99"/>
    <w:qFormat/>
    <w:rsid w:val="00BF09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7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1">
    <w:name w:val="1"/>
    <w:basedOn w:val="TableNormal"/>
    <w:rsid w:val="00932037"/>
    <w:rPr>
      <w:rFonts w:eastAsia="PMingLiU"/>
      <w:lang w:val="en-C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D96"/>
    <w:rPr>
      <w:b/>
      <w:bCs/>
      <w:sz w:val="20"/>
      <w:szCs w:val="20"/>
    </w:rPr>
  </w:style>
  <w:style w:type="paragraph" w:customStyle="1" w:styleId="paragraph">
    <w:name w:val="paragraph"/>
    <w:basedOn w:val="Normal"/>
    <w:rsid w:val="00C8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C80F7A"/>
  </w:style>
  <w:style w:type="character" w:customStyle="1" w:styleId="eop">
    <w:name w:val="eop"/>
    <w:basedOn w:val="DefaultParagraphFont"/>
    <w:rsid w:val="00C80F7A"/>
  </w:style>
  <w:style w:type="paragraph" w:styleId="TOCHeading">
    <w:name w:val="TOC Heading"/>
    <w:basedOn w:val="Heading1"/>
    <w:next w:val="Normal"/>
    <w:uiPriority w:val="39"/>
    <w:unhideWhenUsed/>
    <w:qFormat/>
    <w:rsid w:val="00F81EB9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81E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81E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16277"/>
    <w:pPr>
      <w:tabs>
        <w:tab w:val="left" w:pos="851"/>
        <w:tab w:val="right" w:leader="dot" w:pos="9350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81E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nlm.nih.gov/medlineplus/ency/article/003396.ht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llaboutvision.com/eye-tes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509E-CF4F-41B1-BA17-3D293B89DEE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20c1abfa-485b-41c9-a329-38772ca1fd48"/>
    <ds:schemaRef ds:uri="http://schemas.openxmlformats.org/package/2006/metadata/core-properties"/>
    <ds:schemaRef ds:uri="d1dc8e9d-c2d7-4f1e-a8b8-6d152e0fdc8f"/>
    <ds:schemaRef ds:uri="57d60e0b-bbcc-4e8c-ae17-1bc07bf7b2a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90F4F1-36B7-4A34-99E2-D2184E4B9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BE40F-ED08-4B99-B6A7-11A468215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0e0b-bbcc-4e8c-ae17-1bc07bf7b2a6"/>
    <ds:schemaRef ds:uri="d1dc8e9d-c2d7-4f1e-a8b8-6d152e0fdc8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127F8-C9AF-422B-87B1-5673AD1D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Chang, Eva</dc:creator>
  <cp:lastModifiedBy>Marhaba Chaudhry</cp:lastModifiedBy>
  <cp:revision>37</cp:revision>
  <cp:lastPrinted>2018-12-13T11:18:00Z</cp:lastPrinted>
  <dcterms:created xsi:type="dcterms:W3CDTF">2018-07-03T10:54:00Z</dcterms:created>
  <dcterms:modified xsi:type="dcterms:W3CDTF">2024-10-24T11:34:00Z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dTBStructureCentral">
    <vt:lpwstr>8;#N/A|603d074b-cb2d-4568-af2a-4cd630184ab0</vt:lpwstr>
  </property>
  <property fmtid="{D5CDD505-2E9C-101B-9397-08002B2CF9AE}" pid="3" name="ContentTypeId">
    <vt:lpwstr>0x0101008A725E7E39776844B9FB9FC2FCA9A30F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Order">
    <vt:r8>614200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endTBClinicalTrial">
    <vt:lpwstr>endTB</vt:lpwstr>
  </property>
  <property fmtid="{D5CDD505-2E9C-101B-9397-08002B2CF9AE}" pid="11" name="endTBCountry">
    <vt:lpwstr>Central team</vt:lpwstr>
  </property>
  <property fmtid="{D5CDD505-2E9C-101B-9397-08002B2CF9AE}" pid="12" name="endTBStatusDocument">
    <vt:lpwstr>Final</vt:lpwstr>
  </property>
  <property fmtid="{D5CDD505-2E9C-101B-9397-08002B2CF9AE}" pid="13" name="_ExtendedDescription">
    <vt:lpwstr/>
  </property>
  <property fmtid="{D5CDD505-2E9C-101B-9397-08002B2CF9AE}" pid="14" name="ie6fc752e8314f23b9add3aacdf734e2">
    <vt:lpwstr>N/A|603d074b-cb2d-4568-af2a-4cd630184ab0</vt:lpwstr>
  </property>
  <property fmtid="{D5CDD505-2E9C-101B-9397-08002B2CF9AE}" pid="15" name="b133059517bd4b6ba2826fe941cfd2cb">
    <vt:lpwstr>N/A|7a4f8743-7bab-4f6a-8a0d-b24596741886</vt:lpwstr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