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612B" w14:textId="77777777" w:rsidR="002471EE" w:rsidRPr="00A74A62" w:rsidRDefault="002471EE" w:rsidP="002471EE">
      <w:pPr>
        <w:pStyle w:val="ListNumber"/>
        <w:numPr>
          <w:ilvl w:val="0"/>
          <w:numId w:val="0"/>
        </w:numPr>
        <w:jc w:val="center"/>
        <w:rPr>
          <w:b/>
          <w:sz w:val="28"/>
          <w:szCs w:val="28"/>
          <w:u w:val="single"/>
        </w:rPr>
      </w:pPr>
      <w:r w:rsidRPr="00A74A62">
        <w:rPr>
          <w:b/>
          <w:sz w:val="28"/>
          <w:szCs w:val="28"/>
          <w:u w:val="single"/>
        </w:rPr>
        <w:t>Appendix 1.</w:t>
      </w:r>
      <w:r>
        <w:rPr>
          <w:b/>
          <w:sz w:val="28"/>
          <w:szCs w:val="28"/>
          <w:u w:val="single"/>
        </w:rPr>
        <w:t xml:space="preserve"> </w:t>
      </w:r>
      <w:r w:rsidRPr="00A74A62">
        <w:rPr>
          <w:b/>
          <w:sz w:val="28"/>
          <w:szCs w:val="28"/>
          <w:u w:val="single"/>
        </w:rPr>
        <w:t>Eligibility Criteria for Randomization</w:t>
      </w:r>
    </w:p>
    <w:p w14:paraId="5B2B612D" w14:textId="77777777" w:rsidR="002471EE" w:rsidRPr="00C24083" w:rsidRDefault="002471EE" w:rsidP="002471EE">
      <w:pPr>
        <w:pStyle w:val="ListParagraph"/>
        <w:widowControl w:val="0"/>
        <w:numPr>
          <w:ilvl w:val="0"/>
          <w:numId w:val="9"/>
        </w:numPr>
        <w:spacing w:before="240" w:after="240"/>
        <w:jc w:val="both"/>
        <w:rPr>
          <w:szCs w:val="24"/>
          <w:u w:val="single"/>
        </w:rPr>
      </w:pPr>
      <w:r w:rsidRPr="00C24083">
        <w:rPr>
          <w:szCs w:val="24"/>
          <w:u w:val="single"/>
        </w:rPr>
        <w:t>A patient will be eligible for randomization if s/he:</w:t>
      </w:r>
    </w:p>
    <w:p w14:paraId="5B2B612E" w14:textId="3EF660CC" w:rsidR="002471EE" w:rsidRDefault="002471EE" w:rsidP="002471EE">
      <w:pPr>
        <w:widowControl w:val="0"/>
        <w:numPr>
          <w:ilvl w:val="0"/>
          <w:numId w:val="5"/>
        </w:numPr>
        <w:spacing w:before="240" w:after="240" w:line="240" w:lineRule="auto"/>
        <w:contextualSpacing/>
        <w:jc w:val="both"/>
        <w:rPr>
          <w:szCs w:val="24"/>
        </w:rPr>
      </w:pPr>
      <w:r w:rsidRPr="00FA2B59">
        <w:rPr>
          <w:szCs w:val="24"/>
        </w:rPr>
        <w:t xml:space="preserve">Has documented pulmonary tuberculosis due to strains of </w:t>
      </w:r>
      <w:r w:rsidRPr="00FA2B59">
        <w:rPr>
          <w:i/>
          <w:szCs w:val="24"/>
        </w:rPr>
        <w:t xml:space="preserve">M. tuberculosis </w:t>
      </w:r>
      <w:r w:rsidRPr="00FA2B59">
        <w:rPr>
          <w:szCs w:val="24"/>
        </w:rPr>
        <w:t xml:space="preserve">resistant to rifampin (RIF) </w:t>
      </w:r>
      <w:r w:rsidRPr="00930C54">
        <w:rPr>
          <w:color w:val="auto"/>
          <w:szCs w:val="24"/>
        </w:rPr>
        <w:t xml:space="preserve">and </w:t>
      </w:r>
      <w:r w:rsidR="003B01AF" w:rsidRPr="00930C54">
        <w:rPr>
          <w:color w:val="auto"/>
          <w:szCs w:val="24"/>
        </w:rPr>
        <w:t xml:space="preserve">either </w:t>
      </w:r>
      <w:r w:rsidRPr="00930C54">
        <w:rPr>
          <w:color w:val="auto"/>
          <w:szCs w:val="24"/>
        </w:rPr>
        <w:t>susceptible to fluoroquinolones</w:t>
      </w:r>
      <w:r w:rsidR="003B01AF" w:rsidRPr="00930C54">
        <w:rPr>
          <w:color w:val="auto"/>
          <w:szCs w:val="24"/>
        </w:rPr>
        <w:t xml:space="preserve"> for endTB or not susceptible to fluoroquinolones for endTB-Q</w:t>
      </w:r>
      <w:r w:rsidRPr="00930C54">
        <w:rPr>
          <w:color w:val="auto"/>
          <w:szCs w:val="24"/>
        </w:rPr>
        <w:t xml:space="preserve">, diagnosed by validated rapid molecular </w:t>
      </w:r>
      <w:proofErr w:type="gramStart"/>
      <w:r w:rsidRPr="00930C54">
        <w:rPr>
          <w:color w:val="auto"/>
          <w:szCs w:val="24"/>
        </w:rPr>
        <w:t>test</w:t>
      </w:r>
      <w:r w:rsidRPr="00FA2B59">
        <w:rPr>
          <w:szCs w:val="24"/>
        </w:rPr>
        <w:t>;</w:t>
      </w:r>
      <w:proofErr w:type="gramEnd"/>
    </w:p>
    <w:p w14:paraId="50798814" w14:textId="0977AFD6" w:rsidR="00184EEA" w:rsidRPr="00930C54" w:rsidRDefault="00184EEA" w:rsidP="00184EEA">
      <w:pPr>
        <w:widowControl w:val="0"/>
        <w:numPr>
          <w:ilvl w:val="2"/>
          <w:numId w:val="5"/>
        </w:numPr>
        <w:spacing w:before="240" w:after="240" w:line="240" w:lineRule="auto"/>
        <w:ind w:hanging="360"/>
        <w:contextualSpacing/>
        <w:jc w:val="both"/>
        <w:rPr>
          <w:i/>
          <w:szCs w:val="24"/>
        </w:rPr>
      </w:pPr>
      <w:r w:rsidRPr="00930C54">
        <w:rPr>
          <w:i/>
          <w:szCs w:val="24"/>
        </w:rPr>
        <w:t xml:space="preserve">For both studies: </w:t>
      </w:r>
      <w:r w:rsidR="00930C54">
        <w:rPr>
          <w:i/>
          <w:szCs w:val="24"/>
        </w:rPr>
        <w:t>o</w:t>
      </w:r>
      <w:r w:rsidRPr="00930C54">
        <w:rPr>
          <w:i/>
          <w:szCs w:val="24"/>
        </w:rPr>
        <w:t xml:space="preserve">ne rifampicin-resistant from the designated study lab is required. </w:t>
      </w:r>
    </w:p>
    <w:p w14:paraId="3C8E79EE" w14:textId="228F3C9F" w:rsidR="00184EEA" w:rsidRPr="00930C54" w:rsidRDefault="00184EEA" w:rsidP="00184EEA">
      <w:pPr>
        <w:widowControl w:val="0"/>
        <w:numPr>
          <w:ilvl w:val="2"/>
          <w:numId w:val="5"/>
        </w:numPr>
        <w:spacing w:before="240" w:after="240" w:line="240" w:lineRule="auto"/>
        <w:ind w:hanging="360"/>
        <w:contextualSpacing/>
        <w:jc w:val="both"/>
        <w:rPr>
          <w:i/>
          <w:szCs w:val="24"/>
        </w:rPr>
      </w:pPr>
      <w:r w:rsidRPr="00930C54">
        <w:rPr>
          <w:i/>
          <w:szCs w:val="24"/>
        </w:rPr>
        <w:t>For endTB: in addition, o</w:t>
      </w:r>
      <w:r w:rsidR="002471EE" w:rsidRPr="00930C54">
        <w:rPr>
          <w:i/>
          <w:szCs w:val="24"/>
        </w:rPr>
        <w:t>ne fluoroquinolone-susceptible</w:t>
      </w:r>
      <w:r w:rsidR="003B01AF" w:rsidRPr="00930C54">
        <w:rPr>
          <w:i/>
          <w:szCs w:val="24"/>
        </w:rPr>
        <w:t xml:space="preserve"> </w:t>
      </w:r>
      <w:r w:rsidR="002471EE" w:rsidRPr="00930C54">
        <w:rPr>
          <w:i/>
          <w:szCs w:val="24"/>
        </w:rPr>
        <w:t xml:space="preserve">result from the designated study lab </w:t>
      </w:r>
      <w:r w:rsidRPr="00930C54">
        <w:rPr>
          <w:i/>
          <w:szCs w:val="24"/>
        </w:rPr>
        <w:t>is</w:t>
      </w:r>
      <w:r w:rsidR="002471EE" w:rsidRPr="00930C54">
        <w:rPr>
          <w:i/>
          <w:szCs w:val="24"/>
        </w:rPr>
        <w:t xml:space="preserve"> </w:t>
      </w:r>
      <w:proofErr w:type="gramStart"/>
      <w:r w:rsidR="002471EE" w:rsidRPr="00930C54">
        <w:rPr>
          <w:i/>
          <w:szCs w:val="24"/>
        </w:rPr>
        <w:t>required;</w:t>
      </w:r>
      <w:proofErr w:type="gramEnd"/>
    </w:p>
    <w:p w14:paraId="22A1F4FE" w14:textId="0BEFFCC3" w:rsidR="00184EEA" w:rsidRPr="00930C54" w:rsidRDefault="00184EEA" w:rsidP="00184EEA">
      <w:pPr>
        <w:widowControl w:val="0"/>
        <w:numPr>
          <w:ilvl w:val="2"/>
          <w:numId w:val="5"/>
        </w:numPr>
        <w:spacing w:before="240" w:after="240" w:line="240" w:lineRule="auto"/>
        <w:ind w:hanging="360"/>
        <w:contextualSpacing/>
        <w:jc w:val="both"/>
        <w:rPr>
          <w:i/>
          <w:szCs w:val="24"/>
        </w:rPr>
      </w:pPr>
      <w:r w:rsidRPr="00930C54">
        <w:rPr>
          <w:i/>
          <w:szCs w:val="24"/>
        </w:rPr>
        <w:t xml:space="preserve">For endTB-Q: </w:t>
      </w:r>
    </w:p>
    <w:p w14:paraId="3B9786F6" w14:textId="2F92FD14" w:rsidR="00184EEA" w:rsidRPr="00930C54" w:rsidRDefault="00184EEA" w:rsidP="00184EEA">
      <w:pPr>
        <w:widowControl w:val="0"/>
        <w:numPr>
          <w:ilvl w:val="3"/>
          <w:numId w:val="5"/>
        </w:numPr>
        <w:spacing w:before="240" w:after="240" w:line="240" w:lineRule="auto"/>
        <w:contextualSpacing/>
        <w:jc w:val="both"/>
        <w:rPr>
          <w:i/>
          <w:szCs w:val="24"/>
        </w:rPr>
      </w:pPr>
      <w:r w:rsidRPr="00930C54">
        <w:rPr>
          <w:i/>
          <w:szCs w:val="24"/>
        </w:rPr>
        <w:t>In trial sites in Peru, Lesotho, South Africa, and Vietnam, an</w:t>
      </w:r>
      <w:r w:rsidR="006E01B9" w:rsidRPr="00930C54">
        <w:rPr>
          <w:i/>
          <w:szCs w:val="24"/>
        </w:rPr>
        <w:t xml:space="preserve"> additional</w:t>
      </w:r>
      <w:r w:rsidRPr="00930C54">
        <w:rPr>
          <w:i/>
          <w:szCs w:val="24"/>
        </w:rPr>
        <w:t xml:space="preserve"> FQ-resistant result </w:t>
      </w:r>
      <w:r w:rsidR="006E01B9" w:rsidRPr="00930C54">
        <w:rPr>
          <w:i/>
          <w:szCs w:val="24"/>
        </w:rPr>
        <w:t xml:space="preserve">from the designated study lab </w:t>
      </w:r>
      <w:r w:rsidRPr="00930C54">
        <w:rPr>
          <w:i/>
          <w:szCs w:val="24"/>
        </w:rPr>
        <w:t xml:space="preserve">is required. </w:t>
      </w:r>
    </w:p>
    <w:p w14:paraId="7D6E485B" w14:textId="036085E0" w:rsidR="00184EEA" w:rsidRPr="00930C54" w:rsidRDefault="00184EEA" w:rsidP="00184EEA">
      <w:pPr>
        <w:widowControl w:val="0"/>
        <w:numPr>
          <w:ilvl w:val="3"/>
          <w:numId w:val="5"/>
        </w:numPr>
        <w:spacing w:before="240" w:after="240" w:line="240" w:lineRule="auto"/>
        <w:contextualSpacing/>
        <w:jc w:val="both"/>
        <w:rPr>
          <w:i/>
          <w:szCs w:val="24"/>
        </w:rPr>
      </w:pPr>
      <w:r w:rsidRPr="00930C54">
        <w:rPr>
          <w:i/>
          <w:szCs w:val="24"/>
        </w:rPr>
        <w:t>In trial sites in India, Kazakhstan</w:t>
      </w:r>
      <w:r w:rsidR="006E01B9" w:rsidRPr="00930C54">
        <w:rPr>
          <w:i/>
          <w:szCs w:val="24"/>
        </w:rPr>
        <w:t>,</w:t>
      </w:r>
      <w:r w:rsidRPr="00930C54">
        <w:rPr>
          <w:i/>
          <w:szCs w:val="24"/>
        </w:rPr>
        <w:t xml:space="preserve"> and Pakistan</w:t>
      </w:r>
      <w:r w:rsidR="006E01B9" w:rsidRPr="00930C54">
        <w:rPr>
          <w:i/>
          <w:szCs w:val="24"/>
        </w:rPr>
        <w:t>,</w:t>
      </w:r>
      <w:r w:rsidRPr="00930C54">
        <w:rPr>
          <w:i/>
          <w:szCs w:val="24"/>
        </w:rPr>
        <w:t xml:space="preserve"> an </w:t>
      </w:r>
      <w:r w:rsidR="006E01B9" w:rsidRPr="00930C54">
        <w:rPr>
          <w:i/>
          <w:szCs w:val="24"/>
        </w:rPr>
        <w:t xml:space="preserve">additional FQ-resistant or </w:t>
      </w:r>
      <w:r w:rsidRPr="00930C54">
        <w:rPr>
          <w:i/>
          <w:szCs w:val="24"/>
        </w:rPr>
        <w:t xml:space="preserve">FQ-indeterminate </w:t>
      </w:r>
      <w:r w:rsidR="006E01B9" w:rsidRPr="00930C54">
        <w:rPr>
          <w:i/>
          <w:szCs w:val="24"/>
        </w:rPr>
        <w:t>result from the designated study lab is required</w:t>
      </w:r>
      <w:r w:rsidRPr="00930C54">
        <w:rPr>
          <w:i/>
          <w:szCs w:val="24"/>
        </w:rPr>
        <w:t xml:space="preserve">. </w:t>
      </w:r>
    </w:p>
    <w:p w14:paraId="5B2B6130" w14:textId="075ACC6A" w:rsidR="002471EE" w:rsidRPr="002A33AC" w:rsidRDefault="002471EE" w:rsidP="002471EE">
      <w:pPr>
        <w:widowControl w:val="0"/>
        <w:numPr>
          <w:ilvl w:val="2"/>
          <w:numId w:val="5"/>
        </w:numPr>
        <w:spacing w:before="240" w:after="240" w:line="240" w:lineRule="auto"/>
        <w:ind w:hanging="360"/>
        <w:contextualSpacing/>
        <w:jc w:val="both"/>
        <w:rPr>
          <w:i/>
          <w:szCs w:val="24"/>
        </w:rPr>
      </w:pPr>
      <w:r w:rsidRPr="002A33AC">
        <w:rPr>
          <w:i/>
          <w:szCs w:val="24"/>
        </w:rPr>
        <w:t xml:space="preserve">If patients have any molecular or </w:t>
      </w:r>
      <w:r>
        <w:rPr>
          <w:i/>
          <w:szCs w:val="24"/>
        </w:rPr>
        <w:t>phenotypic drug-susceptibility testing</w:t>
      </w:r>
      <w:r w:rsidRPr="002A33AC">
        <w:rPr>
          <w:i/>
          <w:szCs w:val="24"/>
        </w:rPr>
        <w:t xml:space="preserve"> results (from tests performed at quality-assured/quality-controlled study-designated laboratories) from sputum specimens collected in the 3 weeks prior to screening, it is not necessary to repeat those tests at screening.</w:t>
      </w:r>
    </w:p>
    <w:p w14:paraId="5B2B6131" w14:textId="77777777" w:rsidR="002471EE" w:rsidRDefault="002471EE" w:rsidP="002471EE">
      <w:pPr>
        <w:widowControl w:val="0"/>
        <w:numPr>
          <w:ilvl w:val="0"/>
          <w:numId w:val="5"/>
        </w:numPr>
        <w:spacing w:before="240" w:after="240" w:line="240" w:lineRule="auto"/>
        <w:contextualSpacing/>
        <w:jc w:val="both"/>
        <w:rPr>
          <w:szCs w:val="24"/>
        </w:rPr>
      </w:pPr>
      <w:r w:rsidRPr="005B1B8F">
        <w:rPr>
          <w:szCs w:val="24"/>
        </w:rPr>
        <w:t xml:space="preserve">Is </w:t>
      </w:r>
      <w:r>
        <w:rPr>
          <w:szCs w:val="24"/>
        </w:rPr>
        <w:t>≥</w:t>
      </w:r>
      <w:r w:rsidRPr="00A73271">
        <w:rPr>
          <w:szCs w:val="24"/>
        </w:rPr>
        <w:t xml:space="preserve"> 1</w:t>
      </w:r>
      <w:r>
        <w:rPr>
          <w:szCs w:val="24"/>
        </w:rPr>
        <w:t>5 (or 18, depending on site)</w:t>
      </w:r>
      <w:r w:rsidRPr="00A73271">
        <w:rPr>
          <w:szCs w:val="24"/>
        </w:rPr>
        <w:t xml:space="preserve"> years of </w:t>
      </w:r>
      <w:proofErr w:type="gramStart"/>
      <w:r w:rsidRPr="00A73271">
        <w:rPr>
          <w:szCs w:val="24"/>
        </w:rPr>
        <w:t>age</w:t>
      </w:r>
      <w:r w:rsidRPr="00AB76D0">
        <w:rPr>
          <w:szCs w:val="24"/>
        </w:rPr>
        <w:t>;</w:t>
      </w:r>
      <w:proofErr w:type="gramEnd"/>
    </w:p>
    <w:p w14:paraId="604BD0BB" w14:textId="6430A4EB" w:rsidR="00EE7415" w:rsidRPr="007478C2" w:rsidRDefault="002471EE" w:rsidP="007478C2">
      <w:pPr>
        <w:widowControl w:val="0"/>
        <w:numPr>
          <w:ilvl w:val="2"/>
          <w:numId w:val="5"/>
        </w:numPr>
        <w:spacing w:before="240" w:after="240" w:line="240" w:lineRule="auto"/>
        <w:ind w:hanging="360"/>
        <w:contextualSpacing/>
        <w:jc w:val="both"/>
        <w:rPr>
          <w:i/>
          <w:szCs w:val="24"/>
        </w:rPr>
      </w:pPr>
      <w:r w:rsidRPr="002A33AC">
        <w:rPr>
          <w:i/>
          <w:szCs w:val="24"/>
        </w:rPr>
        <w:t>Age is assessed on the date of the screening visit, or at pre-screening if this information is available</w:t>
      </w:r>
      <w:r>
        <w:rPr>
          <w:i/>
          <w:szCs w:val="24"/>
        </w:rPr>
        <w:t>.</w:t>
      </w:r>
    </w:p>
    <w:p w14:paraId="59EE0F22" w14:textId="7DE05531" w:rsidR="00EE7415" w:rsidRPr="009E3099" w:rsidRDefault="00EE7415" w:rsidP="009E3099">
      <w:pPr>
        <w:pStyle w:val="ListParagraph"/>
        <w:widowControl w:val="0"/>
        <w:numPr>
          <w:ilvl w:val="0"/>
          <w:numId w:val="15"/>
        </w:numPr>
        <w:spacing w:before="240" w:after="240" w:line="240" w:lineRule="auto"/>
        <w:ind w:left="709"/>
        <w:jc w:val="both"/>
        <w:rPr>
          <w:b/>
          <w:szCs w:val="24"/>
          <w:u w:val="single"/>
        </w:rPr>
      </w:pPr>
      <w:r w:rsidRPr="009E3099">
        <w:rPr>
          <w:b/>
          <w:szCs w:val="24"/>
          <w:u w:val="single"/>
        </w:rPr>
        <w:t>Criteria</w:t>
      </w:r>
      <w:r w:rsidR="00FF4151">
        <w:rPr>
          <w:b/>
          <w:szCs w:val="24"/>
          <w:u w:val="single"/>
        </w:rPr>
        <w:t xml:space="preserve"> applicable</w:t>
      </w:r>
      <w:r w:rsidRPr="009E3099">
        <w:rPr>
          <w:b/>
          <w:szCs w:val="24"/>
          <w:u w:val="single"/>
        </w:rPr>
        <w:t xml:space="preserve"> for Protocol </w:t>
      </w:r>
      <w:r w:rsidR="002D41DA" w:rsidRPr="00BD6FBB">
        <w:rPr>
          <w:b/>
          <w:szCs w:val="24"/>
          <w:u w:val="single"/>
        </w:rPr>
        <w:t xml:space="preserve">up to </w:t>
      </w:r>
      <w:r w:rsidRPr="009E3099">
        <w:rPr>
          <w:b/>
          <w:szCs w:val="24"/>
          <w:u w:val="single"/>
        </w:rPr>
        <w:t xml:space="preserve">version 3.3 </w:t>
      </w:r>
      <w:r w:rsidR="002F00FF">
        <w:rPr>
          <w:b/>
          <w:szCs w:val="24"/>
          <w:u w:val="single"/>
        </w:rPr>
        <w:t>(</w:t>
      </w:r>
      <w:r w:rsidR="002F00FF" w:rsidRPr="00F5534B">
        <w:rPr>
          <w:b/>
          <w:szCs w:val="24"/>
          <w:u w:val="single"/>
        </w:rPr>
        <w:t>endTB</w:t>
      </w:r>
      <w:r w:rsidR="002F00FF">
        <w:rPr>
          <w:b/>
          <w:szCs w:val="24"/>
          <w:u w:val="single"/>
        </w:rPr>
        <w:t>)</w:t>
      </w:r>
      <w:r w:rsidR="002F00FF" w:rsidRPr="00F5534B">
        <w:rPr>
          <w:b/>
          <w:szCs w:val="24"/>
          <w:u w:val="single"/>
        </w:rPr>
        <w:t xml:space="preserve"> </w:t>
      </w:r>
      <w:r w:rsidRPr="009E3099">
        <w:rPr>
          <w:b/>
          <w:szCs w:val="24"/>
          <w:u w:val="single"/>
        </w:rPr>
        <w:t xml:space="preserve">and </w:t>
      </w:r>
      <w:r w:rsidR="002F00FF" w:rsidRPr="002F00FF">
        <w:rPr>
          <w:b/>
          <w:szCs w:val="24"/>
          <w:u w:val="single"/>
        </w:rPr>
        <w:t xml:space="preserve">version </w:t>
      </w:r>
      <w:r w:rsidR="00A036ED">
        <w:rPr>
          <w:b/>
          <w:szCs w:val="24"/>
          <w:u w:val="single"/>
        </w:rPr>
        <w:t>3</w:t>
      </w:r>
      <w:r w:rsidR="002F00FF" w:rsidRPr="002F00FF">
        <w:rPr>
          <w:b/>
          <w:szCs w:val="24"/>
          <w:u w:val="single"/>
        </w:rPr>
        <w:t>.</w:t>
      </w:r>
      <w:r w:rsidR="00A036ED">
        <w:rPr>
          <w:b/>
          <w:szCs w:val="24"/>
          <w:u w:val="single"/>
        </w:rPr>
        <w:t>0</w:t>
      </w:r>
      <w:r w:rsidR="002F00FF" w:rsidRPr="002F00FF">
        <w:rPr>
          <w:b/>
          <w:szCs w:val="24"/>
          <w:u w:val="single"/>
        </w:rPr>
        <w:t xml:space="preserve"> </w:t>
      </w:r>
      <w:r w:rsidR="002F00FF">
        <w:rPr>
          <w:b/>
          <w:szCs w:val="24"/>
          <w:u w:val="single"/>
        </w:rPr>
        <w:t>(</w:t>
      </w:r>
      <w:r w:rsidR="002F00FF" w:rsidRPr="00423A16">
        <w:rPr>
          <w:b/>
          <w:szCs w:val="24"/>
          <w:u w:val="single"/>
        </w:rPr>
        <w:t>endTB-Q</w:t>
      </w:r>
      <w:r w:rsidR="002F00FF">
        <w:rPr>
          <w:b/>
          <w:szCs w:val="24"/>
          <w:u w:val="single"/>
        </w:rPr>
        <w:t>)</w:t>
      </w:r>
    </w:p>
    <w:p w14:paraId="125ACFC1" w14:textId="1CC76651" w:rsidR="00EE7415" w:rsidRPr="00EE7415" w:rsidRDefault="00EE7415" w:rsidP="009E3099">
      <w:pPr>
        <w:widowControl w:val="0"/>
        <w:spacing w:before="240" w:after="240" w:line="240" w:lineRule="auto"/>
        <w:ind w:left="720"/>
        <w:contextualSpacing/>
        <w:jc w:val="both"/>
        <w:rPr>
          <w:szCs w:val="24"/>
        </w:rPr>
      </w:pPr>
      <w:r w:rsidRPr="00EE7415">
        <w:rPr>
          <w:szCs w:val="24"/>
        </w:rPr>
        <w:t xml:space="preserve">Is willing to use effective contraception: pre-menopausal women or women whose last menstrual period was within the preceding year, who have not been sterilized must agree to use two methods of contraception (e.g., a hormonal method and a barrier method) unless their partner has had a vasectomy; men who have not had a vasectomy must agree to use </w:t>
      </w:r>
      <w:proofErr w:type="gramStart"/>
      <w:r w:rsidRPr="00EE7415">
        <w:rPr>
          <w:szCs w:val="24"/>
        </w:rPr>
        <w:t>condoms;</w:t>
      </w:r>
      <w:proofErr w:type="gramEnd"/>
    </w:p>
    <w:p w14:paraId="40E0D3F0" w14:textId="77777777" w:rsidR="00EE7415" w:rsidRDefault="00EE7415" w:rsidP="00EE7415">
      <w:pPr>
        <w:widowControl w:val="0"/>
        <w:numPr>
          <w:ilvl w:val="3"/>
          <w:numId w:val="5"/>
        </w:numPr>
        <w:spacing w:before="240" w:after="240" w:line="240" w:lineRule="auto"/>
        <w:ind w:left="2160"/>
        <w:contextualSpacing/>
        <w:jc w:val="both"/>
        <w:rPr>
          <w:i/>
          <w:szCs w:val="24"/>
        </w:rPr>
      </w:pPr>
      <w:r>
        <w:rPr>
          <w:i/>
          <w:szCs w:val="24"/>
        </w:rPr>
        <w:t xml:space="preserve">Female participants do not need to specify which contraceptive methods they plan to use. They simply need to affirm they will comply with the requirement. </w:t>
      </w:r>
      <w:proofErr w:type="gramStart"/>
      <w:r>
        <w:rPr>
          <w:i/>
          <w:szCs w:val="24"/>
        </w:rPr>
        <w:t>And,</w:t>
      </w:r>
      <w:proofErr w:type="gramEnd"/>
      <w:r>
        <w:rPr>
          <w:i/>
          <w:szCs w:val="24"/>
        </w:rPr>
        <w:t xml:space="preserve"> the study team should offer to facilitate access to the chosen methods, again, without needing to know what they are. </w:t>
      </w:r>
    </w:p>
    <w:p w14:paraId="0C2F7A34" w14:textId="77777777" w:rsidR="00EE7415" w:rsidRDefault="00EE7415" w:rsidP="00EE7415">
      <w:pPr>
        <w:widowControl w:val="0"/>
        <w:numPr>
          <w:ilvl w:val="3"/>
          <w:numId w:val="5"/>
        </w:numPr>
        <w:spacing w:before="240" w:after="240" w:line="240" w:lineRule="auto"/>
        <w:ind w:left="2160"/>
        <w:contextualSpacing/>
        <w:jc w:val="both"/>
        <w:rPr>
          <w:i/>
          <w:szCs w:val="24"/>
        </w:rPr>
      </w:pPr>
      <w:r w:rsidRPr="002A33AC">
        <w:rPr>
          <w:i/>
          <w:szCs w:val="24"/>
        </w:rPr>
        <w:t xml:space="preserve">All contraception methods are allowed, as long as they are used according to </w:t>
      </w:r>
      <w:r>
        <w:rPr>
          <w:i/>
          <w:szCs w:val="24"/>
        </w:rPr>
        <w:t xml:space="preserve">manufacturer </w:t>
      </w:r>
      <w:r w:rsidRPr="002A33AC">
        <w:rPr>
          <w:i/>
          <w:szCs w:val="24"/>
        </w:rPr>
        <w:t>recommendations: long-acting reversible contraception methods, hormonal methods (short-acting or combined, including injectable and topic</w:t>
      </w:r>
      <w:r>
        <w:rPr>
          <w:i/>
          <w:szCs w:val="24"/>
        </w:rPr>
        <w:t>al</w:t>
      </w:r>
      <w:r w:rsidRPr="002A33AC">
        <w:rPr>
          <w:i/>
          <w:szCs w:val="24"/>
        </w:rPr>
        <w:t xml:space="preserve"> methods), and barrier </w:t>
      </w:r>
      <w:proofErr w:type="gramStart"/>
      <w:r w:rsidRPr="002A33AC">
        <w:rPr>
          <w:i/>
          <w:szCs w:val="24"/>
        </w:rPr>
        <w:t>methods;</w:t>
      </w:r>
      <w:proofErr w:type="gramEnd"/>
    </w:p>
    <w:p w14:paraId="146FD278" w14:textId="77777777" w:rsidR="00EE7415" w:rsidRDefault="00EE7415" w:rsidP="00EE7415">
      <w:pPr>
        <w:widowControl w:val="0"/>
        <w:numPr>
          <w:ilvl w:val="3"/>
          <w:numId w:val="5"/>
        </w:numPr>
        <w:spacing w:before="240" w:after="240" w:line="240" w:lineRule="auto"/>
        <w:ind w:left="2160"/>
        <w:contextualSpacing/>
        <w:jc w:val="both"/>
        <w:rPr>
          <w:i/>
          <w:szCs w:val="24"/>
        </w:rPr>
      </w:pPr>
      <w:r>
        <w:rPr>
          <w:i/>
          <w:szCs w:val="24"/>
        </w:rPr>
        <w:t xml:space="preserve">Natural methods of contraception (such as </w:t>
      </w:r>
      <w:r w:rsidRPr="00503E68">
        <w:rPr>
          <w:i/>
          <w:szCs w:val="24"/>
        </w:rPr>
        <w:t>rhythm method</w:t>
      </w:r>
      <w:r>
        <w:rPr>
          <w:i/>
          <w:szCs w:val="24"/>
        </w:rPr>
        <w:t xml:space="preserve">, based on abstention in specific periods of the ovulation cycle as determined by days of the menstruation cycle,  body temperature, and other elements), when accompanied by proper counselling and follow-up during trial participation, are acceptable as one method for female participants, when used-together with one of the other methods specified </w:t>
      </w:r>
      <w:proofErr w:type="gramStart"/>
      <w:r>
        <w:rPr>
          <w:i/>
          <w:szCs w:val="24"/>
        </w:rPr>
        <w:t>above;</w:t>
      </w:r>
      <w:proofErr w:type="gramEnd"/>
    </w:p>
    <w:p w14:paraId="419296D2" w14:textId="77777777" w:rsidR="00DD2877" w:rsidRPr="00D413C4" w:rsidRDefault="00DD2877" w:rsidP="00DD2877">
      <w:pPr>
        <w:widowControl w:val="0"/>
        <w:spacing w:before="240" w:after="240" w:line="240" w:lineRule="auto"/>
        <w:ind w:left="2160"/>
        <w:contextualSpacing/>
        <w:jc w:val="both"/>
        <w:rPr>
          <w:i/>
          <w:szCs w:val="24"/>
        </w:rPr>
      </w:pPr>
    </w:p>
    <w:p w14:paraId="20E9F434" w14:textId="77777777" w:rsidR="00EE7415" w:rsidRPr="002A33AC" w:rsidRDefault="00EE7415" w:rsidP="00EE7415">
      <w:pPr>
        <w:widowControl w:val="0"/>
        <w:numPr>
          <w:ilvl w:val="3"/>
          <w:numId w:val="5"/>
        </w:numPr>
        <w:spacing w:before="240" w:after="240" w:line="240" w:lineRule="auto"/>
        <w:ind w:left="2160"/>
        <w:contextualSpacing/>
        <w:jc w:val="both"/>
        <w:rPr>
          <w:i/>
          <w:szCs w:val="24"/>
        </w:rPr>
      </w:pPr>
      <w:r w:rsidRPr="002A33AC">
        <w:rPr>
          <w:i/>
          <w:szCs w:val="24"/>
        </w:rPr>
        <w:lastRenderedPageBreak/>
        <w:t xml:space="preserve">Contraception should be used, as described above, as long as the participant takes the study treatment and up </w:t>
      </w:r>
      <w:proofErr w:type="gramStart"/>
      <w:r w:rsidRPr="002A33AC">
        <w:rPr>
          <w:i/>
          <w:szCs w:val="24"/>
        </w:rPr>
        <w:t>to:</w:t>
      </w:r>
      <w:proofErr w:type="gramEnd"/>
      <w:r w:rsidRPr="002A33AC">
        <w:rPr>
          <w:i/>
          <w:szCs w:val="24"/>
        </w:rPr>
        <w:t xml:space="preserve"> a) two weeks after the last intake of study treatment, if </w:t>
      </w:r>
      <w:r>
        <w:rPr>
          <w:i/>
          <w:szCs w:val="24"/>
        </w:rPr>
        <w:t>the regimen</w:t>
      </w:r>
      <w:r w:rsidRPr="002A33AC">
        <w:rPr>
          <w:i/>
          <w:szCs w:val="24"/>
        </w:rPr>
        <w:t xml:space="preserve"> did not include either clofazimine or </w:t>
      </w:r>
      <w:proofErr w:type="spellStart"/>
      <w:r w:rsidRPr="002A33AC">
        <w:rPr>
          <w:i/>
          <w:szCs w:val="24"/>
        </w:rPr>
        <w:t>bedaquiline</w:t>
      </w:r>
      <w:proofErr w:type="spellEnd"/>
      <w:r w:rsidRPr="002A33AC">
        <w:rPr>
          <w:i/>
          <w:szCs w:val="24"/>
        </w:rPr>
        <w:t xml:space="preserve"> (drugs with prolonged elimination half-life); </w:t>
      </w:r>
      <w:r>
        <w:rPr>
          <w:i/>
          <w:szCs w:val="24"/>
        </w:rPr>
        <w:t xml:space="preserve">or </w:t>
      </w:r>
      <w:r w:rsidRPr="002A33AC">
        <w:rPr>
          <w:i/>
          <w:szCs w:val="24"/>
        </w:rPr>
        <w:t xml:space="preserve">b) three months after the last intake of study treatment, if </w:t>
      </w:r>
      <w:r>
        <w:rPr>
          <w:i/>
          <w:szCs w:val="24"/>
        </w:rPr>
        <w:t>the regimen</w:t>
      </w:r>
      <w:r w:rsidRPr="002A33AC">
        <w:rPr>
          <w:i/>
          <w:szCs w:val="24"/>
        </w:rPr>
        <w:t xml:space="preserve"> include</w:t>
      </w:r>
      <w:r>
        <w:rPr>
          <w:i/>
          <w:szCs w:val="24"/>
        </w:rPr>
        <w:t>d</w:t>
      </w:r>
      <w:r w:rsidRPr="002A33AC">
        <w:rPr>
          <w:i/>
          <w:szCs w:val="24"/>
        </w:rPr>
        <w:t xml:space="preserve"> clofazimine or </w:t>
      </w:r>
      <w:proofErr w:type="spellStart"/>
      <w:r w:rsidRPr="002A33AC">
        <w:rPr>
          <w:i/>
          <w:szCs w:val="24"/>
        </w:rPr>
        <w:t>bedaquiline</w:t>
      </w:r>
      <w:proofErr w:type="spellEnd"/>
      <w:r w:rsidRPr="002A33AC">
        <w:rPr>
          <w:i/>
          <w:szCs w:val="24"/>
        </w:rPr>
        <w:t>.</w:t>
      </w:r>
    </w:p>
    <w:p w14:paraId="76F15CA1" w14:textId="064E6FD3" w:rsidR="00EE7415" w:rsidRPr="009E3099" w:rsidRDefault="00EE7415" w:rsidP="009E3099">
      <w:pPr>
        <w:pStyle w:val="ListParagraph"/>
        <w:widowControl w:val="0"/>
        <w:numPr>
          <w:ilvl w:val="0"/>
          <w:numId w:val="15"/>
        </w:numPr>
        <w:spacing w:before="240" w:after="240" w:line="240" w:lineRule="auto"/>
        <w:ind w:left="709"/>
        <w:jc w:val="both"/>
        <w:rPr>
          <w:b/>
          <w:szCs w:val="24"/>
          <w:u w:val="single"/>
        </w:rPr>
      </w:pPr>
      <w:r w:rsidRPr="009E3099">
        <w:rPr>
          <w:b/>
          <w:szCs w:val="24"/>
          <w:u w:val="single"/>
        </w:rPr>
        <w:t>Criteria</w:t>
      </w:r>
      <w:r w:rsidR="00FF4151">
        <w:rPr>
          <w:b/>
          <w:szCs w:val="24"/>
          <w:u w:val="single"/>
        </w:rPr>
        <w:t xml:space="preserve"> applicable</w:t>
      </w:r>
      <w:r w:rsidRPr="009E3099">
        <w:rPr>
          <w:b/>
          <w:szCs w:val="24"/>
          <w:u w:val="single"/>
        </w:rPr>
        <w:t xml:space="preserve"> </w:t>
      </w:r>
      <w:r w:rsidR="002F00FF">
        <w:rPr>
          <w:b/>
          <w:szCs w:val="24"/>
          <w:u w:val="single"/>
        </w:rPr>
        <w:t>from</w:t>
      </w:r>
      <w:r w:rsidRPr="009E3099">
        <w:rPr>
          <w:b/>
          <w:szCs w:val="24"/>
          <w:u w:val="single"/>
        </w:rPr>
        <w:t xml:space="preserve"> Protocol version 3.5 </w:t>
      </w:r>
      <w:r w:rsidR="002F00FF">
        <w:rPr>
          <w:b/>
          <w:szCs w:val="24"/>
          <w:u w:val="single"/>
        </w:rPr>
        <w:t xml:space="preserve">(endTB) </w:t>
      </w:r>
      <w:r w:rsidRPr="009E3099">
        <w:rPr>
          <w:b/>
          <w:szCs w:val="24"/>
          <w:u w:val="single"/>
        </w:rPr>
        <w:t xml:space="preserve">and version </w:t>
      </w:r>
      <w:r w:rsidR="00A036ED">
        <w:rPr>
          <w:b/>
          <w:szCs w:val="24"/>
          <w:u w:val="single"/>
        </w:rPr>
        <w:t>4</w:t>
      </w:r>
      <w:r w:rsidR="00A036ED" w:rsidRPr="00A036ED">
        <w:rPr>
          <w:b/>
          <w:szCs w:val="24"/>
          <w:u w:val="single"/>
        </w:rPr>
        <w:t>.</w:t>
      </w:r>
      <w:r w:rsidR="00A036ED">
        <w:rPr>
          <w:b/>
          <w:szCs w:val="24"/>
          <w:u w:val="single"/>
        </w:rPr>
        <w:t>1</w:t>
      </w:r>
      <w:r w:rsidR="002F00FF" w:rsidRPr="002F00FF">
        <w:rPr>
          <w:b/>
          <w:szCs w:val="24"/>
          <w:u w:val="single"/>
        </w:rPr>
        <w:t xml:space="preserve"> </w:t>
      </w:r>
      <w:r w:rsidR="002F00FF">
        <w:rPr>
          <w:b/>
          <w:szCs w:val="24"/>
          <w:u w:val="single"/>
        </w:rPr>
        <w:t>(</w:t>
      </w:r>
      <w:r w:rsidR="002F00FF" w:rsidRPr="00A06068">
        <w:rPr>
          <w:b/>
          <w:szCs w:val="24"/>
          <w:u w:val="single"/>
        </w:rPr>
        <w:t>endTB-Q</w:t>
      </w:r>
      <w:r w:rsidR="002F00FF">
        <w:rPr>
          <w:b/>
          <w:szCs w:val="24"/>
          <w:u w:val="single"/>
        </w:rPr>
        <w:t>)</w:t>
      </w:r>
    </w:p>
    <w:p w14:paraId="7EAE617A" w14:textId="2B01BFB2" w:rsidR="001B7481" w:rsidRPr="001B7481" w:rsidRDefault="002471EE" w:rsidP="009E3099">
      <w:pPr>
        <w:widowControl w:val="0"/>
        <w:spacing w:before="240" w:after="240" w:line="240" w:lineRule="auto"/>
        <w:ind w:left="720"/>
        <w:contextualSpacing/>
        <w:jc w:val="both"/>
        <w:rPr>
          <w:i/>
          <w:szCs w:val="24"/>
        </w:rPr>
      </w:pPr>
      <w:r w:rsidRPr="00FA2B59">
        <w:rPr>
          <w:szCs w:val="24"/>
        </w:rPr>
        <w:t xml:space="preserve">Is willing to use contraception: pre-menopausal women or women whose last menstrual period was within the preceding year, who have not been sterilized must agree to use contraception unless their partner has had a vasectomy; men who have not had a vasectomy must agree to use </w:t>
      </w:r>
      <w:proofErr w:type="gramStart"/>
      <w:r w:rsidRPr="00FA2B59">
        <w:rPr>
          <w:szCs w:val="24"/>
        </w:rPr>
        <w:t>condoms</w:t>
      </w:r>
      <w:r>
        <w:rPr>
          <w:szCs w:val="24"/>
        </w:rPr>
        <w:t>;</w:t>
      </w:r>
      <w:proofErr w:type="gramEnd"/>
    </w:p>
    <w:p w14:paraId="77FCCD6C" w14:textId="2E831FBC" w:rsidR="001B7481" w:rsidRPr="001B7481" w:rsidRDefault="001B7481" w:rsidP="001B7481">
      <w:pPr>
        <w:widowControl w:val="0"/>
        <w:numPr>
          <w:ilvl w:val="3"/>
          <w:numId w:val="5"/>
        </w:numPr>
        <w:spacing w:before="240" w:after="240" w:line="240" w:lineRule="auto"/>
        <w:ind w:left="2160"/>
        <w:contextualSpacing/>
        <w:jc w:val="both"/>
        <w:rPr>
          <w:i/>
          <w:szCs w:val="24"/>
        </w:rPr>
      </w:pPr>
      <w:r w:rsidRPr="001B7481">
        <w:rPr>
          <w:i/>
          <w:szCs w:val="24"/>
        </w:rPr>
        <w:t xml:space="preserve">Menopausal woman who </w:t>
      </w:r>
      <w:proofErr w:type="gramStart"/>
      <w:r w:rsidRPr="001B7481">
        <w:rPr>
          <w:i/>
          <w:szCs w:val="24"/>
        </w:rPr>
        <w:t>have</w:t>
      </w:r>
      <w:proofErr w:type="gramEnd"/>
      <w:r w:rsidRPr="001B7481">
        <w:rPr>
          <w:i/>
          <w:szCs w:val="24"/>
        </w:rPr>
        <w:t xml:space="preserve"> not had a menstrual period for the past 12 months or more, or who had any well-documented method of surgical sterilization will not need to have a pregnancy test and are not considered able to become pregnant. Methods of surgical sterilization include having had a hysterectomy, bilateral oophorectomy, a tubal ligation, and transvaginal occlusion.</w:t>
      </w:r>
    </w:p>
    <w:p w14:paraId="69793503" w14:textId="2B2C746A" w:rsidR="001B7481" w:rsidRDefault="001B7481" w:rsidP="00522C3B">
      <w:pPr>
        <w:widowControl w:val="0"/>
        <w:numPr>
          <w:ilvl w:val="3"/>
          <w:numId w:val="5"/>
        </w:numPr>
        <w:spacing w:before="240" w:after="240" w:line="240" w:lineRule="auto"/>
        <w:ind w:left="2160"/>
        <w:contextualSpacing/>
        <w:jc w:val="both"/>
        <w:rPr>
          <w:i/>
          <w:szCs w:val="24"/>
        </w:rPr>
      </w:pPr>
      <w:r>
        <w:rPr>
          <w:i/>
          <w:szCs w:val="24"/>
        </w:rPr>
        <w:t>Participants who</w:t>
      </w:r>
      <w:r w:rsidRPr="001B7481">
        <w:rPr>
          <w:i/>
          <w:szCs w:val="24"/>
        </w:rPr>
        <w:t xml:space="preserve"> are sexually active and able to become pregnant or father a child</w:t>
      </w:r>
      <w:r>
        <w:rPr>
          <w:i/>
          <w:szCs w:val="24"/>
        </w:rPr>
        <w:t xml:space="preserve"> </w:t>
      </w:r>
      <w:r w:rsidRPr="001B7481">
        <w:rPr>
          <w:i/>
          <w:szCs w:val="24"/>
        </w:rPr>
        <w:t>must agree to abstain from sex or use acceptable birth control (methods listed</w:t>
      </w:r>
      <w:r>
        <w:rPr>
          <w:i/>
          <w:szCs w:val="24"/>
        </w:rPr>
        <w:t xml:space="preserve"> </w:t>
      </w:r>
      <w:r w:rsidRPr="001B7481">
        <w:rPr>
          <w:i/>
          <w:szCs w:val="24"/>
        </w:rPr>
        <w:t>below) while taking study drugs. Acceptable birth control may be achieved by using a single “highly effective” method or by using a combination of other methods.</w:t>
      </w:r>
    </w:p>
    <w:p w14:paraId="2081CB9C" w14:textId="3F95A3CE" w:rsidR="001B7481" w:rsidRDefault="001B7481" w:rsidP="001B7481">
      <w:pPr>
        <w:widowControl w:val="0"/>
        <w:spacing w:before="240" w:after="240" w:line="240" w:lineRule="auto"/>
        <w:contextualSpacing/>
        <w:jc w:val="both"/>
        <w:rPr>
          <w:i/>
          <w:szCs w:val="24"/>
        </w:rPr>
      </w:pPr>
    </w:p>
    <w:p w14:paraId="2C0A4C68" w14:textId="77777777" w:rsidR="001B7481" w:rsidRPr="001B7481" w:rsidRDefault="001B7481" w:rsidP="009E3099">
      <w:pPr>
        <w:widowControl w:val="0"/>
        <w:spacing w:before="240" w:after="240" w:line="240" w:lineRule="auto"/>
        <w:ind w:left="708" w:firstLine="708"/>
        <w:contextualSpacing/>
        <w:jc w:val="both"/>
        <w:rPr>
          <w:i/>
          <w:szCs w:val="24"/>
        </w:rPr>
      </w:pPr>
      <w:r w:rsidRPr="001B7481">
        <w:rPr>
          <w:i/>
          <w:szCs w:val="24"/>
        </w:rPr>
        <w:t>Acceptable “highly effective” single birth control methods for use in this study are:</w:t>
      </w:r>
    </w:p>
    <w:p w14:paraId="2221F080" w14:textId="4D0EC5AB" w:rsidR="001B7481" w:rsidRPr="009E3099" w:rsidRDefault="001B7481" w:rsidP="009E3099">
      <w:pPr>
        <w:widowControl w:val="0"/>
        <w:numPr>
          <w:ilvl w:val="3"/>
          <w:numId w:val="13"/>
        </w:numPr>
        <w:spacing w:before="240" w:after="240" w:line="240" w:lineRule="auto"/>
        <w:contextualSpacing/>
        <w:jc w:val="both"/>
        <w:rPr>
          <w:i/>
          <w:szCs w:val="24"/>
        </w:rPr>
      </w:pPr>
      <w:r w:rsidRPr="009E3099">
        <w:rPr>
          <w:i/>
          <w:szCs w:val="24"/>
        </w:rPr>
        <w:t>Hormonal method: birth control pills, patches, injections, vaginal rings, or implants.</w:t>
      </w:r>
    </w:p>
    <w:p w14:paraId="0B142A42" w14:textId="6F553389" w:rsidR="001B7481" w:rsidRPr="001B7481" w:rsidRDefault="001B7481" w:rsidP="009E3099">
      <w:pPr>
        <w:widowControl w:val="0"/>
        <w:numPr>
          <w:ilvl w:val="3"/>
          <w:numId w:val="13"/>
        </w:numPr>
        <w:spacing w:before="240" w:after="240" w:line="240" w:lineRule="auto"/>
        <w:contextualSpacing/>
        <w:jc w:val="both"/>
        <w:rPr>
          <w:i/>
          <w:szCs w:val="24"/>
        </w:rPr>
      </w:pPr>
      <w:r w:rsidRPr="001B7481">
        <w:rPr>
          <w:i/>
          <w:szCs w:val="24"/>
        </w:rPr>
        <w:t xml:space="preserve">Intrauterine device (IUD). </w:t>
      </w:r>
    </w:p>
    <w:p w14:paraId="6C1573B9" w14:textId="77777777" w:rsidR="001B7481" w:rsidRDefault="001B7481" w:rsidP="001B7481">
      <w:pPr>
        <w:widowControl w:val="0"/>
        <w:spacing w:before="240" w:after="240" w:line="240" w:lineRule="auto"/>
        <w:contextualSpacing/>
        <w:jc w:val="both"/>
        <w:rPr>
          <w:i/>
          <w:szCs w:val="24"/>
        </w:rPr>
      </w:pPr>
    </w:p>
    <w:p w14:paraId="1FA5CB98" w14:textId="46DD5A3D" w:rsidR="001B7481" w:rsidRPr="001B7481" w:rsidRDefault="001B7481" w:rsidP="009E3099">
      <w:pPr>
        <w:widowControl w:val="0"/>
        <w:spacing w:before="240" w:after="240" w:line="240" w:lineRule="auto"/>
        <w:ind w:left="708" w:firstLine="708"/>
        <w:contextualSpacing/>
        <w:jc w:val="both"/>
        <w:rPr>
          <w:i/>
          <w:szCs w:val="24"/>
        </w:rPr>
      </w:pPr>
      <w:r w:rsidRPr="001B7481">
        <w:rPr>
          <w:i/>
          <w:szCs w:val="24"/>
        </w:rPr>
        <w:t>An acceptable combination birth control method is:</w:t>
      </w:r>
    </w:p>
    <w:p w14:paraId="368040BD" w14:textId="5D9B26D2" w:rsidR="001B7481" w:rsidRPr="009E3099" w:rsidRDefault="001B7481" w:rsidP="009E3099">
      <w:pPr>
        <w:widowControl w:val="0"/>
        <w:numPr>
          <w:ilvl w:val="3"/>
          <w:numId w:val="13"/>
        </w:numPr>
        <w:spacing w:before="240" w:after="240" w:line="240" w:lineRule="auto"/>
        <w:contextualSpacing/>
        <w:jc w:val="both"/>
        <w:rPr>
          <w:i/>
          <w:szCs w:val="24"/>
        </w:rPr>
      </w:pPr>
      <w:r w:rsidRPr="009E3099">
        <w:rPr>
          <w:i/>
          <w:szCs w:val="24"/>
        </w:rPr>
        <w:t>Condom (male or female) used with or without a spermicide AND one of the following used with a spermicide: diaphragm, cap, or sponge</w:t>
      </w:r>
      <w:r w:rsidR="00180670">
        <w:rPr>
          <w:i/>
          <w:szCs w:val="24"/>
        </w:rPr>
        <w:t>.</w:t>
      </w:r>
    </w:p>
    <w:p w14:paraId="09CF3F19" w14:textId="77777777" w:rsidR="001B7481" w:rsidRDefault="001B7481" w:rsidP="001B7481">
      <w:pPr>
        <w:widowControl w:val="0"/>
        <w:spacing w:before="240" w:after="240" w:line="240" w:lineRule="auto"/>
        <w:contextualSpacing/>
        <w:jc w:val="both"/>
        <w:rPr>
          <w:i/>
          <w:szCs w:val="24"/>
        </w:rPr>
      </w:pPr>
    </w:p>
    <w:p w14:paraId="15A05DA4" w14:textId="540C437B" w:rsidR="001B7481" w:rsidRDefault="001B7481" w:rsidP="009E3099">
      <w:pPr>
        <w:widowControl w:val="0"/>
        <w:spacing w:before="240" w:after="240" w:line="240" w:lineRule="auto"/>
        <w:ind w:left="708" w:firstLine="708"/>
        <w:contextualSpacing/>
        <w:jc w:val="both"/>
        <w:rPr>
          <w:i/>
          <w:szCs w:val="24"/>
        </w:rPr>
      </w:pPr>
      <w:r w:rsidRPr="001B7481">
        <w:rPr>
          <w:i/>
          <w:szCs w:val="24"/>
        </w:rPr>
        <w:t>These options are also summarized in the table below:</w:t>
      </w:r>
    </w:p>
    <w:tbl>
      <w:tblPr>
        <w:tblStyle w:val="TableGrid"/>
        <w:tblW w:w="4573" w:type="pct"/>
        <w:tblInd w:w="817" w:type="dxa"/>
        <w:tblLook w:val="04A0" w:firstRow="1" w:lastRow="0" w:firstColumn="1" w:lastColumn="0" w:noHBand="0" w:noVBand="1"/>
      </w:tblPr>
      <w:tblGrid>
        <w:gridCol w:w="4395"/>
        <w:gridCol w:w="4363"/>
      </w:tblGrid>
      <w:tr w:rsidR="00180670" w:rsidRPr="001B7481" w14:paraId="0CE14B1C" w14:textId="77777777" w:rsidTr="007478C2">
        <w:tc>
          <w:tcPr>
            <w:tcW w:w="2509" w:type="pct"/>
            <w:tcBorders>
              <w:top w:val="single" w:sz="4" w:space="0" w:color="auto"/>
              <w:left w:val="single" w:sz="4" w:space="0" w:color="auto"/>
              <w:bottom w:val="single" w:sz="4" w:space="0" w:color="auto"/>
              <w:right w:val="single" w:sz="4" w:space="0" w:color="auto"/>
            </w:tcBorders>
            <w:vAlign w:val="center"/>
            <w:hideMark/>
          </w:tcPr>
          <w:p w14:paraId="31EFED2F" w14:textId="77777777" w:rsidR="001B7481" w:rsidRPr="009E3099" w:rsidRDefault="001B7481">
            <w:pPr>
              <w:rPr>
                <w:rFonts w:asciiTheme="minorHAnsi" w:hAnsiTheme="minorHAnsi" w:cstheme="minorHAnsi"/>
                <w:b/>
                <w:bCs/>
                <w:i/>
                <w:iCs/>
              </w:rPr>
            </w:pPr>
            <w:r w:rsidRPr="009E3099">
              <w:rPr>
                <w:rFonts w:asciiTheme="minorHAnsi" w:hAnsiTheme="minorHAnsi" w:cstheme="minorHAnsi"/>
                <w:b/>
                <w:bCs/>
                <w:i/>
                <w:iCs/>
              </w:rPr>
              <w:t>Method</w:t>
            </w:r>
          </w:p>
        </w:tc>
        <w:tc>
          <w:tcPr>
            <w:tcW w:w="2491" w:type="pct"/>
            <w:tcBorders>
              <w:top w:val="single" w:sz="4" w:space="0" w:color="auto"/>
              <w:left w:val="single" w:sz="4" w:space="0" w:color="auto"/>
              <w:bottom w:val="single" w:sz="4" w:space="0" w:color="auto"/>
              <w:right w:val="single" w:sz="4" w:space="0" w:color="auto"/>
            </w:tcBorders>
            <w:hideMark/>
          </w:tcPr>
          <w:p w14:paraId="5C6AEBB4" w14:textId="049E757E" w:rsidR="001B7481" w:rsidRPr="009E3099" w:rsidRDefault="001B7481">
            <w:pPr>
              <w:jc w:val="both"/>
              <w:rPr>
                <w:rFonts w:asciiTheme="minorHAnsi" w:hAnsiTheme="minorHAnsi" w:cstheme="minorHAnsi"/>
                <w:b/>
                <w:bCs/>
                <w:i/>
                <w:iCs/>
              </w:rPr>
            </w:pPr>
            <w:r w:rsidRPr="009E3099">
              <w:rPr>
                <w:rFonts w:asciiTheme="minorHAnsi" w:eastAsia="Times New Roman" w:hAnsiTheme="minorHAnsi" w:cstheme="minorHAnsi"/>
                <w:b/>
                <w:bCs/>
                <w:i/>
                <w:iCs/>
              </w:rPr>
              <w:t>Use alone or in combination</w:t>
            </w:r>
            <w:r>
              <w:rPr>
                <w:rFonts w:asciiTheme="minorHAnsi" w:eastAsia="Times New Roman" w:hAnsiTheme="minorHAnsi" w:cstheme="minorHAnsi"/>
                <w:b/>
                <w:bCs/>
                <w:i/>
                <w:iCs/>
              </w:rPr>
              <w:t>.</w:t>
            </w:r>
          </w:p>
        </w:tc>
      </w:tr>
      <w:tr w:rsidR="00180670" w:rsidRPr="001B7481" w14:paraId="776A5211" w14:textId="77777777" w:rsidTr="007478C2">
        <w:tc>
          <w:tcPr>
            <w:tcW w:w="2509" w:type="pct"/>
            <w:tcBorders>
              <w:top w:val="single" w:sz="4" w:space="0" w:color="auto"/>
              <w:left w:val="single" w:sz="4" w:space="0" w:color="auto"/>
              <w:bottom w:val="single" w:sz="4" w:space="0" w:color="auto"/>
              <w:right w:val="single" w:sz="4" w:space="0" w:color="auto"/>
            </w:tcBorders>
            <w:hideMark/>
          </w:tcPr>
          <w:p w14:paraId="3A0B282C" w14:textId="77777777" w:rsidR="001B7481" w:rsidRPr="009E3099" w:rsidRDefault="001B7481">
            <w:pPr>
              <w:jc w:val="both"/>
              <w:rPr>
                <w:rFonts w:asciiTheme="minorHAnsi" w:hAnsiTheme="minorHAnsi" w:cstheme="minorHAnsi"/>
                <w:i/>
                <w:iCs/>
              </w:rPr>
            </w:pPr>
            <w:r w:rsidRPr="009E3099">
              <w:rPr>
                <w:rFonts w:asciiTheme="minorHAnsi" w:eastAsia="Times New Roman" w:hAnsiTheme="minorHAnsi" w:cstheme="minorHAnsi"/>
                <w:i/>
                <w:iCs/>
              </w:rPr>
              <w:t>Hormonal method: birth control pills, patches, injections, vaginal rings, or implants.</w:t>
            </w:r>
          </w:p>
        </w:tc>
        <w:tc>
          <w:tcPr>
            <w:tcW w:w="2491" w:type="pct"/>
            <w:tcBorders>
              <w:top w:val="single" w:sz="4" w:space="0" w:color="auto"/>
              <w:left w:val="single" w:sz="4" w:space="0" w:color="auto"/>
              <w:bottom w:val="single" w:sz="4" w:space="0" w:color="auto"/>
              <w:right w:val="single" w:sz="4" w:space="0" w:color="auto"/>
            </w:tcBorders>
            <w:hideMark/>
          </w:tcPr>
          <w:p w14:paraId="5910DFE6" w14:textId="77777777" w:rsidR="001B7481" w:rsidRPr="009E3099" w:rsidRDefault="001B7481">
            <w:pPr>
              <w:jc w:val="both"/>
              <w:rPr>
                <w:rFonts w:asciiTheme="minorHAnsi" w:hAnsiTheme="minorHAnsi" w:cstheme="minorHAnsi"/>
                <w:i/>
                <w:iCs/>
              </w:rPr>
            </w:pPr>
            <w:r w:rsidRPr="009E3099">
              <w:rPr>
                <w:rFonts w:asciiTheme="minorHAnsi" w:hAnsiTheme="minorHAnsi" w:cstheme="minorHAnsi"/>
                <w:i/>
                <w:iCs/>
              </w:rPr>
              <w:t>Highly effective alone; needs no combination.</w:t>
            </w:r>
          </w:p>
        </w:tc>
      </w:tr>
      <w:tr w:rsidR="00180670" w:rsidRPr="001B7481" w14:paraId="2233F329" w14:textId="77777777" w:rsidTr="007478C2">
        <w:tc>
          <w:tcPr>
            <w:tcW w:w="2509" w:type="pct"/>
            <w:tcBorders>
              <w:top w:val="single" w:sz="4" w:space="0" w:color="auto"/>
              <w:left w:val="single" w:sz="4" w:space="0" w:color="auto"/>
              <w:bottom w:val="single" w:sz="4" w:space="0" w:color="auto"/>
              <w:right w:val="single" w:sz="4" w:space="0" w:color="auto"/>
            </w:tcBorders>
            <w:hideMark/>
          </w:tcPr>
          <w:p w14:paraId="44DB5C5F" w14:textId="77777777" w:rsidR="001B7481" w:rsidRPr="009E3099" w:rsidRDefault="001B7481">
            <w:pPr>
              <w:jc w:val="both"/>
              <w:rPr>
                <w:rFonts w:asciiTheme="minorHAnsi" w:hAnsiTheme="minorHAnsi" w:cstheme="minorHAnsi"/>
                <w:i/>
                <w:iCs/>
              </w:rPr>
            </w:pPr>
            <w:r w:rsidRPr="009E3099">
              <w:rPr>
                <w:rFonts w:asciiTheme="minorHAnsi" w:hAnsiTheme="minorHAnsi" w:cstheme="minorHAnsi"/>
                <w:i/>
                <w:iCs/>
              </w:rPr>
              <w:t>Intrauterine device (IUD).</w:t>
            </w:r>
          </w:p>
        </w:tc>
        <w:tc>
          <w:tcPr>
            <w:tcW w:w="2491" w:type="pct"/>
            <w:tcBorders>
              <w:top w:val="single" w:sz="4" w:space="0" w:color="auto"/>
              <w:left w:val="single" w:sz="4" w:space="0" w:color="auto"/>
              <w:bottom w:val="single" w:sz="4" w:space="0" w:color="auto"/>
              <w:right w:val="single" w:sz="4" w:space="0" w:color="auto"/>
            </w:tcBorders>
            <w:hideMark/>
          </w:tcPr>
          <w:p w14:paraId="2E738EA4" w14:textId="77777777" w:rsidR="001B7481" w:rsidRPr="009E3099" w:rsidRDefault="001B7481">
            <w:pPr>
              <w:jc w:val="both"/>
              <w:rPr>
                <w:rFonts w:asciiTheme="minorHAnsi" w:hAnsiTheme="minorHAnsi" w:cstheme="minorHAnsi"/>
                <w:i/>
                <w:iCs/>
              </w:rPr>
            </w:pPr>
            <w:r w:rsidRPr="009E3099">
              <w:rPr>
                <w:rFonts w:asciiTheme="minorHAnsi" w:hAnsiTheme="minorHAnsi" w:cstheme="minorHAnsi"/>
                <w:i/>
                <w:iCs/>
              </w:rPr>
              <w:t>Highly effective alone; needs no combination.</w:t>
            </w:r>
          </w:p>
        </w:tc>
      </w:tr>
      <w:tr w:rsidR="00180670" w:rsidRPr="001B7481" w14:paraId="2D5DE8B1" w14:textId="77777777" w:rsidTr="007478C2">
        <w:tc>
          <w:tcPr>
            <w:tcW w:w="2509" w:type="pct"/>
            <w:tcBorders>
              <w:top w:val="single" w:sz="4" w:space="0" w:color="auto"/>
              <w:left w:val="single" w:sz="4" w:space="0" w:color="auto"/>
              <w:bottom w:val="single" w:sz="4" w:space="0" w:color="auto"/>
              <w:right w:val="single" w:sz="4" w:space="0" w:color="auto"/>
            </w:tcBorders>
            <w:hideMark/>
          </w:tcPr>
          <w:p w14:paraId="3E042D9B" w14:textId="0BE67F98" w:rsidR="001B7481" w:rsidRPr="009E3099" w:rsidRDefault="001B7481">
            <w:pPr>
              <w:jc w:val="both"/>
              <w:rPr>
                <w:rFonts w:asciiTheme="minorHAnsi" w:hAnsiTheme="minorHAnsi" w:cstheme="minorHAnsi"/>
                <w:i/>
                <w:iCs/>
                <w:vertAlign w:val="superscript"/>
              </w:rPr>
            </w:pPr>
            <w:r w:rsidRPr="009E3099">
              <w:rPr>
                <w:rFonts w:asciiTheme="minorHAnsi" w:eastAsia="Times New Roman" w:hAnsiTheme="minorHAnsi" w:cstheme="minorHAnsi"/>
                <w:i/>
                <w:iCs/>
              </w:rPr>
              <w:t>Condom (male) used with or without a spermicide.</w:t>
            </w:r>
          </w:p>
        </w:tc>
        <w:tc>
          <w:tcPr>
            <w:tcW w:w="2491" w:type="pct"/>
            <w:tcBorders>
              <w:top w:val="single" w:sz="4" w:space="0" w:color="auto"/>
              <w:left w:val="single" w:sz="4" w:space="0" w:color="auto"/>
              <w:bottom w:val="single" w:sz="4" w:space="0" w:color="auto"/>
              <w:right w:val="single" w:sz="4" w:space="0" w:color="auto"/>
            </w:tcBorders>
            <w:hideMark/>
          </w:tcPr>
          <w:p w14:paraId="4156789D" w14:textId="1A397FD9" w:rsidR="001B7481" w:rsidRPr="009E3099" w:rsidRDefault="001B7481">
            <w:pPr>
              <w:jc w:val="both"/>
              <w:rPr>
                <w:rFonts w:asciiTheme="minorHAnsi" w:hAnsiTheme="minorHAnsi" w:cstheme="minorHAnsi"/>
                <w:i/>
                <w:iCs/>
              </w:rPr>
            </w:pPr>
            <w:r w:rsidRPr="009E3099">
              <w:rPr>
                <w:rFonts w:asciiTheme="minorHAnsi" w:hAnsiTheme="minorHAnsi" w:cstheme="minorHAnsi"/>
                <w:i/>
                <w:iCs/>
              </w:rPr>
              <w:t>To be used in combination with one of the following: d</w:t>
            </w:r>
            <w:r w:rsidRPr="009E3099">
              <w:rPr>
                <w:rFonts w:asciiTheme="minorHAnsi" w:eastAsia="Times New Roman" w:hAnsiTheme="minorHAnsi" w:cstheme="minorHAnsi"/>
                <w:i/>
                <w:iCs/>
              </w:rPr>
              <w:t>iaphragm, cap, or sponge AND spermicide.</w:t>
            </w:r>
            <w:r w:rsidR="00180670" w:rsidRPr="00180670">
              <w:rPr>
                <w:rFonts w:asciiTheme="minorHAnsi" w:hAnsiTheme="minorHAnsi" w:cstheme="minorHAnsi"/>
                <w:i/>
                <w:iCs/>
              </w:rPr>
              <w:t xml:space="preserve"> </w:t>
            </w:r>
          </w:p>
        </w:tc>
      </w:tr>
      <w:tr w:rsidR="00180670" w:rsidRPr="001B7481" w14:paraId="7BAE6C2D" w14:textId="77777777" w:rsidTr="007478C2">
        <w:tc>
          <w:tcPr>
            <w:tcW w:w="2509" w:type="pct"/>
            <w:tcBorders>
              <w:top w:val="single" w:sz="4" w:space="0" w:color="auto"/>
              <w:left w:val="single" w:sz="4" w:space="0" w:color="auto"/>
              <w:bottom w:val="single" w:sz="4" w:space="0" w:color="auto"/>
              <w:right w:val="single" w:sz="4" w:space="0" w:color="auto"/>
            </w:tcBorders>
            <w:hideMark/>
          </w:tcPr>
          <w:p w14:paraId="06B496FC" w14:textId="30FDA662" w:rsidR="001B7481" w:rsidRPr="009E3099" w:rsidRDefault="001B7481">
            <w:pPr>
              <w:jc w:val="both"/>
              <w:rPr>
                <w:rFonts w:asciiTheme="minorHAnsi" w:hAnsiTheme="minorHAnsi" w:cstheme="minorHAnsi"/>
                <w:i/>
                <w:iCs/>
              </w:rPr>
            </w:pPr>
            <w:r w:rsidRPr="009E3099">
              <w:rPr>
                <w:rFonts w:asciiTheme="minorHAnsi" w:eastAsia="Times New Roman" w:hAnsiTheme="minorHAnsi" w:cstheme="minorHAnsi"/>
                <w:i/>
                <w:iCs/>
              </w:rPr>
              <w:t>Condom (female) used with or without a spermicide.</w:t>
            </w:r>
            <w:r w:rsidR="002F57A5" w:rsidRPr="002F57A5">
              <w:rPr>
                <w:rFonts w:asciiTheme="minorHAnsi" w:hAnsiTheme="minorHAnsi" w:cstheme="minorHAnsi"/>
                <w:i/>
                <w:iCs/>
              </w:rPr>
              <w:t xml:space="preserve"> </w:t>
            </w:r>
          </w:p>
        </w:tc>
        <w:tc>
          <w:tcPr>
            <w:tcW w:w="2491" w:type="pct"/>
            <w:tcBorders>
              <w:top w:val="single" w:sz="4" w:space="0" w:color="auto"/>
              <w:left w:val="single" w:sz="4" w:space="0" w:color="auto"/>
              <w:bottom w:val="single" w:sz="4" w:space="0" w:color="auto"/>
              <w:right w:val="single" w:sz="4" w:space="0" w:color="auto"/>
            </w:tcBorders>
            <w:hideMark/>
          </w:tcPr>
          <w:p w14:paraId="5910FC5D" w14:textId="697F7725" w:rsidR="001B7481" w:rsidRPr="009E3099" w:rsidRDefault="001B7481">
            <w:pPr>
              <w:jc w:val="both"/>
              <w:rPr>
                <w:rFonts w:asciiTheme="minorHAnsi" w:hAnsiTheme="minorHAnsi" w:cstheme="minorHAnsi"/>
                <w:i/>
                <w:iCs/>
              </w:rPr>
            </w:pPr>
            <w:r w:rsidRPr="009E3099">
              <w:rPr>
                <w:rFonts w:asciiTheme="minorHAnsi" w:hAnsiTheme="minorHAnsi" w:cstheme="minorHAnsi"/>
                <w:i/>
                <w:iCs/>
              </w:rPr>
              <w:t>To be used in combination with one of the following: d</w:t>
            </w:r>
            <w:r w:rsidRPr="009E3099">
              <w:rPr>
                <w:rFonts w:asciiTheme="minorHAnsi" w:eastAsia="Times New Roman" w:hAnsiTheme="minorHAnsi" w:cstheme="minorHAnsi"/>
                <w:i/>
                <w:iCs/>
              </w:rPr>
              <w:t>iaphragm, cap, or sponge AND spermicide.</w:t>
            </w:r>
            <w:r w:rsidR="00180670" w:rsidRPr="00180670">
              <w:rPr>
                <w:rFonts w:asciiTheme="minorHAnsi" w:hAnsiTheme="minorHAnsi" w:cstheme="minorHAnsi"/>
                <w:i/>
                <w:iCs/>
              </w:rPr>
              <w:t xml:space="preserve"> </w:t>
            </w:r>
          </w:p>
        </w:tc>
      </w:tr>
      <w:tr w:rsidR="00180670" w:rsidRPr="001B7481" w14:paraId="671714B4" w14:textId="77777777" w:rsidTr="007478C2">
        <w:tc>
          <w:tcPr>
            <w:tcW w:w="2509" w:type="pct"/>
            <w:tcBorders>
              <w:top w:val="single" w:sz="4" w:space="0" w:color="auto"/>
              <w:left w:val="single" w:sz="4" w:space="0" w:color="auto"/>
              <w:bottom w:val="single" w:sz="4" w:space="0" w:color="auto"/>
              <w:right w:val="single" w:sz="4" w:space="0" w:color="auto"/>
            </w:tcBorders>
            <w:hideMark/>
          </w:tcPr>
          <w:p w14:paraId="6D78E5DE" w14:textId="19502B70" w:rsidR="001B7481" w:rsidRPr="009E3099" w:rsidRDefault="001B7481">
            <w:pPr>
              <w:jc w:val="both"/>
              <w:rPr>
                <w:rFonts w:asciiTheme="minorHAnsi" w:eastAsia="Times New Roman" w:hAnsiTheme="minorHAnsi" w:cstheme="minorHAnsi"/>
                <w:i/>
                <w:iCs/>
              </w:rPr>
            </w:pPr>
            <w:r w:rsidRPr="009E3099">
              <w:rPr>
                <w:rFonts w:asciiTheme="minorHAnsi" w:eastAsia="Times New Roman" w:hAnsiTheme="minorHAnsi" w:cstheme="minorHAnsi"/>
                <w:i/>
                <w:iCs/>
              </w:rPr>
              <w:t>Diaphragm, cap, or sponge used with a spermicide.</w:t>
            </w:r>
            <w:r w:rsidR="002F57A5" w:rsidRPr="002F57A5">
              <w:rPr>
                <w:rFonts w:asciiTheme="minorHAnsi" w:eastAsia="Times New Roman" w:hAnsiTheme="minorHAnsi" w:cstheme="minorHAnsi"/>
                <w:i/>
                <w:iCs/>
              </w:rPr>
              <w:t xml:space="preserve"> </w:t>
            </w:r>
          </w:p>
        </w:tc>
        <w:tc>
          <w:tcPr>
            <w:tcW w:w="2491" w:type="pct"/>
            <w:tcBorders>
              <w:top w:val="single" w:sz="4" w:space="0" w:color="auto"/>
              <w:left w:val="single" w:sz="4" w:space="0" w:color="auto"/>
              <w:bottom w:val="single" w:sz="4" w:space="0" w:color="auto"/>
              <w:right w:val="single" w:sz="4" w:space="0" w:color="auto"/>
            </w:tcBorders>
            <w:hideMark/>
          </w:tcPr>
          <w:p w14:paraId="521768AA" w14:textId="13FBCECB" w:rsidR="001B7481" w:rsidRPr="009E3099" w:rsidRDefault="001B7481">
            <w:pPr>
              <w:jc w:val="both"/>
              <w:rPr>
                <w:rFonts w:asciiTheme="minorHAnsi" w:hAnsiTheme="minorHAnsi" w:cstheme="minorHAnsi"/>
                <w:i/>
                <w:iCs/>
              </w:rPr>
            </w:pPr>
            <w:r w:rsidRPr="009E3099">
              <w:rPr>
                <w:rFonts w:asciiTheme="minorHAnsi" w:hAnsiTheme="minorHAnsi" w:cstheme="minorHAnsi"/>
                <w:i/>
                <w:iCs/>
              </w:rPr>
              <w:t>To be used in combination with male or female condom, with or without spermicide.</w:t>
            </w:r>
          </w:p>
        </w:tc>
      </w:tr>
    </w:tbl>
    <w:p w14:paraId="758598C7" w14:textId="77777777" w:rsidR="001B7481" w:rsidRPr="009E3099" w:rsidRDefault="001B7481" w:rsidP="001B7481">
      <w:pPr>
        <w:widowControl w:val="0"/>
        <w:spacing w:before="240" w:after="240" w:line="240" w:lineRule="auto"/>
        <w:contextualSpacing/>
        <w:jc w:val="both"/>
        <w:rPr>
          <w:i/>
          <w:szCs w:val="24"/>
          <w:lang w:val="en-GB"/>
        </w:rPr>
      </w:pPr>
    </w:p>
    <w:p w14:paraId="0657F958" w14:textId="77777777" w:rsidR="002C50E0" w:rsidRDefault="002C50E0" w:rsidP="002C50E0">
      <w:pPr>
        <w:widowControl w:val="0"/>
        <w:numPr>
          <w:ilvl w:val="3"/>
          <w:numId w:val="5"/>
        </w:numPr>
        <w:spacing w:before="240" w:after="240" w:line="240" w:lineRule="auto"/>
        <w:ind w:left="2160"/>
        <w:contextualSpacing/>
        <w:jc w:val="both"/>
        <w:rPr>
          <w:i/>
          <w:szCs w:val="24"/>
        </w:rPr>
      </w:pPr>
      <w:r>
        <w:rPr>
          <w:i/>
          <w:szCs w:val="24"/>
        </w:rPr>
        <w:t xml:space="preserve">Female participants do not need to specify which contraceptive methods they plan to use. They simply need to affirm they will comply with the requirement. </w:t>
      </w:r>
      <w:proofErr w:type="gramStart"/>
      <w:r>
        <w:rPr>
          <w:i/>
          <w:szCs w:val="24"/>
        </w:rPr>
        <w:t>And,</w:t>
      </w:r>
      <w:proofErr w:type="gramEnd"/>
      <w:r>
        <w:rPr>
          <w:i/>
          <w:szCs w:val="24"/>
        </w:rPr>
        <w:t xml:space="preserve"> the study team should offer to facilitate access to the chosen methods, again, without needing to know what they are. </w:t>
      </w:r>
    </w:p>
    <w:p w14:paraId="780548DB" w14:textId="0F014153" w:rsidR="002C50E0" w:rsidRDefault="002C50E0" w:rsidP="002C50E0">
      <w:pPr>
        <w:widowControl w:val="0"/>
        <w:numPr>
          <w:ilvl w:val="3"/>
          <w:numId w:val="5"/>
        </w:numPr>
        <w:spacing w:before="240" w:after="240" w:line="240" w:lineRule="auto"/>
        <w:ind w:left="2160"/>
        <w:contextualSpacing/>
        <w:jc w:val="both"/>
        <w:rPr>
          <w:i/>
          <w:szCs w:val="24"/>
        </w:rPr>
      </w:pPr>
      <w:r w:rsidRPr="002A33AC">
        <w:rPr>
          <w:i/>
          <w:szCs w:val="24"/>
        </w:rPr>
        <w:t xml:space="preserve">All contraception methods are allowed, </w:t>
      </w:r>
      <w:proofErr w:type="gramStart"/>
      <w:r w:rsidRPr="002A33AC">
        <w:rPr>
          <w:i/>
          <w:szCs w:val="24"/>
        </w:rPr>
        <w:t>as long as</w:t>
      </w:r>
      <w:proofErr w:type="gramEnd"/>
      <w:r w:rsidRPr="002A33AC">
        <w:rPr>
          <w:i/>
          <w:szCs w:val="24"/>
        </w:rPr>
        <w:t xml:space="preserve"> they are used according to </w:t>
      </w:r>
      <w:r>
        <w:rPr>
          <w:i/>
          <w:szCs w:val="24"/>
        </w:rPr>
        <w:t xml:space="preserve">manufacturer </w:t>
      </w:r>
      <w:r w:rsidRPr="002A33AC">
        <w:rPr>
          <w:i/>
          <w:szCs w:val="24"/>
        </w:rPr>
        <w:t>recommendation</w:t>
      </w:r>
      <w:r w:rsidR="00180670">
        <w:rPr>
          <w:i/>
          <w:szCs w:val="24"/>
        </w:rPr>
        <w:t>.</w:t>
      </w:r>
    </w:p>
    <w:p w14:paraId="222B1F47" w14:textId="55DB8521" w:rsidR="002C50E0" w:rsidRPr="00D413C4" w:rsidRDefault="00180670" w:rsidP="00180670">
      <w:pPr>
        <w:widowControl w:val="0"/>
        <w:numPr>
          <w:ilvl w:val="3"/>
          <w:numId w:val="5"/>
        </w:numPr>
        <w:spacing w:before="240" w:after="240" w:line="240" w:lineRule="auto"/>
        <w:ind w:left="2160"/>
        <w:contextualSpacing/>
        <w:jc w:val="both"/>
        <w:rPr>
          <w:i/>
          <w:szCs w:val="24"/>
        </w:rPr>
      </w:pPr>
      <w:r w:rsidRPr="002F57A5">
        <w:rPr>
          <w:i/>
          <w:szCs w:val="24"/>
        </w:rPr>
        <w:t>Withdrawal (coitus interruptus)</w:t>
      </w:r>
      <w:r>
        <w:rPr>
          <w:i/>
          <w:szCs w:val="24"/>
        </w:rPr>
        <w:t>,</w:t>
      </w:r>
      <w:r w:rsidRPr="002F57A5">
        <w:rPr>
          <w:i/>
          <w:szCs w:val="24"/>
        </w:rPr>
        <w:t xml:space="preserve"> </w:t>
      </w:r>
      <w:r>
        <w:rPr>
          <w:i/>
          <w:szCs w:val="24"/>
        </w:rPr>
        <w:t>and n</w:t>
      </w:r>
      <w:r w:rsidR="002C50E0">
        <w:rPr>
          <w:i/>
          <w:szCs w:val="24"/>
        </w:rPr>
        <w:t xml:space="preserve">atural methods of contraception (such as </w:t>
      </w:r>
      <w:r w:rsidR="002C50E0" w:rsidRPr="00503E68">
        <w:rPr>
          <w:i/>
          <w:szCs w:val="24"/>
        </w:rPr>
        <w:t>rhythm method</w:t>
      </w:r>
      <w:r w:rsidR="002C50E0">
        <w:rPr>
          <w:i/>
          <w:szCs w:val="24"/>
        </w:rPr>
        <w:t xml:space="preserve">, based on abstention in specific periods of the ovulation cycle as determined by days of the menstruation cycle, body temperature, and other elements), when accompanied by proper counselling and follow-up during trial participation, </w:t>
      </w:r>
      <w:r w:rsidRPr="002F57A5">
        <w:rPr>
          <w:i/>
          <w:szCs w:val="24"/>
        </w:rPr>
        <w:t>are unacceptable on their own but may be used in combination with any highly effective method or acceptable combination</w:t>
      </w:r>
      <w:r>
        <w:rPr>
          <w:i/>
          <w:szCs w:val="24"/>
        </w:rPr>
        <w:t>.</w:t>
      </w:r>
    </w:p>
    <w:p w14:paraId="6B5B9B77" w14:textId="77777777" w:rsidR="002C50E0" w:rsidRDefault="002C50E0" w:rsidP="002C50E0">
      <w:pPr>
        <w:widowControl w:val="0"/>
        <w:numPr>
          <w:ilvl w:val="3"/>
          <w:numId w:val="5"/>
        </w:numPr>
        <w:spacing w:before="240" w:after="240" w:line="240" w:lineRule="auto"/>
        <w:ind w:left="2160"/>
        <w:contextualSpacing/>
        <w:jc w:val="both"/>
        <w:rPr>
          <w:i/>
          <w:szCs w:val="24"/>
        </w:rPr>
      </w:pPr>
      <w:r w:rsidRPr="002A33AC">
        <w:rPr>
          <w:i/>
          <w:szCs w:val="24"/>
        </w:rPr>
        <w:t xml:space="preserve">Contraception should be used, as described above, as long as the participant takes the study treatment and up to: a) two weeks after the last intake of study treatment, if </w:t>
      </w:r>
      <w:r>
        <w:rPr>
          <w:i/>
          <w:szCs w:val="24"/>
        </w:rPr>
        <w:t>the regimen</w:t>
      </w:r>
      <w:r w:rsidRPr="002A33AC">
        <w:rPr>
          <w:i/>
          <w:szCs w:val="24"/>
        </w:rPr>
        <w:t xml:space="preserve"> did not include either clofazimine or </w:t>
      </w:r>
      <w:proofErr w:type="spellStart"/>
      <w:r w:rsidRPr="002A33AC">
        <w:rPr>
          <w:i/>
          <w:szCs w:val="24"/>
        </w:rPr>
        <w:t>bedaquiline</w:t>
      </w:r>
      <w:proofErr w:type="spellEnd"/>
      <w:r w:rsidRPr="002A33AC">
        <w:rPr>
          <w:i/>
          <w:szCs w:val="24"/>
        </w:rPr>
        <w:t xml:space="preserve"> (drugs with prolonged elimination half-life); </w:t>
      </w:r>
      <w:r>
        <w:rPr>
          <w:i/>
          <w:szCs w:val="24"/>
        </w:rPr>
        <w:t xml:space="preserve">or </w:t>
      </w:r>
      <w:r w:rsidRPr="002A33AC">
        <w:rPr>
          <w:i/>
          <w:szCs w:val="24"/>
        </w:rPr>
        <w:t xml:space="preserve">b) three months after the last intake of study treatment, if </w:t>
      </w:r>
      <w:r>
        <w:rPr>
          <w:i/>
          <w:szCs w:val="24"/>
        </w:rPr>
        <w:t>the regimen</w:t>
      </w:r>
      <w:r w:rsidRPr="002A33AC">
        <w:rPr>
          <w:i/>
          <w:szCs w:val="24"/>
        </w:rPr>
        <w:t xml:space="preserve"> include</w:t>
      </w:r>
      <w:r>
        <w:rPr>
          <w:i/>
          <w:szCs w:val="24"/>
        </w:rPr>
        <w:t>d</w:t>
      </w:r>
      <w:r w:rsidRPr="002A33AC">
        <w:rPr>
          <w:i/>
          <w:szCs w:val="24"/>
        </w:rPr>
        <w:t xml:space="preserve"> clofazimine or </w:t>
      </w:r>
      <w:proofErr w:type="spellStart"/>
      <w:r w:rsidRPr="002A33AC">
        <w:rPr>
          <w:i/>
          <w:szCs w:val="24"/>
        </w:rPr>
        <w:t>bedaquiline</w:t>
      </w:r>
      <w:proofErr w:type="spellEnd"/>
      <w:r w:rsidRPr="002A33AC">
        <w:rPr>
          <w:i/>
          <w:szCs w:val="24"/>
        </w:rPr>
        <w:t>.</w:t>
      </w:r>
    </w:p>
    <w:p w14:paraId="43E8E451" w14:textId="77777777" w:rsidR="002C50E0" w:rsidRPr="002A33AC" w:rsidRDefault="002C50E0" w:rsidP="009E3099">
      <w:pPr>
        <w:widowControl w:val="0"/>
        <w:spacing w:before="240" w:after="240" w:line="240" w:lineRule="auto"/>
        <w:contextualSpacing/>
        <w:jc w:val="both"/>
        <w:rPr>
          <w:i/>
          <w:szCs w:val="24"/>
        </w:rPr>
      </w:pPr>
    </w:p>
    <w:p w14:paraId="5B2B6136" w14:textId="77777777" w:rsidR="002471EE" w:rsidRPr="00FA2B59" w:rsidRDefault="002471EE" w:rsidP="002471EE">
      <w:pPr>
        <w:widowControl w:val="0"/>
        <w:numPr>
          <w:ilvl w:val="0"/>
          <w:numId w:val="5"/>
        </w:numPr>
        <w:spacing w:before="240" w:after="240" w:line="240" w:lineRule="auto"/>
        <w:contextualSpacing/>
        <w:jc w:val="both"/>
        <w:rPr>
          <w:szCs w:val="24"/>
        </w:rPr>
      </w:pPr>
      <w:r w:rsidRPr="00FA2B59">
        <w:rPr>
          <w:szCs w:val="24"/>
        </w:rPr>
        <w:t xml:space="preserve">Provides informed consent for study participation; </w:t>
      </w:r>
      <w:proofErr w:type="gramStart"/>
      <w:r w:rsidRPr="00FA2B59">
        <w:rPr>
          <w:szCs w:val="24"/>
        </w:rPr>
        <w:t>additionally</w:t>
      </w:r>
      <w:proofErr w:type="gramEnd"/>
      <w:r w:rsidRPr="00FA2B59">
        <w:rPr>
          <w:szCs w:val="24"/>
        </w:rPr>
        <w:t xml:space="preserve"> </w:t>
      </w:r>
      <w:r>
        <w:rPr>
          <w:szCs w:val="24"/>
        </w:rPr>
        <w:t>one</w:t>
      </w:r>
      <w:r w:rsidRPr="00FA2B59">
        <w:rPr>
          <w:szCs w:val="24"/>
        </w:rPr>
        <w:t xml:space="preserve"> legal representative of patients considered minor per local laws should also provide consent;</w:t>
      </w:r>
    </w:p>
    <w:p w14:paraId="5B2B6137" w14:textId="77777777" w:rsidR="002471EE" w:rsidRDefault="002471EE" w:rsidP="002471EE">
      <w:pPr>
        <w:widowControl w:val="0"/>
        <w:numPr>
          <w:ilvl w:val="0"/>
          <w:numId w:val="5"/>
        </w:numPr>
        <w:spacing w:before="240" w:after="240" w:line="240" w:lineRule="auto"/>
        <w:jc w:val="both"/>
        <w:rPr>
          <w:szCs w:val="24"/>
        </w:rPr>
      </w:pPr>
      <w:r w:rsidRPr="00FA2B59">
        <w:rPr>
          <w:szCs w:val="24"/>
        </w:rPr>
        <w:t>Lives in a dwelling that can be located by study staff and expects to remain in the area for the duration of the study.</w:t>
      </w:r>
    </w:p>
    <w:p w14:paraId="5B2B6138" w14:textId="77777777" w:rsidR="002471EE" w:rsidRPr="00577FE1" w:rsidRDefault="002471EE" w:rsidP="002471EE">
      <w:pPr>
        <w:pStyle w:val="ListParagraph"/>
        <w:widowControl w:val="0"/>
        <w:numPr>
          <w:ilvl w:val="0"/>
          <w:numId w:val="9"/>
        </w:numPr>
        <w:spacing w:before="240" w:after="240"/>
        <w:jc w:val="both"/>
        <w:rPr>
          <w:szCs w:val="24"/>
          <w:u w:val="single"/>
        </w:rPr>
      </w:pPr>
      <w:r w:rsidRPr="00577FE1">
        <w:rPr>
          <w:szCs w:val="24"/>
          <w:u w:val="single"/>
        </w:rPr>
        <w:t>A patient will not be eligible for randomization if s/he:</w:t>
      </w:r>
    </w:p>
    <w:p w14:paraId="5B2B6139" w14:textId="77777777" w:rsidR="002471EE" w:rsidRDefault="002471EE" w:rsidP="002471EE">
      <w:pPr>
        <w:widowControl w:val="0"/>
        <w:numPr>
          <w:ilvl w:val="0"/>
          <w:numId w:val="6"/>
        </w:numPr>
        <w:spacing w:before="240" w:after="240" w:line="240" w:lineRule="auto"/>
        <w:ind w:left="720"/>
        <w:contextualSpacing/>
        <w:jc w:val="both"/>
        <w:rPr>
          <w:szCs w:val="24"/>
        </w:rPr>
      </w:pPr>
      <w:r w:rsidRPr="00FA2B59">
        <w:rPr>
          <w:szCs w:val="24"/>
        </w:rPr>
        <w:t>Has known allergies</w:t>
      </w:r>
      <w:r>
        <w:rPr>
          <w:szCs w:val="24"/>
        </w:rPr>
        <w:t xml:space="preserve"> or</w:t>
      </w:r>
      <w:r w:rsidRPr="00FA2B59">
        <w:rPr>
          <w:szCs w:val="24"/>
        </w:rPr>
        <w:t xml:space="preserve"> hypersensitivity to any of the </w:t>
      </w:r>
      <w:r>
        <w:rPr>
          <w:szCs w:val="24"/>
        </w:rPr>
        <w:t xml:space="preserve">investigational </w:t>
      </w:r>
      <w:proofErr w:type="gramStart"/>
      <w:r>
        <w:rPr>
          <w:szCs w:val="24"/>
        </w:rPr>
        <w:t>drug</w:t>
      </w:r>
      <w:r w:rsidRPr="00FA2B59">
        <w:rPr>
          <w:szCs w:val="24"/>
        </w:rPr>
        <w:t>s;</w:t>
      </w:r>
      <w:proofErr w:type="gramEnd"/>
      <w:r w:rsidRPr="00FA2B59">
        <w:rPr>
          <w:szCs w:val="24"/>
        </w:rPr>
        <w:t xml:space="preserve"> </w:t>
      </w:r>
    </w:p>
    <w:p w14:paraId="5B2B613A" w14:textId="77777777" w:rsidR="002471EE" w:rsidRPr="002A33AC" w:rsidRDefault="002471EE" w:rsidP="002471EE">
      <w:pPr>
        <w:widowControl w:val="0"/>
        <w:numPr>
          <w:ilvl w:val="4"/>
          <w:numId w:val="6"/>
        </w:numPr>
        <w:spacing w:before="240" w:after="240" w:line="240" w:lineRule="auto"/>
        <w:ind w:left="2160"/>
        <w:contextualSpacing/>
        <w:jc w:val="both"/>
        <w:rPr>
          <w:i/>
          <w:szCs w:val="24"/>
        </w:rPr>
      </w:pPr>
      <w:r w:rsidRPr="002A33AC">
        <w:rPr>
          <w:i/>
          <w:szCs w:val="24"/>
        </w:rPr>
        <w:t>Allergy</w:t>
      </w:r>
      <w:r>
        <w:rPr>
          <w:i/>
          <w:szCs w:val="24"/>
        </w:rPr>
        <w:t xml:space="preserve"> or</w:t>
      </w:r>
      <w:r w:rsidRPr="002A33AC">
        <w:rPr>
          <w:i/>
          <w:szCs w:val="24"/>
        </w:rPr>
        <w:t xml:space="preserve"> hypersensitivity</w:t>
      </w:r>
      <w:r>
        <w:rPr>
          <w:i/>
          <w:szCs w:val="24"/>
        </w:rPr>
        <w:t xml:space="preserve"> </w:t>
      </w:r>
      <w:r w:rsidRPr="002A33AC">
        <w:rPr>
          <w:i/>
          <w:szCs w:val="24"/>
        </w:rPr>
        <w:t xml:space="preserve">can be documented in medical files or reported by the patient. In case </w:t>
      </w:r>
      <w:r>
        <w:rPr>
          <w:i/>
          <w:szCs w:val="24"/>
        </w:rPr>
        <w:t>they are</w:t>
      </w:r>
      <w:r w:rsidRPr="002A33AC">
        <w:rPr>
          <w:i/>
          <w:szCs w:val="24"/>
        </w:rPr>
        <w:t xml:space="preserve"> reported by the patient, clinical judgement is required to assess whether the reported adverse reaction is compatible with allergy</w:t>
      </w:r>
      <w:r>
        <w:rPr>
          <w:i/>
          <w:szCs w:val="24"/>
        </w:rPr>
        <w:t xml:space="preserve"> or</w:t>
      </w:r>
      <w:r w:rsidRPr="002A33AC">
        <w:rPr>
          <w:i/>
          <w:szCs w:val="24"/>
        </w:rPr>
        <w:t xml:space="preserve"> hypersensitivity.</w:t>
      </w:r>
    </w:p>
    <w:p w14:paraId="5B2B613B" w14:textId="2BCC955D" w:rsidR="002471EE" w:rsidRDefault="002471EE" w:rsidP="002471EE">
      <w:pPr>
        <w:widowControl w:val="0"/>
        <w:numPr>
          <w:ilvl w:val="0"/>
          <w:numId w:val="6"/>
        </w:numPr>
        <w:spacing w:before="240" w:after="240" w:line="240" w:lineRule="auto"/>
        <w:ind w:left="720"/>
        <w:contextualSpacing/>
        <w:jc w:val="both"/>
        <w:rPr>
          <w:szCs w:val="24"/>
        </w:rPr>
      </w:pPr>
      <w:r w:rsidRPr="00FA2B59">
        <w:rPr>
          <w:szCs w:val="24"/>
        </w:rPr>
        <w:t xml:space="preserve">Is known to be pregnant or </w:t>
      </w:r>
      <w:r>
        <w:rPr>
          <w:szCs w:val="24"/>
        </w:rPr>
        <w:t xml:space="preserve">is unwilling or unable to stop </w:t>
      </w:r>
      <w:r w:rsidRPr="00FA2B59">
        <w:rPr>
          <w:szCs w:val="24"/>
        </w:rPr>
        <w:t>breast-feeding</w:t>
      </w:r>
      <w:r>
        <w:rPr>
          <w:szCs w:val="24"/>
        </w:rPr>
        <w:t xml:space="preserve"> an </w:t>
      </w:r>
      <w:proofErr w:type="gramStart"/>
      <w:r>
        <w:rPr>
          <w:szCs w:val="24"/>
        </w:rPr>
        <w:t>infant</w:t>
      </w:r>
      <w:r w:rsidRPr="00FA2B59">
        <w:rPr>
          <w:szCs w:val="24"/>
        </w:rPr>
        <w:t>;</w:t>
      </w:r>
      <w:proofErr w:type="gramEnd"/>
    </w:p>
    <w:p w14:paraId="5B2B613C" w14:textId="77777777" w:rsidR="002471EE" w:rsidRPr="00FA2B59" w:rsidRDefault="002471EE" w:rsidP="002471EE">
      <w:pPr>
        <w:widowControl w:val="0"/>
        <w:numPr>
          <w:ilvl w:val="0"/>
          <w:numId w:val="6"/>
        </w:numPr>
        <w:spacing w:before="240" w:after="240" w:line="240" w:lineRule="auto"/>
        <w:ind w:left="720"/>
        <w:contextualSpacing/>
        <w:jc w:val="both"/>
        <w:rPr>
          <w:szCs w:val="24"/>
        </w:rPr>
      </w:pPr>
      <w:r w:rsidRPr="00FA2B59">
        <w:rPr>
          <w:szCs w:val="24"/>
        </w:rPr>
        <w:t xml:space="preserve">Is unable to attend or comply with treatment or follow-up </w:t>
      </w:r>
      <w:proofErr w:type="gramStart"/>
      <w:r w:rsidRPr="00FA2B59">
        <w:rPr>
          <w:szCs w:val="24"/>
        </w:rPr>
        <w:t>schedule;</w:t>
      </w:r>
      <w:proofErr w:type="gramEnd"/>
      <w:r w:rsidRPr="00FA2B59">
        <w:rPr>
          <w:szCs w:val="24"/>
        </w:rPr>
        <w:t xml:space="preserve"> </w:t>
      </w:r>
    </w:p>
    <w:p w14:paraId="5B2B613D" w14:textId="77777777" w:rsidR="002471EE" w:rsidRPr="00FA2B59" w:rsidRDefault="002471EE" w:rsidP="002471EE">
      <w:pPr>
        <w:widowControl w:val="0"/>
        <w:numPr>
          <w:ilvl w:val="0"/>
          <w:numId w:val="6"/>
        </w:numPr>
        <w:spacing w:before="240" w:after="240" w:line="240" w:lineRule="auto"/>
        <w:ind w:left="720"/>
        <w:contextualSpacing/>
        <w:jc w:val="both"/>
        <w:rPr>
          <w:szCs w:val="24"/>
        </w:rPr>
      </w:pPr>
      <w:r>
        <w:rPr>
          <w:szCs w:val="24"/>
        </w:rPr>
        <w:t>Has a</w:t>
      </w:r>
      <w:r w:rsidRPr="00FA2B59">
        <w:rPr>
          <w:szCs w:val="24"/>
        </w:rPr>
        <w:t>ny condition (social or medical) which, in the opinion of the sit</w:t>
      </w:r>
      <w:r>
        <w:rPr>
          <w:szCs w:val="24"/>
        </w:rPr>
        <w:t xml:space="preserve">e principal investigator, would </w:t>
      </w:r>
      <w:r w:rsidRPr="00FA2B59">
        <w:rPr>
          <w:szCs w:val="24"/>
        </w:rPr>
        <w:t xml:space="preserve">make study participant </w:t>
      </w:r>
      <w:proofErr w:type="gramStart"/>
      <w:r w:rsidRPr="00FA2B59">
        <w:rPr>
          <w:szCs w:val="24"/>
        </w:rPr>
        <w:t>unsafe;</w:t>
      </w:r>
      <w:proofErr w:type="gramEnd"/>
    </w:p>
    <w:p w14:paraId="2822448E" w14:textId="77777777" w:rsidR="00612A73" w:rsidRDefault="002471EE" w:rsidP="00612A73">
      <w:pPr>
        <w:widowControl w:val="0"/>
        <w:numPr>
          <w:ilvl w:val="0"/>
          <w:numId w:val="6"/>
        </w:numPr>
        <w:spacing w:before="240" w:after="240" w:line="240" w:lineRule="auto"/>
        <w:ind w:left="709"/>
        <w:contextualSpacing/>
        <w:jc w:val="both"/>
        <w:rPr>
          <w:szCs w:val="24"/>
        </w:rPr>
      </w:pPr>
      <w:r>
        <w:rPr>
          <w:szCs w:val="24"/>
        </w:rPr>
        <w:t xml:space="preserve">a. </w:t>
      </w:r>
      <w:r w:rsidRPr="009B600F">
        <w:rPr>
          <w:szCs w:val="24"/>
        </w:rPr>
        <w:t xml:space="preserve">Has had exposure (intake of the drug for 30 days or more) in the past five years to </w:t>
      </w:r>
      <w:proofErr w:type="spellStart"/>
      <w:r w:rsidRPr="009B600F">
        <w:rPr>
          <w:szCs w:val="24"/>
        </w:rPr>
        <w:t>bedaquiline</w:t>
      </w:r>
      <w:proofErr w:type="spellEnd"/>
      <w:r w:rsidRPr="009B600F">
        <w:rPr>
          <w:szCs w:val="24"/>
        </w:rPr>
        <w:t xml:space="preserve">, </w:t>
      </w:r>
      <w:proofErr w:type="spellStart"/>
      <w:r w:rsidRPr="009B600F">
        <w:rPr>
          <w:szCs w:val="24"/>
        </w:rPr>
        <w:t>delamanid</w:t>
      </w:r>
      <w:proofErr w:type="spellEnd"/>
      <w:r w:rsidRPr="009B600F">
        <w:rPr>
          <w:szCs w:val="24"/>
        </w:rPr>
        <w:t xml:space="preserve">, linezolid, or clofazimine, or has proven or likely resistance to </w:t>
      </w:r>
      <w:proofErr w:type="spellStart"/>
      <w:r w:rsidRPr="009B600F">
        <w:rPr>
          <w:szCs w:val="24"/>
        </w:rPr>
        <w:t>bedaquiline</w:t>
      </w:r>
      <w:proofErr w:type="spellEnd"/>
      <w:r w:rsidRPr="009B600F">
        <w:rPr>
          <w:szCs w:val="24"/>
        </w:rPr>
        <w:t xml:space="preserve">, </w:t>
      </w:r>
      <w:proofErr w:type="spellStart"/>
      <w:r w:rsidRPr="009B600F">
        <w:rPr>
          <w:szCs w:val="24"/>
        </w:rPr>
        <w:t>delamanid</w:t>
      </w:r>
      <w:proofErr w:type="spellEnd"/>
      <w:r w:rsidRPr="009B600F">
        <w:rPr>
          <w:szCs w:val="24"/>
        </w:rPr>
        <w:t>, linezolid, or clofazimine (e</w:t>
      </w:r>
      <w:r w:rsidRPr="006F28DF">
        <w:rPr>
          <w:szCs w:val="24"/>
        </w:rPr>
        <w:t xml:space="preserve">.g., household contact of a DR-TB index case who died or experienced treatment failure after treatment containing </w:t>
      </w:r>
      <w:proofErr w:type="spellStart"/>
      <w:r w:rsidRPr="006F28DF">
        <w:rPr>
          <w:szCs w:val="24"/>
        </w:rPr>
        <w:t>bedaquiline</w:t>
      </w:r>
      <w:proofErr w:type="spellEnd"/>
      <w:r w:rsidRPr="006F28DF">
        <w:rPr>
          <w:szCs w:val="24"/>
        </w:rPr>
        <w:t xml:space="preserve">, </w:t>
      </w:r>
      <w:proofErr w:type="spellStart"/>
      <w:r w:rsidRPr="006F28DF">
        <w:rPr>
          <w:szCs w:val="24"/>
        </w:rPr>
        <w:t>delamanid</w:t>
      </w:r>
      <w:proofErr w:type="spellEnd"/>
      <w:r w:rsidRPr="006F28DF">
        <w:rPr>
          <w:szCs w:val="24"/>
        </w:rPr>
        <w:t>, linezolid, or clofazimine or had resistance to one of the listed drugs); exposure to other anti-TB drugs is not a reas</w:t>
      </w:r>
      <w:r w:rsidRPr="00101357">
        <w:rPr>
          <w:szCs w:val="24"/>
        </w:rPr>
        <w:t>on for exclusion.</w:t>
      </w:r>
    </w:p>
    <w:p w14:paraId="5B2B613E" w14:textId="5FA5DFFF" w:rsidR="002471EE" w:rsidRPr="00101357" w:rsidRDefault="002471EE" w:rsidP="00612A73">
      <w:pPr>
        <w:widowControl w:val="0"/>
        <w:spacing w:before="240" w:after="240" w:line="240" w:lineRule="auto"/>
        <w:ind w:left="709"/>
        <w:contextualSpacing/>
        <w:jc w:val="both"/>
        <w:rPr>
          <w:szCs w:val="24"/>
        </w:rPr>
      </w:pPr>
      <w:r w:rsidRPr="00893E7F">
        <w:rPr>
          <w:szCs w:val="24"/>
        </w:rPr>
        <w:t xml:space="preserve">b. </w:t>
      </w:r>
      <w:r w:rsidR="00D5347C" w:rsidRPr="00D5347C">
        <w:rPr>
          <w:szCs w:val="24"/>
        </w:rPr>
        <w:t>Has received second-line drugs for 15 days or more prior to screening visit date in the current MDR/RR-TB treatment episode. Exceptions include: (1) patients whose treatment has failed according to the WHO definition</w:t>
      </w:r>
      <w:r w:rsidRPr="002A33AC">
        <w:rPr>
          <w:szCs w:val="24"/>
          <w:vertAlign w:val="superscript"/>
        </w:rPr>
        <w:t>1</w:t>
      </w:r>
      <w:r w:rsidRPr="00893E7F">
        <w:rPr>
          <w:szCs w:val="24"/>
        </w:rPr>
        <w:t xml:space="preserve"> </w:t>
      </w:r>
      <w:r w:rsidR="00B50762" w:rsidRPr="00B50762">
        <w:rPr>
          <w:szCs w:val="24"/>
        </w:rPr>
        <w:t xml:space="preserve">and who are being considered for a new treatment regimen; </w:t>
      </w:r>
      <w:r w:rsidR="00B50762" w:rsidRPr="00B50762">
        <w:rPr>
          <w:szCs w:val="24"/>
        </w:rPr>
        <w:lastRenderedPageBreak/>
        <w:t>(2) patients starting a new treatment regimen after having been “lost to follow-up” according to the WHO def</w:t>
      </w:r>
      <w:r w:rsidR="00612A73">
        <w:rPr>
          <w:szCs w:val="24"/>
        </w:rPr>
        <w:t>inition</w:t>
      </w:r>
      <w:r w:rsidR="00612A73">
        <w:rPr>
          <w:rStyle w:val="FootnoteReference"/>
          <w:szCs w:val="24"/>
        </w:rPr>
        <w:footnoteReference w:id="2"/>
      </w:r>
      <w:r w:rsidRPr="00893E7F">
        <w:rPr>
          <w:szCs w:val="24"/>
        </w:rPr>
        <w:t xml:space="preserve"> </w:t>
      </w:r>
      <w:r w:rsidR="00455A3B" w:rsidRPr="00455A3B">
        <w:rPr>
          <w:szCs w:val="24"/>
        </w:rPr>
        <w:t>and, (3) patients in whom treatment failure is suspected (but not confirmed according to WHO definition), who are being considered for a new treatment regimen, and for whom the Clinical Advisory Committee (CAC) consultation establishes eligibility.</w:t>
      </w:r>
    </w:p>
    <w:p w14:paraId="5B2B613F" w14:textId="77777777" w:rsidR="002471EE" w:rsidRPr="00FA2B59" w:rsidRDefault="002471EE" w:rsidP="002471EE">
      <w:pPr>
        <w:widowControl w:val="0"/>
        <w:numPr>
          <w:ilvl w:val="0"/>
          <w:numId w:val="6"/>
        </w:numPr>
        <w:spacing w:before="240" w:after="240" w:line="240" w:lineRule="auto"/>
        <w:ind w:left="720"/>
        <w:contextualSpacing/>
        <w:jc w:val="both"/>
        <w:rPr>
          <w:szCs w:val="24"/>
        </w:rPr>
      </w:pPr>
      <w:r w:rsidRPr="00FA2B59">
        <w:rPr>
          <w:szCs w:val="24"/>
        </w:rPr>
        <w:t>Has one or more of the following:</w:t>
      </w:r>
    </w:p>
    <w:p w14:paraId="5B2B6140" w14:textId="77777777" w:rsidR="002471EE" w:rsidRPr="00FA2B59" w:rsidRDefault="002471EE" w:rsidP="002471EE">
      <w:pPr>
        <w:widowControl w:val="0"/>
        <w:numPr>
          <w:ilvl w:val="0"/>
          <w:numId w:val="2"/>
        </w:numPr>
        <w:spacing w:before="240" w:after="240" w:line="240" w:lineRule="auto"/>
        <w:ind w:left="1440" w:hanging="360"/>
        <w:contextualSpacing/>
        <w:jc w:val="both"/>
        <w:rPr>
          <w:szCs w:val="24"/>
        </w:rPr>
      </w:pPr>
      <w:r w:rsidRPr="00FA2B59">
        <w:rPr>
          <w:rFonts w:eastAsia="Arial Unicode MS"/>
          <w:szCs w:val="24"/>
        </w:rPr>
        <w:t>Hemoglobin ≤</w:t>
      </w:r>
      <w:r w:rsidRPr="00FA2B59">
        <w:rPr>
          <w:szCs w:val="24"/>
        </w:rPr>
        <w:t xml:space="preserve"> 7.9 g/</w:t>
      </w:r>
      <w:proofErr w:type="gramStart"/>
      <w:r w:rsidRPr="00FA2B59">
        <w:rPr>
          <w:szCs w:val="24"/>
        </w:rPr>
        <w:t>dL;</w:t>
      </w:r>
      <w:proofErr w:type="gramEnd"/>
      <w:r w:rsidRPr="00FA2B59">
        <w:rPr>
          <w:szCs w:val="24"/>
        </w:rPr>
        <w:t xml:space="preserve"> </w:t>
      </w:r>
    </w:p>
    <w:p w14:paraId="5B2B6141" w14:textId="77777777" w:rsidR="002471EE" w:rsidRPr="00FA2B59" w:rsidRDefault="002471EE" w:rsidP="002471EE">
      <w:pPr>
        <w:widowControl w:val="0"/>
        <w:numPr>
          <w:ilvl w:val="0"/>
          <w:numId w:val="2"/>
        </w:numPr>
        <w:spacing w:before="240" w:after="240" w:line="240" w:lineRule="auto"/>
        <w:ind w:left="1440" w:hanging="360"/>
        <w:contextualSpacing/>
        <w:jc w:val="both"/>
        <w:rPr>
          <w:szCs w:val="24"/>
        </w:rPr>
      </w:pPr>
      <w:r w:rsidRPr="00FA2B59">
        <w:rPr>
          <w:szCs w:val="24"/>
        </w:rPr>
        <w:t xml:space="preserve">Uncorrectable electrolytes disorders: </w:t>
      </w:r>
    </w:p>
    <w:p w14:paraId="5B2B6142" w14:textId="77777777" w:rsidR="002471EE" w:rsidRPr="00FA2B59" w:rsidRDefault="002471EE" w:rsidP="002471EE">
      <w:pPr>
        <w:widowControl w:val="0"/>
        <w:numPr>
          <w:ilvl w:val="1"/>
          <w:numId w:val="3"/>
        </w:numPr>
        <w:spacing w:before="240" w:after="240" w:line="240" w:lineRule="auto"/>
        <w:ind w:left="2160" w:hanging="360"/>
        <w:contextualSpacing/>
        <w:jc w:val="both"/>
        <w:rPr>
          <w:szCs w:val="24"/>
        </w:rPr>
      </w:pPr>
      <w:r>
        <w:rPr>
          <w:szCs w:val="24"/>
        </w:rPr>
        <w:t xml:space="preserve">Total </w:t>
      </w:r>
      <w:r w:rsidRPr="00FA2B59">
        <w:rPr>
          <w:szCs w:val="24"/>
        </w:rPr>
        <w:t>Calcium &lt; 7.0 mg/dL</w:t>
      </w:r>
      <w:r>
        <w:rPr>
          <w:szCs w:val="24"/>
        </w:rPr>
        <w:t xml:space="preserve"> </w:t>
      </w:r>
      <w:r w:rsidRPr="008A4985">
        <w:rPr>
          <w:szCs w:val="24"/>
        </w:rPr>
        <w:t>(1.75 mmol/L</w:t>
      </w:r>
      <w:proofErr w:type="gramStart"/>
      <w:r w:rsidRPr="008A4985">
        <w:rPr>
          <w:szCs w:val="24"/>
        </w:rPr>
        <w:t>)</w:t>
      </w:r>
      <w:r w:rsidRPr="00FA2B59">
        <w:rPr>
          <w:szCs w:val="24"/>
        </w:rPr>
        <w:t>;</w:t>
      </w:r>
      <w:proofErr w:type="gramEnd"/>
    </w:p>
    <w:p w14:paraId="5B2B6143" w14:textId="77777777" w:rsidR="002471EE" w:rsidRPr="00FA2B59" w:rsidRDefault="002471EE" w:rsidP="002471EE">
      <w:pPr>
        <w:widowControl w:val="0"/>
        <w:numPr>
          <w:ilvl w:val="1"/>
          <w:numId w:val="3"/>
        </w:numPr>
        <w:spacing w:before="240" w:after="240" w:line="240" w:lineRule="auto"/>
        <w:ind w:left="2160" w:hanging="360"/>
        <w:contextualSpacing/>
        <w:jc w:val="both"/>
        <w:rPr>
          <w:szCs w:val="24"/>
        </w:rPr>
      </w:pPr>
      <w:r w:rsidRPr="00FA2B59">
        <w:rPr>
          <w:szCs w:val="24"/>
        </w:rPr>
        <w:t>Potassium &lt; 3.0</w:t>
      </w:r>
      <w:r>
        <w:rPr>
          <w:szCs w:val="24"/>
        </w:rPr>
        <w:t xml:space="preserve"> </w:t>
      </w:r>
      <w:proofErr w:type="spellStart"/>
      <w:r>
        <w:rPr>
          <w:color w:val="auto"/>
          <w:szCs w:val="24"/>
        </w:rPr>
        <w:t>mEq</w:t>
      </w:r>
      <w:proofErr w:type="spellEnd"/>
      <w:r>
        <w:rPr>
          <w:color w:val="auto"/>
          <w:szCs w:val="24"/>
        </w:rPr>
        <w:t>/L</w:t>
      </w:r>
      <w:r>
        <w:rPr>
          <w:szCs w:val="24"/>
        </w:rPr>
        <w:t xml:space="preserve"> </w:t>
      </w:r>
      <w:r>
        <w:rPr>
          <w:color w:val="auto"/>
          <w:szCs w:val="24"/>
        </w:rPr>
        <w:t>(3.0 mmol/L)</w:t>
      </w:r>
      <w:r w:rsidRPr="00FA2B59">
        <w:rPr>
          <w:szCs w:val="24"/>
        </w:rPr>
        <w:t xml:space="preserve"> or </w:t>
      </w:r>
      <w:r w:rsidRPr="00FA2B59">
        <w:rPr>
          <w:rFonts w:eastAsia="Arial Unicode MS"/>
          <w:szCs w:val="24"/>
        </w:rPr>
        <w:t>≥</w:t>
      </w:r>
      <w:r>
        <w:rPr>
          <w:rFonts w:eastAsia="Arial Unicode MS"/>
          <w:szCs w:val="24"/>
        </w:rPr>
        <w:t xml:space="preserve"> </w:t>
      </w:r>
      <w:r w:rsidRPr="00FA2B59">
        <w:rPr>
          <w:szCs w:val="24"/>
        </w:rPr>
        <w:t xml:space="preserve">6.0 </w:t>
      </w:r>
      <w:proofErr w:type="spellStart"/>
      <w:r w:rsidRPr="00FA2B59">
        <w:rPr>
          <w:szCs w:val="24"/>
        </w:rPr>
        <w:t>mEq</w:t>
      </w:r>
      <w:proofErr w:type="spellEnd"/>
      <w:r w:rsidRPr="00FA2B59">
        <w:rPr>
          <w:szCs w:val="24"/>
        </w:rPr>
        <w:t>/L</w:t>
      </w:r>
      <w:r>
        <w:rPr>
          <w:szCs w:val="24"/>
        </w:rPr>
        <w:t xml:space="preserve"> </w:t>
      </w:r>
      <w:r>
        <w:rPr>
          <w:color w:val="auto"/>
          <w:szCs w:val="24"/>
        </w:rPr>
        <w:t>(6.0 mmol/L</w:t>
      </w:r>
      <w:proofErr w:type="gramStart"/>
      <w:r>
        <w:rPr>
          <w:color w:val="auto"/>
          <w:szCs w:val="24"/>
        </w:rPr>
        <w:t>)</w:t>
      </w:r>
      <w:r w:rsidRPr="00FA2B59">
        <w:rPr>
          <w:szCs w:val="24"/>
        </w:rPr>
        <w:t>;</w:t>
      </w:r>
      <w:proofErr w:type="gramEnd"/>
    </w:p>
    <w:p w14:paraId="5B2B6144" w14:textId="77777777" w:rsidR="002471EE" w:rsidRPr="00FA2B59" w:rsidRDefault="002471EE" w:rsidP="002471EE">
      <w:pPr>
        <w:widowControl w:val="0"/>
        <w:numPr>
          <w:ilvl w:val="1"/>
          <w:numId w:val="3"/>
        </w:numPr>
        <w:spacing w:before="240" w:after="240" w:line="240" w:lineRule="auto"/>
        <w:ind w:left="2160" w:hanging="360"/>
        <w:contextualSpacing/>
        <w:jc w:val="both"/>
        <w:rPr>
          <w:szCs w:val="24"/>
        </w:rPr>
      </w:pPr>
      <w:r w:rsidRPr="00FA2B59">
        <w:rPr>
          <w:szCs w:val="24"/>
        </w:rPr>
        <w:t xml:space="preserve">Magnesium &lt; 0.9 </w:t>
      </w:r>
      <w:proofErr w:type="spellStart"/>
      <w:r w:rsidRPr="00FA2B59">
        <w:rPr>
          <w:szCs w:val="24"/>
        </w:rPr>
        <w:t>mEq</w:t>
      </w:r>
      <w:proofErr w:type="spellEnd"/>
      <w:r w:rsidRPr="00FA2B59">
        <w:rPr>
          <w:szCs w:val="24"/>
        </w:rPr>
        <w:t>/L</w:t>
      </w:r>
      <w:r>
        <w:rPr>
          <w:szCs w:val="24"/>
        </w:rPr>
        <w:t xml:space="preserve"> </w:t>
      </w:r>
      <w:r>
        <w:rPr>
          <w:color w:val="auto"/>
          <w:szCs w:val="24"/>
        </w:rPr>
        <w:t>(0.45 mmol/L</w:t>
      </w:r>
      <w:proofErr w:type="gramStart"/>
      <w:r>
        <w:rPr>
          <w:color w:val="auto"/>
          <w:szCs w:val="24"/>
        </w:rPr>
        <w:t>)</w:t>
      </w:r>
      <w:r w:rsidRPr="00FA2B59">
        <w:rPr>
          <w:szCs w:val="24"/>
        </w:rPr>
        <w:t>;</w:t>
      </w:r>
      <w:proofErr w:type="gramEnd"/>
    </w:p>
    <w:p w14:paraId="5B2B6145" w14:textId="77777777" w:rsidR="002471EE" w:rsidRPr="00FA2B59" w:rsidRDefault="002471EE" w:rsidP="002471EE">
      <w:pPr>
        <w:widowControl w:val="0"/>
        <w:numPr>
          <w:ilvl w:val="0"/>
          <w:numId w:val="2"/>
        </w:numPr>
        <w:spacing w:before="240" w:after="240" w:line="240" w:lineRule="auto"/>
        <w:ind w:left="1440" w:hanging="360"/>
        <w:contextualSpacing/>
        <w:jc w:val="both"/>
        <w:rPr>
          <w:szCs w:val="24"/>
        </w:rPr>
      </w:pPr>
      <w:r w:rsidRPr="00FA2B59">
        <w:rPr>
          <w:szCs w:val="24"/>
        </w:rPr>
        <w:t xml:space="preserve">Serum creatinine &gt; 3 x </w:t>
      </w:r>
      <w:proofErr w:type="gramStart"/>
      <w:r w:rsidRPr="00FA2B59">
        <w:rPr>
          <w:szCs w:val="24"/>
        </w:rPr>
        <w:t>ULN;</w:t>
      </w:r>
      <w:proofErr w:type="gramEnd"/>
      <w:r w:rsidRPr="00FA2B59">
        <w:rPr>
          <w:szCs w:val="24"/>
        </w:rPr>
        <w:t xml:space="preserve"> </w:t>
      </w:r>
    </w:p>
    <w:p w14:paraId="5B2B6146" w14:textId="77777777" w:rsidR="002471EE" w:rsidRPr="00FA2B59" w:rsidRDefault="002471EE" w:rsidP="002471EE">
      <w:pPr>
        <w:widowControl w:val="0"/>
        <w:numPr>
          <w:ilvl w:val="0"/>
          <w:numId w:val="2"/>
        </w:numPr>
        <w:spacing w:before="240" w:after="240" w:line="240" w:lineRule="auto"/>
        <w:ind w:left="1440" w:hanging="360"/>
        <w:contextualSpacing/>
        <w:jc w:val="both"/>
        <w:rPr>
          <w:szCs w:val="24"/>
        </w:rPr>
      </w:pPr>
      <w:r w:rsidRPr="00FA2B59">
        <w:rPr>
          <w:rFonts w:eastAsia="Arial Unicode MS"/>
          <w:szCs w:val="24"/>
        </w:rPr>
        <w:t xml:space="preserve">Aspartate Aminotransferase (AST) or Alanine Aminotransferase (ALT) ≥ 3 x </w:t>
      </w:r>
      <w:proofErr w:type="gramStart"/>
      <w:r w:rsidRPr="00FA2B59">
        <w:rPr>
          <w:rFonts w:eastAsia="Arial Unicode MS"/>
          <w:szCs w:val="24"/>
        </w:rPr>
        <w:t>ULN;</w:t>
      </w:r>
      <w:proofErr w:type="gramEnd"/>
    </w:p>
    <w:p w14:paraId="5B2B6147" w14:textId="77777777" w:rsidR="002471EE" w:rsidRPr="00FA2B59" w:rsidRDefault="002471EE" w:rsidP="002471EE">
      <w:pPr>
        <w:widowControl w:val="0"/>
        <w:numPr>
          <w:ilvl w:val="0"/>
          <w:numId w:val="2"/>
        </w:numPr>
        <w:spacing w:before="240" w:after="240" w:line="240" w:lineRule="auto"/>
        <w:ind w:left="1440" w:hanging="360"/>
        <w:contextualSpacing/>
        <w:jc w:val="both"/>
        <w:rPr>
          <w:szCs w:val="24"/>
        </w:rPr>
      </w:pPr>
      <w:r w:rsidRPr="00FA2B59">
        <w:rPr>
          <w:szCs w:val="24"/>
        </w:rPr>
        <w:t xml:space="preserve">Total bilirubin </w:t>
      </w:r>
      <w:r w:rsidRPr="00FA2B59">
        <w:rPr>
          <w:rFonts w:eastAsia="Arial Unicode MS"/>
          <w:szCs w:val="24"/>
          <w:highlight w:val="white"/>
        </w:rPr>
        <w:t xml:space="preserve">≥ </w:t>
      </w:r>
      <w:r>
        <w:rPr>
          <w:rFonts w:eastAsia="Arial Unicode MS"/>
          <w:szCs w:val="24"/>
          <w:highlight w:val="white"/>
        </w:rPr>
        <w:t>3</w:t>
      </w:r>
      <w:r w:rsidRPr="00FA2B59">
        <w:rPr>
          <w:rFonts w:eastAsia="Arial Unicode MS"/>
          <w:szCs w:val="24"/>
          <w:highlight w:val="white"/>
        </w:rPr>
        <w:t xml:space="preserve"> x </w:t>
      </w:r>
      <w:proofErr w:type="gramStart"/>
      <w:r w:rsidRPr="00FA2B59">
        <w:rPr>
          <w:rFonts w:eastAsia="Arial Unicode MS"/>
          <w:szCs w:val="24"/>
          <w:highlight w:val="white"/>
        </w:rPr>
        <w:t>ULN</w:t>
      </w:r>
      <w:r w:rsidRPr="00FA2B59">
        <w:rPr>
          <w:szCs w:val="24"/>
        </w:rPr>
        <w:t>;</w:t>
      </w:r>
      <w:proofErr w:type="gramEnd"/>
    </w:p>
    <w:p w14:paraId="5B2B6148" w14:textId="60A7267A" w:rsidR="002471EE" w:rsidRPr="00FA2B59" w:rsidRDefault="002471EE" w:rsidP="009E3099">
      <w:pPr>
        <w:widowControl w:val="0"/>
        <w:numPr>
          <w:ilvl w:val="0"/>
          <w:numId w:val="2"/>
        </w:numPr>
        <w:spacing w:before="240" w:after="240" w:line="240" w:lineRule="auto"/>
        <w:ind w:firstLine="54"/>
        <w:contextualSpacing/>
        <w:jc w:val="both"/>
        <w:rPr>
          <w:szCs w:val="24"/>
        </w:rPr>
      </w:pPr>
      <w:r w:rsidRPr="00FA2B59">
        <w:rPr>
          <w:szCs w:val="24"/>
        </w:rPr>
        <w:t xml:space="preserve">Albumin &lt; </w:t>
      </w:r>
      <w:r>
        <w:rPr>
          <w:szCs w:val="24"/>
        </w:rPr>
        <w:t>2.8</w:t>
      </w:r>
      <w:r w:rsidRPr="00FA2B59">
        <w:rPr>
          <w:szCs w:val="24"/>
        </w:rPr>
        <w:t xml:space="preserve"> g/dL</w:t>
      </w:r>
      <w:r w:rsidR="002F00FF">
        <w:rPr>
          <w:szCs w:val="24"/>
        </w:rPr>
        <w:t xml:space="preserve"> </w:t>
      </w:r>
      <w:r w:rsidR="00FF4151">
        <w:rPr>
          <w:szCs w:val="24"/>
        </w:rPr>
        <w:t xml:space="preserve">[criteria applicable </w:t>
      </w:r>
      <w:r w:rsidR="002F00FF">
        <w:rPr>
          <w:szCs w:val="24"/>
        </w:rPr>
        <w:t xml:space="preserve">protocol </w:t>
      </w:r>
      <w:r w:rsidR="002D41DA" w:rsidRPr="00EE7415">
        <w:rPr>
          <w:szCs w:val="24"/>
        </w:rPr>
        <w:t xml:space="preserve">up to </w:t>
      </w:r>
      <w:r w:rsidR="00EE7415" w:rsidRPr="00EE7415">
        <w:rPr>
          <w:szCs w:val="24"/>
        </w:rPr>
        <w:t>version 3.</w:t>
      </w:r>
      <w:r w:rsidR="00A036ED">
        <w:rPr>
          <w:szCs w:val="24"/>
        </w:rPr>
        <w:t>3 (endTB) and version 3</w:t>
      </w:r>
      <w:r w:rsidR="00EE7415" w:rsidRPr="00EE7415">
        <w:rPr>
          <w:szCs w:val="24"/>
        </w:rPr>
        <w:t>.0</w:t>
      </w:r>
      <w:r w:rsidR="00A036ED" w:rsidRPr="00A036ED">
        <w:rPr>
          <w:szCs w:val="24"/>
        </w:rPr>
        <w:t xml:space="preserve"> </w:t>
      </w:r>
      <w:r w:rsidR="00A036ED">
        <w:rPr>
          <w:szCs w:val="24"/>
        </w:rPr>
        <w:t>(endTB-Q)</w:t>
      </w:r>
      <w:proofErr w:type="gramStart"/>
      <w:r w:rsidR="00FF4151">
        <w:rPr>
          <w:szCs w:val="24"/>
        </w:rPr>
        <w:t>]</w:t>
      </w:r>
      <w:r w:rsidRPr="00FA2B59">
        <w:rPr>
          <w:szCs w:val="24"/>
        </w:rPr>
        <w:t>;</w:t>
      </w:r>
      <w:proofErr w:type="gramEnd"/>
    </w:p>
    <w:p w14:paraId="5B2B6149" w14:textId="77777777" w:rsidR="002471EE" w:rsidRDefault="002471EE" w:rsidP="002471EE">
      <w:pPr>
        <w:widowControl w:val="0"/>
        <w:numPr>
          <w:ilvl w:val="0"/>
          <w:numId w:val="2"/>
        </w:numPr>
        <w:spacing w:before="240" w:after="240" w:line="240" w:lineRule="auto"/>
        <w:ind w:left="1440" w:hanging="360"/>
        <w:contextualSpacing/>
        <w:jc w:val="both"/>
        <w:rPr>
          <w:szCs w:val="24"/>
        </w:rPr>
      </w:pPr>
      <w:r>
        <w:rPr>
          <w:szCs w:val="24"/>
        </w:rPr>
        <w:t xml:space="preserve">Unless otherwise specified, </w:t>
      </w:r>
      <w:r w:rsidRPr="00FA2B59">
        <w:rPr>
          <w:szCs w:val="24"/>
        </w:rPr>
        <w:t>Grade 4 result as defined by the MSF Severity Scale</w:t>
      </w:r>
      <w:r>
        <w:rPr>
          <w:szCs w:val="24"/>
        </w:rPr>
        <w:t xml:space="preserve"> </w:t>
      </w:r>
      <w:r w:rsidRPr="00FA2B59">
        <w:rPr>
          <w:szCs w:val="24"/>
        </w:rPr>
        <w:t>on any of the s</w:t>
      </w:r>
      <w:r>
        <w:rPr>
          <w:szCs w:val="24"/>
        </w:rPr>
        <w:t>creening</w:t>
      </w:r>
      <w:r w:rsidRPr="00FA2B59">
        <w:rPr>
          <w:szCs w:val="24"/>
        </w:rPr>
        <w:t xml:space="preserve"> laboratory</w:t>
      </w:r>
      <w:r>
        <w:rPr>
          <w:szCs w:val="24"/>
        </w:rPr>
        <w:t xml:space="preserve"> </w:t>
      </w:r>
      <w:r w:rsidRPr="00FA2B59">
        <w:rPr>
          <w:szCs w:val="24"/>
        </w:rPr>
        <w:t>tests.</w:t>
      </w:r>
    </w:p>
    <w:p w14:paraId="5B2B614A" w14:textId="77777777" w:rsidR="002471EE" w:rsidRPr="002A33AC" w:rsidRDefault="002471EE" w:rsidP="002471EE">
      <w:pPr>
        <w:widowControl w:val="0"/>
        <w:numPr>
          <w:ilvl w:val="1"/>
          <w:numId w:val="2"/>
        </w:numPr>
        <w:spacing w:before="240" w:after="240" w:line="240" w:lineRule="auto"/>
        <w:ind w:left="2160" w:hanging="360"/>
        <w:contextualSpacing/>
        <w:jc w:val="both"/>
        <w:rPr>
          <w:i/>
          <w:szCs w:val="24"/>
        </w:rPr>
      </w:pPr>
      <w:r>
        <w:rPr>
          <w:i/>
          <w:szCs w:val="24"/>
        </w:rPr>
        <w:t>Total c</w:t>
      </w:r>
      <w:r w:rsidRPr="002A33AC">
        <w:rPr>
          <w:i/>
          <w:szCs w:val="24"/>
        </w:rPr>
        <w:t xml:space="preserve">alcium values can refer to either </w:t>
      </w:r>
      <w:r>
        <w:rPr>
          <w:i/>
          <w:szCs w:val="24"/>
        </w:rPr>
        <w:t>“</w:t>
      </w:r>
      <w:r w:rsidRPr="002A33AC">
        <w:rPr>
          <w:i/>
          <w:szCs w:val="24"/>
        </w:rPr>
        <w:t>albumin-corrected</w:t>
      </w:r>
      <w:r>
        <w:rPr>
          <w:i/>
          <w:szCs w:val="24"/>
        </w:rPr>
        <w:t>”</w:t>
      </w:r>
      <w:r w:rsidRPr="002A33AC">
        <w:rPr>
          <w:i/>
          <w:szCs w:val="24"/>
        </w:rPr>
        <w:t xml:space="preserve"> or </w:t>
      </w:r>
      <w:r>
        <w:rPr>
          <w:i/>
          <w:szCs w:val="24"/>
        </w:rPr>
        <w:t>“albumin-</w:t>
      </w:r>
      <w:r w:rsidRPr="002A33AC">
        <w:rPr>
          <w:i/>
          <w:szCs w:val="24"/>
        </w:rPr>
        <w:t>uncorrected</w:t>
      </w:r>
      <w:r>
        <w:rPr>
          <w:i/>
          <w:szCs w:val="24"/>
        </w:rPr>
        <w:t>”</w:t>
      </w:r>
      <w:r w:rsidRPr="002A33AC">
        <w:rPr>
          <w:i/>
          <w:szCs w:val="24"/>
        </w:rPr>
        <w:t xml:space="preserve"> total values. If albumin values are available from samples taken in the last 3 weeks, it is advised to use albumin-corrected </w:t>
      </w:r>
      <w:r>
        <w:rPr>
          <w:i/>
          <w:szCs w:val="24"/>
        </w:rPr>
        <w:t xml:space="preserve">total </w:t>
      </w:r>
      <w:r w:rsidRPr="002A33AC">
        <w:rPr>
          <w:i/>
          <w:szCs w:val="24"/>
        </w:rPr>
        <w:t xml:space="preserve">calcium values. Please refer to </w:t>
      </w:r>
      <w:r w:rsidRPr="002A33AC">
        <w:rPr>
          <w:b/>
          <w:i/>
          <w:szCs w:val="24"/>
        </w:rPr>
        <w:t xml:space="preserve">SOP SP-O18-CT </w:t>
      </w:r>
      <w:r>
        <w:rPr>
          <w:b/>
          <w:i/>
          <w:szCs w:val="24"/>
        </w:rPr>
        <w:t>M</w:t>
      </w:r>
      <w:r w:rsidRPr="002A33AC">
        <w:rPr>
          <w:b/>
          <w:i/>
          <w:szCs w:val="24"/>
        </w:rPr>
        <w:t xml:space="preserve">anagement of </w:t>
      </w:r>
      <w:r>
        <w:rPr>
          <w:b/>
          <w:i/>
          <w:szCs w:val="24"/>
        </w:rPr>
        <w:t>S</w:t>
      </w:r>
      <w:r w:rsidRPr="002A33AC">
        <w:rPr>
          <w:b/>
          <w:i/>
          <w:szCs w:val="24"/>
        </w:rPr>
        <w:t xml:space="preserve">pecific </w:t>
      </w:r>
      <w:r>
        <w:rPr>
          <w:b/>
          <w:i/>
          <w:szCs w:val="24"/>
        </w:rPr>
        <w:t>A</w:t>
      </w:r>
      <w:r w:rsidRPr="002A33AC">
        <w:rPr>
          <w:b/>
          <w:i/>
          <w:szCs w:val="24"/>
        </w:rPr>
        <w:t xml:space="preserve">dverse </w:t>
      </w:r>
      <w:r>
        <w:rPr>
          <w:b/>
          <w:i/>
          <w:szCs w:val="24"/>
        </w:rPr>
        <w:t>E</w:t>
      </w:r>
      <w:r w:rsidRPr="002A33AC">
        <w:rPr>
          <w:b/>
          <w:i/>
          <w:szCs w:val="24"/>
        </w:rPr>
        <w:t>vents</w:t>
      </w:r>
      <w:r w:rsidRPr="002A33AC">
        <w:rPr>
          <w:i/>
          <w:szCs w:val="24"/>
        </w:rPr>
        <w:t xml:space="preserve"> for guidance on how to perform the </w:t>
      </w:r>
      <w:proofErr w:type="gramStart"/>
      <w:r w:rsidRPr="002A33AC">
        <w:rPr>
          <w:i/>
          <w:szCs w:val="24"/>
        </w:rPr>
        <w:t>correction</w:t>
      </w:r>
      <w:r>
        <w:rPr>
          <w:i/>
          <w:szCs w:val="24"/>
        </w:rPr>
        <w:t>;</w:t>
      </w:r>
      <w:proofErr w:type="gramEnd"/>
    </w:p>
    <w:p w14:paraId="5B2B614B" w14:textId="77777777" w:rsidR="002471EE" w:rsidRPr="002A33AC" w:rsidRDefault="002471EE" w:rsidP="002471EE">
      <w:pPr>
        <w:widowControl w:val="0"/>
        <w:numPr>
          <w:ilvl w:val="1"/>
          <w:numId w:val="2"/>
        </w:numPr>
        <w:spacing w:before="240" w:after="240" w:line="240" w:lineRule="auto"/>
        <w:ind w:left="2160" w:hanging="360"/>
        <w:contextualSpacing/>
        <w:jc w:val="both"/>
        <w:rPr>
          <w:i/>
          <w:szCs w:val="24"/>
        </w:rPr>
      </w:pPr>
      <w:r w:rsidRPr="002A33AC">
        <w:rPr>
          <w:i/>
          <w:szCs w:val="24"/>
        </w:rPr>
        <w:t>In case of laboratory abnormalities leading to ineligibility, laboratory tests can be repeated during the screening window.</w:t>
      </w:r>
    </w:p>
    <w:p w14:paraId="5B2B614C" w14:textId="77777777" w:rsidR="002471EE" w:rsidRPr="00FA2B59" w:rsidRDefault="002471EE" w:rsidP="002471EE">
      <w:pPr>
        <w:widowControl w:val="0"/>
        <w:numPr>
          <w:ilvl w:val="0"/>
          <w:numId w:val="6"/>
        </w:numPr>
        <w:spacing w:before="240" w:after="240" w:line="240" w:lineRule="auto"/>
        <w:ind w:left="720"/>
        <w:contextualSpacing/>
        <w:jc w:val="both"/>
        <w:rPr>
          <w:szCs w:val="24"/>
        </w:rPr>
      </w:pPr>
      <w:r w:rsidRPr="00FA2B59">
        <w:rPr>
          <w:szCs w:val="24"/>
        </w:rPr>
        <w:t xml:space="preserve">Has cardiac risk factors defined as: </w:t>
      </w:r>
    </w:p>
    <w:p w14:paraId="5B2B614D"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8A4985">
        <w:rPr>
          <w:szCs w:val="24"/>
        </w:rPr>
        <w:t xml:space="preserve">An arithmetic average of the two ECGs with highest </w:t>
      </w:r>
      <w:proofErr w:type="spellStart"/>
      <w:r w:rsidRPr="008A4985">
        <w:rPr>
          <w:szCs w:val="24"/>
        </w:rPr>
        <w:t>QTc</w:t>
      </w:r>
      <w:r>
        <w:rPr>
          <w:szCs w:val="24"/>
        </w:rPr>
        <w:t>F</w:t>
      </w:r>
      <w:proofErr w:type="spellEnd"/>
      <w:r w:rsidRPr="008A4985">
        <w:rPr>
          <w:szCs w:val="24"/>
        </w:rPr>
        <w:t xml:space="preserve"> intervals of greater than or equal to 450 </w:t>
      </w:r>
      <w:proofErr w:type="spellStart"/>
      <w:r w:rsidRPr="008A4985">
        <w:rPr>
          <w:szCs w:val="24"/>
        </w:rPr>
        <w:t>ms.</w:t>
      </w:r>
      <w:proofErr w:type="spellEnd"/>
      <w:r w:rsidRPr="008A4985">
        <w:rPr>
          <w:szCs w:val="24"/>
        </w:rPr>
        <w:t xml:space="preserve"> Retesting to reassess eligibility will be allowed using an unscheduled visit during the screening </w:t>
      </w:r>
      <w:proofErr w:type="gramStart"/>
      <w:r w:rsidRPr="008A4985">
        <w:rPr>
          <w:szCs w:val="24"/>
        </w:rPr>
        <w:t>phase</w:t>
      </w:r>
      <w:r w:rsidRPr="00FA2B59">
        <w:rPr>
          <w:szCs w:val="24"/>
        </w:rPr>
        <w:t>;</w:t>
      </w:r>
      <w:proofErr w:type="gramEnd"/>
    </w:p>
    <w:p w14:paraId="5B2B614E"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Evidence of ventricular pre-excitation (e.g., Wolff Parkinson White syndrome</w:t>
      </w:r>
      <w:proofErr w:type="gramStart"/>
      <w:r w:rsidRPr="00FA2B59">
        <w:rPr>
          <w:szCs w:val="24"/>
        </w:rPr>
        <w:t>);</w:t>
      </w:r>
      <w:proofErr w:type="gramEnd"/>
    </w:p>
    <w:p w14:paraId="5B2B614F" w14:textId="77777777" w:rsidR="002471EE"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Electrocardiographic evidence of</w:t>
      </w:r>
      <w:r>
        <w:rPr>
          <w:szCs w:val="24"/>
        </w:rPr>
        <w:t xml:space="preserve"> either:</w:t>
      </w:r>
    </w:p>
    <w:p w14:paraId="5B2B6150" w14:textId="77777777" w:rsidR="002471EE" w:rsidRPr="005C68A9" w:rsidRDefault="002471EE" w:rsidP="002471EE">
      <w:pPr>
        <w:widowControl w:val="0"/>
        <w:numPr>
          <w:ilvl w:val="1"/>
          <w:numId w:val="4"/>
        </w:numPr>
        <w:spacing w:before="240" w:after="240" w:line="240" w:lineRule="auto"/>
        <w:ind w:left="2160" w:hanging="360"/>
        <w:contextualSpacing/>
        <w:jc w:val="both"/>
        <w:rPr>
          <w:szCs w:val="24"/>
        </w:rPr>
      </w:pPr>
      <w:r w:rsidRPr="005C68A9">
        <w:rPr>
          <w:szCs w:val="24"/>
        </w:rPr>
        <w:t>Complete left bundle branch block or right bundle branch block; OR</w:t>
      </w:r>
    </w:p>
    <w:p w14:paraId="5B2B6151" w14:textId="28667475" w:rsidR="002471EE" w:rsidRDefault="002471EE" w:rsidP="002471EE">
      <w:pPr>
        <w:widowControl w:val="0"/>
        <w:numPr>
          <w:ilvl w:val="1"/>
          <w:numId w:val="4"/>
        </w:numPr>
        <w:spacing w:before="240" w:after="240" w:line="240" w:lineRule="auto"/>
        <w:ind w:left="2160" w:hanging="360"/>
        <w:contextualSpacing/>
        <w:jc w:val="both"/>
        <w:rPr>
          <w:szCs w:val="24"/>
        </w:rPr>
      </w:pPr>
      <w:r w:rsidRPr="007F7C76">
        <w:rPr>
          <w:szCs w:val="24"/>
        </w:rPr>
        <w:t xml:space="preserve">Incomplete left bundle branch block or right bundle branch block and QRS complex duration </w:t>
      </w:r>
      <w:r w:rsidR="007F5BDC" w:rsidRPr="007F5BDC">
        <w:rPr>
          <w:szCs w:val="24"/>
        </w:rPr>
        <w:t>greater than or equal to</w:t>
      </w:r>
      <w:r w:rsidRPr="007F7C76">
        <w:rPr>
          <w:szCs w:val="24"/>
        </w:rPr>
        <w:t xml:space="preserve"> 120 msec on </w:t>
      </w:r>
      <w:r>
        <w:rPr>
          <w:szCs w:val="24"/>
        </w:rPr>
        <w:t xml:space="preserve">at least one </w:t>
      </w:r>
      <w:r w:rsidRPr="007F7C76">
        <w:rPr>
          <w:szCs w:val="24"/>
        </w:rPr>
        <w:t>ECG</w:t>
      </w:r>
      <w:r>
        <w:rPr>
          <w:szCs w:val="24"/>
        </w:rPr>
        <w:t>.</w:t>
      </w:r>
    </w:p>
    <w:p w14:paraId="5B2B6152" w14:textId="77777777" w:rsidR="002471EE" w:rsidRDefault="002471EE" w:rsidP="002471EE">
      <w:pPr>
        <w:widowControl w:val="0"/>
        <w:numPr>
          <w:ilvl w:val="0"/>
          <w:numId w:val="4"/>
        </w:numPr>
        <w:spacing w:before="240" w:after="240" w:line="240" w:lineRule="auto"/>
        <w:ind w:left="1440" w:hanging="360"/>
        <w:contextualSpacing/>
        <w:jc w:val="both"/>
        <w:rPr>
          <w:szCs w:val="24"/>
        </w:rPr>
      </w:pPr>
      <w:r>
        <w:rPr>
          <w:szCs w:val="24"/>
        </w:rPr>
        <w:t xml:space="preserve">Having a pacemaker </w:t>
      </w:r>
      <w:proofErr w:type="gramStart"/>
      <w:r>
        <w:rPr>
          <w:szCs w:val="24"/>
        </w:rPr>
        <w:t>implant;</w:t>
      </w:r>
      <w:proofErr w:type="gramEnd"/>
    </w:p>
    <w:p w14:paraId="5B2B6153"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Pr>
          <w:szCs w:val="24"/>
        </w:rPr>
        <w:t xml:space="preserve">Congestive heart </w:t>
      </w:r>
      <w:proofErr w:type="gramStart"/>
      <w:r>
        <w:rPr>
          <w:szCs w:val="24"/>
        </w:rPr>
        <w:t>failure;</w:t>
      </w:r>
      <w:proofErr w:type="gramEnd"/>
    </w:p>
    <w:p w14:paraId="5B2B6154"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Evidence of second or third</w:t>
      </w:r>
      <w:r>
        <w:rPr>
          <w:szCs w:val="24"/>
        </w:rPr>
        <w:t>-</w:t>
      </w:r>
      <w:r w:rsidRPr="00FA2B59">
        <w:rPr>
          <w:szCs w:val="24"/>
        </w:rPr>
        <w:t xml:space="preserve">degree heart </w:t>
      </w:r>
      <w:proofErr w:type="gramStart"/>
      <w:r w:rsidRPr="00FA2B59">
        <w:rPr>
          <w:szCs w:val="24"/>
        </w:rPr>
        <w:t>block;</w:t>
      </w:r>
      <w:proofErr w:type="gramEnd"/>
    </w:p>
    <w:p w14:paraId="5B2B6155"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 xml:space="preserve">Bradycardia as defined by sinus rate less than 50 </w:t>
      </w:r>
      <w:proofErr w:type="gramStart"/>
      <w:r w:rsidRPr="00FA2B59">
        <w:rPr>
          <w:szCs w:val="24"/>
        </w:rPr>
        <w:t>bpm;</w:t>
      </w:r>
      <w:proofErr w:type="gramEnd"/>
    </w:p>
    <w:p w14:paraId="5B2B6156"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 xml:space="preserve">Personal or family history of Long QT </w:t>
      </w:r>
      <w:proofErr w:type="gramStart"/>
      <w:r w:rsidRPr="00FA2B59">
        <w:rPr>
          <w:szCs w:val="24"/>
        </w:rPr>
        <w:t>Syndrome;</w:t>
      </w:r>
      <w:proofErr w:type="gramEnd"/>
    </w:p>
    <w:p w14:paraId="5B2B6157" w14:textId="77777777" w:rsidR="002471EE" w:rsidRPr="00FA2B59"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 xml:space="preserve">Personal history of arrhythmic cardiac disease, with the exception of sinus </w:t>
      </w:r>
      <w:proofErr w:type="gramStart"/>
      <w:r w:rsidRPr="00FA2B59">
        <w:rPr>
          <w:szCs w:val="24"/>
        </w:rPr>
        <w:t>arrhythmia;</w:t>
      </w:r>
      <w:proofErr w:type="gramEnd"/>
    </w:p>
    <w:p w14:paraId="5B2B6158" w14:textId="77777777" w:rsidR="002471EE" w:rsidRDefault="002471EE" w:rsidP="002471EE">
      <w:pPr>
        <w:widowControl w:val="0"/>
        <w:numPr>
          <w:ilvl w:val="0"/>
          <w:numId w:val="4"/>
        </w:numPr>
        <w:spacing w:before="240" w:after="240" w:line="240" w:lineRule="auto"/>
        <w:ind w:left="1440" w:hanging="360"/>
        <w:contextualSpacing/>
        <w:jc w:val="both"/>
        <w:rPr>
          <w:szCs w:val="24"/>
        </w:rPr>
      </w:pPr>
      <w:r w:rsidRPr="00FA2B59">
        <w:rPr>
          <w:szCs w:val="24"/>
        </w:rPr>
        <w:t>Personal history of syncope (i.e. cardiac syncope not including syncope due to vasovagal or epileptic causes).</w:t>
      </w:r>
    </w:p>
    <w:p w14:paraId="5B2B6159" w14:textId="05D371AA" w:rsidR="002471EE" w:rsidRPr="002A33AC" w:rsidRDefault="002471EE" w:rsidP="002471EE">
      <w:pPr>
        <w:widowControl w:val="0"/>
        <w:numPr>
          <w:ilvl w:val="1"/>
          <w:numId w:val="4"/>
        </w:numPr>
        <w:spacing w:before="240" w:after="240" w:line="240" w:lineRule="auto"/>
        <w:ind w:left="2160" w:hanging="360"/>
        <w:contextualSpacing/>
        <w:jc w:val="both"/>
        <w:rPr>
          <w:i/>
          <w:szCs w:val="24"/>
        </w:rPr>
      </w:pPr>
      <w:r w:rsidRPr="002A33AC">
        <w:rPr>
          <w:i/>
          <w:szCs w:val="24"/>
        </w:rPr>
        <w:lastRenderedPageBreak/>
        <w:t>Congestive heart failure is</w:t>
      </w:r>
      <w:r w:rsidRPr="002A33AC">
        <w:rPr>
          <w:i/>
        </w:rPr>
        <w:t xml:space="preserve"> </w:t>
      </w:r>
      <w:r w:rsidRPr="002A33AC">
        <w:rPr>
          <w:i/>
          <w:szCs w:val="24"/>
        </w:rPr>
        <w:t xml:space="preserve">a complex clinical syndrome that results from any structural or functional impairment of ventricular filling or ejection of blood, whose diagnosis is largely clinical, based on careful assessment of patient history and physical examination. Congestive heart failure should be diagnosed according to the clinical judgement of the </w:t>
      </w:r>
      <w:r w:rsidRPr="002A33AC">
        <w:rPr>
          <w:b/>
          <w:i/>
          <w:szCs w:val="24"/>
        </w:rPr>
        <w:t>Site CI</w:t>
      </w:r>
      <w:r w:rsidRPr="002A33AC">
        <w:rPr>
          <w:i/>
          <w:szCs w:val="24"/>
        </w:rPr>
        <w:t xml:space="preserve">, with the support of the </w:t>
      </w:r>
      <w:r w:rsidRPr="002A33AC">
        <w:rPr>
          <w:b/>
          <w:i/>
          <w:szCs w:val="24"/>
        </w:rPr>
        <w:t>Site PI</w:t>
      </w:r>
      <w:r w:rsidRPr="002A33AC">
        <w:rPr>
          <w:i/>
          <w:szCs w:val="24"/>
        </w:rPr>
        <w:t xml:space="preserve"> as needed. As a reference, the New York Heart Association (NYHA) functional classification is a useful tool</w:t>
      </w:r>
      <w:r w:rsidR="00612A73">
        <w:rPr>
          <w:rStyle w:val="FootnoteReference"/>
          <w:i/>
          <w:szCs w:val="24"/>
        </w:rPr>
        <w:footnoteReference w:id="3"/>
      </w:r>
      <w:r w:rsidRPr="002A33AC">
        <w:rPr>
          <w:i/>
          <w:szCs w:val="24"/>
        </w:rPr>
        <w:t xml:space="preserve">. </w:t>
      </w:r>
      <w:r>
        <w:rPr>
          <w:i/>
          <w:szCs w:val="24"/>
        </w:rPr>
        <w:t>A p</w:t>
      </w:r>
      <w:r w:rsidRPr="002A33AC">
        <w:rPr>
          <w:i/>
          <w:szCs w:val="24"/>
        </w:rPr>
        <w:t xml:space="preserve">atient with NYHA class III or IV </w:t>
      </w:r>
      <w:r>
        <w:rPr>
          <w:i/>
          <w:szCs w:val="24"/>
        </w:rPr>
        <w:t xml:space="preserve">heart failure </w:t>
      </w:r>
      <w:r w:rsidRPr="002A33AC">
        <w:rPr>
          <w:i/>
          <w:szCs w:val="24"/>
        </w:rPr>
        <w:t>could be considered as ineligible for inclusion.</w:t>
      </w:r>
    </w:p>
    <w:p w14:paraId="02C66894" w14:textId="77777777" w:rsidR="002F00FF" w:rsidRDefault="002F00FF" w:rsidP="002471EE">
      <w:pPr>
        <w:widowControl w:val="0"/>
        <w:numPr>
          <w:ilvl w:val="0"/>
          <w:numId w:val="6"/>
        </w:numPr>
        <w:spacing w:before="240" w:after="240" w:line="240" w:lineRule="auto"/>
        <w:ind w:left="720"/>
        <w:contextualSpacing/>
        <w:jc w:val="both"/>
        <w:rPr>
          <w:szCs w:val="24"/>
        </w:rPr>
      </w:pPr>
    </w:p>
    <w:p w14:paraId="5FFBA6BC" w14:textId="75CDCD87" w:rsidR="002F00FF" w:rsidRPr="003737E2" w:rsidRDefault="002F00FF" w:rsidP="009E3099">
      <w:pPr>
        <w:pStyle w:val="ListParagraph"/>
        <w:widowControl w:val="0"/>
        <w:numPr>
          <w:ilvl w:val="0"/>
          <w:numId w:val="15"/>
        </w:numPr>
        <w:spacing w:before="240" w:after="240" w:line="240" w:lineRule="auto"/>
        <w:ind w:left="709"/>
        <w:jc w:val="both"/>
        <w:rPr>
          <w:b/>
          <w:szCs w:val="24"/>
          <w:u w:val="single"/>
        </w:rPr>
      </w:pPr>
      <w:r w:rsidRPr="003737E2">
        <w:rPr>
          <w:b/>
          <w:szCs w:val="24"/>
          <w:u w:val="single"/>
        </w:rPr>
        <w:t>Criteria</w:t>
      </w:r>
      <w:r w:rsidR="00FF4151">
        <w:rPr>
          <w:b/>
          <w:szCs w:val="24"/>
          <w:u w:val="single"/>
        </w:rPr>
        <w:t xml:space="preserve"> applicable</w:t>
      </w:r>
      <w:r w:rsidRPr="003737E2">
        <w:rPr>
          <w:b/>
          <w:szCs w:val="24"/>
          <w:u w:val="single"/>
        </w:rPr>
        <w:t xml:space="preserve"> Protocol </w:t>
      </w:r>
      <w:r w:rsidR="002D41DA">
        <w:rPr>
          <w:b/>
          <w:szCs w:val="24"/>
          <w:u w:val="single"/>
        </w:rPr>
        <w:t>up to</w:t>
      </w:r>
      <w:r w:rsidR="002D41DA" w:rsidRPr="003737E2">
        <w:rPr>
          <w:b/>
          <w:szCs w:val="24"/>
          <w:u w:val="single"/>
        </w:rPr>
        <w:t xml:space="preserve"> </w:t>
      </w:r>
      <w:r w:rsidRPr="003737E2">
        <w:rPr>
          <w:b/>
          <w:szCs w:val="24"/>
          <w:u w:val="single"/>
        </w:rPr>
        <w:t>version 3.</w:t>
      </w:r>
      <w:r w:rsidR="00FF4151">
        <w:rPr>
          <w:b/>
          <w:szCs w:val="24"/>
          <w:u w:val="single"/>
        </w:rPr>
        <w:t>3</w:t>
      </w:r>
      <w:r w:rsidRPr="003737E2">
        <w:rPr>
          <w:b/>
          <w:szCs w:val="24"/>
          <w:u w:val="single"/>
        </w:rPr>
        <w:t xml:space="preserve"> </w:t>
      </w:r>
      <w:r>
        <w:rPr>
          <w:b/>
          <w:szCs w:val="24"/>
          <w:u w:val="single"/>
        </w:rPr>
        <w:t xml:space="preserve">(endTB) </w:t>
      </w:r>
      <w:r w:rsidRPr="003737E2">
        <w:rPr>
          <w:b/>
          <w:szCs w:val="24"/>
          <w:u w:val="single"/>
        </w:rPr>
        <w:t>and version 3.0</w:t>
      </w:r>
      <w:r w:rsidRPr="002F00FF">
        <w:rPr>
          <w:b/>
          <w:szCs w:val="24"/>
          <w:u w:val="single"/>
        </w:rPr>
        <w:t xml:space="preserve"> </w:t>
      </w:r>
      <w:r>
        <w:rPr>
          <w:b/>
          <w:szCs w:val="24"/>
          <w:u w:val="single"/>
        </w:rPr>
        <w:t>(</w:t>
      </w:r>
      <w:r w:rsidRPr="00A06068">
        <w:rPr>
          <w:b/>
          <w:szCs w:val="24"/>
          <w:u w:val="single"/>
        </w:rPr>
        <w:t>endTB-Q</w:t>
      </w:r>
      <w:r>
        <w:rPr>
          <w:b/>
          <w:szCs w:val="24"/>
          <w:u w:val="single"/>
        </w:rPr>
        <w:t>)</w:t>
      </w:r>
    </w:p>
    <w:p w14:paraId="20D49C6B" w14:textId="77777777" w:rsidR="002F00FF" w:rsidRPr="00FA2B59" w:rsidRDefault="002F00FF" w:rsidP="009E3099">
      <w:pPr>
        <w:widowControl w:val="0"/>
        <w:spacing w:before="240" w:after="240" w:line="240" w:lineRule="auto"/>
        <w:ind w:left="360" w:firstLine="348"/>
        <w:contextualSpacing/>
        <w:jc w:val="both"/>
        <w:rPr>
          <w:szCs w:val="24"/>
        </w:rPr>
      </w:pPr>
      <w:r w:rsidRPr="00FA2B59">
        <w:rPr>
          <w:szCs w:val="24"/>
        </w:rPr>
        <w:t xml:space="preserve">Is currently taking part in another trial of a medicinal </w:t>
      </w:r>
      <w:proofErr w:type="gramStart"/>
      <w:r w:rsidRPr="00FA2B59">
        <w:rPr>
          <w:szCs w:val="24"/>
        </w:rPr>
        <w:t>product;</w:t>
      </w:r>
      <w:proofErr w:type="gramEnd"/>
    </w:p>
    <w:p w14:paraId="1BDDA376" w14:textId="77777777" w:rsidR="002F00FF" w:rsidRPr="009E3099" w:rsidRDefault="002F00FF" w:rsidP="009E3099">
      <w:pPr>
        <w:pStyle w:val="ListParagraph"/>
        <w:widowControl w:val="0"/>
        <w:spacing w:before="240" w:after="240" w:line="240" w:lineRule="auto"/>
        <w:ind w:left="709"/>
        <w:jc w:val="both"/>
        <w:rPr>
          <w:b/>
          <w:szCs w:val="24"/>
          <w:u w:val="single"/>
        </w:rPr>
      </w:pPr>
    </w:p>
    <w:p w14:paraId="1E89CE73" w14:textId="7B06DBF1" w:rsidR="002F00FF" w:rsidRPr="003737E2" w:rsidRDefault="002F00FF" w:rsidP="009E3099">
      <w:pPr>
        <w:pStyle w:val="ListParagraph"/>
        <w:widowControl w:val="0"/>
        <w:numPr>
          <w:ilvl w:val="0"/>
          <w:numId w:val="15"/>
        </w:numPr>
        <w:spacing w:before="240" w:after="240" w:line="240" w:lineRule="auto"/>
        <w:ind w:left="709"/>
        <w:jc w:val="both"/>
        <w:rPr>
          <w:b/>
          <w:szCs w:val="24"/>
          <w:u w:val="single"/>
        </w:rPr>
      </w:pPr>
      <w:r w:rsidRPr="003737E2">
        <w:rPr>
          <w:b/>
          <w:szCs w:val="24"/>
          <w:u w:val="single"/>
        </w:rPr>
        <w:t xml:space="preserve">Criteria </w:t>
      </w:r>
      <w:r w:rsidR="00FF4151">
        <w:rPr>
          <w:b/>
          <w:szCs w:val="24"/>
          <w:u w:val="single"/>
        </w:rPr>
        <w:t>applicable from</w:t>
      </w:r>
      <w:r w:rsidRPr="003737E2">
        <w:rPr>
          <w:b/>
          <w:szCs w:val="24"/>
          <w:u w:val="single"/>
        </w:rPr>
        <w:t xml:space="preserve"> Protocol version 3.5 </w:t>
      </w:r>
      <w:r w:rsidR="00A036ED">
        <w:rPr>
          <w:b/>
          <w:szCs w:val="24"/>
          <w:u w:val="single"/>
        </w:rPr>
        <w:t>(endTB) and</w:t>
      </w:r>
      <w:r w:rsidRPr="003737E2">
        <w:rPr>
          <w:b/>
          <w:szCs w:val="24"/>
          <w:u w:val="single"/>
        </w:rPr>
        <w:t xml:space="preserve"> version </w:t>
      </w:r>
      <w:r w:rsidR="00A036ED">
        <w:rPr>
          <w:b/>
          <w:szCs w:val="24"/>
          <w:u w:val="single"/>
        </w:rPr>
        <w:t>4</w:t>
      </w:r>
      <w:r w:rsidRPr="003737E2">
        <w:rPr>
          <w:b/>
          <w:szCs w:val="24"/>
          <w:u w:val="single"/>
        </w:rPr>
        <w:t>.</w:t>
      </w:r>
      <w:r w:rsidR="00A036ED">
        <w:rPr>
          <w:b/>
          <w:szCs w:val="24"/>
          <w:u w:val="single"/>
        </w:rPr>
        <w:t>1 (endTB-Q)</w:t>
      </w:r>
    </w:p>
    <w:p w14:paraId="5B2B615A" w14:textId="7A50F45D" w:rsidR="002471EE" w:rsidRPr="002F00FF" w:rsidRDefault="002F00FF" w:rsidP="009E3099">
      <w:pPr>
        <w:widowControl w:val="0"/>
        <w:spacing w:before="240" w:after="240" w:line="240" w:lineRule="auto"/>
        <w:ind w:left="720"/>
        <w:contextualSpacing/>
        <w:jc w:val="both"/>
        <w:rPr>
          <w:szCs w:val="24"/>
        </w:rPr>
      </w:pPr>
      <w:r w:rsidRPr="002F00FF" w:rsidDel="003A3E36">
        <w:rPr>
          <w:szCs w:val="24"/>
        </w:rPr>
        <w:t xml:space="preserve"> </w:t>
      </w:r>
      <w:r w:rsidR="003A3E36" w:rsidRPr="00A036ED">
        <w:rPr>
          <w:szCs w:val="24"/>
        </w:rPr>
        <w:t>Concurrent participation</w:t>
      </w:r>
      <w:r w:rsidR="002471EE" w:rsidRPr="00A036ED">
        <w:rPr>
          <w:szCs w:val="24"/>
        </w:rPr>
        <w:t xml:space="preserve"> in another trial of </w:t>
      </w:r>
      <w:r w:rsidR="003A3E36" w:rsidRPr="00A036ED">
        <w:rPr>
          <w:szCs w:val="24"/>
        </w:rPr>
        <w:t>any medication used or being studied for TB treatment, as defined in cited documents.</w:t>
      </w:r>
    </w:p>
    <w:p w14:paraId="2B52F8B3" w14:textId="1CB41EB5" w:rsidR="003A3E36" w:rsidRDefault="00CB07CA" w:rsidP="009E3099">
      <w:pPr>
        <w:widowControl w:val="0"/>
        <w:numPr>
          <w:ilvl w:val="3"/>
          <w:numId w:val="11"/>
        </w:numPr>
        <w:spacing w:before="240" w:after="240" w:line="240" w:lineRule="auto"/>
        <w:contextualSpacing/>
        <w:jc w:val="both"/>
        <w:rPr>
          <w:i/>
          <w:szCs w:val="24"/>
        </w:rPr>
      </w:pPr>
      <w:r>
        <w:rPr>
          <w:i/>
          <w:szCs w:val="24"/>
        </w:rPr>
        <w:t>List of medications used or being studied for TB treatment: ethambutol, isoniazid, pyrazinamide, rifabutin, rifampicin, rifapentine, ciprofloxacin, l</w:t>
      </w:r>
      <w:r w:rsidRPr="00CB07CA">
        <w:rPr>
          <w:i/>
          <w:szCs w:val="24"/>
        </w:rPr>
        <w:t>evofloxacin</w:t>
      </w:r>
      <w:r>
        <w:rPr>
          <w:i/>
          <w:szCs w:val="24"/>
        </w:rPr>
        <w:t xml:space="preserve">, </w:t>
      </w:r>
      <w:proofErr w:type="spellStart"/>
      <w:r>
        <w:rPr>
          <w:i/>
          <w:szCs w:val="24"/>
        </w:rPr>
        <w:t>gatifloxacin</w:t>
      </w:r>
      <w:proofErr w:type="spellEnd"/>
      <w:r>
        <w:rPr>
          <w:i/>
          <w:szCs w:val="24"/>
        </w:rPr>
        <w:t xml:space="preserve">, </w:t>
      </w:r>
      <w:r w:rsidRPr="00CB07CA">
        <w:rPr>
          <w:i/>
          <w:szCs w:val="24"/>
        </w:rPr>
        <w:t>moxifloxacin</w:t>
      </w:r>
      <w:r>
        <w:rPr>
          <w:i/>
          <w:szCs w:val="24"/>
        </w:rPr>
        <w:t xml:space="preserve">, </w:t>
      </w:r>
      <w:proofErr w:type="spellStart"/>
      <w:r>
        <w:rPr>
          <w:i/>
          <w:szCs w:val="24"/>
        </w:rPr>
        <w:t>b</w:t>
      </w:r>
      <w:r w:rsidRPr="00CB07CA">
        <w:rPr>
          <w:i/>
          <w:szCs w:val="24"/>
        </w:rPr>
        <w:t>edaquiline</w:t>
      </w:r>
      <w:proofErr w:type="spellEnd"/>
      <w:r>
        <w:rPr>
          <w:i/>
          <w:szCs w:val="24"/>
        </w:rPr>
        <w:t>, l</w:t>
      </w:r>
      <w:r w:rsidRPr="00CB07CA">
        <w:rPr>
          <w:i/>
          <w:szCs w:val="24"/>
        </w:rPr>
        <w:t>inezolid</w:t>
      </w:r>
      <w:r>
        <w:rPr>
          <w:i/>
          <w:szCs w:val="24"/>
        </w:rPr>
        <w:t>, c</w:t>
      </w:r>
      <w:r w:rsidRPr="00CB07CA">
        <w:rPr>
          <w:i/>
          <w:szCs w:val="24"/>
        </w:rPr>
        <w:t>lofazimine</w:t>
      </w:r>
      <w:r>
        <w:rPr>
          <w:i/>
          <w:szCs w:val="24"/>
        </w:rPr>
        <w:t xml:space="preserve">, </w:t>
      </w:r>
      <w:proofErr w:type="spellStart"/>
      <w:r>
        <w:rPr>
          <w:i/>
          <w:szCs w:val="24"/>
        </w:rPr>
        <w:t>c</w:t>
      </w:r>
      <w:r w:rsidRPr="00CB07CA">
        <w:rPr>
          <w:i/>
          <w:szCs w:val="24"/>
        </w:rPr>
        <w:t>ycloserine</w:t>
      </w:r>
      <w:proofErr w:type="spellEnd"/>
      <w:r>
        <w:rPr>
          <w:i/>
          <w:szCs w:val="24"/>
        </w:rPr>
        <w:t xml:space="preserve">, </w:t>
      </w:r>
      <w:r w:rsidRPr="00CB07CA">
        <w:rPr>
          <w:i/>
          <w:szCs w:val="24"/>
        </w:rPr>
        <w:t>terizidone</w:t>
      </w:r>
      <w:r>
        <w:rPr>
          <w:i/>
          <w:szCs w:val="24"/>
        </w:rPr>
        <w:t xml:space="preserve">, </w:t>
      </w:r>
      <w:proofErr w:type="spellStart"/>
      <w:r>
        <w:rPr>
          <w:i/>
          <w:szCs w:val="24"/>
        </w:rPr>
        <w:t>d</w:t>
      </w:r>
      <w:r w:rsidRPr="00CB07CA">
        <w:rPr>
          <w:i/>
          <w:szCs w:val="24"/>
        </w:rPr>
        <w:t>elamanid</w:t>
      </w:r>
      <w:proofErr w:type="spellEnd"/>
      <w:r>
        <w:rPr>
          <w:i/>
          <w:szCs w:val="24"/>
        </w:rPr>
        <w:t>, i</w:t>
      </w:r>
      <w:r w:rsidRPr="00CB07CA">
        <w:rPr>
          <w:i/>
          <w:szCs w:val="24"/>
        </w:rPr>
        <w:t>mipenem–</w:t>
      </w:r>
      <w:proofErr w:type="spellStart"/>
      <w:r w:rsidRPr="00CB07CA">
        <w:rPr>
          <w:i/>
          <w:szCs w:val="24"/>
        </w:rPr>
        <w:t>cilastatin</w:t>
      </w:r>
      <w:proofErr w:type="spellEnd"/>
      <w:r>
        <w:rPr>
          <w:i/>
          <w:szCs w:val="24"/>
        </w:rPr>
        <w:t>,</w:t>
      </w:r>
      <w:r w:rsidRPr="00CB07CA">
        <w:rPr>
          <w:i/>
          <w:szCs w:val="24"/>
        </w:rPr>
        <w:t xml:space="preserve"> meropenem</w:t>
      </w:r>
      <w:r>
        <w:rPr>
          <w:i/>
          <w:szCs w:val="24"/>
        </w:rPr>
        <w:t xml:space="preserve">, </w:t>
      </w:r>
      <w:r w:rsidRPr="00CB07CA">
        <w:rPr>
          <w:i/>
          <w:szCs w:val="24"/>
        </w:rPr>
        <w:t>amikacin</w:t>
      </w:r>
      <w:r>
        <w:rPr>
          <w:i/>
          <w:szCs w:val="24"/>
        </w:rPr>
        <w:t>, capreomycin, kanamycin,</w:t>
      </w:r>
      <w:r w:rsidRPr="00CB07CA">
        <w:rPr>
          <w:i/>
          <w:szCs w:val="24"/>
        </w:rPr>
        <w:t xml:space="preserve"> streptomyci</w:t>
      </w:r>
      <w:r>
        <w:rPr>
          <w:i/>
          <w:szCs w:val="24"/>
        </w:rPr>
        <w:t>n, e</w:t>
      </w:r>
      <w:r w:rsidRPr="00CB07CA">
        <w:rPr>
          <w:i/>
          <w:szCs w:val="24"/>
        </w:rPr>
        <w:t>thionamide</w:t>
      </w:r>
      <w:r>
        <w:rPr>
          <w:i/>
          <w:szCs w:val="24"/>
        </w:rPr>
        <w:t xml:space="preserve">, </w:t>
      </w:r>
      <w:proofErr w:type="spellStart"/>
      <w:r w:rsidRPr="00CB07CA">
        <w:rPr>
          <w:i/>
          <w:szCs w:val="24"/>
        </w:rPr>
        <w:t>prothionamide</w:t>
      </w:r>
      <w:proofErr w:type="spellEnd"/>
      <w:r>
        <w:rPr>
          <w:i/>
          <w:szCs w:val="24"/>
        </w:rPr>
        <w:t xml:space="preserve">, </w:t>
      </w:r>
      <w:r w:rsidRPr="00CB07CA">
        <w:rPr>
          <w:i/>
          <w:szCs w:val="24"/>
        </w:rPr>
        <w:t>P-</w:t>
      </w:r>
      <w:proofErr w:type="spellStart"/>
      <w:r w:rsidRPr="00CB07CA">
        <w:rPr>
          <w:i/>
          <w:szCs w:val="24"/>
        </w:rPr>
        <w:t>aminosalicylic</w:t>
      </w:r>
      <w:proofErr w:type="spellEnd"/>
      <w:r w:rsidRPr="00CB07CA">
        <w:rPr>
          <w:i/>
          <w:szCs w:val="24"/>
        </w:rPr>
        <w:t xml:space="preserve"> acid</w:t>
      </w:r>
      <w:r>
        <w:rPr>
          <w:i/>
          <w:szCs w:val="24"/>
        </w:rPr>
        <w:t xml:space="preserve">, </w:t>
      </w:r>
      <w:proofErr w:type="spellStart"/>
      <w:r>
        <w:rPr>
          <w:i/>
          <w:szCs w:val="24"/>
        </w:rPr>
        <w:t>pretomanid</w:t>
      </w:r>
      <w:proofErr w:type="spellEnd"/>
      <w:r>
        <w:rPr>
          <w:i/>
          <w:szCs w:val="24"/>
        </w:rPr>
        <w:t xml:space="preserve">, SQ109, </w:t>
      </w:r>
      <w:proofErr w:type="spellStart"/>
      <w:r>
        <w:rPr>
          <w:i/>
          <w:szCs w:val="24"/>
        </w:rPr>
        <w:t>delpazolid</w:t>
      </w:r>
      <w:proofErr w:type="spellEnd"/>
      <w:r>
        <w:rPr>
          <w:i/>
          <w:szCs w:val="24"/>
        </w:rPr>
        <w:t xml:space="preserve">, </w:t>
      </w:r>
      <w:proofErr w:type="spellStart"/>
      <w:r>
        <w:rPr>
          <w:i/>
          <w:szCs w:val="24"/>
        </w:rPr>
        <w:t>sutezolid</w:t>
      </w:r>
      <w:proofErr w:type="spellEnd"/>
      <w:r>
        <w:rPr>
          <w:i/>
          <w:szCs w:val="24"/>
        </w:rPr>
        <w:t xml:space="preserve">, tedizolid, </w:t>
      </w:r>
      <w:proofErr w:type="spellStart"/>
      <w:r w:rsidR="00637507">
        <w:rPr>
          <w:i/>
          <w:szCs w:val="24"/>
        </w:rPr>
        <w:t>macozinone</w:t>
      </w:r>
      <w:proofErr w:type="spellEnd"/>
      <w:r w:rsidR="00637507">
        <w:rPr>
          <w:i/>
          <w:szCs w:val="24"/>
        </w:rPr>
        <w:t xml:space="preserve">, </w:t>
      </w:r>
      <w:proofErr w:type="spellStart"/>
      <w:r w:rsidR="00251658">
        <w:rPr>
          <w:i/>
          <w:szCs w:val="24"/>
        </w:rPr>
        <w:t>telacebec</w:t>
      </w:r>
      <w:proofErr w:type="spellEnd"/>
      <w:r w:rsidR="00251658">
        <w:rPr>
          <w:i/>
          <w:szCs w:val="24"/>
        </w:rPr>
        <w:t>.</w:t>
      </w:r>
    </w:p>
    <w:p w14:paraId="7C95D054" w14:textId="77777777" w:rsidR="002F00FF" w:rsidRPr="009E3099" w:rsidRDefault="002F00FF" w:rsidP="009E3099">
      <w:pPr>
        <w:widowControl w:val="0"/>
        <w:spacing w:before="240" w:after="240" w:line="240" w:lineRule="auto"/>
        <w:contextualSpacing/>
        <w:jc w:val="both"/>
        <w:rPr>
          <w:i/>
          <w:szCs w:val="24"/>
        </w:rPr>
      </w:pPr>
    </w:p>
    <w:p w14:paraId="5B2B615B" w14:textId="77777777" w:rsidR="002471EE" w:rsidRDefault="002471EE" w:rsidP="002F00FF">
      <w:pPr>
        <w:widowControl w:val="0"/>
        <w:numPr>
          <w:ilvl w:val="0"/>
          <w:numId w:val="16"/>
        </w:numPr>
        <w:spacing w:before="240" w:after="240" w:line="240" w:lineRule="auto"/>
        <w:ind w:left="720"/>
        <w:contextualSpacing/>
        <w:jc w:val="both"/>
        <w:rPr>
          <w:szCs w:val="24"/>
        </w:rPr>
      </w:pPr>
      <w:r>
        <w:rPr>
          <w:szCs w:val="24"/>
        </w:rPr>
        <w:t xml:space="preserve">Is taking </w:t>
      </w:r>
      <w:r w:rsidRPr="00FA2B59">
        <w:rPr>
          <w:szCs w:val="24"/>
        </w:rPr>
        <w:t>any medication that is contraindicated with the medicines in the trial regimen</w:t>
      </w:r>
      <w:r>
        <w:rPr>
          <w:szCs w:val="24"/>
        </w:rPr>
        <w:t xml:space="preserve"> which cannot be stopped (with or without replacement) or requires a wash-out period longer than 2 weeks.</w:t>
      </w:r>
    </w:p>
    <w:p w14:paraId="5B2B615C" w14:textId="77777777" w:rsidR="002471EE" w:rsidRPr="002A33AC" w:rsidRDefault="002471EE" w:rsidP="002F00FF">
      <w:pPr>
        <w:widowControl w:val="0"/>
        <w:numPr>
          <w:ilvl w:val="4"/>
          <w:numId w:val="16"/>
        </w:numPr>
        <w:spacing w:before="240" w:after="240" w:line="240" w:lineRule="auto"/>
        <w:ind w:left="2160"/>
        <w:contextualSpacing/>
        <w:jc w:val="both"/>
        <w:rPr>
          <w:i/>
          <w:szCs w:val="24"/>
        </w:rPr>
      </w:pPr>
      <w:r w:rsidRPr="002A33AC">
        <w:rPr>
          <w:i/>
          <w:szCs w:val="24"/>
        </w:rPr>
        <w:t xml:space="preserve">Please refer to </w:t>
      </w:r>
      <w:r w:rsidRPr="002A33AC">
        <w:rPr>
          <w:b/>
          <w:i/>
          <w:szCs w:val="24"/>
        </w:rPr>
        <w:t>SOP SP-019-CT for Concomitant Medications</w:t>
      </w:r>
      <w:r w:rsidRPr="002A33AC">
        <w:rPr>
          <w:i/>
          <w:szCs w:val="24"/>
        </w:rPr>
        <w:t xml:space="preserve"> for the list of </w:t>
      </w:r>
      <w:r>
        <w:rPr>
          <w:i/>
          <w:szCs w:val="24"/>
        </w:rPr>
        <w:t>medications</w:t>
      </w:r>
      <w:r w:rsidRPr="002A33AC">
        <w:rPr>
          <w:i/>
          <w:szCs w:val="24"/>
        </w:rPr>
        <w:t xml:space="preserve"> which </w:t>
      </w:r>
      <w:r>
        <w:rPr>
          <w:i/>
          <w:szCs w:val="24"/>
        </w:rPr>
        <w:t>should</w:t>
      </w:r>
      <w:r w:rsidRPr="002A33AC">
        <w:rPr>
          <w:i/>
          <w:szCs w:val="24"/>
        </w:rPr>
        <w:t xml:space="preserve"> be stopped </w:t>
      </w:r>
      <w:r>
        <w:rPr>
          <w:i/>
          <w:szCs w:val="24"/>
        </w:rPr>
        <w:t>with observation of</w:t>
      </w:r>
      <w:r w:rsidRPr="002A33AC">
        <w:rPr>
          <w:i/>
          <w:szCs w:val="24"/>
        </w:rPr>
        <w:t xml:space="preserve"> a wash-out period, and those </w:t>
      </w:r>
      <w:r>
        <w:rPr>
          <w:i/>
          <w:szCs w:val="24"/>
        </w:rPr>
        <w:t xml:space="preserve">medications </w:t>
      </w:r>
      <w:r w:rsidRPr="002A33AC">
        <w:rPr>
          <w:i/>
          <w:szCs w:val="24"/>
        </w:rPr>
        <w:t xml:space="preserve">which </w:t>
      </w:r>
      <w:r>
        <w:rPr>
          <w:i/>
          <w:szCs w:val="24"/>
        </w:rPr>
        <w:t>are disallowed and confer</w:t>
      </w:r>
      <w:r w:rsidRPr="002A33AC">
        <w:rPr>
          <w:i/>
          <w:szCs w:val="24"/>
        </w:rPr>
        <w:t xml:space="preserve"> ineligibility </w:t>
      </w:r>
      <w:r>
        <w:rPr>
          <w:i/>
          <w:szCs w:val="24"/>
        </w:rPr>
        <w:t>for inclusion</w:t>
      </w:r>
      <w:r w:rsidRPr="002A33AC">
        <w:rPr>
          <w:i/>
          <w:szCs w:val="24"/>
        </w:rPr>
        <w:t>.</w:t>
      </w:r>
    </w:p>
    <w:p w14:paraId="5B2B615D" w14:textId="77777777" w:rsidR="002471EE" w:rsidRDefault="002471EE" w:rsidP="002471EE"/>
    <w:p w14:paraId="5B2B615E" w14:textId="77777777" w:rsidR="00DB2F7B" w:rsidRDefault="00DB2F7B"/>
    <w:sectPr w:rsidR="00DB2F7B" w:rsidSect="00DD2877">
      <w:headerReference w:type="default" r:id="rId11"/>
      <w:footerReference w:type="default" r:id="rId12"/>
      <w:pgSz w:w="12240" w:h="15840"/>
      <w:pgMar w:top="567" w:right="1440" w:bottom="1985" w:left="1440"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B9FC" w14:textId="77777777" w:rsidR="00E76896" w:rsidRDefault="00E76896" w:rsidP="002471EE">
      <w:pPr>
        <w:spacing w:after="0" w:line="240" w:lineRule="auto"/>
      </w:pPr>
      <w:r>
        <w:separator/>
      </w:r>
    </w:p>
  </w:endnote>
  <w:endnote w:type="continuationSeparator" w:id="0">
    <w:p w14:paraId="3BCF6CFB" w14:textId="77777777" w:rsidR="00E76896" w:rsidRDefault="00E76896" w:rsidP="002471EE">
      <w:pPr>
        <w:spacing w:after="0" w:line="240" w:lineRule="auto"/>
      </w:pPr>
      <w:r>
        <w:continuationSeparator/>
      </w:r>
    </w:p>
  </w:endnote>
  <w:endnote w:type="continuationNotice" w:id="1">
    <w:p w14:paraId="2756F6D6" w14:textId="77777777" w:rsidR="00E76896" w:rsidRDefault="00E76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042005"/>
      <w:docPartObj>
        <w:docPartGallery w:val="Page Numbers (Bottom of Page)"/>
        <w:docPartUnique/>
      </w:docPartObj>
    </w:sdtPr>
    <w:sdtContent>
      <w:sdt>
        <w:sdtPr>
          <w:id w:val="-1669238322"/>
          <w:docPartObj>
            <w:docPartGallery w:val="Page Numbers (Top of Page)"/>
            <w:docPartUnique/>
          </w:docPartObj>
        </w:sdtPr>
        <w:sdtContent>
          <w:p w14:paraId="04359C9B" w14:textId="77777777" w:rsidR="009328B6" w:rsidRDefault="009328B6" w:rsidP="009328B6">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2A9024FD" w14:textId="77777777" w:rsidR="009328B6" w:rsidRDefault="009328B6" w:rsidP="009328B6">
            <w:pPr>
              <w:tabs>
                <w:tab w:val="center" w:pos="4680"/>
                <w:tab w:val="right" w:pos="9360"/>
              </w:tabs>
              <w:spacing w:after="0" w:line="240" w:lineRule="auto"/>
              <w:jc w:val="both"/>
              <w:rPr>
                <w:i/>
                <w:iCs/>
                <w:sz w:val="18"/>
                <w:szCs w:val="18"/>
              </w:rPr>
            </w:pPr>
          </w:p>
          <w:p w14:paraId="5B2B617A" w14:textId="17C5990A" w:rsidR="002C761A" w:rsidRDefault="002C761A">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9E3099">
              <w:rPr>
                <w:b/>
                <w:bCs/>
                <w:noProof/>
              </w:rPr>
              <w:t>4</w:t>
            </w:r>
            <w:r>
              <w:rPr>
                <w:b/>
                <w:bCs/>
                <w:sz w:val="24"/>
                <w:szCs w:val="24"/>
              </w:rPr>
              <w:fldChar w:fldCharType="end"/>
            </w:r>
            <w:r>
              <w:rPr>
                <w:lang w:val="fr-FR"/>
              </w:rPr>
              <w:t xml:space="preserve"> </w:t>
            </w:r>
            <w:r w:rsidR="003534EF">
              <w:rPr>
                <w:lang w:val="fr-FR"/>
              </w:rPr>
              <w:t>of</w:t>
            </w:r>
            <w:r>
              <w:rPr>
                <w:lang w:val="fr-FR"/>
              </w:rPr>
              <w:t xml:space="preserve"> </w:t>
            </w:r>
            <w:r>
              <w:rPr>
                <w:b/>
                <w:bCs/>
                <w:sz w:val="24"/>
                <w:szCs w:val="24"/>
              </w:rPr>
              <w:fldChar w:fldCharType="begin"/>
            </w:r>
            <w:r>
              <w:rPr>
                <w:b/>
                <w:bCs/>
              </w:rPr>
              <w:instrText>NUMPAGES</w:instrText>
            </w:r>
            <w:r>
              <w:rPr>
                <w:b/>
                <w:bCs/>
                <w:sz w:val="24"/>
                <w:szCs w:val="24"/>
              </w:rPr>
              <w:fldChar w:fldCharType="separate"/>
            </w:r>
            <w:r w:rsidR="009E3099">
              <w:rPr>
                <w:b/>
                <w:bCs/>
                <w:noProof/>
              </w:rPr>
              <w:t>5</w:t>
            </w:r>
            <w:r>
              <w:rPr>
                <w:b/>
                <w:bCs/>
                <w:sz w:val="24"/>
                <w:szCs w:val="24"/>
              </w:rPr>
              <w:fldChar w:fldCharType="end"/>
            </w:r>
          </w:p>
        </w:sdtContent>
      </w:sdt>
    </w:sdtContent>
  </w:sdt>
  <w:p w14:paraId="5B2B617B" w14:textId="77777777" w:rsidR="00C5585C" w:rsidRDefault="00C55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5690" w14:textId="77777777" w:rsidR="00E76896" w:rsidRDefault="00E76896" w:rsidP="002471EE">
      <w:pPr>
        <w:spacing w:after="0" w:line="240" w:lineRule="auto"/>
      </w:pPr>
      <w:r>
        <w:separator/>
      </w:r>
    </w:p>
  </w:footnote>
  <w:footnote w:type="continuationSeparator" w:id="0">
    <w:p w14:paraId="057A9085" w14:textId="77777777" w:rsidR="00E76896" w:rsidRDefault="00E76896" w:rsidP="002471EE">
      <w:pPr>
        <w:spacing w:after="0" w:line="240" w:lineRule="auto"/>
      </w:pPr>
      <w:r>
        <w:continuationSeparator/>
      </w:r>
    </w:p>
  </w:footnote>
  <w:footnote w:type="continuationNotice" w:id="1">
    <w:p w14:paraId="09FAAD74" w14:textId="77777777" w:rsidR="00E76896" w:rsidRDefault="00E76896">
      <w:pPr>
        <w:spacing w:after="0" w:line="240" w:lineRule="auto"/>
      </w:pPr>
    </w:p>
  </w:footnote>
  <w:footnote w:id="2">
    <w:p w14:paraId="5A74564F" w14:textId="3C2009C6" w:rsidR="00612A73" w:rsidRPr="00612A73" w:rsidRDefault="00612A73" w:rsidP="00612A73">
      <w:pPr>
        <w:pStyle w:val="ListNumber"/>
        <w:numPr>
          <w:ilvl w:val="6"/>
          <w:numId w:val="8"/>
        </w:numPr>
        <w:ind w:left="360"/>
        <w:rPr>
          <w:sz w:val="16"/>
        </w:rPr>
      </w:pPr>
      <w:r w:rsidRPr="00612A73">
        <w:rPr>
          <w:sz w:val="16"/>
        </w:rPr>
        <w:t xml:space="preserve">World Health Organization. Definitions and reporting framework for tuberculosis – 2013 revision (updated December 2014). Geneva: WHO, 2014. pp. 1–47. Report No.: WHO/HTM/TB/2013.2. Retrieved from: </w:t>
      </w:r>
      <w:hyperlink r:id="rId1" w:history="1">
        <w:r w:rsidRPr="00612A73">
          <w:rPr>
            <w:rStyle w:val="Hyperlink"/>
            <w:sz w:val="16"/>
          </w:rPr>
          <w:t>http://www.who.int/tb/publications/definitions/en/</w:t>
        </w:r>
      </w:hyperlink>
    </w:p>
    <w:p w14:paraId="798F16EB" w14:textId="2338F0A3" w:rsidR="00612A73" w:rsidRPr="00612A73" w:rsidRDefault="00612A73">
      <w:pPr>
        <w:pStyle w:val="FootnoteText"/>
      </w:pPr>
    </w:p>
  </w:footnote>
  <w:footnote w:id="3">
    <w:p w14:paraId="1BBC379D" w14:textId="4A5E47AD" w:rsidR="00612A73" w:rsidRPr="00B443BA" w:rsidRDefault="00612A73">
      <w:pPr>
        <w:pStyle w:val="FootnoteText"/>
      </w:pPr>
      <w:r>
        <w:rPr>
          <w:rStyle w:val="FootnoteReference"/>
        </w:rPr>
        <w:footnoteRef/>
      </w:r>
      <w:r w:rsidRPr="00612A73">
        <w:rPr>
          <w:sz w:val="18"/>
        </w:rPr>
        <w:t xml:space="preserve"> </w:t>
      </w:r>
      <w:r w:rsidRPr="001F4F88">
        <w:rPr>
          <w:sz w:val="16"/>
        </w:rPr>
        <w:t>Criteria Committee of the New York Heart Association. (1994). Nomenclature and Criteria for Diagnosis of Diseases of the Heart and Great Vessels (9th ed.). Boston: Little, Brown &amp; Co. pp. 253–256.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529"/>
      <w:gridCol w:w="2976"/>
    </w:tblGrid>
    <w:tr w:rsidR="002C761A" w14:paraId="5B2B6178" w14:textId="77777777" w:rsidTr="00C5585C">
      <w:tc>
        <w:tcPr>
          <w:tcW w:w="1559" w:type="dxa"/>
          <w:vAlign w:val="center"/>
        </w:tcPr>
        <w:p w14:paraId="5B2B6175" w14:textId="5124D818" w:rsidR="002C761A" w:rsidRPr="00C5585C" w:rsidRDefault="00AC29AF" w:rsidP="00C5585C">
          <w:pPr>
            <w:pStyle w:val="Header"/>
            <w:rPr>
              <w:rFonts w:cstheme="minorBidi"/>
              <w:b/>
            </w:rPr>
          </w:pPr>
          <w:r>
            <w:rPr>
              <w:b/>
            </w:rPr>
            <w:t>SOP SP-01</w:t>
          </w:r>
          <w:r w:rsidR="002C761A">
            <w:rPr>
              <w:b/>
            </w:rPr>
            <w:t>3-CT</w:t>
          </w:r>
        </w:p>
      </w:tc>
      <w:tc>
        <w:tcPr>
          <w:tcW w:w="5529" w:type="dxa"/>
          <w:vAlign w:val="center"/>
          <w:hideMark/>
        </w:tcPr>
        <w:p w14:paraId="5B2B6176" w14:textId="7B05B8D2" w:rsidR="002C761A" w:rsidRDefault="002C761A" w:rsidP="00C5585C">
          <w:pPr>
            <w:pStyle w:val="Header"/>
            <w:jc w:val="center"/>
            <w:rPr>
              <w:b/>
              <w:lang w:eastAsia="en-US"/>
            </w:rPr>
          </w:pPr>
          <w:r>
            <w:rPr>
              <w:b/>
            </w:rPr>
            <w:t>endTB Clinical Trial</w:t>
          </w:r>
          <w:r w:rsidR="003B01AF">
            <w:rPr>
              <w:b/>
            </w:rPr>
            <w:t>s</w:t>
          </w:r>
          <w:r>
            <w:rPr>
              <w:b/>
            </w:rPr>
            <w:t xml:space="preserve"> – A1- Eligibility </w:t>
          </w:r>
          <w:r w:rsidR="00AC29AF">
            <w:rPr>
              <w:b/>
            </w:rPr>
            <w:t>Criteria for Randomization</w:t>
          </w:r>
        </w:p>
      </w:tc>
      <w:tc>
        <w:tcPr>
          <w:tcW w:w="2976" w:type="dxa"/>
          <w:vAlign w:val="center"/>
          <w:hideMark/>
        </w:tcPr>
        <w:p w14:paraId="5B2B6177" w14:textId="24ED4483" w:rsidR="002C761A" w:rsidRDefault="00F955D8" w:rsidP="00C5585C">
          <w:pPr>
            <w:pStyle w:val="Header"/>
            <w:ind w:left="68" w:right="-27"/>
            <w:rPr>
              <w:b/>
              <w:lang w:eastAsia="en-US"/>
            </w:rPr>
          </w:pPr>
          <w:r>
            <w:rPr>
              <w:b/>
            </w:rPr>
            <w:t xml:space="preserve">Version </w:t>
          </w:r>
          <w:r w:rsidR="00776DE0">
            <w:rPr>
              <w:b/>
            </w:rPr>
            <w:t>5.0</w:t>
          </w:r>
          <w:r>
            <w:rPr>
              <w:b/>
            </w:rPr>
            <w:t xml:space="preserve">, </w:t>
          </w:r>
          <w:r w:rsidR="00C5585C">
            <w:rPr>
              <w:b/>
            </w:rPr>
            <w:t xml:space="preserve">Date </w:t>
          </w:r>
          <w:r w:rsidR="00776DE0">
            <w:rPr>
              <w:b/>
            </w:rPr>
            <w:t>19-Jul-2021</w:t>
          </w:r>
        </w:p>
      </w:tc>
    </w:tr>
  </w:tbl>
  <w:p w14:paraId="5B2B6179" w14:textId="0D82F773" w:rsidR="00C5585C" w:rsidRPr="00671921" w:rsidRDefault="00C5585C">
    <w:pPr>
      <w:pStyle w:val="Header"/>
      <w:rPr>
        <w:b/>
      </w:rPr>
    </w:pPr>
    <w:r>
      <w:rPr>
        <w:noProof/>
      </w:rPr>
      <w:drawing>
        <wp:anchor distT="0" distB="0" distL="114300" distR="114300" simplePos="0" relativeHeight="251658240" behindDoc="0" locked="0" layoutInCell="1" allowOverlap="1" wp14:anchorId="35EB9C58" wp14:editId="4BD30F7B">
          <wp:simplePos x="0" y="0"/>
          <wp:positionH relativeFrom="column">
            <wp:posOffset>-520065</wp:posOffset>
          </wp:positionH>
          <wp:positionV relativeFrom="paragraph">
            <wp:posOffset>-329565</wp:posOffset>
          </wp:positionV>
          <wp:extent cx="498763" cy="308147"/>
          <wp:effectExtent l="0" t="0" r="0" b="0"/>
          <wp:wrapThrough wrapText="bothSides">
            <wp:wrapPolygon edited="0">
              <wp:start x="0" y="0"/>
              <wp:lineTo x="0" y="20041"/>
              <wp:lineTo x="20637" y="20041"/>
              <wp:lineTo x="20637" y="0"/>
              <wp:lineTo x="0" y="0"/>
            </wp:wrapPolygon>
          </wp:wrapThrough>
          <wp:docPr id="982541490"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2833E5">
      <w:rPr>
        <w:b/>
      </w:rPr>
      <w:t xml:space="preserve">                     </w:t>
    </w:r>
    <w:r w:rsidR="002C761A">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7182F142"/>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35E6F35"/>
    <w:multiLevelType w:val="hybridMultilevel"/>
    <w:tmpl w:val="3E8E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D6CAF"/>
    <w:multiLevelType w:val="hybridMultilevel"/>
    <w:tmpl w:val="AADAFDEA"/>
    <w:lvl w:ilvl="0" w:tplc="100C0017">
      <w:start w:val="1"/>
      <w:numFmt w:val="lowerLetter"/>
      <w:lvlText w:val="%1)"/>
      <w:lvlJc w:val="left"/>
      <w:pPr>
        <w:ind w:left="720" w:hanging="360"/>
      </w:pPr>
      <w:rPr>
        <w:rFonts w:hint="default"/>
      </w:rPr>
    </w:lvl>
    <w:lvl w:ilvl="1" w:tplc="040C000B">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18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15BE5"/>
    <w:multiLevelType w:val="hybridMultilevel"/>
    <w:tmpl w:val="D34EE9C2"/>
    <w:lvl w:ilvl="0" w:tplc="100C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809000B">
      <w:start w:val="1"/>
      <w:numFmt w:val="bullet"/>
      <w:lvlText w:val=""/>
      <w:lvlJc w:val="left"/>
      <w:pPr>
        <w:ind w:left="2520" w:hanging="360"/>
      </w:pPr>
      <w:rPr>
        <w:rFonts w:ascii="Wingdings" w:hAnsi="Wingdings" w:hint="default"/>
      </w:rPr>
    </w:lvl>
    <w:lvl w:ilvl="4" w:tplc="040C000B">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3F3554"/>
    <w:multiLevelType w:val="hybridMultilevel"/>
    <w:tmpl w:val="21DEC860"/>
    <w:lvl w:ilvl="0" w:tplc="0409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15322E"/>
    <w:multiLevelType w:val="hybridMultilevel"/>
    <w:tmpl w:val="4F529440"/>
    <w:lvl w:ilvl="0" w:tplc="D1E28246">
      <w:start w:val="1"/>
      <w:numFmt w:val="lowerLetter"/>
      <w:lvlText w:val="%1)"/>
      <w:lvlJc w:val="left"/>
      <w:pPr>
        <w:ind w:left="720" w:hanging="360"/>
      </w:pPr>
      <w:rPr>
        <w:rFonts w:hint="default"/>
        <w:b w:val="0"/>
      </w:rPr>
    </w:lvl>
    <w:lvl w:ilvl="1" w:tplc="040C000B">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18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120C"/>
    <w:multiLevelType w:val="multilevel"/>
    <w:tmpl w:val="2FBA676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D238E"/>
    <w:multiLevelType w:val="multilevel"/>
    <w:tmpl w:val="4ADEA44E"/>
    <w:lvl w:ilvl="0">
      <w:start w:val="1"/>
      <w:numFmt w:val="bullet"/>
      <w:lvlText w:val="●"/>
      <w:lvlJc w:val="left"/>
      <w:pPr>
        <w:ind w:left="1080" w:firstLine="720"/>
      </w:pPr>
      <w:rPr>
        <w:rFonts w:ascii="Arial" w:eastAsia="Times New Roman" w:hAnsi="Arial"/>
      </w:rPr>
    </w:lvl>
    <w:lvl w:ilvl="1">
      <w:start w:val="1"/>
      <w:numFmt w:val="bullet"/>
      <w:lvlText w:val="o"/>
      <w:lvlJc w:val="left"/>
      <w:pPr>
        <w:ind w:left="1800" w:firstLine="1440"/>
      </w:pPr>
      <w:rPr>
        <w:rFonts w:ascii="Arial" w:eastAsia="Times New Roman" w:hAnsi="Arial"/>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8" w15:restartNumberingAfterBreak="0">
    <w:nsid w:val="3EF44FAB"/>
    <w:multiLevelType w:val="hybridMultilevel"/>
    <w:tmpl w:val="36FCF0B0"/>
    <w:lvl w:ilvl="0" w:tplc="100C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809000B">
      <w:start w:val="1"/>
      <w:numFmt w:val="bullet"/>
      <w:lvlText w:val=""/>
      <w:lvlJc w:val="left"/>
      <w:pPr>
        <w:ind w:left="2520" w:hanging="360"/>
      </w:pPr>
      <w:rPr>
        <w:rFonts w:ascii="Wingdings" w:hAnsi="Wingdings" w:hint="default"/>
      </w:rPr>
    </w:lvl>
    <w:lvl w:ilvl="4" w:tplc="040C000B">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13266D"/>
    <w:multiLevelType w:val="multilevel"/>
    <w:tmpl w:val="1768697C"/>
    <w:lvl w:ilvl="0">
      <w:start w:val="1"/>
      <w:numFmt w:val="bullet"/>
      <w:lvlText w:val="●"/>
      <w:lvlJc w:val="left"/>
      <w:pPr>
        <w:ind w:left="1080" w:firstLine="720"/>
      </w:pPr>
      <w:rPr>
        <w:rFonts w:ascii="Arial" w:eastAsia="Times New Roman" w:hAnsi="Arial"/>
      </w:rPr>
    </w:lvl>
    <w:lvl w:ilvl="1">
      <w:start w:val="1"/>
      <w:numFmt w:val="bullet"/>
      <w:lvlText w:val=""/>
      <w:lvlJc w:val="left"/>
      <w:pPr>
        <w:ind w:left="1800" w:firstLine="1440"/>
      </w:pPr>
      <w:rPr>
        <w:rFonts w:ascii="Wingdings" w:hAnsi="Wingdings" w:hint="default"/>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10" w15:restartNumberingAfterBreak="0">
    <w:nsid w:val="4CDF4B4A"/>
    <w:multiLevelType w:val="hybridMultilevel"/>
    <w:tmpl w:val="D34EE9C2"/>
    <w:lvl w:ilvl="0" w:tplc="100C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809000B">
      <w:start w:val="1"/>
      <w:numFmt w:val="bullet"/>
      <w:lvlText w:val=""/>
      <w:lvlJc w:val="left"/>
      <w:pPr>
        <w:ind w:left="2520" w:hanging="360"/>
      </w:pPr>
      <w:rPr>
        <w:rFonts w:ascii="Wingdings" w:hAnsi="Wingdings" w:hint="default"/>
      </w:rPr>
    </w:lvl>
    <w:lvl w:ilvl="4" w:tplc="040C000B">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882487"/>
    <w:multiLevelType w:val="hybridMultilevel"/>
    <w:tmpl w:val="C3F416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36F003C"/>
    <w:multiLevelType w:val="multilevel"/>
    <w:tmpl w:val="2FBA676A"/>
    <w:numStyleLink w:val="SOPFormat"/>
  </w:abstractNum>
  <w:abstractNum w:abstractNumId="13" w15:restartNumberingAfterBreak="0">
    <w:nsid w:val="5EAD5C8E"/>
    <w:multiLevelType w:val="multilevel"/>
    <w:tmpl w:val="1768697C"/>
    <w:lvl w:ilvl="0">
      <w:start w:val="1"/>
      <w:numFmt w:val="bullet"/>
      <w:lvlText w:val="●"/>
      <w:lvlJc w:val="left"/>
      <w:pPr>
        <w:ind w:left="1080" w:firstLine="720"/>
      </w:pPr>
      <w:rPr>
        <w:rFonts w:ascii="Arial" w:eastAsia="Times New Roman" w:hAnsi="Arial"/>
      </w:rPr>
    </w:lvl>
    <w:lvl w:ilvl="1">
      <w:start w:val="1"/>
      <w:numFmt w:val="bullet"/>
      <w:lvlText w:val=""/>
      <w:lvlJc w:val="left"/>
      <w:pPr>
        <w:ind w:left="1800" w:firstLine="1440"/>
      </w:pPr>
      <w:rPr>
        <w:rFonts w:ascii="Wingdings" w:hAnsi="Wingdings" w:hint="default"/>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14" w15:restartNumberingAfterBreak="0">
    <w:nsid w:val="60463965"/>
    <w:multiLevelType w:val="multilevel"/>
    <w:tmpl w:val="4A4EE9BE"/>
    <w:lvl w:ilvl="0">
      <w:start w:val="1"/>
      <w:numFmt w:val="bullet"/>
      <w:lvlText w:val="●"/>
      <w:lvlJc w:val="left"/>
      <w:pPr>
        <w:ind w:left="1080" w:firstLine="720"/>
      </w:pPr>
      <w:rPr>
        <w:rFonts w:ascii="Arial" w:eastAsia="Times New Roman" w:hAnsi="Arial"/>
      </w:rPr>
    </w:lvl>
    <w:lvl w:ilvl="1">
      <w:start w:val="1"/>
      <w:numFmt w:val="bullet"/>
      <w:lvlText w:val=""/>
      <w:lvlJc w:val="left"/>
      <w:pPr>
        <w:ind w:left="1800" w:firstLine="1440"/>
      </w:pPr>
      <w:rPr>
        <w:rFonts w:ascii="Wingdings" w:hAnsi="Wingdings" w:hint="default"/>
      </w:rPr>
    </w:lvl>
    <w:lvl w:ilvl="2">
      <w:start w:val="1"/>
      <w:numFmt w:val="bullet"/>
      <w:lvlText w:val="▪"/>
      <w:lvlJc w:val="left"/>
      <w:pPr>
        <w:ind w:left="2520" w:firstLine="2160"/>
      </w:pPr>
      <w:rPr>
        <w:rFonts w:ascii="Arial" w:eastAsia="Times New Roman" w:hAnsi="Arial"/>
      </w:rPr>
    </w:lvl>
    <w:lvl w:ilvl="3">
      <w:start w:val="1"/>
      <w:numFmt w:val="bullet"/>
      <w:lvlText w:val="●"/>
      <w:lvlJc w:val="left"/>
      <w:pPr>
        <w:ind w:left="3240" w:firstLine="2880"/>
      </w:pPr>
      <w:rPr>
        <w:rFonts w:ascii="Arial" w:eastAsia="Times New Roman" w:hAnsi="Arial"/>
      </w:rPr>
    </w:lvl>
    <w:lvl w:ilvl="4">
      <w:start w:val="1"/>
      <w:numFmt w:val="bullet"/>
      <w:lvlText w:val="o"/>
      <w:lvlJc w:val="left"/>
      <w:pPr>
        <w:ind w:left="3960" w:firstLine="3600"/>
      </w:pPr>
      <w:rPr>
        <w:rFonts w:ascii="Arial" w:eastAsia="Times New Roman" w:hAnsi="Arial"/>
      </w:rPr>
    </w:lvl>
    <w:lvl w:ilvl="5">
      <w:start w:val="1"/>
      <w:numFmt w:val="bullet"/>
      <w:lvlText w:val="▪"/>
      <w:lvlJc w:val="left"/>
      <w:pPr>
        <w:ind w:left="4680" w:firstLine="4320"/>
      </w:pPr>
      <w:rPr>
        <w:rFonts w:ascii="Arial" w:eastAsia="Times New Roman" w:hAnsi="Arial"/>
      </w:rPr>
    </w:lvl>
    <w:lvl w:ilvl="6">
      <w:start w:val="1"/>
      <w:numFmt w:val="bullet"/>
      <w:lvlText w:val="●"/>
      <w:lvlJc w:val="left"/>
      <w:pPr>
        <w:ind w:left="5400" w:firstLine="5040"/>
      </w:pPr>
      <w:rPr>
        <w:rFonts w:ascii="Arial" w:eastAsia="Times New Roman" w:hAnsi="Arial"/>
      </w:rPr>
    </w:lvl>
    <w:lvl w:ilvl="7">
      <w:start w:val="1"/>
      <w:numFmt w:val="bullet"/>
      <w:lvlText w:val="o"/>
      <w:lvlJc w:val="left"/>
      <w:pPr>
        <w:ind w:left="6120" w:firstLine="5760"/>
      </w:pPr>
      <w:rPr>
        <w:rFonts w:ascii="Arial" w:eastAsia="Times New Roman" w:hAnsi="Arial"/>
      </w:rPr>
    </w:lvl>
    <w:lvl w:ilvl="8">
      <w:start w:val="1"/>
      <w:numFmt w:val="bullet"/>
      <w:lvlText w:val="▪"/>
      <w:lvlJc w:val="left"/>
      <w:pPr>
        <w:ind w:left="6840" w:firstLine="6480"/>
      </w:pPr>
      <w:rPr>
        <w:rFonts w:ascii="Arial" w:eastAsia="Times New Roman" w:hAnsi="Arial"/>
      </w:rPr>
    </w:lvl>
  </w:abstractNum>
  <w:abstractNum w:abstractNumId="15" w15:restartNumberingAfterBreak="0">
    <w:nsid w:val="6ED06367"/>
    <w:multiLevelType w:val="hybridMultilevel"/>
    <w:tmpl w:val="892E46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4611321">
    <w:abstractNumId w:val="0"/>
  </w:num>
  <w:num w:numId="2" w16cid:durableId="1616904879">
    <w:abstractNumId w:val="14"/>
  </w:num>
  <w:num w:numId="3" w16cid:durableId="601038488">
    <w:abstractNumId w:val="7"/>
  </w:num>
  <w:num w:numId="4" w16cid:durableId="111094819">
    <w:abstractNumId w:val="13"/>
  </w:num>
  <w:num w:numId="5" w16cid:durableId="2007829626">
    <w:abstractNumId w:val="5"/>
  </w:num>
  <w:num w:numId="6" w16cid:durableId="104813284">
    <w:abstractNumId w:val="10"/>
  </w:num>
  <w:num w:numId="7" w16cid:durableId="707687538">
    <w:abstractNumId w:val="6"/>
  </w:num>
  <w:num w:numId="8" w16cid:durableId="653602837">
    <w:abstractNumId w:val="12"/>
  </w:num>
  <w:num w:numId="9" w16cid:durableId="2016304237">
    <w:abstractNumId w:val="4"/>
  </w:num>
  <w:num w:numId="10" w16cid:durableId="1592474242">
    <w:abstractNumId w:val="15"/>
  </w:num>
  <w:num w:numId="11" w16cid:durableId="958680561">
    <w:abstractNumId w:val="8"/>
  </w:num>
  <w:num w:numId="12" w16cid:durableId="1201819093">
    <w:abstractNumId w:val="9"/>
  </w:num>
  <w:num w:numId="13" w16cid:durableId="884411243">
    <w:abstractNumId w:val="2"/>
  </w:num>
  <w:num w:numId="14" w16cid:durableId="1623344662">
    <w:abstractNumId w:val="1"/>
  </w:num>
  <w:num w:numId="15" w16cid:durableId="1302226625">
    <w:abstractNumId w:val="11"/>
  </w:num>
  <w:num w:numId="16" w16cid:durableId="23582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EE"/>
    <w:rsid w:val="000B3059"/>
    <w:rsid w:val="001059F7"/>
    <w:rsid w:val="00180670"/>
    <w:rsid w:val="00184EEA"/>
    <w:rsid w:val="001B38FB"/>
    <w:rsid w:val="001B7481"/>
    <w:rsid w:val="001F4F88"/>
    <w:rsid w:val="002471EE"/>
    <w:rsid w:val="00251658"/>
    <w:rsid w:val="002626E2"/>
    <w:rsid w:val="002833E5"/>
    <w:rsid w:val="002C50E0"/>
    <w:rsid w:val="002C761A"/>
    <w:rsid w:val="002D41DA"/>
    <w:rsid w:val="002F00FF"/>
    <w:rsid w:val="002F57A5"/>
    <w:rsid w:val="003534EF"/>
    <w:rsid w:val="003A2E97"/>
    <w:rsid w:val="003A3E36"/>
    <w:rsid w:val="003B01AF"/>
    <w:rsid w:val="00455A3B"/>
    <w:rsid w:val="00522C3B"/>
    <w:rsid w:val="00577AD6"/>
    <w:rsid w:val="005D50D9"/>
    <w:rsid w:val="00612A73"/>
    <w:rsid w:val="00637507"/>
    <w:rsid w:val="006515ED"/>
    <w:rsid w:val="00674642"/>
    <w:rsid w:val="00677F15"/>
    <w:rsid w:val="006E01B9"/>
    <w:rsid w:val="007478C2"/>
    <w:rsid w:val="00776DE0"/>
    <w:rsid w:val="007B0205"/>
    <w:rsid w:val="007B7914"/>
    <w:rsid w:val="007D2440"/>
    <w:rsid w:val="007F5BDC"/>
    <w:rsid w:val="00930C54"/>
    <w:rsid w:val="009328B6"/>
    <w:rsid w:val="009E3099"/>
    <w:rsid w:val="00A036ED"/>
    <w:rsid w:val="00A76D46"/>
    <w:rsid w:val="00A817E5"/>
    <w:rsid w:val="00AC29AF"/>
    <w:rsid w:val="00AC5192"/>
    <w:rsid w:val="00B443BA"/>
    <w:rsid w:val="00B50762"/>
    <w:rsid w:val="00C338A5"/>
    <w:rsid w:val="00C5585C"/>
    <w:rsid w:val="00CB07CA"/>
    <w:rsid w:val="00D5347C"/>
    <w:rsid w:val="00D551AB"/>
    <w:rsid w:val="00DB2F7B"/>
    <w:rsid w:val="00DD2877"/>
    <w:rsid w:val="00E174DA"/>
    <w:rsid w:val="00E66D0B"/>
    <w:rsid w:val="00E76896"/>
    <w:rsid w:val="00EE7415"/>
    <w:rsid w:val="00F00E8D"/>
    <w:rsid w:val="00F955D8"/>
    <w:rsid w:val="00FF415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612B"/>
  <w15:docId w15:val="{F6BE0CAA-7698-4B58-B7C4-52A9956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00FF"/>
    <w:rPr>
      <w:rFonts w:ascii="Calibri" w:eastAsia="Calibri" w:hAnsi="Calibri" w:cs="Calibri"/>
      <w:color w:val="000000"/>
      <w:lang w:val="en-US" w:eastAsia="zh-TW"/>
    </w:rPr>
  </w:style>
  <w:style w:type="paragraph" w:styleId="Heading1">
    <w:name w:val="heading 1"/>
    <w:basedOn w:val="Normal"/>
    <w:next w:val="Normal"/>
    <w:link w:val="Heading1Char"/>
    <w:rsid w:val="002471EE"/>
    <w:pPr>
      <w:keepNext/>
      <w:keepLines/>
      <w:numPr>
        <w:numId w:val="8"/>
      </w:numPr>
      <w:spacing w:before="120" w:after="120" w:line="240" w:lineRule="auto"/>
      <w:jc w:val="center"/>
      <w:outlineLvl w:val="0"/>
    </w:pPr>
    <w:rPr>
      <w:b/>
      <w:sz w:val="36"/>
      <w:szCs w:val="24"/>
    </w:rPr>
  </w:style>
  <w:style w:type="paragraph" w:styleId="Heading2">
    <w:name w:val="heading 2"/>
    <w:basedOn w:val="ListNumber"/>
    <w:next w:val="Normal"/>
    <w:link w:val="Heading2Char"/>
    <w:rsid w:val="002471EE"/>
    <w:pPr>
      <w:keepNext/>
      <w:keepLines/>
      <w:numPr>
        <w:ilvl w:val="1"/>
        <w:numId w:val="8"/>
      </w:numPr>
      <w:spacing w:before="360" w:after="80"/>
      <w:outlineLvl w:val="1"/>
    </w:pPr>
    <w:rPr>
      <w:b/>
      <w:sz w:val="24"/>
      <w:szCs w:val="36"/>
    </w:rPr>
  </w:style>
  <w:style w:type="paragraph" w:styleId="Heading3">
    <w:name w:val="heading 3"/>
    <w:basedOn w:val="Normal"/>
    <w:next w:val="Normal"/>
    <w:link w:val="Heading3Char"/>
    <w:rsid w:val="002471EE"/>
    <w:pPr>
      <w:keepNext/>
      <w:keepLines/>
      <w:numPr>
        <w:ilvl w:val="2"/>
        <w:numId w:val="8"/>
      </w:numPr>
      <w:spacing w:before="120" w:after="80"/>
      <w:ind w:left="1224" w:hanging="504"/>
      <w:contextualSpacing/>
      <w:outlineLvl w:val="2"/>
    </w:pPr>
    <w:rPr>
      <w:b/>
      <w:i/>
      <w:sz w:val="24"/>
      <w:szCs w:val="28"/>
    </w:rPr>
  </w:style>
  <w:style w:type="paragraph" w:styleId="Heading4">
    <w:name w:val="heading 4"/>
    <w:basedOn w:val="Normal"/>
    <w:next w:val="Normal"/>
    <w:link w:val="Heading4Char"/>
    <w:rsid w:val="002471EE"/>
    <w:pPr>
      <w:keepNext/>
      <w:keepLines/>
      <w:numPr>
        <w:ilvl w:val="3"/>
        <w:numId w:val="8"/>
      </w:numPr>
      <w:spacing w:before="200" w:after="0"/>
      <w:ind w:left="1800" w:hanging="720"/>
      <w:contextualSpacing/>
      <w:outlineLvl w:val="3"/>
    </w:pPr>
    <w:rPr>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1EE"/>
    <w:rPr>
      <w:rFonts w:ascii="Calibri" w:eastAsia="Calibri" w:hAnsi="Calibri" w:cs="Calibri"/>
      <w:b/>
      <w:color w:val="000000"/>
      <w:sz w:val="36"/>
      <w:szCs w:val="24"/>
      <w:lang w:val="en-US" w:eastAsia="zh-TW"/>
    </w:rPr>
  </w:style>
  <w:style w:type="character" w:customStyle="1" w:styleId="Heading2Char">
    <w:name w:val="Heading 2 Char"/>
    <w:basedOn w:val="DefaultParagraphFont"/>
    <w:link w:val="Heading2"/>
    <w:rsid w:val="002471EE"/>
    <w:rPr>
      <w:rFonts w:ascii="Calibri" w:eastAsia="Calibri" w:hAnsi="Calibri" w:cs="Calibri"/>
      <w:b/>
      <w:color w:val="000000"/>
      <w:sz w:val="24"/>
      <w:szCs w:val="36"/>
      <w:lang w:val="en-US" w:eastAsia="zh-TW"/>
    </w:rPr>
  </w:style>
  <w:style w:type="character" w:customStyle="1" w:styleId="Heading3Char">
    <w:name w:val="Heading 3 Char"/>
    <w:basedOn w:val="DefaultParagraphFont"/>
    <w:link w:val="Heading3"/>
    <w:rsid w:val="002471EE"/>
    <w:rPr>
      <w:rFonts w:ascii="Calibri" w:eastAsia="Calibri" w:hAnsi="Calibri" w:cs="Calibri"/>
      <w:b/>
      <w:i/>
      <w:color w:val="000000"/>
      <w:sz w:val="24"/>
      <w:szCs w:val="28"/>
      <w:lang w:val="en-US" w:eastAsia="zh-TW"/>
    </w:rPr>
  </w:style>
  <w:style w:type="character" w:customStyle="1" w:styleId="Heading4Char">
    <w:name w:val="Heading 4 Char"/>
    <w:basedOn w:val="DefaultParagraphFont"/>
    <w:link w:val="Heading4"/>
    <w:rsid w:val="002471EE"/>
    <w:rPr>
      <w:rFonts w:ascii="Calibri" w:eastAsia="Calibri" w:hAnsi="Calibri" w:cs="Calibri"/>
      <w:i/>
      <w:color w:val="000000"/>
      <w:sz w:val="24"/>
      <w:szCs w:val="24"/>
      <w:u w:val="single"/>
      <w:lang w:val="en-US" w:eastAsia="zh-TW"/>
    </w:rPr>
  </w:style>
  <w:style w:type="paragraph" w:styleId="Header">
    <w:name w:val="header"/>
    <w:basedOn w:val="Normal"/>
    <w:link w:val="HeaderChar"/>
    <w:uiPriority w:val="99"/>
    <w:unhideWhenUsed/>
    <w:rsid w:val="0024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EE"/>
    <w:rPr>
      <w:rFonts w:ascii="Calibri" w:eastAsia="Calibri" w:hAnsi="Calibri" w:cs="Calibri"/>
      <w:color w:val="000000"/>
      <w:lang w:val="en-US" w:eastAsia="zh-TW"/>
    </w:rPr>
  </w:style>
  <w:style w:type="paragraph" w:styleId="Footer">
    <w:name w:val="footer"/>
    <w:basedOn w:val="Normal"/>
    <w:link w:val="FooterChar"/>
    <w:uiPriority w:val="99"/>
    <w:unhideWhenUsed/>
    <w:rsid w:val="0024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EE"/>
    <w:rPr>
      <w:rFonts w:ascii="Calibri" w:eastAsia="Calibri" w:hAnsi="Calibri" w:cs="Calibri"/>
      <w:color w:val="000000"/>
      <w:lang w:val="en-US" w:eastAsia="zh-TW"/>
    </w:rPr>
  </w:style>
  <w:style w:type="paragraph" w:styleId="ListNumber">
    <w:name w:val="List Number"/>
    <w:basedOn w:val="Normal"/>
    <w:uiPriority w:val="99"/>
    <w:unhideWhenUsed/>
    <w:rsid w:val="002471EE"/>
    <w:pPr>
      <w:numPr>
        <w:numId w:val="1"/>
      </w:numPr>
      <w:contextualSpacing/>
    </w:pPr>
  </w:style>
  <w:style w:type="paragraph" w:styleId="ListParagraph">
    <w:name w:val="List Paragraph"/>
    <w:basedOn w:val="Normal"/>
    <w:uiPriority w:val="34"/>
    <w:qFormat/>
    <w:rsid w:val="002471EE"/>
    <w:pPr>
      <w:ind w:left="720"/>
      <w:contextualSpacing/>
    </w:pPr>
  </w:style>
  <w:style w:type="paragraph" w:styleId="CommentText">
    <w:name w:val="annotation text"/>
    <w:basedOn w:val="Normal"/>
    <w:link w:val="CommentTextChar"/>
    <w:uiPriority w:val="99"/>
    <w:unhideWhenUsed/>
    <w:rsid w:val="002471EE"/>
    <w:pPr>
      <w:spacing w:line="240" w:lineRule="auto"/>
    </w:pPr>
    <w:rPr>
      <w:sz w:val="20"/>
      <w:szCs w:val="20"/>
    </w:rPr>
  </w:style>
  <w:style w:type="character" w:customStyle="1" w:styleId="CommentTextChar">
    <w:name w:val="Comment Text Char"/>
    <w:basedOn w:val="DefaultParagraphFont"/>
    <w:link w:val="CommentText"/>
    <w:uiPriority w:val="99"/>
    <w:rsid w:val="002471EE"/>
    <w:rPr>
      <w:rFonts w:ascii="Calibri" w:eastAsia="Calibri" w:hAnsi="Calibri" w:cs="Calibri"/>
      <w:color w:val="000000"/>
      <w:sz w:val="20"/>
      <w:szCs w:val="20"/>
      <w:lang w:val="en-US" w:eastAsia="zh-TW"/>
    </w:rPr>
  </w:style>
  <w:style w:type="character" w:styleId="CommentReference">
    <w:name w:val="annotation reference"/>
    <w:basedOn w:val="DefaultParagraphFont"/>
    <w:uiPriority w:val="99"/>
    <w:semiHidden/>
    <w:unhideWhenUsed/>
    <w:rsid w:val="002471EE"/>
    <w:rPr>
      <w:sz w:val="16"/>
      <w:szCs w:val="16"/>
    </w:rPr>
  </w:style>
  <w:style w:type="numbering" w:customStyle="1" w:styleId="SOPFormat">
    <w:name w:val="SOP Format"/>
    <w:basedOn w:val="NoList"/>
    <w:uiPriority w:val="99"/>
    <w:rsid w:val="002471EE"/>
    <w:pPr>
      <w:numPr>
        <w:numId w:val="7"/>
      </w:numPr>
    </w:pPr>
  </w:style>
  <w:style w:type="paragraph" w:styleId="BalloonText">
    <w:name w:val="Balloon Text"/>
    <w:basedOn w:val="Normal"/>
    <w:link w:val="BalloonTextChar"/>
    <w:uiPriority w:val="99"/>
    <w:semiHidden/>
    <w:unhideWhenUsed/>
    <w:rsid w:val="00247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1EE"/>
    <w:rPr>
      <w:rFonts w:ascii="Tahoma" w:eastAsia="Calibri" w:hAnsi="Tahoma" w:cs="Tahoma"/>
      <w:color w:val="000000"/>
      <w:sz w:val="16"/>
      <w:szCs w:val="16"/>
      <w:lang w:val="en-US" w:eastAsia="zh-TW"/>
    </w:rPr>
  </w:style>
  <w:style w:type="table" w:styleId="TableGrid">
    <w:name w:val="Table Grid"/>
    <w:basedOn w:val="TableNormal"/>
    <w:uiPriority w:val="59"/>
    <w:rsid w:val="0024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17E5"/>
    <w:rPr>
      <w:b/>
      <w:bCs/>
    </w:rPr>
  </w:style>
  <w:style w:type="character" w:customStyle="1" w:styleId="CommentSubjectChar">
    <w:name w:val="Comment Subject Char"/>
    <w:basedOn w:val="CommentTextChar"/>
    <w:link w:val="CommentSubject"/>
    <w:uiPriority w:val="99"/>
    <w:semiHidden/>
    <w:rsid w:val="00A817E5"/>
    <w:rPr>
      <w:rFonts w:ascii="Calibri" w:eastAsia="Calibri" w:hAnsi="Calibri" w:cs="Calibri"/>
      <w:b/>
      <w:bCs/>
      <w:color w:val="000000"/>
      <w:sz w:val="20"/>
      <w:szCs w:val="20"/>
      <w:lang w:val="en-US" w:eastAsia="zh-TW"/>
    </w:rPr>
  </w:style>
  <w:style w:type="paragraph" w:styleId="EndnoteText">
    <w:name w:val="endnote text"/>
    <w:basedOn w:val="Normal"/>
    <w:link w:val="EndnoteTextChar"/>
    <w:uiPriority w:val="99"/>
    <w:semiHidden/>
    <w:unhideWhenUsed/>
    <w:rsid w:val="00612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A73"/>
    <w:rPr>
      <w:rFonts w:ascii="Calibri" w:eastAsia="Calibri" w:hAnsi="Calibri" w:cs="Calibri"/>
      <w:color w:val="000000"/>
      <w:sz w:val="20"/>
      <w:szCs w:val="20"/>
      <w:lang w:val="en-US" w:eastAsia="zh-TW"/>
    </w:rPr>
  </w:style>
  <w:style w:type="character" w:styleId="EndnoteReference">
    <w:name w:val="endnote reference"/>
    <w:basedOn w:val="DefaultParagraphFont"/>
    <w:uiPriority w:val="99"/>
    <w:semiHidden/>
    <w:unhideWhenUsed/>
    <w:rsid w:val="00612A73"/>
    <w:rPr>
      <w:vertAlign w:val="superscript"/>
    </w:rPr>
  </w:style>
  <w:style w:type="paragraph" w:styleId="FootnoteText">
    <w:name w:val="footnote text"/>
    <w:basedOn w:val="Normal"/>
    <w:link w:val="FootnoteTextChar"/>
    <w:uiPriority w:val="99"/>
    <w:semiHidden/>
    <w:unhideWhenUsed/>
    <w:rsid w:val="00612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A73"/>
    <w:rPr>
      <w:rFonts w:ascii="Calibri" w:eastAsia="Calibri" w:hAnsi="Calibri" w:cs="Calibri"/>
      <w:color w:val="000000"/>
      <w:sz w:val="20"/>
      <w:szCs w:val="20"/>
      <w:lang w:val="en-US" w:eastAsia="zh-TW"/>
    </w:rPr>
  </w:style>
  <w:style w:type="character" w:styleId="FootnoteReference">
    <w:name w:val="footnote reference"/>
    <w:basedOn w:val="DefaultParagraphFont"/>
    <w:uiPriority w:val="99"/>
    <w:semiHidden/>
    <w:unhideWhenUsed/>
    <w:rsid w:val="00612A73"/>
    <w:rPr>
      <w:vertAlign w:val="superscript"/>
    </w:rPr>
  </w:style>
  <w:style w:type="character" w:styleId="Hyperlink">
    <w:name w:val="Hyperlink"/>
    <w:basedOn w:val="DefaultParagraphFont"/>
    <w:uiPriority w:val="99"/>
    <w:unhideWhenUsed/>
    <w:rsid w:val="00612A73"/>
    <w:rPr>
      <w:color w:val="0000FF" w:themeColor="hyperlink"/>
      <w:u w:val="single"/>
    </w:rPr>
  </w:style>
  <w:style w:type="paragraph" w:styleId="Revision">
    <w:name w:val="Revision"/>
    <w:hidden/>
    <w:uiPriority w:val="99"/>
    <w:semiHidden/>
    <w:rsid w:val="007F5BDC"/>
    <w:pPr>
      <w:spacing w:after="0" w:line="240" w:lineRule="auto"/>
    </w:pPr>
    <w:rPr>
      <w:rFonts w:ascii="Calibri" w:eastAsia="Calibri" w:hAnsi="Calibri" w:cs="Calibri"/>
      <w:color w:val="00000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455157">
      <w:bodyDiv w:val="1"/>
      <w:marLeft w:val="0"/>
      <w:marRight w:val="0"/>
      <w:marTop w:val="0"/>
      <w:marBottom w:val="0"/>
      <w:divBdr>
        <w:top w:val="none" w:sz="0" w:space="0" w:color="auto"/>
        <w:left w:val="none" w:sz="0" w:space="0" w:color="auto"/>
        <w:bottom w:val="none" w:sz="0" w:space="0" w:color="auto"/>
        <w:right w:val="none" w:sz="0" w:space="0" w:color="auto"/>
      </w:divBdr>
    </w:div>
    <w:div w:id="17434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o.int/tb/publications/defin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d1dc8e9d-c2d7-4f1e-a8b8-6d152e0fdc8f">
      <UserInfo>
        <DisplayName/>
        <AccountId xsi:nil="true"/>
        <AccountType/>
      </UserInfo>
    </SharedWithUsers>
    <lcf76f155ced4ddcb4097134ff3c332f xmlns="57d60e0b-bbcc-4e8c-ae17-1bc07bf7b2a6">
      <Terms xmlns="http://schemas.microsoft.com/office/infopath/2007/PartnerControls"/>
    </lcf76f155ced4ddcb4097134ff3c332f>
    <_Flow_SignoffStatus xmlns="57d60e0b-bbcc-4e8c-ae17-1bc07bf7b2a6" xsi:nil="true"/>
    <MediaLengthInSeconds xmlns="57d60e0b-bbcc-4e8c-ae17-1bc07bf7b2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F4109-AFF9-4D04-A919-A010AF92CB41}">
  <ds:schemaRefs>
    <ds:schemaRef ds:uri="http://schemas.microsoft.com/office/2006/metadata/properties"/>
    <ds:schemaRef ds:uri="http://schemas.microsoft.com/office/infopath/2007/PartnerControls"/>
    <ds:schemaRef ds:uri="20c1abfa-485b-41c9-a329-38772ca1fd48"/>
    <ds:schemaRef ds:uri="d1dc8e9d-c2d7-4f1e-a8b8-6d152e0fdc8f"/>
    <ds:schemaRef ds:uri="57d60e0b-bbcc-4e8c-ae17-1bc07bf7b2a6"/>
  </ds:schemaRefs>
</ds:datastoreItem>
</file>

<file path=customXml/itemProps2.xml><?xml version="1.0" encoding="utf-8"?>
<ds:datastoreItem xmlns:ds="http://schemas.openxmlformats.org/officeDocument/2006/customXml" ds:itemID="{1320E615-0070-492C-8E63-1A11D5DFE2D6}">
  <ds:schemaRefs>
    <ds:schemaRef ds:uri="http://schemas.openxmlformats.org/officeDocument/2006/bibliography"/>
  </ds:schemaRefs>
</ds:datastoreItem>
</file>

<file path=customXml/itemProps3.xml><?xml version="1.0" encoding="utf-8"?>
<ds:datastoreItem xmlns:ds="http://schemas.openxmlformats.org/officeDocument/2006/customXml" ds:itemID="{5738E45B-38FF-45ED-8818-06B770758AFE}"/>
</file>

<file path=customXml/itemProps4.xml><?xml version="1.0" encoding="utf-8"?>
<ds:datastoreItem xmlns:ds="http://schemas.openxmlformats.org/officeDocument/2006/customXml" ds:itemID="{EC76EE63-AFC6-41F8-8F96-1AAC84FBC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1868</Words>
  <Characters>10654</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 - Paris</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PICHON</dc:creator>
  <cp:keywords/>
  <cp:lastModifiedBy>Marhaba Chaudhry</cp:lastModifiedBy>
  <cp:revision>19</cp:revision>
  <dcterms:created xsi:type="dcterms:W3CDTF">2021-07-14T00:07:00Z</dcterms:created>
  <dcterms:modified xsi:type="dcterms:W3CDTF">2024-09-02T14:25:00Z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
  </property>
  <property fmtid="{D5CDD505-2E9C-101B-9397-08002B2CF9AE}" pid="3" name="ContentTypeId">
    <vt:lpwstr>0x0101008A725E7E39776844B9FB9FC2FCA9A30F</vt:lpwstr>
  </property>
  <property fmtid="{D5CDD505-2E9C-101B-9397-08002B2CF9AE}" pid="4" name="endTBStructureCountries">
    <vt:lpwstr/>
  </property>
  <property fmtid="{D5CDD505-2E9C-101B-9397-08002B2CF9AE}" pid="5" name="Order">
    <vt:r8>185700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endTBClinicalTrial">
    <vt:lpwstr>endTB</vt:lpwstr>
  </property>
  <property fmtid="{D5CDD505-2E9C-101B-9397-08002B2CF9AE}" pid="12" name="endTBStatusDocument">
    <vt:lpwstr>Final</vt:lpwstr>
  </property>
  <property fmtid="{D5CDD505-2E9C-101B-9397-08002B2CF9AE}" pid="13" name="TriggerFlowInfo">
    <vt:lpwstr/>
  </property>
  <property fmtid="{D5CDD505-2E9C-101B-9397-08002B2CF9AE}" pid="14" name="MediaServiceImageTags">
    <vt:lpwstr/>
  </property>
</Properties>
</file>