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8B4ED" w14:textId="77777777" w:rsidR="005D2ABB" w:rsidRDefault="005D2ABB" w:rsidP="00F277D1">
      <w:pPr>
        <w:pStyle w:val="Heading1"/>
        <w:numPr>
          <w:ilvl w:val="0"/>
          <w:numId w:val="0"/>
        </w:numPr>
        <w:spacing w:before="0" w:after="0"/>
        <w:ind w:left="357"/>
        <w:jc w:val="center"/>
      </w:pPr>
    </w:p>
    <w:p w14:paraId="59066FFA" w14:textId="10CCDB90" w:rsidR="00F277D1" w:rsidRDefault="00034864" w:rsidP="00F277D1">
      <w:pPr>
        <w:pStyle w:val="Heading1"/>
        <w:numPr>
          <w:ilvl w:val="0"/>
          <w:numId w:val="0"/>
        </w:numPr>
        <w:spacing w:before="0" w:after="0"/>
        <w:ind w:left="357"/>
        <w:jc w:val="center"/>
      </w:pPr>
      <w:bookmarkStart w:id="0" w:name="_Toc166238128"/>
      <w:r w:rsidRPr="00B14529">
        <w:t>S</w:t>
      </w:r>
      <w:r w:rsidR="00F277D1">
        <w:t>tandard Operating Procedure for</w:t>
      </w:r>
      <w:bookmarkEnd w:id="0"/>
      <w:r w:rsidR="00931588">
        <w:t xml:space="preserve"> </w:t>
      </w:r>
    </w:p>
    <w:p w14:paraId="38335C52" w14:textId="212D5AC4" w:rsidR="00034864" w:rsidRPr="00B14529" w:rsidRDefault="009D1974" w:rsidP="00F277D1">
      <w:pPr>
        <w:pStyle w:val="Heading1"/>
        <w:numPr>
          <w:ilvl w:val="0"/>
          <w:numId w:val="0"/>
        </w:numPr>
        <w:spacing w:before="0" w:after="0"/>
        <w:ind w:left="357"/>
        <w:jc w:val="center"/>
      </w:pPr>
      <w:bookmarkStart w:id="1" w:name="_Toc166238129"/>
      <w:r>
        <w:t>Treatment and Study Adherence Counseling and Support, including Directly Observed Therapy</w:t>
      </w:r>
      <w:r w:rsidR="00A92C57">
        <w:t xml:space="preserve"> and Handling of Missed Doses</w:t>
      </w:r>
      <w:bookmarkEnd w:id="1"/>
    </w:p>
    <w:p w14:paraId="5F5B9247" w14:textId="02B77DE4" w:rsidR="005E177E" w:rsidRDefault="005E177E" w:rsidP="004D598D">
      <w:pPr>
        <w:spacing w:after="0"/>
        <w:jc w:val="both"/>
        <w:rPr>
          <w:rFonts w:asciiTheme="minorHAnsi" w:hAnsiTheme="minorHAnsi"/>
          <w:b/>
          <w:sz w:val="32"/>
          <w:szCs w:val="32"/>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7"/>
        <w:gridCol w:w="3473"/>
      </w:tblGrid>
      <w:tr w:rsidR="00970C2E" w14:paraId="48A72C03" w14:textId="77777777" w:rsidTr="00A814B8">
        <w:tc>
          <w:tcPr>
            <w:tcW w:w="6067" w:type="dxa"/>
            <w:shd w:val="clear" w:color="auto" w:fill="F2F2F2"/>
          </w:tcPr>
          <w:p w14:paraId="57079352" w14:textId="77777777" w:rsidR="00970C2E" w:rsidRDefault="00970C2E" w:rsidP="005D2ABB">
            <w:pPr>
              <w:spacing w:after="0"/>
              <w:jc w:val="both"/>
            </w:pPr>
            <w:r>
              <w:rPr>
                <w:b/>
                <w:sz w:val="24"/>
                <w:szCs w:val="24"/>
              </w:rPr>
              <w:t>SOP Number</w:t>
            </w:r>
            <w:r>
              <w:rPr>
                <w:sz w:val="24"/>
                <w:szCs w:val="24"/>
              </w:rPr>
              <w:t>: SP-017-CT</w:t>
            </w:r>
          </w:p>
        </w:tc>
        <w:tc>
          <w:tcPr>
            <w:tcW w:w="3473" w:type="dxa"/>
            <w:shd w:val="clear" w:color="auto" w:fill="F2F2F2"/>
          </w:tcPr>
          <w:p w14:paraId="58AB8F59" w14:textId="1A9B84C6" w:rsidR="00970C2E" w:rsidRDefault="00970C2E" w:rsidP="00AA50FD">
            <w:pPr>
              <w:spacing w:after="0"/>
              <w:jc w:val="both"/>
            </w:pPr>
            <w:r>
              <w:rPr>
                <w:b/>
                <w:sz w:val="24"/>
                <w:szCs w:val="24"/>
              </w:rPr>
              <w:t>Effective Date</w:t>
            </w:r>
            <w:r>
              <w:rPr>
                <w:sz w:val="24"/>
                <w:szCs w:val="24"/>
              </w:rPr>
              <w:t xml:space="preserve">: </w:t>
            </w:r>
          </w:p>
        </w:tc>
      </w:tr>
      <w:tr w:rsidR="00970C2E" w14:paraId="344F7585" w14:textId="77777777" w:rsidTr="00970C2E">
        <w:tc>
          <w:tcPr>
            <w:tcW w:w="9540" w:type="dxa"/>
            <w:gridSpan w:val="2"/>
            <w:shd w:val="clear" w:color="auto" w:fill="F2F2F2"/>
          </w:tcPr>
          <w:p w14:paraId="50505165" w14:textId="3B651678" w:rsidR="00970C2E" w:rsidRDefault="00970C2E" w:rsidP="00A814B8">
            <w:pPr>
              <w:spacing w:after="0"/>
              <w:jc w:val="both"/>
            </w:pPr>
            <w:r>
              <w:rPr>
                <w:b/>
                <w:sz w:val="24"/>
                <w:szCs w:val="24"/>
              </w:rPr>
              <w:t>Version Number and Authorization Date</w:t>
            </w:r>
            <w:r>
              <w:rPr>
                <w:sz w:val="24"/>
                <w:szCs w:val="24"/>
              </w:rPr>
              <w:t xml:space="preserve">: </w:t>
            </w:r>
            <w:r w:rsidR="0048281F">
              <w:rPr>
                <w:sz w:val="24"/>
                <w:szCs w:val="24"/>
              </w:rPr>
              <w:t>3.0</w:t>
            </w:r>
            <w:r>
              <w:rPr>
                <w:sz w:val="24"/>
                <w:szCs w:val="24"/>
              </w:rPr>
              <w:t xml:space="preserve">, </w:t>
            </w:r>
            <w:r w:rsidR="00A814B8">
              <w:rPr>
                <w:sz w:val="24"/>
                <w:szCs w:val="24"/>
              </w:rPr>
              <w:t>19-Dec</w:t>
            </w:r>
            <w:r w:rsidR="0048281F">
              <w:rPr>
                <w:sz w:val="24"/>
                <w:szCs w:val="24"/>
              </w:rPr>
              <w:t>-2019</w:t>
            </w:r>
          </w:p>
        </w:tc>
      </w:tr>
    </w:tbl>
    <w:p w14:paraId="675C4362" w14:textId="77777777" w:rsidR="00970C2E" w:rsidRPr="003E0E33" w:rsidRDefault="00970C2E" w:rsidP="005D2ABB">
      <w:pPr>
        <w:spacing w:after="0"/>
        <w:jc w:val="both"/>
        <w:rPr>
          <w:rFonts w:asciiTheme="minorHAnsi" w:hAnsiTheme="minorHAnsi"/>
          <w:b/>
          <w:sz w:val="16"/>
          <w:szCs w:val="32"/>
        </w:rPr>
      </w:pPr>
    </w:p>
    <w:sdt>
      <w:sdtPr>
        <w:rPr>
          <w:rFonts w:ascii="Calibri" w:eastAsia="Calibri" w:hAnsi="Calibri" w:cs="Times New Roman"/>
          <w:color w:val="auto"/>
          <w:sz w:val="22"/>
          <w:szCs w:val="22"/>
        </w:rPr>
        <w:id w:val="1280607056"/>
        <w:docPartObj>
          <w:docPartGallery w:val="Table of Contents"/>
          <w:docPartUnique/>
        </w:docPartObj>
      </w:sdtPr>
      <w:sdtEndPr>
        <w:rPr>
          <w:b/>
          <w:bCs/>
          <w:noProof/>
        </w:rPr>
      </w:sdtEndPr>
      <w:sdtContent>
        <w:p w14:paraId="29F53CCC" w14:textId="1E0D59AC" w:rsidR="00F21149" w:rsidRDefault="00F21149" w:rsidP="00F21149">
          <w:pPr>
            <w:pStyle w:val="TOCHeading"/>
          </w:pPr>
          <w:r w:rsidRPr="00F21149">
            <w:rPr>
              <w:rFonts w:asciiTheme="minorHAnsi" w:hAnsiTheme="minorHAnsi" w:cstheme="minorHAnsi"/>
              <w:b/>
              <w:bCs/>
              <w:color w:val="auto"/>
              <w:sz w:val="24"/>
              <w:szCs w:val="24"/>
            </w:rPr>
            <w:t>Table of contents</w:t>
          </w:r>
          <w:r>
            <w:fldChar w:fldCharType="begin"/>
          </w:r>
          <w:r>
            <w:instrText xml:space="preserve"> TOC \o "1-3" \h \z \u </w:instrText>
          </w:r>
          <w:r>
            <w:fldChar w:fldCharType="separate"/>
          </w:r>
        </w:p>
        <w:p w14:paraId="402A19C1" w14:textId="44C3F0E1" w:rsidR="00F21149" w:rsidRDefault="00C66FAF">
          <w:pPr>
            <w:pStyle w:val="TOC2"/>
            <w:tabs>
              <w:tab w:val="left" w:pos="660"/>
              <w:tab w:val="right" w:leader="dot" w:pos="9487"/>
            </w:tabs>
            <w:rPr>
              <w:noProof/>
            </w:rPr>
          </w:pPr>
          <w:hyperlink w:anchor="_Toc166238132" w:history="1">
            <w:r w:rsidR="00F21149" w:rsidRPr="005036A6">
              <w:rPr>
                <w:rStyle w:val="Hyperlink"/>
                <w:noProof/>
              </w:rPr>
              <w:t>1.</w:t>
            </w:r>
            <w:r w:rsidR="00F21149">
              <w:rPr>
                <w:noProof/>
              </w:rPr>
              <w:tab/>
            </w:r>
            <w:r w:rsidR="00F21149" w:rsidRPr="005036A6">
              <w:rPr>
                <w:rStyle w:val="Hyperlink"/>
                <w:noProof/>
              </w:rPr>
              <w:t>PURPOSE</w:t>
            </w:r>
            <w:r w:rsidR="00F21149">
              <w:rPr>
                <w:noProof/>
                <w:webHidden/>
              </w:rPr>
              <w:tab/>
            </w:r>
            <w:r w:rsidR="00F21149">
              <w:rPr>
                <w:noProof/>
                <w:webHidden/>
              </w:rPr>
              <w:fldChar w:fldCharType="begin"/>
            </w:r>
            <w:r w:rsidR="00F21149">
              <w:rPr>
                <w:noProof/>
                <w:webHidden/>
              </w:rPr>
              <w:instrText xml:space="preserve"> PAGEREF _Toc166238132 \h </w:instrText>
            </w:r>
            <w:r w:rsidR="00F21149">
              <w:rPr>
                <w:noProof/>
                <w:webHidden/>
              </w:rPr>
            </w:r>
            <w:r w:rsidR="00F21149">
              <w:rPr>
                <w:noProof/>
                <w:webHidden/>
              </w:rPr>
              <w:fldChar w:fldCharType="separate"/>
            </w:r>
            <w:r w:rsidR="00F21149">
              <w:rPr>
                <w:noProof/>
                <w:webHidden/>
              </w:rPr>
              <w:t>3</w:t>
            </w:r>
            <w:r w:rsidR="00F21149">
              <w:rPr>
                <w:noProof/>
                <w:webHidden/>
              </w:rPr>
              <w:fldChar w:fldCharType="end"/>
            </w:r>
          </w:hyperlink>
        </w:p>
        <w:p w14:paraId="2A2ACB12" w14:textId="51345D29" w:rsidR="00F21149" w:rsidRDefault="00C66FAF">
          <w:pPr>
            <w:pStyle w:val="TOC2"/>
            <w:tabs>
              <w:tab w:val="left" w:pos="660"/>
              <w:tab w:val="right" w:leader="dot" w:pos="9487"/>
            </w:tabs>
            <w:rPr>
              <w:noProof/>
            </w:rPr>
          </w:pPr>
          <w:hyperlink w:anchor="_Toc166238133" w:history="1">
            <w:r w:rsidR="00F21149" w:rsidRPr="005036A6">
              <w:rPr>
                <w:rStyle w:val="Hyperlink"/>
                <w:noProof/>
              </w:rPr>
              <w:t>2.</w:t>
            </w:r>
            <w:r w:rsidR="00F21149">
              <w:rPr>
                <w:noProof/>
              </w:rPr>
              <w:tab/>
            </w:r>
            <w:r w:rsidR="00F21149" w:rsidRPr="005036A6">
              <w:rPr>
                <w:rStyle w:val="Hyperlink"/>
                <w:noProof/>
              </w:rPr>
              <w:t>SCOPE</w:t>
            </w:r>
            <w:r w:rsidR="00F21149">
              <w:rPr>
                <w:noProof/>
                <w:webHidden/>
              </w:rPr>
              <w:tab/>
            </w:r>
            <w:r w:rsidR="00F21149">
              <w:rPr>
                <w:noProof/>
                <w:webHidden/>
              </w:rPr>
              <w:fldChar w:fldCharType="begin"/>
            </w:r>
            <w:r w:rsidR="00F21149">
              <w:rPr>
                <w:noProof/>
                <w:webHidden/>
              </w:rPr>
              <w:instrText xml:space="preserve"> PAGEREF _Toc166238133 \h </w:instrText>
            </w:r>
            <w:r w:rsidR="00F21149">
              <w:rPr>
                <w:noProof/>
                <w:webHidden/>
              </w:rPr>
            </w:r>
            <w:r w:rsidR="00F21149">
              <w:rPr>
                <w:noProof/>
                <w:webHidden/>
              </w:rPr>
              <w:fldChar w:fldCharType="separate"/>
            </w:r>
            <w:r w:rsidR="00F21149">
              <w:rPr>
                <w:noProof/>
                <w:webHidden/>
              </w:rPr>
              <w:t>3</w:t>
            </w:r>
            <w:r w:rsidR="00F21149">
              <w:rPr>
                <w:noProof/>
                <w:webHidden/>
              </w:rPr>
              <w:fldChar w:fldCharType="end"/>
            </w:r>
          </w:hyperlink>
        </w:p>
        <w:p w14:paraId="46BD2FBB" w14:textId="483711D6" w:rsidR="00F21149" w:rsidRDefault="00C66FAF">
          <w:pPr>
            <w:pStyle w:val="TOC2"/>
            <w:tabs>
              <w:tab w:val="left" w:pos="660"/>
              <w:tab w:val="right" w:leader="dot" w:pos="9487"/>
            </w:tabs>
            <w:rPr>
              <w:noProof/>
            </w:rPr>
          </w:pPr>
          <w:hyperlink w:anchor="_Toc166238134" w:history="1">
            <w:r w:rsidR="00F21149" w:rsidRPr="005036A6">
              <w:rPr>
                <w:rStyle w:val="Hyperlink"/>
                <w:noProof/>
              </w:rPr>
              <w:t>3.</w:t>
            </w:r>
            <w:r w:rsidR="00F21149">
              <w:rPr>
                <w:noProof/>
              </w:rPr>
              <w:tab/>
            </w:r>
            <w:r w:rsidR="00F21149" w:rsidRPr="005036A6">
              <w:rPr>
                <w:rStyle w:val="Hyperlink"/>
                <w:noProof/>
              </w:rPr>
              <w:t>RESPONSIBLE FUNCTIONS</w:t>
            </w:r>
            <w:r w:rsidR="00F21149">
              <w:rPr>
                <w:noProof/>
                <w:webHidden/>
              </w:rPr>
              <w:tab/>
            </w:r>
            <w:r w:rsidR="00F21149">
              <w:rPr>
                <w:noProof/>
                <w:webHidden/>
              </w:rPr>
              <w:fldChar w:fldCharType="begin"/>
            </w:r>
            <w:r w:rsidR="00F21149">
              <w:rPr>
                <w:noProof/>
                <w:webHidden/>
              </w:rPr>
              <w:instrText xml:space="preserve"> PAGEREF _Toc166238134 \h </w:instrText>
            </w:r>
            <w:r w:rsidR="00F21149">
              <w:rPr>
                <w:noProof/>
                <w:webHidden/>
              </w:rPr>
            </w:r>
            <w:r w:rsidR="00F21149">
              <w:rPr>
                <w:noProof/>
                <w:webHidden/>
              </w:rPr>
              <w:fldChar w:fldCharType="separate"/>
            </w:r>
            <w:r w:rsidR="00F21149">
              <w:rPr>
                <w:noProof/>
                <w:webHidden/>
              </w:rPr>
              <w:t>3</w:t>
            </w:r>
            <w:r w:rsidR="00F21149">
              <w:rPr>
                <w:noProof/>
                <w:webHidden/>
              </w:rPr>
              <w:fldChar w:fldCharType="end"/>
            </w:r>
          </w:hyperlink>
        </w:p>
        <w:p w14:paraId="62DCE9A1" w14:textId="0A90AD88" w:rsidR="00F21149" w:rsidRDefault="00C66FAF">
          <w:pPr>
            <w:pStyle w:val="TOC2"/>
            <w:tabs>
              <w:tab w:val="left" w:pos="660"/>
              <w:tab w:val="right" w:leader="dot" w:pos="9487"/>
            </w:tabs>
            <w:rPr>
              <w:noProof/>
            </w:rPr>
          </w:pPr>
          <w:hyperlink w:anchor="_Toc166238135" w:history="1">
            <w:r w:rsidR="00F21149" w:rsidRPr="005036A6">
              <w:rPr>
                <w:rStyle w:val="Hyperlink"/>
                <w:noProof/>
              </w:rPr>
              <w:t>4.</w:t>
            </w:r>
            <w:r w:rsidR="00F21149">
              <w:rPr>
                <w:noProof/>
              </w:rPr>
              <w:tab/>
            </w:r>
            <w:r w:rsidR="00F21149" w:rsidRPr="005036A6">
              <w:rPr>
                <w:rStyle w:val="Hyperlink"/>
                <w:noProof/>
              </w:rPr>
              <w:t>DEFINITIONS and ABBREVIATIONS</w:t>
            </w:r>
            <w:r w:rsidR="00F21149">
              <w:rPr>
                <w:noProof/>
                <w:webHidden/>
              </w:rPr>
              <w:tab/>
            </w:r>
            <w:r w:rsidR="00F21149">
              <w:rPr>
                <w:noProof/>
                <w:webHidden/>
              </w:rPr>
              <w:fldChar w:fldCharType="begin"/>
            </w:r>
            <w:r w:rsidR="00F21149">
              <w:rPr>
                <w:noProof/>
                <w:webHidden/>
              </w:rPr>
              <w:instrText xml:space="preserve"> PAGEREF _Toc166238135 \h </w:instrText>
            </w:r>
            <w:r w:rsidR="00F21149">
              <w:rPr>
                <w:noProof/>
                <w:webHidden/>
              </w:rPr>
            </w:r>
            <w:r w:rsidR="00F21149">
              <w:rPr>
                <w:noProof/>
                <w:webHidden/>
              </w:rPr>
              <w:fldChar w:fldCharType="separate"/>
            </w:r>
            <w:r w:rsidR="00F21149">
              <w:rPr>
                <w:noProof/>
                <w:webHidden/>
              </w:rPr>
              <w:t>3</w:t>
            </w:r>
            <w:r w:rsidR="00F21149">
              <w:rPr>
                <w:noProof/>
                <w:webHidden/>
              </w:rPr>
              <w:fldChar w:fldCharType="end"/>
            </w:r>
          </w:hyperlink>
        </w:p>
        <w:p w14:paraId="4FFBB761" w14:textId="6D4711BC" w:rsidR="00F21149" w:rsidRDefault="00C66FAF">
          <w:pPr>
            <w:pStyle w:val="TOC2"/>
            <w:tabs>
              <w:tab w:val="left" w:pos="660"/>
              <w:tab w:val="right" w:leader="dot" w:pos="9487"/>
            </w:tabs>
            <w:rPr>
              <w:noProof/>
            </w:rPr>
          </w:pPr>
          <w:hyperlink w:anchor="_Toc166238136" w:history="1">
            <w:r w:rsidR="00F21149" w:rsidRPr="005036A6">
              <w:rPr>
                <w:rStyle w:val="Hyperlink"/>
                <w:noProof/>
              </w:rPr>
              <w:t>5.</w:t>
            </w:r>
            <w:r w:rsidR="00F21149">
              <w:rPr>
                <w:noProof/>
              </w:rPr>
              <w:tab/>
            </w:r>
            <w:r w:rsidR="00F21149" w:rsidRPr="005036A6">
              <w:rPr>
                <w:rStyle w:val="Hyperlink"/>
                <w:noProof/>
              </w:rPr>
              <w:t>PROCEDURE</w:t>
            </w:r>
            <w:r w:rsidR="00F21149">
              <w:rPr>
                <w:noProof/>
                <w:webHidden/>
              </w:rPr>
              <w:tab/>
            </w:r>
            <w:r w:rsidR="00F21149">
              <w:rPr>
                <w:noProof/>
                <w:webHidden/>
              </w:rPr>
              <w:fldChar w:fldCharType="begin"/>
            </w:r>
            <w:r w:rsidR="00F21149">
              <w:rPr>
                <w:noProof/>
                <w:webHidden/>
              </w:rPr>
              <w:instrText xml:space="preserve"> PAGEREF _Toc166238136 \h </w:instrText>
            </w:r>
            <w:r w:rsidR="00F21149">
              <w:rPr>
                <w:noProof/>
                <w:webHidden/>
              </w:rPr>
            </w:r>
            <w:r w:rsidR="00F21149">
              <w:rPr>
                <w:noProof/>
                <w:webHidden/>
              </w:rPr>
              <w:fldChar w:fldCharType="separate"/>
            </w:r>
            <w:r w:rsidR="00F21149">
              <w:rPr>
                <w:noProof/>
                <w:webHidden/>
              </w:rPr>
              <w:t>4</w:t>
            </w:r>
            <w:r w:rsidR="00F21149">
              <w:rPr>
                <w:noProof/>
                <w:webHidden/>
              </w:rPr>
              <w:fldChar w:fldCharType="end"/>
            </w:r>
          </w:hyperlink>
        </w:p>
        <w:p w14:paraId="06B6E1AD" w14:textId="57DBEAD2" w:rsidR="00F21149" w:rsidRDefault="00C66FAF">
          <w:pPr>
            <w:pStyle w:val="TOC3"/>
            <w:tabs>
              <w:tab w:val="left" w:pos="1100"/>
              <w:tab w:val="right" w:leader="dot" w:pos="9487"/>
            </w:tabs>
            <w:rPr>
              <w:noProof/>
            </w:rPr>
          </w:pPr>
          <w:hyperlink w:anchor="_Toc166238137" w:history="1">
            <w:r w:rsidR="00F21149" w:rsidRPr="005036A6">
              <w:rPr>
                <w:rStyle w:val="Hyperlink"/>
                <w:noProof/>
              </w:rPr>
              <w:t>5.1</w:t>
            </w:r>
            <w:r w:rsidR="00F21149">
              <w:rPr>
                <w:noProof/>
              </w:rPr>
              <w:tab/>
            </w:r>
            <w:r w:rsidR="00F21149" w:rsidRPr="005036A6">
              <w:rPr>
                <w:rStyle w:val="Hyperlink"/>
                <w:noProof/>
              </w:rPr>
              <w:t>Materials</w:t>
            </w:r>
            <w:r w:rsidR="00F21149">
              <w:rPr>
                <w:noProof/>
                <w:webHidden/>
              </w:rPr>
              <w:tab/>
            </w:r>
            <w:r w:rsidR="00F21149">
              <w:rPr>
                <w:noProof/>
                <w:webHidden/>
              </w:rPr>
              <w:fldChar w:fldCharType="begin"/>
            </w:r>
            <w:r w:rsidR="00F21149">
              <w:rPr>
                <w:noProof/>
                <w:webHidden/>
              </w:rPr>
              <w:instrText xml:space="preserve"> PAGEREF _Toc166238137 \h </w:instrText>
            </w:r>
            <w:r w:rsidR="00F21149">
              <w:rPr>
                <w:noProof/>
                <w:webHidden/>
              </w:rPr>
            </w:r>
            <w:r w:rsidR="00F21149">
              <w:rPr>
                <w:noProof/>
                <w:webHidden/>
              </w:rPr>
              <w:fldChar w:fldCharType="separate"/>
            </w:r>
            <w:r w:rsidR="00F21149">
              <w:rPr>
                <w:noProof/>
                <w:webHidden/>
              </w:rPr>
              <w:t>4</w:t>
            </w:r>
            <w:r w:rsidR="00F21149">
              <w:rPr>
                <w:noProof/>
                <w:webHidden/>
              </w:rPr>
              <w:fldChar w:fldCharType="end"/>
            </w:r>
          </w:hyperlink>
        </w:p>
        <w:p w14:paraId="30FC70BB" w14:textId="0447A770" w:rsidR="00F21149" w:rsidRDefault="00C66FAF">
          <w:pPr>
            <w:pStyle w:val="TOC3"/>
            <w:tabs>
              <w:tab w:val="left" w:pos="1100"/>
              <w:tab w:val="right" w:leader="dot" w:pos="9487"/>
            </w:tabs>
            <w:rPr>
              <w:noProof/>
            </w:rPr>
          </w:pPr>
          <w:hyperlink w:anchor="_Toc166238138" w:history="1">
            <w:r w:rsidR="00F21149" w:rsidRPr="005036A6">
              <w:rPr>
                <w:rStyle w:val="Hyperlink"/>
                <w:noProof/>
              </w:rPr>
              <w:t>5.2</w:t>
            </w:r>
            <w:r w:rsidR="00F21149">
              <w:rPr>
                <w:noProof/>
              </w:rPr>
              <w:tab/>
            </w:r>
            <w:r w:rsidR="00F21149" w:rsidRPr="005036A6">
              <w:rPr>
                <w:rStyle w:val="Hyperlink"/>
                <w:noProof/>
              </w:rPr>
              <w:t>DOT and treatment adherence</w:t>
            </w:r>
            <w:r w:rsidR="00F21149">
              <w:rPr>
                <w:noProof/>
                <w:webHidden/>
              </w:rPr>
              <w:tab/>
            </w:r>
            <w:r w:rsidR="00F21149">
              <w:rPr>
                <w:noProof/>
                <w:webHidden/>
              </w:rPr>
              <w:fldChar w:fldCharType="begin"/>
            </w:r>
            <w:r w:rsidR="00F21149">
              <w:rPr>
                <w:noProof/>
                <w:webHidden/>
              </w:rPr>
              <w:instrText xml:space="preserve"> PAGEREF _Toc166238138 \h </w:instrText>
            </w:r>
            <w:r w:rsidR="00F21149">
              <w:rPr>
                <w:noProof/>
                <w:webHidden/>
              </w:rPr>
            </w:r>
            <w:r w:rsidR="00F21149">
              <w:rPr>
                <w:noProof/>
                <w:webHidden/>
              </w:rPr>
              <w:fldChar w:fldCharType="separate"/>
            </w:r>
            <w:r w:rsidR="00F21149">
              <w:rPr>
                <w:noProof/>
                <w:webHidden/>
              </w:rPr>
              <w:t>5</w:t>
            </w:r>
            <w:r w:rsidR="00F21149">
              <w:rPr>
                <w:noProof/>
                <w:webHidden/>
              </w:rPr>
              <w:fldChar w:fldCharType="end"/>
            </w:r>
          </w:hyperlink>
        </w:p>
        <w:p w14:paraId="5F7D8954" w14:textId="1E8DE3CB" w:rsidR="00F21149" w:rsidRDefault="00C66FAF">
          <w:pPr>
            <w:pStyle w:val="TOC3"/>
            <w:tabs>
              <w:tab w:val="left" w:pos="1100"/>
              <w:tab w:val="right" w:leader="dot" w:pos="9487"/>
            </w:tabs>
            <w:rPr>
              <w:noProof/>
            </w:rPr>
          </w:pPr>
          <w:hyperlink w:anchor="_Toc166238139" w:history="1">
            <w:r w:rsidR="00F21149" w:rsidRPr="005036A6">
              <w:rPr>
                <w:rStyle w:val="Hyperlink"/>
                <w:noProof/>
              </w:rPr>
              <w:t>5.3</w:t>
            </w:r>
            <w:r w:rsidR="00F21149">
              <w:rPr>
                <w:noProof/>
              </w:rPr>
              <w:tab/>
            </w:r>
            <w:r w:rsidR="00F21149" w:rsidRPr="005036A6">
              <w:rPr>
                <w:rStyle w:val="Hyperlink"/>
                <w:noProof/>
              </w:rPr>
              <w:t>Adherence Counseling</w:t>
            </w:r>
            <w:r w:rsidR="00F21149">
              <w:rPr>
                <w:noProof/>
                <w:webHidden/>
              </w:rPr>
              <w:tab/>
            </w:r>
            <w:r w:rsidR="00F21149">
              <w:rPr>
                <w:noProof/>
                <w:webHidden/>
              </w:rPr>
              <w:fldChar w:fldCharType="begin"/>
            </w:r>
            <w:r w:rsidR="00F21149">
              <w:rPr>
                <w:noProof/>
                <w:webHidden/>
              </w:rPr>
              <w:instrText xml:space="preserve"> PAGEREF _Toc166238139 \h </w:instrText>
            </w:r>
            <w:r w:rsidR="00F21149">
              <w:rPr>
                <w:noProof/>
                <w:webHidden/>
              </w:rPr>
            </w:r>
            <w:r w:rsidR="00F21149">
              <w:rPr>
                <w:noProof/>
                <w:webHidden/>
              </w:rPr>
              <w:fldChar w:fldCharType="separate"/>
            </w:r>
            <w:r w:rsidR="00F21149">
              <w:rPr>
                <w:noProof/>
                <w:webHidden/>
              </w:rPr>
              <w:t>6</w:t>
            </w:r>
            <w:r w:rsidR="00F21149">
              <w:rPr>
                <w:noProof/>
                <w:webHidden/>
              </w:rPr>
              <w:fldChar w:fldCharType="end"/>
            </w:r>
          </w:hyperlink>
        </w:p>
        <w:p w14:paraId="6E0A3BB9" w14:textId="7E416044" w:rsidR="00F21149" w:rsidRDefault="00C66FAF">
          <w:pPr>
            <w:pStyle w:val="TOC3"/>
            <w:tabs>
              <w:tab w:val="left" w:pos="1100"/>
              <w:tab w:val="right" w:leader="dot" w:pos="9487"/>
            </w:tabs>
            <w:rPr>
              <w:noProof/>
            </w:rPr>
          </w:pPr>
          <w:hyperlink w:anchor="_Toc166238140" w:history="1">
            <w:r w:rsidR="00F21149" w:rsidRPr="005036A6">
              <w:rPr>
                <w:rStyle w:val="Hyperlink"/>
                <w:noProof/>
              </w:rPr>
              <w:t>5.4</w:t>
            </w:r>
            <w:r w:rsidR="00F21149">
              <w:rPr>
                <w:noProof/>
              </w:rPr>
              <w:tab/>
            </w:r>
            <w:r w:rsidR="00F21149" w:rsidRPr="005036A6">
              <w:rPr>
                <w:rStyle w:val="Hyperlink"/>
                <w:noProof/>
              </w:rPr>
              <w:t>Handling missed treatment days</w:t>
            </w:r>
            <w:r w:rsidR="00F21149">
              <w:rPr>
                <w:noProof/>
                <w:webHidden/>
              </w:rPr>
              <w:tab/>
            </w:r>
            <w:r w:rsidR="00F21149">
              <w:rPr>
                <w:noProof/>
                <w:webHidden/>
              </w:rPr>
              <w:fldChar w:fldCharType="begin"/>
            </w:r>
            <w:r w:rsidR="00F21149">
              <w:rPr>
                <w:noProof/>
                <w:webHidden/>
              </w:rPr>
              <w:instrText xml:space="preserve"> PAGEREF _Toc166238140 \h </w:instrText>
            </w:r>
            <w:r w:rsidR="00F21149">
              <w:rPr>
                <w:noProof/>
                <w:webHidden/>
              </w:rPr>
            </w:r>
            <w:r w:rsidR="00F21149">
              <w:rPr>
                <w:noProof/>
                <w:webHidden/>
              </w:rPr>
              <w:fldChar w:fldCharType="separate"/>
            </w:r>
            <w:r w:rsidR="00F21149">
              <w:rPr>
                <w:noProof/>
                <w:webHidden/>
              </w:rPr>
              <w:t>7</w:t>
            </w:r>
            <w:r w:rsidR="00F21149">
              <w:rPr>
                <w:noProof/>
                <w:webHidden/>
              </w:rPr>
              <w:fldChar w:fldCharType="end"/>
            </w:r>
          </w:hyperlink>
        </w:p>
        <w:p w14:paraId="19A20ABE" w14:textId="32D0ABD5" w:rsidR="00F21149" w:rsidRDefault="00C66FAF">
          <w:pPr>
            <w:pStyle w:val="TOC3"/>
            <w:tabs>
              <w:tab w:val="left" w:pos="1100"/>
              <w:tab w:val="right" w:leader="dot" w:pos="9487"/>
            </w:tabs>
            <w:rPr>
              <w:noProof/>
            </w:rPr>
          </w:pPr>
          <w:hyperlink w:anchor="_Toc166238141" w:history="1">
            <w:r w:rsidR="00F21149" w:rsidRPr="005036A6">
              <w:rPr>
                <w:rStyle w:val="Hyperlink"/>
                <w:noProof/>
              </w:rPr>
              <w:t>5.5</w:t>
            </w:r>
            <w:r w:rsidR="00F21149">
              <w:rPr>
                <w:noProof/>
              </w:rPr>
              <w:tab/>
            </w:r>
            <w:r w:rsidR="00F21149" w:rsidRPr="005036A6">
              <w:rPr>
                <w:rStyle w:val="Hyperlink"/>
                <w:noProof/>
              </w:rPr>
              <w:t>Discontinuation</w:t>
            </w:r>
            <w:r w:rsidR="00F21149">
              <w:rPr>
                <w:noProof/>
                <w:webHidden/>
              </w:rPr>
              <w:tab/>
            </w:r>
            <w:r w:rsidR="00F21149">
              <w:rPr>
                <w:noProof/>
                <w:webHidden/>
              </w:rPr>
              <w:fldChar w:fldCharType="begin"/>
            </w:r>
            <w:r w:rsidR="00F21149">
              <w:rPr>
                <w:noProof/>
                <w:webHidden/>
              </w:rPr>
              <w:instrText xml:space="preserve"> PAGEREF _Toc166238141 \h </w:instrText>
            </w:r>
            <w:r w:rsidR="00F21149">
              <w:rPr>
                <w:noProof/>
                <w:webHidden/>
              </w:rPr>
            </w:r>
            <w:r w:rsidR="00F21149">
              <w:rPr>
                <w:noProof/>
                <w:webHidden/>
              </w:rPr>
              <w:fldChar w:fldCharType="separate"/>
            </w:r>
            <w:r w:rsidR="00F21149">
              <w:rPr>
                <w:noProof/>
                <w:webHidden/>
              </w:rPr>
              <w:t>11</w:t>
            </w:r>
            <w:r w:rsidR="00F21149">
              <w:rPr>
                <w:noProof/>
                <w:webHidden/>
              </w:rPr>
              <w:fldChar w:fldCharType="end"/>
            </w:r>
          </w:hyperlink>
        </w:p>
        <w:p w14:paraId="7882C91A" w14:textId="7D5E3C7C" w:rsidR="00F21149" w:rsidRDefault="00C66FAF">
          <w:pPr>
            <w:pStyle w:val="TOC3"/>
            <w:tabs>
              <w:tab w:val="left" w:pos="1100"/>
              <w:tab w:val="right" w:leader="dot" w:pos="9487"/>
            </w:tabs>
            <w:rPr>
              <w:noProof/>
            </w:rPr>
          </w:pPr>
          <w:hyperlink w:anchor="_Toc166238142" w:history="1">
            <w:r w:rsidR="00F21149" w:rsidRPr="005036A6">
              <w:rPr>
                <w:rStyle w:val="Hyperlink"/>
                <w:noProof/>
              </w:rPr>
              <w:t>5.6</w:t>
            </w:r>
            <w:r w:rsidR="00F21149">
              <w:rPr>
                <w:noProof/>
              </w:rPr>
              <w:tab/>
            </w:r>
            <w:r w:rsidR="00F21149" w:rsidRPr="005036A6">
              <w:rPr>
                <w:rStyle w:val="Hyperlink"/>
                <w:noProof/>
              </w:rPr>
              <w:t>Adaptation of drug posology according to weight bands</w:t>
            </w:r>
            <w:r w:rsidR="00F21149">
              <w:rPr>
                <w:noProof/>
                <w:webHidden/>
              </w:rPr>
              <w:tab/>
            </w:r>
            <w:r w:rsidR="00F21149">
              <w:rPr>
                <w:noProof/>
                <w:webHidden/>
              </w:rPr>
              <w:fldChar w:fldCharType="begin"/>
            </w:r>
            <w:r w:rsidR="00F21149">
              <w:rPr>
                <w:noProof/>
                <w:webHidden/>
              </w:rPr>
              <w:instrText xml:space="preserve"> PAGEREF _Toc166238142 \h </w:instrText>
            </w:r>
            <w:r w:rsidR="00F21149">
              <w:rPr>
                <w:noProof/>
                <w:webHidden/>
              </w:rPr>
            </w:r>
            <w:r w:rsidR="00F21149">
              <w:rPr>
                <w:noProof/>
                <w:webHidden/>
              </w:rPr>
              <w:fldChar w:fldCharType="separate"/>
            </w:r>
            <w:r w:rsidR="00F21149">
              <w:rPr>
                <w:noProof/>
                <w:webHidden/>
              </w:rPr>
              <w:t>11</w:t>
            </w:r>
            <w:r w:rsidR="00F21149">
              <w:rPr>
                <w:noProof/>
                <w:webHidden/>
              </w:rPr>
              <w:fldChar w:fldCharType="end"/>
            </w:r>
          </w:hyperlink>
        </w:p>
        <w:p w14:paraId="4C69DF7C" w14:textId="50D0E917" w:rsidR="00F21149" w:rsidRDefault="00C66FAF">
          <w:pPr>
            <w:pStyle w:val="TOC3"/>
            <w:tabs>
              <w:tab w:val="left" w:pos="1100"/>
              <w:tab w:val="right" w:leader="dot" w:pos="9487"/>
            </w:tabs>
            <w:rPr>
              <w:noProof/>
            </w:rPr>
          </w:pPr>
          <w:hyperlink w:anchor="_Toc166238143" w:history="1">
            <w:r w:rsidR="00F21149" w:rsidRPr="005036A6">
              <w:rPr>
                <w:rStyle w:val="Hyperlink"/>
                <w:noProof/>
              </w:rPr>
              <w:t>5.7</w:t>
            </w:r>
            <w:r w:rsidR="00F21149">
              <w:rPr>
                <w:noProof/>
              </w:rPr>
              <w:tab/>
            </w:r>
            <w:r w:rsidR="00F21149" w:rsidRPr="005036A6">
              <w:rPr>
                <w:rStyle w:val="Hyperlink"/>
                <w:noProof/>
              </w:rPr>
              <w:t>Food and administration of Investigational Products</w:t>
            </w:r>
            <w:r w:rsidR="00F21149">
              <w:rPr>
                <w:noProof/>
                <w:webHidden/>
              </w:rPr>
              <w:tab/>
            </w:r>
            <w:r w:rsidR="00F21149">
              <w:rPr>
                <w:noProof/>
                <w:webHidden/>
              </w:rPr>
              <w:fldChar w:fldCharType="begin"/>
            </w:r>
            <w:r w:rsidR="00F21149">
              <w:rPr>
                <w:noProof/>
                <w:webHidden/>
              </w:rPr>
              <w:instrText xml:space="preserve"> PAGEREF _Toc166238143 \h </w:instrText>
            </w:r>
            <w:r w:rsidR="00F21149">
              <w:rPr>
                <w:noProof/>
                <w:webHidden/>
              </w:rPr>
            </w:r>
            <w:r w:rsidR="00F21149">
              <w:rPr>
                <w:noProof/>
                <w:webHidden/>
              </w:rPr>
              <w:fldChar w:fldCharType="separate"/>
            </w:r>
            <w:r w:rsidR="00F21149">
              <w:rPr>
                <w:noProof/>
                <w:webHidden/>
              </w:rPr>
              <w:t>11</w:t>
            </w:r>
            <w:r w:rsidR="00F21149">
              <w:rPr>
                <w:noProof/>
                <w:webHidden/>
              </w:rPr>
              <w:fldChar w:fldCharType="end"/>
            </w:r>
          </w:hyperlink>
        </w:p>
        <w:p w14:paraId="14AF6766" w14:textId="79729849" w:rsidR="00F21149" w:rsidRDefault="00C66FAF">
          <w:pPr>
            <w:pStyle w:val="TOC2"/>
            <w:tabs>
              <w:tab w:val="left" w:pos="660"/>
              <w:tab w:val="right" w:leader="dot" w:pos="9487"/>
            </w:tabs>
            <w:rPr>
              <w:noProof/>
            </w:rPr>
          </w:pPr>
          <w:hyperlink w:anchor="_Toc166238144" w:history="1">
            <w:r w:rsidR="00F21149" w:rsidRPr="005036A6">
              <w:rPr>
                <w:rStyle w:val="Hyperlink"/>
                <w:noProof/>
              </w:rPr>
              <w:t>6.</w:t>
            </w:r>
            <w:r w:rsidR="00F21149">
              <w:rPr>
                <w:noProof/>
              </w:rPr>
              <w:tab/>
            </w:r>
            <w:r w:rsidR="00F21149" w:rsidRPr="005036A6">
              <w:rPr>
                <w:rStyle w:val="Hyperlink"/>
                <w:noProof/>
              </w:rPr>
              <w:t>REFERENCES</w:t>
            </w:r>
            <w:r w:rsidR="00F21149">
              <w:rPr>
                <w:noProof/>
                <w:webHidden/>
              </w:rPr>
              <w:tab/>
            </w:r>
            <w:r w:rsidR="00F21149">
              <w:rPr>
                <w:noProof/>
                <w:webHidden/>
              </w:rPr>
              <w:fldChar w:fldCharType="begin"/>
            </w:r>
            <w:r w:rsidR="00F21149">
              <w:rPr>
                <w:noProof/>
                <w:webHidden/>
              </w:rPr>
              <w:instrText xml:space="preserve"> PAGEREF _Toc166238144 \h </w:instrText>
            </w:r>
            <w:r w:rsidR="00F21149">
              <w:rPr>
                <w:noProof/>
                <w:webHidden/>
              </w:rPr>
            </w:r>
            <w:r w:rsidR="00F21149">
              <w:rPr>
                <w:noProof/>
                <w:webHidden/>
              </w:rPr>
              <w:fldChar w:fldCharType="separate"/>
            </w:r>
            <w:r w:rsidR="00F21149">
              <w:rPr>
                <w:noProof/>
                <w:webHidden/>
              </w:rPr>
              <w:t>12</w:t>
            </w:r>
            <w:r w:rsidR="00F21149">
              <w:rPr>
                <w:noProof/>
                <w:webHidden/>
              </w:rPr>
              <w:fldChar w:fldCharType="end"/>
            </w:r>
          </w:hyperlink>
        </w:p>
        <w:p w14:paraId="704CD65C" w14:textId="04AF15E8" w:rsidR="00F21149" w:rsidRDefault="00C66FAF" w:rsidP="00F21149">
          <w:pPr>
            <w:pStyle w:val="TOC2"/>
            <w:tabs>
              <w:tab w:val="left" w:pos="660"/>
              <w:tab w:val="right" w:leader="dot" w:pos="9487"/>
            </w:tabs>
            <w:rPr>
              <w:noProof/>
            </w:rPr>
          </w:pPr>
          <w:hyperlink w:anchor="_Toc166238145" w:history="1">
            <w:r w:rsidR="00F21149" w:rsidRPr="005036A6">
              <w:rPr>
                <w:rStyle w:val="Hyperlink"/>
                <w:noProof/>
              </w:rPr>
              <w:t>7.</w:t>
            </w:r>
            <w:r w:rsidR="00F21149">
              <w:rPr>
                <w:noProof/>
              </w:rPr>
              <w:tab/>
            </w:r>
            <w:r w:rsidR="00F21149" w:rsidRPr="005036A6">
              <w:rPr>
                <w:rStyle w:val="Hyperlink"/>
                <w:noProof/>
              </w:rPr>
              <w:t>SUPPORTING DOCUMENTS</w:t>
            </w:r>
            <w:r w:rsidR="00F21149">
              <w:rPr>
                <w:noProof/>
                <w:webHidden/>
              </w:rPr>
              <w:tab/>
            </w:r>
            <w:r w:rsidR="00F21149">
              <w:rPr>
                <w:noProof/>
                <w:webHidden/>
              </w:rPr>
              <w:fldChar w:fldCharType="begin"/>
            </w:r>
            <w:r w:rsidR="00F21149">
              <w:rPr>
                <w:noProof/>
                <w:webHidden/>
              </w:rPr>
              <w:instrText xml:space="preserve"> PAGEREF _Toc166238145 \h </w:instrText>
            </w:r>
            <w:r w:rsidR="00F21149">
              <w:rPr>
                <w:noProof/>
                <w:webHidden/>
              </w:rPr>
            </w:r>
            <w:r w:rsidR="00F21149">
              <w:rPr>
                <w:noProof/>
                <w:webHidden/>
              </w:rPr>
              <w:fldChar w:fldCharType="separate"/>
            </w:r>
            <w:r w:rsidR="00F21149">
              <w:rPr>
                <w:noProof/>
                <w:webHidden/>
              </w:rPr>
              <w:t>12</w:t>
            </w:r>
            <w:r w:rsidR="00F21149">
              <w:rPr>
                <w:noProof/>
                <w:webHidden/>
              </w:rPr>
              <w:fldChar w:fldCharType="end"/>
            </w:r>
          </w:hyperlink>
        </w:p>
        <w:p w14:paraId="4EC88142" w14:textId="725A32B3" w:rsidR="00F21149" w:rsidRDefault="00C66FAF">
          <w:pPr>
            <w:pStyle w:val="TOC2"/>
            <w:tabs>
              <w:tab w:val="left" w:pos="660"/>
              <w:tab w:val="right" w:leader="dot" w:pos="9487"/>
            </w:tabs>
            <w:rPr>
              <w:noProof/>
            </w:rPr>
          </w:pPr>
          <w:hyperlink w:anchor="_Toc166238149" w:history="1">
            <w:r w:rsidR="00F21149" w:rsidRPr="005036A6">
              <w:rPr>
                <w:rStyle w:val="Hyperlink"/>
                <w:noProof/>
              </w:rPr>
              <w:t>8.</w:t>
            </w:r>
            <w:r w:rsidR="00F21149">
              <w:rPr>
                <w:noProof/>
              </w:rPr>
              <w:tab/>
            </w:r>
            <w:r w:rsidR="00F21149" w:rsidRPr="005036A6">
              <w:rPr>
                <w:rStyle w:val="Hyperlink"/>
                <w:noProof/>
              </w:rPr>
              <w:t>APPENDIX</w:t>
            </w:r>
            <w:r w:rsidR="00F21149">
              <w:rPr>
                <w:noProof/>
                <w:webHidden/>
              </w:rPr>
              <w:tab/>
            </w:r>
            <w:r w:rsidR="00F21149">
              <w:rPr>
                <w:noProof/>
                <w:webHidden/>
              </w:rPr>
              <w:fldChar w:fldCharType="begin"/>
            </w:r>
            <w:r w:rsidR="00F21149">
              <w:rPr>
                <w:noProof/>
                <w:webHidden/>
              </w:rPr>
              <w:instrText xml:space="preserve"> PAGEREF _Toc166238149 \h </w:instrText>
            </w:r>
            <w:r w:rsidR="00F21149">
              <w:rPr>
                <w:noProof/>
                <w:webHidden/>
              </w:rPr>
            </w:r>
            <w:r w:rsidR="00F21149">
              <w:rPr>
                <w:noProof/>
                <w:webHidden/>
              </w:rPr>
              <w:fldChar w:fldCharType="separate"/>
            </w:r>
            <w:r w:rsidR="00F21149">
              <w:rPr>
                <w:noProof/>
                <w:webHidden/>
              </w:rPr>
              <w:t>12</w:t>
            </w:r>
            <w:r w:rsidR="00F21149">
              <w:rPr>
                <w:noProof/>
                <w:webHidden/>
              </w:rPr>
              <w:fldChar w:fldCharType="end"/>
            </w:r>
          </w:hyperlink>
        </w:p>
        <w:p w14:paraId="607250B6" w14:textId="0957FD4F" w:rsidR="00F21149" w:rsidRDefault="00F21149">
          <w:r>
            <w:rPr>
              <w:b/>
              <w:bCs/>
              <w:noProof/>
            </w:rPr>
            <w:fldChar w:fldCharType="end"/>
          </w:r>
        </w:p>
      </w:sdtContent>
    </w:sdt>
    <w:p w14:paraId="54290C58" w14:textId="77777777" w:rsidR="007F66D2" w:rsidRDefault="007F66D2" w:rsidP="007F66D2">
      <w:pPr>
        <w:pStyle w:val="Heading1"/>
        <w:numPr>
          <w:ilvl w:val="0"/>
          <w:numId w:val="0"/>
        </w:numPr>
        <w:spacing w:before="0" w:after="0"/>
        <w:rPr>
          <w:rFonts w:asciiTheme="minorHAnsi" w:hAnsiTheme="minorHAnsi"/>
          <w:sz w:val="32"/>
          <w:szCs w:val="32"/>
          <w:lang w:val="it-IT"/>
        </w:rPr>
      </w:pPr>
    </w:p>
    <w:p w14:paraId="288EB68B" w14:textId="75905551" w:rsidR="007F66D2" w:rsidRPr="007F66D2" w:rsidRDefault="007F66D2" w:rsidP="007F66D2">
      <w:pPr>
        <w:tabs>
          <w:tab w:val="left" w:pos="5400"/>
        </w:tabs>
        <w:rPr>
          <w:lang w:val="it-IT"/>
        </w:rPr>
      </w:pPr>
      <w:r>
        <w:rPr>
          <w:lang w:val="it-IT"/>
        </w:rPr>
        <w:tab/>
      </w:r>
    </w:p>
    <w:p w14:paraId="02F5D998" w14:textId="04969E85" w:rsidR="00F277D1" w:rsidRDefault="005E177E" w:rsidP="00F277D1">
      <w:pPr>
        <w:pStyle w:val="Heading1"/>
        <w:numPr>
          <w:ilvl w:val="0"/>
          <w:numId w:val="0"/>
        </w:numPr>
        <w:spacing w:before="0" w:after="0"/>
        <w:ind w:left="357"/>
        <w:jc w:val="center"/>
      </w:pPr>
      <w:r w:rsidRPr="007F66D2">
        <w:rPr>
          <w:lang w:val="it-IT"/>
        </w:rPr>
        <w:br w:type="page"/>
      </w:r>
      <w:bookmarkStart w:id="2" w:name="_Toc166238130"/>
      <w:r w:rsidR="00F277D1" w:rsidRPr="00B14529">
        <w:lastRenderedPageBreak/>
        <w:t>S</w:t>
      </w:r>
      <w:r w:rsidR="00F277D1">
        <w:t>tandard Operating Procedure for</w:t>
      </w:r>
      <w:bookmarkEnd w:id="2"/>
      <w:r w:rsidR="00F277D1">
        <w:t xml:space="preserve"> </w:t>
      </w:r>
    </w:p>
    <w:p w14:paraId="2CA93C97" w14:textId="7516898D" w:rsidR="00F277D1" w:rsidRPr="00B14529" w:rsidRDefault="00F277D1" w:rsidP="00F277D1">
      <w:pPr>
        <w:pStyle w:val="Heading1"/>
        <w:numPr>
          <w:ilvl w:val="0"/>
          <w:numId w:val="0"/>
        </w:numPr>
        <w:spacing w:before="0" w:after="0"/>
        <w:ind w:left="357"/>
        <w:jc w:val="center"/>
      </w:pPr>
      <w:bookmarkStart w:id="3" w:name="_Toc166238131"/>
      <w:r>
        <w:t>Treatment and Study Adherence Counseling and Support, including Directly Observed Therapy</w:t>
      </w:r>
      <w:r w:rsidR="00A92C57">
        <w:t xml:space="preserve"> and </w:t>
      </w:r>
      <w:r w:rsidR="009232C2">
        <w:t>H</w:t>
      </w:r>
      <w:r w:rsidR="00A92C57">
        <w:t>andling of Missed D</w:t>
      </w:r>
      <w:r w:rsidR="008603A6">
        <w:t>oses</w:t>
      </w:r>
      <w:bookmarkEnd w:id="3"/>
    </w:p>
    <w:p w14:paraId="4F32DCBC" w14:textId="77777777" w:rsidR="005E177E" w:rsidRPr="00931588" w:rsidRDefault="00931588" w:rsidP="00113B6B">
      <w:pPr>
        <w:pStyle w:val="Heading2"/>
      </w:pPr>
      <w:bookmarkStart w:id="4" w:name="_Toc166238132"/>
      <w:r>
        <w:t>PURPOSE</w:t>
      </w:r>
      <w:bookmarkEnd w:id="4"/>
    </w:p>
    <w:tbl>
      <w:tblPr>
        <w:tblStyle w:val="TableGrid"/>
        <w:tblW w:w="0" w:type="auto"/>
        <w:tblLook w:val="04A0" w:firstRow="1" w:lastRow="0" w:firstColumn="1" w:lastColumn="0" w:noHBand="0" w:noVBand="1"/>
      </w:tblPr>
      <w:tblGrid>
        <w:gridCol w:w="9576"/>
      </w:tblGrid>
      <w:tr w:rsidR="0002305E" w:rsidRPr="00B14529" w14:paraId="3F3859B6" w14:textId="77777777" w:rsidTr="0002305E">
        <w:tc>
          <w:tcPr>
            <w:tcW w:w="9576" w:type="dxa"/>
          </w:tcPr>
          <w:p w14:paraId="6D4B0A8F" w14:textId="77777777" w:rsidR="00423212" w:rsidRPr="00423212" w:rsidRDefault="00423212" w:rsidP="00B37D26">
            <w:pPr>
              <w:spacing w:before="120"/>
              <w:jc w:val="both"/>
              <w:rPr>
                <w:rFonts w:cs="Calibri"/>
                <w:color w:val="000000"/>
                <w:lang w:eastAsia="zh-TW"/>
              </w:rPr>
            </w:pPr>
            <w:r w:rsidRPr="00423212">
              <w:rPr>
                <w:rFonts w:cs="Calibri"/>
                <w:color w:val="000000"/>
                <w:lang w:eastAsia="zh-TW"/>
              </w:rPr>
              <w:t>Strong compliance requires an appreciation of the importance of completing treatment (and study visits) according to the study schedule</w:t>
            </w:r>
            <w:r w:rsidR="009D1974">
              <w:rPr>
                <w:rFonts w:cs="Calibri"/>
                <w:color w:val="000000"/>
                <w:lang w:eastAsia="zh-TW"/>
              </w:rPr>
              <w:t>. This can be best achieved through</w:t>
            </w:r>
            <w:r w:rsidRPr="00423212">
              <w:rPr>
                <w:rFonts w:cs="Calibri"/>
                <w:color w:val="000000"/>
                <w:lang w:eastAsia="zh-TW"/>
              </w:rPr>
              <w:t xml:space="preserve"> </w:t>
            </w:r>
            <w:r w:rsidR="009D1974">
              <w:rPr>
                <w:rFonts w:cs="Calibri"/>
                <w:color w:val="000000"/>
                <w:lang w:eastAsia="zh-TW"/>
              </w:rPr>
              <w:t xml:space="preserve">a </w:t>
            </w:r>
            <w:r w:rsidRPr="00423212">
              <w:rPr>
                <w:rFonts w:cs="Calibri"/>
                <w:color w:val="000000"/>
                <w:lang w:eastAsia="zh-TW"/>
              </w:rPr>
              <w:t>foundation of mutual respect, trust</w:t>
            </w:r>
            <w:r>
              <w:rPr>
                <w:rFonts w:cs="Calibri"/>
                <w:color w:val="000000"/>
                <w:lang w:eastAsia="zh-TW"/>
              </w:rPr>
              <w:t>,</w:t>
            </w:r>
            <w:r w:rsidRPr="00423212">
              <w:rPr>
                <w:rFonts w:cs="Calibri"/>
                <w:color w:val="000000"/>
                <w:lang w:eastAsia="zh-TW"/>
              </w:rPr>
              <w:t xml:space="preserve"> and support between the study participant and study staff. All interactions between study staff and participants should reflect the understanding that </w:t>
            </w:r>
            <w:r w:rsidR="00054569">
              <w:rPr>
                <w:rFonts w:cs="Calibri"/>
                <w:color w:val="000000"/>
                <w:lang w:eastAsia="zh-TW"/>
              </w:rPr>
              <w:t>participant</w:t>
            </w:r>
            <w:r w:rsidRPr="00423212">
              <w:rPr>
                <w:rFonts w:cs="Calibri"/>
                <w:color w:val="000000"/>
                <w:lang w:eastAsia="zh-TW"/>
              </w:rPr>
              <w:t xml:space="preserve">s with MDR-TB often suffer from many social, economic, and other medical issues that further complicate an already difficult treatment (and study participation). This foundation should </w:t>
            </w:r>
            <w:r w:rsidR="009D1974">
              <w:rPr>
                <w:rFonts w:cs="Calibri"/>
                <w:color w:val="000000"/>
                <w:lang w:eastAsia="zh-TW"/>
              </w:rPr>
              <w:t>inform</w:t>
            </w:r>
            <w:r w:rsidRPr="00423212">
              <w:rPr>
                <w:rFonts w:cs="Calibri"/>
                <w:color w:val="000000"/>
                <w:lang w:eastAsia="zh-TW"/>
              </w:rPr>
              <w:t xml:space="preserve"> all other study procedures, particularly those related to recruitment and retention (SM-003-CT</w:t>
            </w:r>
            <w:r>
              <w:rPr>
                <w:rFonts w:cs="Calibri"/>
                <w:color w:val="000000"/>
                <w:lang w:eastAsia="zh-TW"/>
              </w:rPr>
              <w:t>)</w:t>
            </w:r>
            <w:r w:rsidRPr="00423212">
              <w:rPr>
                <w:rFonts w:cs="Calibri"/>
                <w:color w:val="000000"/>
                <w:lang w:eastAsia="zh-TW"/>
              </w:rPr>
              <w:t xml:space="preserve"> and (the need for) subject tracing (SP-022-CT).</w:t>
            </w:r>
          </w:p>
          <w:p w14:paraId="72E11039" w14:textId="7FF55E95" w:rsidR="0002305E" w:rsidRPr="00CB75A5" w:rsidRDefault="00423212" w:rsidP="004D598D">
            <w:pPr>
              <w:spacing w:before="120" w:after="120"/>
              <w:jc w:val="both"/>
              <w:rPr>
                <w:rFonts w:asciiTheme="minorHAnsi" w:hAnsiTheme="minorHAnsi"/>
              </w:rPr>
            </w:pPr>
            <w:r>
              <w:t>This standard operating procedure (SOP) describes</w:t>
            </w:r>
            <w:r w:rsidRPr="00CB75A5">
              <w:rPr>
                <w:rFonts w:asciiTheme="minorHAnsi" w:hAnsiTheme="minorHAnsi"/>
              </w:rPr>
              <w:t xml:space="preserve"> </w:t>
            </w:r>
            <w:r w:rsidR="00757185" w:rsidRPr="00CB75A5">
              <w:rPr>
                <w:rFonts w:asciiTheme="minorHAnsi" w:hAnsiTheme="minorHAnsi"/>
              </w:rPr>
              <w:t xml:space="preserve">the procedure </w:t>
            </w:r>
            <w:r w:rsidR="007E34C8" w:rsidRPr="00CB75A5">
              <w:rPr>
                <w:rFonts w:asciiTheme="minorHAnsi" w:hAnsiTheme="minorHAnsi"/>
              </w:rPr>
              <w:t xml:space="preserve">for </w:t>
            </w:r>
            <w:r w:rsidR="00793D32" w:rsidRPr="00CB75A5">
              <w:rPr>
                <w:rFonts w:asciiTheme="minorHAnsi" w:hAnsiTheme="minorHAnsi"/>
              </w:rPr>
              <w:t>anti</w:t>
            </w:r>
            <w:r>
              <w:rPr>
                <w:rFonts w:asciiTheme="minorHAnsi" w:hAnsiTheme="minorHAnsi"/>
              </w:rPr>
              <w:t>-</w:t>
            </w:r>
            <w:r w:rsidR="00793D32" w:rsidRPr="00CB75A5">
              <w:rPr>
                <w:rFonts w:asciiTheme="minorHAnsi" w:hAnsiTheme="minorHAnsi"/>
              </w:rPr>
              <w:t>tuberculosis treatment compliance</w:t>
            </w:r>
            <w:r w:rsidR="007E34C8" w:rsidRPr="00CB75A5">
              <w:rPr>
                <w:rFonts w:asciiTheme="minorHAnsi" w:hAnsiTheme="minorHAnsi"/>
              </w:rPr>
              <w:t xml:space="preserve"> </w:t>
            </w:r>
            <w:r w:rsidR="00757185" w:rsidRPr="00CB75A5">
              <w:rPr>
                <w:rFonts w:asciiTheme="minorHAnsi" w:hAnsiTheme="minorHAnsi"/>
              </w:rPr>
              <w:t>in the end</w:t>
            </w:r>
            <w:r w:rsidR="00665C71" w:rsidRPr="00CB75A5">
              <w:rPr>
                <w:rFonts w:asciiTheme="minorHAnsi" w:hAnsiTheme="minorHAnsi"/>
              </w:rPr>
              <w:t>TB</w:t>
            </w:r>
            <w:r w:rsidR="00757185" w:rsidRPr="00CB75A5">
              <w:rPr>
                <w:rFonts w:asciiTheme="minorHAnsi" w:hAnsiTheme="minorHAnsi"/>
              </w:rPr>
              <w:t xml:space="preserve"> </w:t>
            </w:r>
            <w:r>
              <w:rPr>
                <w:rFonts w:asciiTheme="minorHAnsi" w:hAnsiTheme="minorHAnsi"/>
              </w:rPr>
              <w:t>clinical trial</w:t>
            </w:r>
            <w:r w:rsidR="00582C22">
              <w:rPr>
                <w:rFonts w:asciiTheme="minorHAnsi" w:hAnsiTheme="minorHAnsi"/>
              </w:rPr>
              <w:t>s</w:t>
            </w:r>
            <w:r>
              <w:rPr>
                <w:rFonts w:asciiTheme="minorHAnsi" w:hAnsiTheme="minorHAnsi"/>
              </w:rPr>
              <w:t xml:space="preserve">. This SOP also </w:t>
            </w:r>
            <w:r>
              <w:t xml:space="preserve">describes the steps for establishing the structures that provide respectful support for study participants </w:t>
            </w:r>
            <w:r w:rsidR="009D1974">
              <w:t>to ensure successful treatment and study completion</w:t>
            </w:r>
            <w:r>
              <w:t xml:space="preserve"> according to the protocol. </w:t>
            </w:r>
            <w:r w:rsidR="009D1974">
              <w:t>It also describes the practicalities of observing, supporting, and counseling around treatment and study adherence</w:t>
            </w:r>
            <w:r w:rsidR="00A56D50">
              <w:t>.</w:t>
            </w:r>
          </w:p>
        </w:tc>
      </w:tr>
    </w:tbl>
    <w:p w14:paraId="6FD67075" w14:textId="77777777" w:rsidR="00F23C87" w:rsidRPr="00931588" w:rsidRDefault="00F23C87" w:rsidP="00113B6B">
      <w:pPr>
        <w:pStyle w:val="Heading2"/>
      </w:pPr>
      <w:bookmarkStart w:id="5" w:name="_Toc166238133"/>
      <w:r w:rsidRPr="00931588">
        <w:t>SCOPE</w:t>
      </w:r>
      <w:bookmarkEnd w:id="5"/>
    </w:p>
    <w:tbl>
      <w:tblPr>
        <w:tblStyle w:val="TableGrid"/>
        <w:tblW w:w="0" w:type="auto"/>
        <w:tblLook w:val="04A0" w:firstRow="1" w:lastRow="0" w:firstColumn="1" w:lastColumn="0" w:noHBand="0" w:noVBand="1"/>
      </w:tblPr>
      <w:tblGrid>
        <w:gridCol w:w="9576"/>
      </w:tblGrid>
      <w:tr w:rsidR="0002305E" w:rsidRPr="00B14529" w14:paraId="2CD970F3" w14:textId="77777777" w:rsidTr="0002305E">
        <w:tc>
          <w:tcPr>
            <w:tcW w:w="9576" w:type="dxa"/>
          </w:tcPr>
          <w:p w14:paraId="10A53470" w14:textId="3B9899DC" w:rsidR="0002305E" w:rsidRPr="00B14529" w:rsidRDefault="00423212" w:rsidP="004D598D">
            <w:pPr>
              <w:spacing w:before="120" w:after="120"/>
              <w:jc w:val="both"/>
              <w:rPr>
                <w:rFonts w:asciiTheme="minorHAnsi" w:hAnsiTheme="minorHAnsi"/>
              </w:rPr>
            </w:pPr>
            <w:r w:rsidRPr="00433E32">
              <w:rPr>
                <w:sz w:val="23"/>
                <w:szCs w:val="23"/>
              </w:rPr>
              <w:t xml:space="preserve">This SOP </w:t>
            </w:r>
            <w:r>
              <w:rPr>
                <w:sz w:val="23"/>
                <w:szCs w:val="23"/>
              </w:rPr>
              <w:t>applies to the activities involved in the administration of treatment, coun</w:t>
            </w:r>
            <w:r w:rsidR="004D598D">
              <w:rPr>
                <w:sz w:val="23"/>
                <w:szCs w:val="23"/>
              </w:rPr>
              <w:t>seling for treatment compliance</w:t>
            </w:r>
            <w:r w:rsidR="008805F2">
              <w:rPr>
                <w:sz w:val="23"/>
                <w:szCs w:val="23"/>
              </w:rPr>
              <w:t>,</w:t>
            </w:r>
            <w:r>
              <w:rPr>
                <w:sz w:val="23"/>
                <w:szCs w:val="23"/>
              </w:rPr>
              <w:t xml:space="preserve"> and adherence to study schedule for subjects in the endTB Clinical Trial</w:t>
            </w:r>
            <w:r w:rsidR="00582C22">
              <w:rPr>
                <w:sz w:val="23"/>
                <w:szCs w:val="23"/>
              </w:rPr>
              <w:t>s</w:t>
            </w:r>
            <w:r>
              <w:rPr>
                <w:sz w:val="23"/>
                <w:szCs w:val="23"/>
              </w:rPr>
              <w:t>.</w:t>
            </w:r>
          </w:p>
        </w:tc>
      </w:tr>
    </w:tbl>
    <w:p w14:paraId="2CCEDFF6" w14:textId="77777777" w:rsidR="00F23C87" w:rsidRPr="00931588" w:rsidRDefault="00F23C87" w:rsidP="00113B6B">
      <w:pPr>
        <w:pStyle w:val="Heading2"/>
      </w:pPr>
      <w:bookmarkStart w:id="6" w:name="_Toc166238134"/>
      <w:r w:rsidRPr="00931588">
        <w:t>RESPONSIBLE FUNCTIONS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7015"/>
      </w:tblGrid>
      <w:tr w:rsidR="0002305E" w:rsidRPr="00B14529" w14:paraId="0A7929A5" w14:textId="77777777" w:rsidTr="3910860E">
        <w:trPr>
          <w:trHeight w:val="70"/>
        </w:trPr>
        <w:tc>
          <w:tcPr>
            <w:tcW w:w="1389" w:type="pct"/>
            <w:shd w:val="clear" w:color="auto" w:fill="F2F2F2" w:themeFill="background1" w:themeFillShade="F2"/>
          </w:tcPr>
          <w:p w14:paraId="1772B75D" w14:textId="77777777" w:rsidR="0002305E" w:rsidRPr="00B14529" w:rsidRDefault="0002305E" w:rsidP="00803125">
            <w:pPr>
              <w:spacing w:before="80" w:after="80" w:line="240" w:lineRule="auto"/>
              <w:rPr>
                <w:rFonts w:asciiTheme="minorHAnsi" w:hAnsiTheme="minorHAnsi" w:cs="Arial"/>
                <w:b/>
              </w:rPr>
            </w:pPr>
            <w:r w:rsidRPr="00B14529">
              <w:rPr>
                <w:rFonts w:asciiTheme="minorHAnsi" w:hAnsiTheme="minorHAnsi" w:cs="Arial"/>
                <w:b/>
              </w:rPr>
              <w:t>Function</w:t>
            </w:r>
          </w:p>
        </w:tc>
        <w:tc>
          <w:tcPr>
            <w:tcW w:w="3611" w:type="pct"/>
            <w:shd w:val="clear" w:color="auto" w:fill="F2F2F2" w:themeFill="background1" w:themeFillShade="F2"/>
            <w:vAlign w:val="center"/>
          </w:tcPr>
          <w:p w14:paraId="26F119D8" w14:textId="77777777" w:rsidR="0002305E" w:rsidRPr="00B14529" w:rsidRDefault="0002305E" w:rsidP="004D598D">
            <w:pPr>
              <w:spacing w:before="80" w:after="80" w:line="240" w:lineRule="auto"/>
              <w:jc w:val="both"/>
              <w:rPr>
                <w:rFonts w:asciiTheme="minorHAnsi" w:hAnsiTheme="minorHAnsi" w:cs="Arial"/>
                <w:b/>
              </w:rPr>
            </w:pPr>
            <w:r w:rsidRPr="00B14529">
              <w:rPr>
                <w:rFonts w:asciiTheme="minorHAnsi" w:hAnsiTheme="minorHAnsi" w:cs="Arial"/>
                <w:b/>
              </w:rPr>
              <w:t>Activities</w:t>
            </w:r>
          </w:p>
        </w:tc>
      </w:tr>
      <w:tr w:rsidR="0002305E" w:rsidRPr="00B14529" w14:paraId="0934C9F5" w14:textId="77777777" w:rsidTr="3910860E">
        <w:tc>
          <w:tcPr>
            <w:tcW w:w="1389" w:type="pct"/>
            <w:shd w:val="clear" w:color="auto" w:fill="auto"/>
          </w:tcPr>
          <w:p w14:paraId="653F5EEE" w14:textId="0216F80A" w:rsidR="0002305E" w:rsidRPr="00B14529" w:rsidRDefault="3910860E" w:rsidP="3910860E">
            <w:pPr>
              <w:spacing w:before="80" w:after="80" w:line="240" w:lineRule="auto"/>
              <w:rPr>
                <w:rFonts w:asciiTheme="minorHAnsi" w:hAnsiTheme="minorHAnsi" w:cs="Arial"/>
                <w:b/>
                <w:bCs/>
              </w:rPr>
            </w:pPr>
            <w:r w:rsidRPr="3910860E">
              <w:rPr>
                <w:rFonts w:asciiTheme="minorHAnsi" w:hAnsiTheme="minorHAnsi" w:cs="Arial"/>
                <w:b/>
                <w:bCs/>
              </w:rPr>
              <w:t>Site Principal Investigator (Site PI) and Site Study Coordinator (Site SC)</w:t>
            </w:r>
          </w:p>
        </w:tc>
        <w:tc>
          <w:tcPr>
            <w:tcW w:w="3611" w:type="pct"/>
            <w:shd w:val="clear" w:color="auto" w:fill="auto"/>
            <w:vAlign w:val="center"/>
          </w:tcPr>
          <w:p w14:paraId="4B29AEF2" w14:textId="7FFD31BC" w:rsidR="0002305E" w:rsidRDefault="00C372AB" w:rsidP="00B37D26">
            <w:pPr>
              <w:pStyle w:val="ListParagraph"/>
              <w:numPr>
                <w:ilvl w:val="0"/>
                <w:numId w:val="18"/>
              </w:numPr>
              <w:spacing w:before="80" w:after="80" w:line="240" w:lineRule="auto"/>
              <w:jc w:val="both"/>
              <w:rPr>
                <w:rFonts w:asciiTheme="minorHAnsi" w:hAnsiTheme="minorHAnsi" w:cs="Arial"/>
              </w:rPr>
            </w:pPr>
            <w:r w:rsidRPr="00305EE9">
              <w:rPr>
                <w:rFonts w:asciiTheme="minorHAnsi" w:hAnsiTheme="minorHAnsi" w:cs="Arial"/>
              </w:rPr>
              <w:t>Ensure the study protocol</w:t>
            </w:r>
            <w:r w:rsidR="002721F9">
              <w:rPr>
                <w:rFonts w:asciiTheme="minorHAnsi" w:hAnsiTheme="minorHAnsi" w:cs="Arial"/>
              </w:rPr>
              <w:t xml:space="preserve"> is respected</w:t>
            </w:r>
            <w:r w:rsidRPr="00305EE9">
              <w:rPr>
                <w:rFonts w:asciiTheme="minorHAnsi" w:hAnsiTheme="minorHAnsi" w:cs="Arial"/>
              </w:rPr>
              <w:t xml:space="preserve"> in the respective </w:t>
            </w:r>
            <w:r w:rsidR="000A6F96">
              <w:rPr>
                <w:rFonts w:asciiTheme="minorHAnsi" w:hAnsiTheme="minorHAnsi" w:cs="Arial"/>
              </w:rPr>
              <w:t>S</w:t>
            </w:r>
            <w:r w:rsidRPr="00305EE9">
              <w:rPr>
                <w:rFonts w:asciiTheme="minorHAnsi" w:hAnsiTheme="minorHAnsi" w:cs="Arial"/>
              </w:rPr>
              <w:t>ite, including the use of directly observed therapy for the treatment of tuberculosis</w:t>
            </w:r>
            <w:r w:rsidR="00093556">
              <w:rPr>
                <w:rFonts w:asciiTheme="minorHAnsi" w:hAnsiTheme="minorHAnsi" w:cs="Arial"/>
              </w:rPr>
              <w:t>.</w:t>
            </w:r>
          </w:p>
          <w:p w14:paraId="192955A1" w14:textId="68537392" w:rsidR="00093556" w:rsidRDefault="00423212" w:rsidP="008748BD">
            <w:pPr>
              <w:pStyle w:val="ListParagraph"/>
              <w:numPr>
                <w:ilvl w:val="0"/>
                <w:numId w:val="18"/>
              </w:numPr>
              <w:spacing w:before="80" w:after="80" w:line="240" w:lineRule="auto"/>
              <w:jc w:val="both"/>
              <w:rPr>
                <w:rFonts w:asciiTheme="minorHAnsi" w:hAnsiTheme="minorHAnsi" w:cs="Arial"/>
              </w:rPr>
            </w:pPr>
            <w:r>
              <w:rPr>
                <w:rFonts w:asciiTheme="minorHAnsi" w:hAnsiTheme="minorHAnsi" w:cs="Arial"/>
              </w:rPr>
              <w:t xml:space="preserve">Ensure that </w:t>
            </w:r>
            <w:r w:rsidR="00AA00D6">
              <w:rPr>
                <w:rFonts w:asciiTheme="minorHAnsi" w:hAnsiTheme="minorHAnsi" w:cs="Arial"/>
              </w:rPr>
              <w:t>this SOP</w:t>
            </w:r>
            <w:r>
              <w:rPr>
                <w:rFonts w:asciiTheme="minorHAnsi" w:hAnsiTheme="minorHAnsi" w:cs="Arial"/>
              </w:rPr>
              <w:t xml:space="preserve"> is implemented in the </w:t>
            </w:r>
            <w:r w:rsidR="000A6F96">
              <w:rPr>
                <w:rFonts w:asciiTheme="minorHAnsi" w:hAnsiTheme="minorHAnsi" w:cs="Arial"/>
              </w:rPr>
              <w:t>S</w:t>
            </w:r>
            <w:r>
              <w:rPr>
                <w:rFonts w:asciiTheme="minorHAnsi" w:hAnsiTheme="minorHAnsi" w:cs="Arial"/>
              </w:rPr>
              <w:t>ite</w:t>
            </w:r>
            <w:r w:rsidR="00093556">
              <w:rPr>
                <w:rFonts w:asciiTheme="minorHAnsi" w:hAnsiTheme="minorHAnsi" w:cs="Arial"/>
              </w:rPr>
              <w:t>.</w:t>
            </w:r>
          </w:p>
          <w:p w14:paraId="61C6C18D" w14:textId="3E2B5792" w:rsidR="00423212" w:rsidRDefault="00093556" w:rsidP="00113B6B">
            <w:pPr>
              <w:pStyle w:val="ListParagraph"/>
              <w:numPr>
                <w:ilvl w:val="0"/>
                <w:numId w:val="18"/>
              </w:numPr>
              <w:spacing w:before="80" w:after="80" w:line="240" w:lineRule="auto"/>
              <w:jc w:val="both"/>
              <w:rPr>
                <w:rFonts w:asciiTheme="minorHAnsi" w:hAnsiTheme="minorHAnsi" w:cs="Arial"/>
              </w:rPr>
            </w:pPr>
            <w:r>
              <w:rPr>
                <w:rFonts w:asciiTheme="minorHAnsi" w:hAnsiTheme="minorHAnsi" w:cs="Arial"/>
              </w:rPr>
              <w:t xml:space="preserve">Ensure </w:t>
            </w:r>
            <w:r w:rsidR="00423212">
              <w:rPr>
                <w:rFonts w:asciiTheme="minorHAnsi" w:hAnsiTheme="minorHAnsi" w:cs="Arial"/>
              </w:rPr>
              <w:t xml:space="preserve">that deviations to the </w:t>
            </w:r>
            <w:r>
              <w:rPr>
                <w:rFonts w:asciiTheme="minorHAnsi" w:hAnsiTheme="minorHAnsi" w:cs="Arial"/>
              </w:rPr>
              <w:t>study protocol concerning treatment administration and treatment adherence are</w:t>
            </w:r>
            <w:r w:rsidR="00423212">
              <w:rPr>
                <w:rFonts w:asciiTheme="minorHAnsi" w:hAnsiTheme="minorHAnsi" w:cs="Arial"/>
              </w:rPr>
              <w:t xml:space="preserve"> recorded.</w:t>
            </w:r>
          </w:p>
          <w:p w14:paraId="20FC23AE" w14:textId="6485A265" w:rsidR="00093556" w:rsidRPr="004D598D" w:rsidRDefault="00423212" w:rsidP="00113B6B">
            <w:pPr>
              <w:pStyle w:val="ListParagraph"/>
              <w:numPr>
                <w:ilvl w:val="0"/>
                <w:numId w:val="18"/>
              </w:numPr>
              <w:spacing w:before="80" w:after="80" w:line="240" w:lineRule="auto"/>
              <w:jc w:val="both"/>
              <w:rPr>
                <w:rFonts w:asciiTheme="minorHAnsi" w:hAnsiTheme="minorHAnsi" w:cs="Arial"/>
              </w:rPr>
            </w:pPr>
            <w:r>
              <w:t>Foster a climate conducive to trust and open communication with study participants (and their families/friends), which permits an understanding of potential or actual barriers to study and treatment adherence.</w:t>
            </w:r>
          </w:p>
          <w:p w14:paraId="03F17B71" w14:textId="75B3EE48" w:rsidR="00093556" w:rsidRPr="004D598D" w:rsidRDefault="00423212" w:rsidP="00113B6B">
            <w:pPr>
              <w:pStyle w:val="ListParagraph"/>
              <w:numPr>
                <w:ilvl w:val="0"/>
                <w:numId w:val="18"/>
              </w:numPr>
              <w:spacing w:before="80" w:after="80" w:line="240" w:lineRule="auto"/>
              <w:jc w:val="both"/>
              <w:rPr>
                <w:rFonts w:asciiTheme="minorHAnsi" w:hAnsiTheme="minorHAnsi" w:cs="Arial"/>
              </w:rPr>
            </w:pPr>
            <w:r>
              <w:t xml:space="preserve">Schedule treatment and study visits at times (and locations) that </w:t>
            </w:r>
            <w:r w:rsidR="00093556">
              <w:t xml:space="preserve">facilitate </w:t>
            </w:r>
            <w:r>
              <w:t>adherence.</w:t>
            </w:r>
          </w:p>
          <w:p w14:paraId="62195E7D" w14:textId="48D4E02B" w:rsidR="00423212" w:rsidRPr="00305EE9" w:rsidRDefault="00423212">
            <w:pPr>
              <w:pStyle w:val="ListParagraph"/>
              <w:numPr>
                <w:ilvl w:val="0"/>
                <w:numId w:val="18"/>
              </w:numPr>
              <w:spacing w:before="80" w:after="80" w:line="240" w:lineRule="auto"/>
              <w:jc w:val="both"/>
              <w:rPr>
                <w:rFonts w:asciiTheme="minorHAnsi" w:hAnsiTheme="minorHAnsi" w:cs="Arial"/>
              </w:rPr>
            </w:pPr>
            <w:r>
              <w:t xml:space="preserve">Ensure that </w:t>
            </w:r>
            <w:r w:rsidR="002721F9">
              <w:t xml:space="preserve">consistent </w:t>
            </w:r>
            <w:r>
              <w:t xml:space="preserve">messages </w:t>
            </w:r>
            <w:r w:rsidR="00803125">
              <w:t xml:space="preserve">about treatment and study adherence </w:t>
            </w:r>
            <w:r>
              <w:t xml:space="preserve">are </w:t>
            </w:r>
            <w:r w:rsidR="002721F9">
              <w:t xml:space="preserve">delivered </w:t>
            </w:r>
            <w:r>
              <w:t>by all members of study staff.</w:t>
            </w:r>
          </w:p>
          <w:p w14:paraId="024AC358" w14:textId="0249E67E" w:rsidR="00423212" w:rsidRPr="00305EE9" w:rsidRDefault="00423212">
            <w:pPr>
              <w:pStyle w:val="ListParagraph"/>
              <w:numPr>
                <w:ilvl w:val="0"/>
                <w:numId w:val="18"/>
              </w:numPr>
              <w:spacing w:before="80" w:after="80" w:line="240" w:lineRule="auto"/>
              <w:jc w:val="both"/>
              <w:rPr>
                <w:rFonts w:asciiTheme="minorHAnsi" w:hAnsiTheme="minorHAnsi" w:cs="Arial"/>
              </w:rPr>
            </w:pPr>
            <w:r>
              <w:lastRenderedPageBreak/>
              <w:t xml:space="preserve">Develop tool(s) (e.g. calendar, reminder cards) </w:t>
            </w:r>
            <w:r w:rsidR="002721F9">
              <w:t xml:space="preserve">for study participants </w:t>
            </w:r>
            <w:r>
              <w:t>to facilitate study and treatment adherence.</w:t>
            </w:r>
          </w:p>
        </w:tc>
      </w:tr>
      <w:tr w:rsidR="0002305E" w:rsidRPr="00B14529" w14:paraId="67FAE615" w14:textId="77777777" w:rsidTr="3910860E">
        <w:tc>
          <w:tcPr>
            <w:tcW w:w="1389" w:type="pct"/>
            <w:shd w:val="clear" w:color="auto" w:fill="auto"/>
          </w:tcPr>
          <w:p w14:paraId="49347E51" w14:textId="5CF1E298" w:rsidR="0002305E" w:rsidRPr="00A814B8" w:rsidRDefault="00757185" w:rsidP="00803125">
            <w:pPr>
              <w:spacing w:before="80" w:after="80" w:line="240" w:lineRule="auto"/>
              <w:rPr>
                <w:rFonts w:asciiTheme="minorHAnsi" w:hAnsiTheme="minorHAnsi" w:cs="Arial"/>
                <w:b/>
              </w:rPr>
            </w:pPr>
            <w:r w:rsidRPr="00A814B8">
              <w:rPr>
                <w:rFonts w:asciiTheme="minorHAnsi" w:hAnsiTheme="minorHAnsi" w:cs="Arial"/>
                <w:b/>
              </w:rPr>
              <w:lastRenderedPageBreak/>
              <w:t xml:space="preserve">Site </w:t>
            </w:r>
            <w:r w:rsidR="001F5123" w:rsidRPr="00A814B8">
              <w:rPr>
                <w:rFonts w:asciiTheme="minorHAnsi" w:hAnsiTheme="minorHAnsi" w:cs="Arial"/>
                <w:b/>
              </w:rPr>
              <w:t xml:space="preserve">Clinical </w:t>
            </w:r>
            <w:r w:rsidR="00423212" w:rsidRPr="00A814B8">
              <w:rPr>
                <w:rFonts w:asciiTheme="minorHAnsi" w:hAnsiTheme="minorHAnsi" w:cs="Arial"/>
                <w:b/>
              </w:rPr>
              <w:t xml:space="preserve">Investigator </w:t>
            </w:r>
          </w:p>
        </w:tc>
        <w:tc>
          <w:tcPr>
            <w:tcW w:w="3611" w:type="pct"/>
            <w:shd w:val="clear" w:color="auto" w:fill="auto"/>
            <w:vAlign w:val="center"/>
          </w:tcPr>
          <w:p w14:paraId="7DDED0BD" w14:textId="4A138512" w:rsidR="0002305E" w:rsidRPr="00305EE9" w:rsidRDefault="00C372AB" w:rsidP="00B37D26">
            <w:pPr>
              <w:pStyle w:val="ListParagraph"/>
              <w:numPr>
                <w:ilvl w:val="0"/>
                <w:numId w:val="19"/>
              </w:numPr>
              <w:spacing w:before="80" w:after="80" w:line="240" w:lineRule="auto"/>
              <w:jc w:val="both"/>
              <w:rPr>
                <w:rFonts w:asciiTheme="minorHAnsi" w:hAnsiTheme="minorHAnsi" w:cs="Arial"/>
              </w:rPr>
            </w:pPr>
            <w:r w:rsidRPr="00305EE9">
              <w:rPr>
                <w:rFonts w:asciiTheme="minorHAnsi" w:hAnsiTheme="minorHAnsi" w:cs="Arial"/>
              </w:rPr>
              <w:t>Prescribe anti</w:t>
            </w:r>
            <w:r w:rsidR="00423212" w:rsidRPr="00305EE9">
              <w:rPr>
                <w:rFonts w:asciiTheme="minorHAnsi" w:hAnsiTheme="minorHAnsi" w:cs="Arial"/>
              </w:rPr>
              <w:t>-</w:t>
            </w:r>
            <w:r w:rsidRPr="00305EE9">
              <w:rPr>
                <w:rFonts w:asciiTheme="minorHAnsi" w:hAnsiTheme="minorHAnsi" w:cs="Arial"/>
              </w:rPr>
              <w:t>tuberculosis treatment at each trial visit and assess treatment response</w:t>
            </w:r>
            <w:r w:rsidR="00093556">
              <w:rPr>
                <w:rFonts w:asciiTheme="minorHAnsi" w:hAnsiTheme="minorHAnsi" w:cs="Arial"/>
              </w:rPr>
              <w:t>,</w:t>
            </w:r>
            <w:r w:rsidRPr="00305EE9">
              <w:rPr>
                <w:rFonts w:asciiTheme="minorHAnsi" w:hAnsiTheme="minorHAnsi" w:cs="Arial"/>
              </w:rPr>
              <w:t xml:space="preserve"> tolerance</w:t>
            </w:r>
            <w:r w:rsidR="00093556">
              <w:rPr>
                <w:rFonts w:asciiTheme="minorHAnsi" w:hAnsiTheme="minorHAnsi" w:cs="Arial"/>
              </w:rPr>
              <w:t xml:space="preserve"> and adherence during the study visits</w:t>
            </w:r>
            <w:r w:rsidRPr="00305EE9">
              <w:rPr>
                <w:rFonts w:asciiTheme="minorHAnsi" w:hAnsiTheme="minorHAnsi" w:cs="Arial"/>
              </w:rPr>
              <w:t>.</w:t>
            </w:r>
          </w:p>
        </w:tc>
      </w:tr>
      <w:tr w:rsidR="0012144A" w:rsidRPr="00B14529" w14:paraId="21D59E6B" w14:textId="77777777" w:rsidTr="3910860E">
        <w:tc>
          <w:tcPr>
            <w:tcW w:w="1389" w:type="pct"/>
            <w:shd w:val="clear" w:color="auto" w:fill="auto"/>
          </w:tcPr>
          <w:p w14:paraId="1F59A48C" w14:textId="77777777" w:rsidR="0012144A" w:rsidRDefault="00423212" w:rsidP="00803125">
            <w:pPr>
              <w:spacing w:before="80" w:after="80" w:line="240" w:lineRule="auto"/>
              <w:rPr>
                <w:rFonts w:asciiTheme="minorHAnsi" w:hAnsiTheme="minorHAnsi" w:cs="Arial"/>
                <w:b/>
              </w:rPr>
            </w:pPr>
            <w:r>
              <w:rPr>
                <w:rFonts w:asciiTheme="minorHAnsi" w:hAnsiTheme="minorHAnsi" w:cs="Arial"/>
                <w:b/>
              </w:rPr>
              <w:t>Delegated study site personnel</w:t>
            </w:r>
          </w:p>
        </w:tc>
        <w:tc>
          <w:tcPr>
            <w:tcW w:w="3611" w:type="pct"/>
            <w:shd w:val="clear" w:color="auto" w:fill="auto"/>
            <w:vAlign w:val="center"/>
          </w:tcPr>
          <w:p w14:paraId="4D0A5E6F" w14:textId="69E4DC67" w:rsidR="0012144A" w:rsidRPr="00305EE9" w:rsidRDefault="0012144A" w:rsidP="00B37D26">
            <w:pPr>
              <w:pStyle w:val="ListParagraph"/>
              <w:numPr>
                <w:ilvl w:val="0"/>
                <w:numId w:val="19"/>
              </w:numPr>
              <w:spacing w:before="80" w:after="80" w:line="240" w:lineRule="auto"/>
              <w:jc w:val="both"/>
              <w:rPr>
                <w:rFonts w:asciiTheme="minorHAnsi" w:hAnsiTheme="minorHAnsi" w:cs="Arial"/>
              </w:rPr>
            </w:pPr>
            <w:r w:rsidRPr="00305EE9">
              <w:rPr>
                <w:rFonts w:asciiTheme="minorHAnsi" w:hAnsiTheme="minorHAnsi" w:cs="Arial"/>
              </w:rPr>
              <w:t>Monitor treatment compliance and supervise the DOT nurses or treatment supporters</w:t>
            </w:r>
            <w:r w:rsidR="00EB18E4">
              <w:rPr>
                <w:rFonts w:asciiTheme="minorHAnsi" w:hAnsiTheme="minorHAnsi" w:cs="Arial"/>
              </w:rPr>
              <w:t>.</w:t>
            </w:r>
          </w:p>
        </w:tc>
      </w:tr>
      <w:tr w:rsidR="0012144A" w:rsidRPr="00B14529" w14:paraId="51CCDC91" w14:textId="77777777" w:rsidTr="3910860E">
        <w:tc>
          <w:tcPr>
            <w:tcW w:w="1389" w:type="pct"/>
            <w:shd w:val="clear" w:color="auto" w:fill="auto"/>
          </w:tcPr>
          <w:p w14:paraId="1B2B3D66" w14:textId="77777777" w:rsidR="0012144A" w:rsidRPr="00B14529" w:rsidRDefault="00423212" w:rsidP="00803125">
            <w:pPr>
              <w:spacing w:before="80" w:after="80" w:line="240" w:lineRule="auto"/>
              <w:rPr>
                <w:rFonts w:asciiTheme="minorHAnsi" w:hAnsiTheme="minorHAnsi" w:cs="Arial"/>
                <w:b/>
              </w:rPr>
            </w:pPr>
            <w:r>
              <w:rPr>
                <w:b/>
              </w:rPr>
              <w:t>DOT nurse or treatment supporter</w:t>
            </w:r>
          </w:p>
        </w:tc>
        <w:tc>
          <w:tcPr>
            <w:tcW w:w="3611" w:type="pct"/>
            <w:shd w:val="clear" w:color="auto" w:fill="auto"/>
            <w:vAlign w:val="center"/>
          </w:tcPr>
          <w:p w14:paraId="64DF3351" w14:textId="0BE84598" w:rsidR="0012144A" w:rsidRDefault="00093556" w:rsidP="00B37D26">
            <w:pPr>
              <w:pStyle w:val="ListParagraph"/>
              <w:numPr>
                <w:ilvl w:val="0"/>
                <w:numId w:val="19"/>
              </w:numPr>
              <w:spacing w:before="80" w:after="80" w:line="240" w:lineRule="auto"/>
              <w:jc w:val="both"/>
              <w:rPr>
                <w:rFonts w:asciiTheme="minorHAnsi" w:hAnsiTheme="minorHAnsi" w:cs="Arial"/>
              </w:rPr>
            </w:pPr>
            <w:r>
              <w:rPr>
                <w:rFonts w:asciiTheme="minorHAnsi" w:hAnsiTheme="minorHAnsi" w:cs="Arial"/>
              </w:rPr>
              <w:t xml:space="preserve">Observe the </w:t>
            </w:r>
            <w:r w:rsidR="00407360">
              <w:rPr>
                <w:rFonts w:asciiTheme="minorHAnsi" w:hAnsiTheme="minorHAnsi" w:cs="Arial"/>
              </w:rPr>
              <w:t>participant</w:t>
            </w:r>
            <w:r>
              <w:rPr>
                <w:rFonts w:asciiTheme="minorHAnsi" w:hAnsiTheme="minorHAnsi" w:cs="Arial"/>
              </w:rPr>
              <w:t xml:space="preserve"> during drug intake.</w:t>
            </w:r>
          </w:p>
          <w:p w14:paraId="61535629" w14:textId="68C29A74" w:rsidR="00720DCB" w:rsidRPr="00720DCB" w:rsidRDefault="00BE7AE0" w:rsidP="008748BD">
            <w:pPr>
              <w:pStyle w:val="ListParagraph"/>
              <w:numPr>
                <w:ilvl w:val="0"/>
                <w:numId w:val="19"/>
              </w:numPr>
              <w:spacing w:before="80" w:after="80" w:line="240" w:lineRule="auto"/>
              <w:jc w:val="both"/>
              <w:rPr>
                <w:rFonts w:asciiTheme="minorHAnsi" w:hAnsiTheme="minorHAnsi" w:cs="Arial"/>
              </w:rPr>
            </w:pPr>
            <w:r>
              <w:t xml:space="preserve">Through treatment support visits, further develop the relationship with participants (and their families/friends) that supports </w:t>
            </w:r>
            <w:r w:rsidR="009D1974">
              <w:t>participants’</w:t>
            </w:r>
            <w:r>
              <w:t xml:space="preserve"> adherence to study and treatment.</w:t>
            </w:r>
          </w:p>
          <w:p w14:paraId="61C08C48" w14:textId="0CAC43DD" w:rsidR="00FA7519" w:rsidRPr="00305EE9" w:rsidRDefault="00BE7AE0" w:rsidP="008748BD">
            <w:pPr>
              <w:pStyle w:val="ListParagraph"/>
              <w:numPr>
                <w:ilvl w:val="0"/>
                <w:numId w:val="19"/>
              </w:numPr>
              <w:spacing w:before="80" w:after="80" w:line="240" w:lineRule="auto"/>
              <w:jc w:val="both"/>
              <w:rPr>
                <w:rFonts w:asciiTheme="minorHAnsi" w:hAnsiTheme="minorHAnsi" w:cs="Arial"/>
              </w:rPr>
            </w:pPr>
            <w:r>
              <w:t>Ensure documentation of each study dose</w:t>
            </w:r>
            <w:r w:rsidR="00093556">
              <w:t xml:space="preserve"> administration is accurate and complete</w:t>
            </w:r>
            <w:r>
              <w:t>.</w:t>
            </w:r>
          </w:p>
          <w:p w14:paraId="455FCA3A" w14:textId="77777777" w:rsidR="00720DCB" w:rsidRPr="00720DCB" w:rsidRDefault="00FA7519" w:rsidP="00720DCB">
            <w:pPr>
              <w:pStyle w:val="ListParagraph"/>
              <w:numPr>
                <w:ilvl w:val="0"/>
                <w:numId w:val="19"/>
              </w:numPr>
              <w:spacing w:before="80" w:after="80" w:line="240" w:lineRule="auto"/>
              <w:jc w:val="both"/>
              <w:rPr>
                <w:rFonts w:asciiTheme="minorHAnsi" w:hAnsiTheme="minorHAnsi" w:cs="Arial"/>
              </w:rPr>
            </w:pPr>
            <w:r>
              <w:t xml:space="preserve">Document occurrence of incomplete dose </w:t>
            </w:r>
            <w:r w:rsidR="00093556">
              <w:t xml:space="preserve">administration </w:t>
            </w:r>
            <w:r w:rsidR="00720DCB">
              <w:t>and reasons.</w:t>
            </w:r>
          </w:p>
          <w:p w14:paraId="32D2888A" w14:textId="648CBE05" w:rsidR="00BE7AE0" w:rsidRPr="00305EE9" w:rsidRDefault="00720DCB" w:rsidP="00720DCB">
            <w:pPr>
              <w:pStyle w:val="ListParagraph"/>
              <w:numPr>
                <w:ilvl w:val="0"/>
                <w:numId w:val="19"/>
              </w:numPr>
              <w:spacing w:before="80" w:after="80" w:line="240" w:lineRule="auto"/>
              <w:jc w:val="both"/>
              <w:rPr>
                <w:rFonts w:asciiTheme="minorHAnsi" w:hAnsiTheme="minorHAnsi" w:cs="Arial"/>
              </w:rPr>
            </w:pPr>
            <w:r>
              <w:t>D</w:t>
            </w:r>
            <w:r w:rsidR="00FA7519">
              <w:t xml:space="preserve">evelop plans </w:t>
            </w:r>
            <w:r w:rsidR="00093556">
              <w:t xml:space="preserve">to </w:t>
            </w:r>
            <w:r w:rsidR="00FA7519">
              <w:t xml:space="preserve">improve </w:t>
            </w:r>
            <w:r w:rsidR="00407360">
              <w:t>participant</w:t>
            </w:r>
            <w:r w:rsidR="00093556">
              <w:t xml:space="preserve"> compliance</w:t>
            </w:r>
            <w:r w:rsidR="00FA7519">
              <w:t>.</w:t>
            </w:r>
          </w:p>
        </w:tc>
      </w:tr>
      <w:tr w:rsidR="0012144A" w:rsidRPr="00B14529" w14:paraId="2AAE4EF3" w14:textId="77777777" w:rsidTr="3910860E">
        <w:trPr>
          <w:trHeight w:val="594"/>
        </w:trPr>
        <w:tc>
          <w:tcPr>
            <w:tcW w:w="1389" w:type="pct"/>
            <w:shd w:val="clear" w:color="auto" w:fill="auto"/>
          </w:tcPr>
          <w:p w14:paraId="3B3676A0" w14:textId="06DDFB73" w:rsidR="0012144A" w:rsidRPr="00B14529" w:rsidRDefault="00AA00D6" w:rsidP="00803125">
            <w:pPr>
              <w:spacing w:before="80" w:after="80" w:line="240" w:lineRule="auto"/>
              <w:rPr>
                <w:rFonts w:asciiTheme="minorHAnsi" w:hAnsiTheme="minorHAnsi" w:cs="Arial"/>
                <w:b/>
              </w:rPr>
            </w:pPr>
            <w:r>
              <w:rPr>
                <w:b/>
              </w:rPr>
              <w:t xml:space="preserve">DOT </w:t>
            </w:r>
            <w:r w:rsidR="00BE7AE0">
              <w:rPr>
                <w:b/>
              </w:rPr>
              <w:t>nurse</w:t>
            </w:r>
            <w:r>
              <w:rPr>
                <w:b/>
              </w:rPr>
              <w:t xml:space="preserve"> or designee (</w:t>
            </w:r>
            <w:r w:rsidR="008A2A74">
              <w:rPr>
                <w:b/>
              </w:rPr>
              <w:t xml:space="preserve">e.g. </w:t>
            </w:r>
            <w:r w:rsidR="00BE7AE0">
              <w:rPr>
                <w:b/>
              </w:rPr>
              <w:t>adherence counsellor</w:t>
            </w:r>
            <w:r>
              <w:rPr>
                <w:b/>
              </w:rPr>
              <w:t xml:space="preserve"> or social worker)</w:t>
            </w:r>
          </w:p>
        </w:tc>
        <w:tc>
          <w:tcPr>
            <w:tcW w:w="3611" w:type="pct"/>
            <w:shd w:val="clear" w:color="auto" w:fill="auto"/>
            <w:vAlign w:val="center"/>
          </w:tcPr>
          <w:p w14:paraId="3371AAB2" w14:textId="77777777" w:rsidR="00BE7AE0" w:rsidRPr="00305EE9" w:rsidRDefault="0012144A" w:rsidP="00B37D26">
            <w:pPr>
              <w:pStyle w:val="ListParagraph"/>
              <w:numPr>
                <w:ilvl w:val="0"/>
                <w:numId w:val="20"/>
              </w:numPr>
              <w:spacing w:before="40" w:after="40" w:line="240" w:lineRule="auto"/>
              <w:jc w:val="both"/>
              <w:rPr>
                <w:rFonts w:asciiTheme="minorHAnsi" w:hAnsiTheme="minorHAnsi" w:cs="Arial"/>
              </w:rPr>
            </w:pPr>
            <w:r w:rsidRPr="00305EE9">
              <w:rPr>
                <w:rFonts w:asciiTheme="minorHAnsi" w:hAnsiTheme="minorHAnsi" w:cs="Arial"/>
              </w:rPr>
              <w:t xml:space="preserve">Perform counselling on </w:t>
            </w:r>
            <w:r w:rsidR="00FA7519">
              <w:rPr>
                <w:rFonts w:asciiTheme="minorHAnsi" w:hAnsiTheme="minorHAnsi" w:cs="Arial"/>
              </w:rPr>
              <w:t xml:space="preserve">study and </w:t>
            </w:r>
            <w:r w:rsidRPr="00305EE9">
              <w:rPr>
                <w:rFonts w:asciiTheme="minorHAnsi" w:hAnsiTheme="minorHAnsi" w:cs="Arial"/>
              </w:rPr>
              <w:t xml:space="preserve">treatment </w:t>
            </w:r>
            <w:r w:rsidR="00FA7519">
              <w:rPr>
                <w:rFonts w:asciiTheme="minorHAnsi" w:hAnsiTheme="minorHAnsi" w:cs="Arial"/>
              </w:rPr>
              <w:t>adherence</w:t>
            </w:r>
            <w:r w:rsidR="00FA7519">
              <w:t xml:space="preserve"> </w:t>
            </w:r>
            <w:r w:rsidR="00BE7AE0">
              <w:t xml:space="preserve">in a respectful manner that takes into consideration </w:t>
            </w:r>
            <w:r w:rsidR="00FA7519">
              <w:t xml:space="preserve">each </w:t>
            </w:r>
            <w:r w:rsidR="00BE7AE0">
              <w:t>study participant</w:t>
            </w:r>
            <w:r w:rsidR="00FA7519">
              <w:t>’s</w:t>
            </w:r>
            <w:r w:rsidR="00BE7AE0">
              <w:t xml:space="preserve"> </w:t>
            </w:r>
            <w:r w:rsidR="00FA7519">
              <w:t>unique</w:t>
            </w:r>
            <w:r w:rsidR="00BE7AE0">
              <w:t xml:space="preserve"> situation and challenges.</w:t>
            </w:r>
          </w:p>
        </w:tc>
      </w:tr>
      <w:tr w:rsidR="00BE7AE0" w:rsidRPr="00B14529" w14:paraId="3E2F5FA2" w14:textId="77777777" w:rsidTr="3910860E">
        <w:trPr>
          <w:trHeight w:val="594"/>
        </w:trPr>
        <w:tc>
          <w:tcPr>
            <w:tcW w:w="1389" w:type="pct"/>
            <w:shd w:val="clear" w:color="auto" w:fill="auto"/>
          </w:tcPr>
          <w:p w14:paraId="7C178369" w14:textId="77777777" w:rsidR="00BE7AE0" w:rsidRDefault="00BE7AE0" w:rsidP="00803125">
            <w:pPr>
              <w:spacing w:before="80" w:after="80" w:line="240" w:lineRule="auto"/>
              <w:rPr>
                <w:b/>
              </w:rPr>
            </w:pPr>
            <w:r>
              <w:rPr>
                <w:b/>
              </w:rPr>
              <w:t>Pharmacy Staff</w:t>
            </w:r>
          </w:p>
        </w:tc>
        <w:tc>
          <w:tcPr>
            <w:tcW w:w="3611" w:type="pct"/>
            <w:shd w:val="clear" w:color="auto" w:fill="auto"/>
            <w:vAlign w:val="center"/>
          </w:tcPr>
          <w:p w14:paraId="2D1949C2" w14:textId="60DC3EC6" w:rsidR="00BE7AE0" w:rsidRPr="00BE7AE0" w:rsidRDefault="00BE7AE0" w:rsidP="002721F9">
            <w:pPr>
              <w:pStyle w:val="ListParagraph"/>
              <w:numPr>
                <w:ilvl w:val="0"/>
                <w:numId w:val="20"/>
              </w:numPr>
              <w:spacing w:before="40" w:after="40" w:line="240" w:lineRule="auto"/>
              <w:jc w:val="both"/>
              <w:rPr>
                <w:rFonts w:asciiTheme="minorHAnsi" w:hAnsiTheme="minorHAnsi" w:cs="Arial"/>
              </w:rPr>
            </w:pPr>
            <w:r>
              <w:t xml:space="preserve">Produce simple guidance (accompanying study drugs) that permits </w:t>
            </w:r>
            <w:r w:rsidR="002721F9">
              <w:t>DOT nurses/</w:t>
            </w:r>
            <w:r>
              <w:t xml:space="preserve">treatment supporters </w:t>
            </w:r>
            <w:r w:rsidR="00A15E29">
              <w:t xml:space="preserve">to </w:t>
            </w:r>
            <w:r w:rsidR="00093556">
              <w:t xml:space="preserve">easily monitor treatment administration and </w:t>
            </w:r>
            <w:r w:rsidR="002721F9">
              <w:t>for</w:t>
            </w:r>
            <w:r w:rsidR="00093556">
              <w:t xml:space="preserve"> participants to </w:t>
            </w:r>
            <w:r>
              <w:t>adhere to treatment.</w:t>
            </w:r>
          </w:p>
        </w:tc>
      </w:tr>
    </w:tbl>
    <w:p w14:paraId="2742B447" w14:textId="77777777" w:rsidR="00F23C87" w:rsidRPr="00931588" w:rsidRDefault="004E294D" w:rsidP="00113B6B">
      <w:pPr>
        <w:pStyle w:val="Heading2"/>
      </w:pPr>
      <w:bookmarkStart w:id="7" w:name="_Toc166238135"/>
      <w:r w:rsidRPr="00931588">
        <w:t>DEFINITIONS and ABBREVIATIONS</w:t>
      </w:r>
      <w:bookmarkEnd w:id="7"/>
    </w:p>
    <w:p w14:paraId="1E47AB13" w14:textId="77777777" w:rsidR="00AA00D6" w:rsidRDefault="00AA00D6" w:rsidP="00113B6B">
      <w:pPr>
        <w:spacing w:before="60" w:after="0"/>
        <w:contextualSpacing/>
        <w:jc w:val="both"/>
        <w:rPr>
          <w:rFonts w:asciiTheme="minorHAnsi" w:hAnsiTheme="minorHAnsi" w:cs="Arial"/>
          <w:b/>
          <w:color w:val="000000"/>
          <w:shd w:val="clear" w:color="auto" w:fill="FFFFFF"/>
        </w:rPr>
      </w:pPr>
    </w:p>
    <w:p w14:paraId="3E7AC4B4" w14:textId="392F1187" w:rsidR="00665C71" w:rsidRPr="0069276B" w:rsidRDefault="00402C3F" w:rsidP="00113B6B">
      <w:pPr>
        <w:spacing w:before="60" w:after="0"/>
        <w:contextualSpacing/>
        <w:jc w:val="both"/>
        <w:rPr>
          <w:rFonts w:asciiTheme="minorHAnsi" w:hAnsiTheme="minorHAnsi" w:cs="Arial"/>
          <w:color w:val="000000"/>
          <w:shd w:val="clear" w:color="auto" w:fill="FFFFFF"/>
        </w:rPr>
      </w:pPr>
      <w:r>
        <w:rPr>
          <w:rFonts w:asciiTheme="minorHAnsi" w:hAnsiTheme="minorHAnsi" w:cs="Arial"/>
          <w:b/>
          <w:color w:val="000000"/>
          <w:shd w:val="clear" w:color="auto" w:fill="FFFFFF"/>
        </w:rPr>
        <w:t>Directly Observed Therapy (</w:t>
      </w:r>
      <w:r w:rsidR="00B8696E" w:rsidRPr="0069276B">
        <w:rPr>
          <w:rFonts w:asciiTheme="minorHAnsi" w:hAnsiTheme="minorHAnsi" w:cs="Arial"/>
          <w:b/>
          <w:color w:val="000000"/>
          <w:shd w:val="clear" w:color="auto" w:fill="FFFFFF"/>
        </w:rPr>
        <w:t>DOT</w:t>
      </w:r>
      <w:r>
        <w:rPr>
          <w:rFonts w:asciiTheme="minorHAnsi" w:hAnsiTheme="minorHAnsi" w:cs="Arial"/>
          <w:b/>
          <w:color w:val="000000"/>
          <w:shd w:val="clear" w:color="auto" w:fill="FFFFFF"/>
        </w:rPr>
        <w:t>)</w:t>
      </w:r>
      <w:r w:rsidR="00B8696E" w:rsidRPr="0069276B">
        <w:rPr>
          <w:rFonts w:asciiTheme="minorHAnsi" w:hAnsiTheme="minorHAnsi" w:cs="Arial"/>
          <w:color w:val="000000"/>
          <w:shd w:val="clear" w:color="auto" w:fill="FFFFFF"/>
        </w:rPr>
        <w:t xml:space="preserve"> means that a trained health care worker or other designated individual watches the </w:t>
      </w:r>
      <w:r w:rsidR="00054569">
        <w:rPr>
          <w:rFonts w:asciiTheme="minorHAnsi" w:hAnsiTheme="minorHAnsi" w:cs="Arial"/>
          <w:color w:val="000000"/>
          <w:shd w:val="clear" w:color="auto" w:fill="FFFFFF"/>
        </w:rPr>
        <w:t>participant</w:t>
      </w:r>
      <w:r w:rsidR="00B8696E" w:rsidRPr="0069276B">
        <w:rPr>
          <w:rFonts w:asciiTheme="minorHAnsi" w:hAnsiTheme="minorHAnsi" w:cs="Arial"/>
          <w:color w:val="000000"/>
          <w:shd w:val="clear" w:color="auto" w:fill="FFFFFF"/>
        </w:rPr>
        <w:t xml:space="preserve"> swallow every dose</w:t>
      </w:r>
      <w:r w:rsidR="00A15E29" w:rsidRPr="00A15E29">
        <w:rPr>
          <w:rFonts w:asciiTheme="minorHAnsi" w:hAnsiTheme="minorHAnsi" w:cs="Arial"/>
          <w:color w:val="000000"/>
          <w:shd w:val="clear" w:color="auto" w:fill="FFFFFF"/>
        </w:rPr>
        <w:t xml:space="preserve"> </w:t>
      </w:r>
      <w:r w:rsidR="00A15E29">
        <w:rPr>
          <w:rFonts w:asciiTheme="minorHAnsi" w:hAnsiTheme="minorHAnsi" w:cs="Arial"/>
          <w:color w:val="000000"/>
          <w:shd w:val="clear" w:color="auto" w:fill="FFFFFF"/>
        </w:rPr>
        <w:t xml:space="preserve">of </w:t>
      </w:r>
      <w:r w:rsidR="00A15E29" w:rsidRPr="0069276B">
        <w:rPr>
          <w:rFonts w:asciiTheme="minorHAnsi" w:hAnsiTheme="minorHAnsi" w:cs="Arial"/>
          <w:color w:val="000000"/>
          <w:shd w:val="clear" w:color="auto" w:fill="FFFFFF"/>
        </w:rPr>
        <w:t>the prescribed TB drugs</w:t>
      </w:r>
      <w:r w:rsidR="00B8696E" w:rsidRPr="0069276B">
        <w:rPr>
          <w:rFonts w:asciiTheme="minorHAnsi" w:hAnsiTheme="minorHAnsi" w:cs="Arial"/>
          <w:color w:val="000000"/>
          <w:shd w:val="clear" w:color="auto" w:fill="FFFFFF"/>
        </w:rPr>
        <w:t>.</w:t>
      </w:r>
      <w:r w:rsidR="00483399">
        <w:rPr>
          <w:rFonts w:asciiTheme="minorHAnsi" w:hAnsiTheme="minorHAnsi"/>
        </w:rPr>
        <w:t xml:space="preserve"> </w:t>
      </w:r>
    </w:p>
    <w:p w14:paraId="06D90E34" w14:textId="234B94F6" w:rsidR="007930EA" w:rsidRDefault="3910860E" w:rsidP="3910860E">
      <w:pPr>
        <w:spacing w:before="60" w:after="0"/>
        <w:contextualSpacing/>
        <w:jc w:val="both"/>
        <w:rPr>
          <w:rFonts w:asciiTheme="minorHAnsi" w:hAnsiTheme="minorHAnsi"/>
        </w:rPr>
      </w:pPr>
      <w:r w:rsidRPr="3910860E">
        <w:rPr>
          <w:rFonts w:asciiTheme="minorHAnsi" w:hAnsiTheme="minorHAnsi"/>
        </w:rPr>
        <w:t xml:space="preserve">In the endTB clinical trials, DOT may be </w:t>
      </w:r>
      <w:r w:rsidRPr="3910860E">
        <w:rPr>
          <w:rFonts w:asciiTheme="minorHAnsi" w:hAnsiTheme="minorHAnsi"/>
          <w:b/>
          <w:bCs/>
          <w:i/>
          <w:iCs/>
        </w:rPr>
        <w:t>clinic based or home-based. Clinic based</w:t>
      </w:r>
      <w:r w:rsidRPr="3910860E">
        <w:rPr>
          <w:rFonts w:asciiTheme="minorHAnsi" w:hAnsiTheme="minorHAnsi"/>
        </w:rPr>
        <w:t xml:space="preserve"> DOT will be performed in inpatient or outpatient departments of hospitals or other healthcare facilities. </w:t>
      </w:r>
      <w:r w:rsidRPr="3910860E">
        <w:rPr>
          <w:rFonts w:asciiTheme="minorHAnsi" w:hAnsiTheme="minorHAnsi"/>
          <w:b/>
          <w:bCs/>
          <w:i/>
          <w:iCs/>
        </w:rPr>
        <w:t>Home-based DOT</w:t>
      </w:r>
      <w:r w:rsidRPr="3910860E">
        <w:rPr>
          <w:rFonts w:asciiTheme="minorHAnsi" w:hAnsiTheme="minorHAnsi"/>
        </w:rPr>
        <w:t xml:space="preserve"> will be performed by a nurse or a community health worker or </w:t>
      </w:r>
      <w:r w:rsidR="00407360">
        <w:rPr>
          <w:rFonts w:asciiTheme="minorHAnsi" w:hAnsiTheme="minorHAnsi"/>
        </w:rPr>
        <w:t>the participant’s</w:t>
      </w:r>
      <w:r w:rsidRPr="3910860E">
        <w:rPr>
          <w:rFonts w:asciiTheme="minorHAnsi" w:hAnsiTheme="minorHAnsi"/>
        </w:rPr>
        <w:t xml:space="preserve"> relative/friend (called treatment supporter) trained under the supervision of a trial investigator or other delegated trial staff member. DOT is organized differently in each study site but follows principles listed above. For the trial purpose, it is important to precisely record adherence to treatment for each drug to be able to assess the level of drug exposure and to interpret the treatment efficacy results in regards to the treatment exposure.</w:t>
      </w:r>
    </w:p>
    <w:p w14:paraId="50028814" w14:textId="77777777" w:rsidR="00C30560" w:rsidRDefault="00C30560" w:rsidP="00113B6B">
      <w:pPr>
        <w:spacing w:before="60" w:after="0"/>
        <w:contextualSpacing/>
        <w:jc w:val="both"/>
        <w:rPr>
          <w:rFonts w:asciiTheme="minorHAnsi" w:hAnsiTheme="minorHAnsi"/>
        </w:rPr>
      </w:pPr>
    </w:p>
    <w:p w14:paraId="0C2B4109" w14:textId="7F2B69C3" w:rsidR="007A2DE3" w:rsidRDefault="007A2DE3">
      <w:pPr>
        <w:jc w:val="both"/>
      </w:pPr>
      <w:r w:rsidRPr="003703EC">
        <w:rPr>
          <w:rFonts w:asciiTheme="minorHAnsi" w:hAnsiTheme="minorHAnsi"/>
          <w:b/>
        </w:rPr>
        <w:t>D</w:t>
      </w:r>
      <w:r w:rsidRPr="003703EC">
        <w:rPr>
          <w:b/>
        </w:rPr>
        <w:t>aily dose</w:t>
      </w:r>
      <w:r>
        <w:t xml:space="preserve">: The compilation of all anti-tuberculosis medications prescribed for a given day, including morning and evening doses. Anti-tuberculosis medications considered in the daily dose include: </w:t>
      </w:r>
      <w:r w:rsidR="00C30560">
        <w:rPr>
          <w:spacing w:val="-2"/>
        </w:rPr>
        <w:t>am</w:t>
      </w:r>
      <w:r w:rsidR="00C30560">
        <w:rPr>
          <w:spacing w:val="2"/>
        </w:rPr>
        <w:t>i</w:t>
      </w:r>
      <w:r w:rsidR="00C30560">
        <w:rPr>
          <w:spacing w:val="-5"/>
        </w:rPr>
        <w:t>k</w:t>
      </w:r>
      <w:r w:rsidR="00C30560">
        <w:t>a</w:t>
      </w:r>
      <w:r w:rsidR="00C30560">
        <w:rPr>
          <w:spacing w:val="-3"/>
        </w:rPr>
        <w:t>c</w:t>
      </w:r>
      <w:r w:rsidR="00C30560">
        <w:t>i</w:t>
      </w:r>
      <w:r w:rsidR="00C30560">
        <w:rPr>
          <w:spacing w:val="-3"/>
        </w:rPr>
        <w:t>n</w:t>
      </w:r>
      <w:r w:rsidR="00C30560">
        <w:t>,</w:t>
      </w:r>
      <w:r w:rsidR="00C30560">
        <w:rPr>
          <w:spacing w:val="15"/>
        </w:rPr>
        <w:t xml:space="preserve"> </w:t>
      </w:r>
      <w:r w:rsidR="00C30560">
        <w:rPr>
          <w:spacing w:val="-2"/>
        </w:rPr>
        <w:t>b</w:t>
      </w:r>
      <w:r w:rsidR="00C30560">
        <w:t>e</w:t>
      </w:r>
      <w:r w:rsidR="00C30560">
        <w:rPr>
          <w:spacing w:val="-1"/>
        </w:rPr>
        <w:t>d</w:t>
      </w:r>
      <w:r w:rsidR="00C30560">
        <w:t>a</w:t>
      </w:r>
      <w:r w:rsidR="00C30560">
        <w:rPr>
          <w:spacing w:val="-3"/>
        </w:rPr>
        <w:t>qu</w:t>
      </w:r>
      <w:r w:rsidR="00C30560">
        <w:rPr>
          <w:spacing w:val="2"/>
        </w:rPr>
        <w:t>i</w:t>
      </w:r>
      <w:r w:rsidR="00C30560">
        <w:rPr>
          <w:spacing w:val="-2"/>
        </w:rPr>
        <w:t>l</w:t>
      </w:r>
      <w:r w:rsidR="00C30560">
        <w:t>i</w:t>
      </w:r>
      <w:r w:rsidR="00C30560">
        <w:rPr>
          <w:spacing w:val="-3"/>
        </w:rPr>
        <w:t>n</w:t>
      </w:r>
      <w:r w:rsidR="00C30560">
        <w:t>e,</w:t>
      </w:r>
      <w:r w:rsidR="00C30560">
        <w:rPr>
          <w:spacing w:val="12"/>
        </w:rPr>
        <w:t xml:space="preserve"> </w:t>
      </w:r>
      <w:r w:rsidR="00C30560">
        <w:t>ca</w:t>
      </w:r>
      <w:r w:rsidR="00C30560">
        <w:rPr>
          <w:spacing w:val="-1"/>
        </w:rPr>
        <w:t>p</w:t>
      </w:r>
      <w:r w:rsidR="00C30560">
        <w:rPr>
          <w:spacing w:val="-3"/>
        </w:rPr>
        <w:t>r</w:t>
      </w:r>
      <w:r w:rsidR="00C30560">
        <w:rPr>
          <w:spacing w:val="-2"/>
        </w:rPr>
        <w:t>e</w:t>
      </w:r>
      <w:r w:rsidR="00C30560">
        <w:rPr>
          <w:spacing w:val="-1"/>
        </w:rPr>
        <w:t>o</w:t>
      </w:r>
      <w:r w:rsidR="00C30560">
        <w:t>m</w:t>
      </w:r>
      <w:r w:rsidR="00C30560">
        <w:rPr>
          <w:spacing w:val="-2"/>
        </w:rPr>
        <w:t>y</w:t>
      </w:r>
      <w:r w:rsidR="00C30560">
        <w:t>c</w:t>
      </w:r>
      <w:r w:rsidR="00C30560">
        <w:rPr>
          <w:spacing w:val="2"/>
        </w:rPr>
        <w:t>i</w:t>
      </w:r>
      <w:r w:rsidR="00C30560">
        <w:rPr>
          <w:spacing w:val="-3"/>
        </w:rPr>
        <w:t>n</w:t>
      </w:r>
      <w:r w:rsidR="00C30560">
        <w:t>,</w:t>
      </w:r>
      <w:r w:rsidR="00C30560">
        <w:rPr>
          <w:spacing w:val="12"/>
        </w:rPr>
        <w:t xml:space="preserve"> </w:t>
      </w:r>
      <w:r w:rsidR="00C30560">
        <w:rPr>
          <w:spacing w:val="-5"/>
        </w:rPr>
        <w:t>c</w:t>
      </w:r>
      <w:r w:rsidR="00C30560">
        <w:rPr>
          <w:spacing w:val="2"/>
        </w:rPr>
        <w:t>l</w:t>
      </w:r>
      <w:r w:rsidR="00C30560">
        <w:rPr>
          <w:spacing w:val="-3"/>
        </w:rPr>
        <w:t>o</w:t>
      </w:r>
      <w:r w:rsidR="00C30560">
        <w:t>f</w:t>
      </w:r>
      <w:r w:rsidR="00C30560">
        <w:rPr>
          <w:spacing w:val="-3"/>
        </w:rPr>
        <w:t>a</w:t>
      </w:r>
      <w:r w:rsidR="00C30560">
        <w:rPr>
          <w:spacing w:val="-1"/>
        </w:rPr>
        <w:t>z</w:t>
      </w:r>
      <w:r w:rsidR="00C30560">
        <w:t>i</w:t>
      </w:r>
      <w:r w:rsidR="00C30560">
        <w:rPr>
          <w:spacing w:val="-2"/>
        </w:rPr>
        <w:t>m</w:t>
      </w:r>
      <w:r w:rsidR="00C30560">
        <w:t>i</w:t>
      </w:r>
      <w:r w:rsidR="00C30560">
        <w:rPr>
          <w:spacing w:val="-1"/>
        </w:rPr>
        <w:t>n</w:t>
      </w:r>
      <w:r w:rsidR="00C30560">
        <w:rPr>
          <w:spacing w:val="-2"/>
        </w:rPr>
        <w:t>e</w:t>
      </w:r>
      <w:r w:rsidR="00C30560">
        <w:t>,</w:t>
      </w:r>
      <w:r w:rsidR="00C30560">
        <w:rPr>
          <w:spacing w:val="12"/>
        </w:rPr>
        <w:t xml:space="preserve"> </w:t>
      </w:r>
      <w:r w:rsidR="00C30560">
        <w:rPr>
          <w:spacing w:val="-2"/>
        </w:rPr>
        <w:t>c</w:t>
      </w:r>
      <w:r w:rsidR="00C30560">
        <w:t>y</w:t>
      </w:r>
      <w:r w:rsidR="00C30560">
        <w:rPr>
          <w:spacing w:val="-3"/>
        </w:rPr>
        <w:t>c</w:t>
      </w:r>
      <w:r w:rsidR="00C30560">
        <w:rPr>
          <w:spacing w:val="-2"/>
        </w:rPr>
        <w:t>l</w:t>
      </w:r>
      <w:r w:rsidR="00C30560">
        <w:rPr>
          <w:spacing w:val="-1"/>
        </w:rPr>
        <w:t>o</w:t>
      </w:r>
      <w:r w:rsidR="00C30560">
        <w:t>se</w:t>
      </w:r>
      <w:r w:rsidR="00C30560">
        <w:rPr>
          <w:spacing w:val="-1"/>
        </w:rPr>
        <w:t>r</w:t>
      </w:r>
      <w:r w:rsidR="00C30560">
        <w:t>i</w:t>
      </w:r>
      <w:r w:rsidR="00C30560">
        <w:rPr>
          <w:spacing w:val="-1"/>
        </w:rPr>
        <w:t>n</w:t>
      </w:r>
      <w:r w:rsidR="00C30560">
        <w:rPr>
          <w:spacing w:val="-2"/>
        </w:rPr>
        <w:t>e</w:t>
      </w:r>
      <w:r w:rsidR="00C30560">
        <w:t xml:space="preserve">, </w:t>
      </w:r>
      <w:r w:rsidR="00C30560">
        <w:rPr>
          <w:spacing w:val="1"/>
        </w:rPr>
        <w:t>d</w:t>
      </w:r>
      <w:r w:rsidR="00C30560">
        <w:rPr>
          <w:spacing w:val="-2"/>
        </w:rPr>
        <w:t>e</w:t>
      </w:r>
      <w:r w:rsidR="00C30560">
        <w:t>l</w:t>
      </w:r>
      <w:r w:rsidR="00C30560">
        <w:rPr>
          <w:spacing w:val="-3"/>
        </w:rPr>
        <w:t>a</w:t>
      </w:r>
      <w:r w:rsidR="00C30560">
        <w:t>ma</w:t>
      </w:r>
      <w:r w:rsidR="00C30560">
        <w:rPr>
          <w:spacing w:val="-5"/>
        </w:rPr>
        <w:t>n</w:t>
      </w:r>
      <w:r w:rsidR="00C30560">
        <w:rPr>
          <w:spacing w:val="2"/>
        </w:rPr>
        <w:t>i</w:t>
      </w:r>
      <w:r w:rsidR="00C30560">
        <w:rPr>
          <w:spacing w:val="-1"/>
        </w:rPr>
        <w:t>d</w:t>
      </w:r>
      <w:r w:rsidR="00C30560">
        <w:t>,</w:t>
      </w:r>
      <w:r w:rsidR="00C30560">
        <w:rPr>
          <w:rFonts w:ascii="Times New Roman" w:eastAsia="Times New Roman" w:hAnsi="Times New Roman"/>
          <w:w w:val="102"/>
        </w:rPr>
        <w:t xml:space="preserve"> </w:t>
      </w:r>
      <w:r w:rsidR="00C30560">
        <w:t>et</w:t>
      </w:r>
      <w:r w:rsidR="00C30560">
        <w:rPr>
          <w:spacing w:val="-1"/>
        </w:rPr>
        <w:t>h</w:t>
      </w:r>
      <w:r w:rsidR="00C30560">
        <w:t>am</w:t>
      </w:r>
      <w:r w:rsidR="00C30560">
        <w:rPr>
          <w:spacing w:val="-3"/>
        </w:rPr>
        <w:t>b</w:t>
      </w:r>
      <w:r w:rsidR="00C30560">
        <w:rPr>
          <w:spacing w:val="-1"/>
        </w:rPr>
        <w:t>u</w:t>
      </w:r>
      <w:r w:rsidR="00C30560">
        <w:t>t</w:t>
      </w:r>
      <w:r w:rsidR="00C30560">
        <w:rPr>
          <w:spacing w:val="-3"/>
        </w:rPr>
        <w:t>o</w:t>
      </w:r>
      <w:r w:rsidR="00C30560">
        <w:t>l,</w:t>
      </w:r>
      <w:r w:rsidR="00C30560">
        <w:rPr>
          <w:spacing w:val="4"/>
        </w:rPr>
        <w:t xml:space="preserve"> </w:t>
      </w:r>
      <w:r w:rsidR="00C30560">
        <w:t>et</w:t>
      </w:r>
      <w:r w:rsidR="00C30560">
        <w:rPr>
          <w:spacing w:val="-3"/>
        </w:rPr>
        <w:t>h</w:t>
      </w:r>
      <w:r w:rsidR="00C30560">
        <w:t>i</w:t>
      </w:r>
      <w:r w:rsidR="00C30560">
        <w:rPr>
          <w:spacing w:val="-1"/>
        </w:rPr>
        <w:t>o</w:t>
      </w:r>
      <w:r w:rsidR="00C30560">
        <w:rPr>
          <w:spacing w:val="-3"/>
        </w:rPr>
        <w:t>n</w:t>
      </w:r>
      <w:r w:rsidR="00C30560">
        <w:t>a</w:t>
      </w:r>
      <w:r w:rsidR="00C30560">
        <w:rPr>
          <w:spacing w:val="-2"/>
        </w:rPr>
        <w:t>m</w:t>
      </w:r>
      <w:r w:rsidR="00C30560">
        <w:rPr>
          <w:spacing w:val="2"/>
        </w:rPr>
        <w:t>i</w:t>
      </w:r>
      <w:r w:rsidR="00C30560">
        <w:rPr>
          <w:spacing w:val="-3"/>
        </w:rPr>
        <w:t>d</w:t>
      </w:r>
      <w:r w:rsidR="00C30560">
        <w:rPr>
          <w:spacing w:val="-2"/>
        </w:rPr>
        <w:t>e</w:t>
      </w:r>
      <w:r w:rsidR="00C30560">
        <w:t>,</w:t>
      </w:r>
      <w:r w:rsidR="00C30560">
        <w:rPr>
          <w:spacing w:val="7"/>
        </w:rPr>
        <w:t xml:space="preserve"> </w:t>
      </w:r>
      <w:r w:rsidR="00C30560">
        <w:rPr>
          <w:spacing w:val="-2"/>
        </w:rPr>
        <w:t>i</w:t>
      </w:r>
      <w:r w:rsidR="00C30560">
        <w:t>s</w:t>
      </w:r>
      <w:r w:rsidR="00C30560">
        <w:rPr>
          <w:spacing w:val="-1"/>
        </w:rPr>
        <w:t>o</w:t>
      </w:r>
      <w:r w:rsidR="00C30560">
        <w:rPr>
          <w:spacing w:val="-3"/>
        </w:rPr>
        <w:t>n</w:t>
      </w:r>
      <w:r w:rsidR="00C30560">
        <w:rPr>
          <w:spacing w:val="2"/>
        </w:rPr>
        <w:t>i</w:t>
      </w:r>
      <w:r w:rsidR="00C30560">
        <w:rPr>
          <w:spacing w:val="-3"/>
        </w:rPr>
        <w:t>a</w:t>
      </w:r>
      <w:r w:rsidR="00C30560">
        <w:rPr>
          <w:spacing w:val="-1"/>
        </w:rPr>
        <w:t>z</w:t>
      </w:r>
      <w:r w:rsidR="00C30560">
        <w:t>i</w:t>
      </w:r>
      <w:r w:rsidR="00C30560">
        <w:rPr>
          <w:spacing w:val="-1"/>
        </w:rPr>
        <w:t>d</w:t>
      </w:r>
      <w:r w:rsidR="00C30560">
        <w:t>,</w:t>
      </w:r>
      <w:r w:rsidR="00C30560">
        <w:rPr>
          <w:spacing w:val="3"/>
        </w:rPr>
        <w:t xml:space="preserve"> </w:t>
      </w:r>
      <w:r w:rsidR="00C30560">
        <w:t>ka</w:t>
      </w:r>
      <w:r w:rsidR="00C30560">
        <w:rPr>
          <w:spacing w:val="-1"/>
        </w:rPr>
        <w:t>n</w:t>
      </w:r>
      <w:r w:rsidR="00C30560">
        <w:rPr>
          <w:spacing w:val="-3"/>
        </w:rPr>
        <w:t>a</w:t>
      </w:r>
      <w:r w:rsidR="00C30560">
        <w:rPr>
          <w:spacing w:val="-2"/>
        </w:rPr>
        <w:t>m</w:t>
      </w:r>
      <w:r w:rsidR="00C30560">
        <w:t>y</w:t>
      </w:r>
      <w:r w:rsidR="00C30560">
        <w:rPr>
          <w:spacing w:val="-3"/>
        </w:rPr>
        <w:t>c</w:t>
      </w:r>
      <w:r w:rsidR="00C30560">
        <w:rPr>
          <w:spacing w:val="2"/>
        </w:rPr>
        <w:t>i</w:t>
      </w:r>
      <w:r w:rsidR="00C30560">
        <w:rPr>
          <w:spacing w:val="-3"/>
        </w:rPr>
        <w:t>n</w:t>
      </w:r>
      <w:r w:rsidR="00C30560">
        <w:t>,</w:t>
      </w:r>
      <w:r w:rsidR="00C30560">
        <w:rPr>
          <w:spacing w:val="2"/>
        </w:rPr>
        <w:t xml:space="preserve"> </w:t>
      </w:r>
      <w:r w:rsidR="00C30560">
        <w:t>lev</w:t>
      </w:r>
      <w:r w:rsidR="00C30560">
        <w:rPr>
          <w:spacing w:val="-3"/>
        </w:rPr>
        <w:t>o</w:t>
      </w:r>
      <w:r w:rsidR="00C30560">
        <w:rPr>
          <w:spacing w:val="-1"/>
        </w:rPr>
        <w:t>f</w:t>
      </w:r>
      <w:r w:rsidR="00C30560">
        <w:t>l</w:t>
      </w:r>
      <w:r w:rsidR="00C30560">
        <w:rPr>
          <w:spacing w:val="-1"/>
        </w:rPr>
        <w:t>o</w:t>
      </w:r>
      <w:r w:rsidR="00C30560">
        <w:t>x</w:t>
      </w:r>
      <w:r w:rsidR="00C30560">
        <w:rPr>
          <w:spacing w:val="-3"/>
        </w:rPr>
        <w:t>ac</w:t>
      </w:r>
      <w:r w:rsidR="00C30560">
        <w:rPr>
          <w:spacing w:val="2"/>
        </w:rPr>
        <w:t>i</w:t>
      </w:r>
      <w:r w:rsidR="00C30560">
        <w:rPr>
          <w:spacing w:val="-1"/>
        </w:rPr>
        <w:t>n</w:t>
      </w:r>
      <w:r w:rsidR="00C30560">
        <w:t>,</w:t>
      </w:r>
      <w:r w:rsidR="00C30560">
        <w:rPr>
          <w:spacing w:val="3"/>
        </w:rPr>
        <w:t xml:space="preserve"> </w:t>
      </w:r>
      <w:r w:rsidR="00C30560">
        <w:rPr>
          <w:spacing w:val="-2"/>
        </w:rPr>
        <w:t>l</w:t>
      </w:r>
      <w:r w:rsidR="00C30560">
        <w:t>i</w:t>
      </w:r>
      <w:r w:rsidR="00C30560">
        <w:rPr>
          <w:spacing w:val="-1"/>
        </w:rPr>
        <w:t>n</w:t>
      </w:r>
      <w:r w:rsidR="00C30560">
        <w:rPr>
          <w:spacing w:val="-2"/>
        </w:rPr>
        <w:t>e</w:t>
      </w:r>
      <w:r w:rsidR="00C30560">
        <w:t>z</w:t>
      </w:r>
      <w:r w:rsidR="00C30560">
        <w:rPr>
          <w:spacing w:val="-3"/>
        </w:rPr>
        <w:t>o</w:t>
      </w:r>
      <w:r w:rsidR="00C30560">
        <w:rPr>
          <w:spacing w:val="-2"/>
        </w:rPr>
        <w:t>l</w:t>
      </w:r>
      <w:r w:rsidR="00C30560">
        <w:rPr>
          <w:spacing w:val="2"/>
        </w:rPr>
        <w:t>i</w:t>
      </w:r>
      <w:r w:rsidR="00C30560">
        <w:rPr>
          <w:spacing w:val="-3"/>
        </w:rPr>
        <w:t>d</w:t>
      </w:r>
      <w:r w:rsidR="00C30560">
        <w:t>,</w:t>
      </w:r>
      <w:r w:rsidR="00C30560">
        <w:rPr>
          <w:spacing w:val="4"/>
        </w:rPr>
        <w:t xml:space="preserve"> </w:t>
      </w:r>
      <w:r w:rsidR="00C30560">
        <w:t>m</w:t>
      </w:r>
      <w:r w:rsidR="00C30560">
        <w:rPr>
          <w:spacing w:val="-3"/>
        </w:rPr>
        <w:t>o</w:t>
      </w:r>
      <w:r w:rsidR="00C30560">
        <w:rPr>
          <w:spacing w:val="-2"/>
        </w:rPr>
        <w:t>x</w:t>
      </w:r>
      <w:r w:rsidR="00C30560">
        <w:rPr>
          <w:spacing w:val="2"/>
        </w:rPr>
        <w:t>i</w:t>
      </w:r>
      <w:r w:rsidR="00C30560">
        <w:rPr>
          <w:spacing w:val="-4"/>
        </w:rPr>
        <w:t>f</w:t>
      </w:r>
      <w:r w:rsidR="00C30560">
        <w:t>l</w:t>
      </w:r>
      <w:r w:rsidR="00C30560">
        <w:rPr>
          <w:spacing w:val="-1"/>
        </w:rPr>
        <w:t>o</w:t>
      </w:r>
      <w:r w:rsidR="00C30560">
        <w:t>xa</w:t>
      </w:r>
      <w:r w:rsidR="00C30560">
        <w:rPr>
          <w:spacing w:val="-3"/>
        </w:rPr>
        <w:t>c</w:t>
      </w:r>
      <w:r w:rsidR="00C30560">
        <w:t>i</w:t>
      </w:r>
      <w:r w:rsidR="00C30560">
        <w:rPr>
          <w:spacing w:val="-1"/>
        </w:rPr>
        <w:t>n</w:t>
      </w:r>
      <w:r w:rsidR="00C30560">
        <w:t>,</w:t>
      </w:r>
      <w:r w:rsidR="00C30560">
        <w:rPr>
          <w:spacing w:val="3"/>
        </w:rPr>
        <w:t xml:space="preserve"> </w:t>
      </w:r>
      <w:r w:rsidR="00C30560">
        <w:t>PA</w:t>
      </w:r>
      <w:r w:rsidR="00C30560">
        <w:rPr>
          <w:spacing w:val="-1"/>
        </w:rPr>
        <w:t>S</w:t>
      </w:r>
      <w:r w:rsidR="00C30560">
        <w:t>,</w:t>
      </w:r>
      <w:r w:rsidR="00C30560">
        <w:rPr>
          <w:rFonts w:ascii="Times New Roman" w:eastAsia="Times New Roman" w:hAnsi="Times New Roman"/>
          <w:w w:val="102"/>
        </w:rPr>
        <w:t xml:space="preserve"> </w:t>
      </w:r>
      <w:proofErr w:type="spellStart"/>
      <w:r w:rsidR="00C30560">
        <w:t>p</w:t>
      </w:r>
      <w:r w:rsidR="00C30560" w:rsidRPr="00A65297">
        <w:t>ro</w:t>
      </w:r>
      <w:r w:rsidR="00C30560">
        <w:t>t</w:t>
      </w:r>
      <w:r w:rsidR="00C30560" w:rsidRPr="00A65297">
        <w:t>h</w:t>
      </w:r>
      <w:r w:rsidR="00C30560">
        <w:t>i</w:t>
      </w:r>
      <w:r w:rsidR="00C30560" w:rsidRPr="00A65297">
        <w:t>onamid</w:t>
      </w:r>
      <w:r w:rsidR="00C30560">
        <w:t>e</w:t>
      </w:r>
      <w:proofErr w:type="spellEnd"/>
      <w:r w:rsidR="00C30560">
        <w:t>,</w:t>
      </w:r>
      <w:r w:rsidR="00C30560" w:rsidRPr="00A65297">
        <w:t xml:space="preserve"> </w:t>
      </w:r>
      <w:r w:rsidR="00420E24" w:rsidRPr="00A65297">
        <w:t>pyrazinamide</w:t>
      </w:r>
      <w:r w:rsidR="00343518" w:rsidRPr="00A65297">
        <w:t xml:space="preserve"> </w:t>
      </w:r>
      <w:r w:rsidR="00C30560" w:rsidRPr="00A65297">
        <w:t>and</w:t>
      </w:r>
      <w:r w:rsidR="00C30560">
        <w:rPr>
          <w:spacing w:val="-4"/>
        </w:rPr>
        <w:t xml:space="preserve"> terizidon</w:t>
      </w:r>
      <w:r w:rsidR="002B3C80">
        <w:rPr>
          <w:spacing w:val="-4"/>
        </w:rPr>
        <w:t>e</w:t>
      </w:r>
      <w:r w:rsidR="00C30560">
        <w:rPr>
          <w:spacing w:val="-4"/>
        </w:rPr>
        <w:t>.</w:t>
      </w:r>
    </w:p>
    <w:p w14:paraId="726A9A9B" w14:textId="77777777" w:rsidR="00D906DD" w:rsidRDefault="00D906DD">
      <w:pPr>
        <w:spacing w:before="60" w:after="0"/>
        <w:contextualSpacing/>
        <w:jc w:val="both"/>
        <w:rPr>
          <w:rFonts w:asciiTheme="minorHAnsi" w:hAnsiTheme="minorHAnsi"/>
          <w:b/>
          <w:bCs/>
        </w:rPr>
      </w:pPr>
    </w:p>
    <w:p w14:paraId="7EBA302E" w14:textId="3F856D2E" w:rsidR="00AC6AEC" w:rsidRPr="00AC6AEC" w:rsidRDefault="00AC6AEC">
      <w:pPr>
        <w:spacing w:before="60" w:after="0"/>
        <w:contextualSpacing/>
        <w:jc w:val="both"/>
        <w:rPr>
          <w:rFonts w:asciiTheme="minorHAnsi" w:hAnsiTheme="minorHAnsi"/>
          <w:b/>
        </w:rPr>
      </w:pPr>
      <w:r w:rsidRPr="00AC6AEC">
        <w:rPr>
          <w:rFonts w:asciiTheme="minorHAnsi" w:hAnsiTheme="minorHAnsi"/>
          <w:b/>
          <w:bCs/>
        </w:rPr>
        <w:lastRenderedPageBreak/>
        <w:t xml:space="preserve">Institutional Review Board (IRB): </w:t>
      </w:r>
      <w:r w:rsidRPr="00305EE9">
        <w:rPr>
          <w:rFonts w:asciiTheme="minorHAnsi" w:hAnsiTheme="minorHAnsi"/>
        </w:rPr>
        <w:t>An independent body constituted of medical, scientific, and nonscientific members, whose responsibility it is to ensure the protection of the rights, safety, and well-being of human subjects involved in a trial by, among other things, reviewing, approving, and providing continuing review of trials, of protocols and amendments, and of the methods and material to be used in obtaining and documenting informed consent of the trial subjects.</w:t>
      </w:r>
    </w:p>
    <w:p w14:paraId="47D748ED" w14:textId="77777777" w:rsidR="00D906DD" w:rsidRDefault="00D906DD">
      <w:pPr>
        <w:spacing w:before="60" w:after="0"/>
        <w:contextualSpacing/>
        <w:jc w:val="both"/>
        <w:rPr>
          <w:rFonts w:asciiTheme="minorHAnsi" w:hAnsiTheme="minorHAnsi"/>
          <w:b/>
        </w:rPr>
      </w:pPr>
    </w:p>
    <w:p w14:paraId="29157B73" w14:textId="1BAE3FBD" w:rsidR="00492A07" w:rsidRPr="0069276B" w:rsidRDefault="00AC6AEC">
      <w:pPr>
        <w:spacing w:before="60" w:after="0"/>
        <w:contextualSpacing/>
        <w:jc w:val="both"/>
        <w:rPr>
          <w:rFonts w:asciiTheme="minorHAnsi" w:hAnsiTheme="minorHAnsi"/>
        </w:rPr>
      </w:pPr>
      <w:r>
        <w:rPr>
          <w:rFonts w:asciiTheme="minorHAnsi" w:hAnsiTheme="minorHAnsi"/>
          <w:b/>
        </w:rPr>
        <w:t xml:space="preserve">IP </w:t>
      </w:r>
      <w:r w:rsidR="008971E6">
        <w:rPr>
          <w:rFonts w:asciiTheme="minorHAnsi" w:hAnsiTheme="minorHAnsi"/>
          <w:b/>
        </w:rPr>
        <w:t>D</w:t>
      </w:r>
      <w:r>
        <w:rPr>
          <w:rFonts w:asciiTheme="minorHAnsi" w:hAnsiTheme="minorHAnsi"/>
          <w:b/>
        </w:rPr>
        <w:t xml:space="preserve">ispensation </w:t>
      </w:r>
      <w:r w:rsidR="008971E6">
        <w:rPr>
          <w:rFonts w:asciiTheme="minorHAnsi" w:hAnsiTheme="minorHAnsi"/>
          <w:b/>
        </w:rPr>
        <w:t>L</w:t>
      </w:r>
      <w:r>
        <w:rPr>
          <w:rFonts w:asciiTheme="minorHAnsi" w:hAnsiTheme="minorHAnsi"/>
          <w:b/>
        </w:rPr>
        <w:t>og</w:t>
      </w:r>
      <w:r w:rsidR="00492A07">
        <w:rPr>
          <w:rFonts w:asciiTheme="minorHAnsi" w:hAnsiTheme="minorHAnsi"/>
        </w:rPr>
        <w:t>: a document u</w:t>
      </w:r>
      <w:r w:rsidR="00492A07">
        <w:rPr>
          <w:color w:val="000000"/>
        </w:rPr>
        <w:t xml:space="preserve">sed to track each unit of IP dispensed to a </w:t>
      </w:r>
      <w:r w:rsidR="00407360">
        <w:rPr>
          <w:color w:val="000000"/>
        </w:rPr>
        <w:t>participant</w:t>
      </w:r>
      <w:r w:rsidR="00492A07">
        <w:rPr>
          <w:color w:val="000000"/>
        </w:rPr>
        <w:t xml:space="preserve">; one IP Dispensation Log is maintained for each unique type of IP. The IP Dispensation Log will be </w:t>
      </w:r>
      <w:r w:rsidR="00333BA5">
        <w:rPr>
          <w:color w:val="000000"/>
        </w:rPr>
        <w:t xml:space="preserve">completed at </w:t>
      </w:r>
      <w:r w:rsidR="00492A07">
        <w:rPr>
          <w:color w:val="000000"/>
        </w:rPr>
        <w:t>the</w:t>
      </w:r>
      <w:r w:rsidR="00420E24">
        <w:rPr>
          <w:color w:val="000000"/>
        </w:rPr>
        <w:t xml:space="preserve"> dispens</w:t>
      </w:r>
      <w:r w:rsidR="008971E6">
        <w:rPr>
          <w:color w:val="000000"/>
        </w:rPr>
        <w:t>ing</w:t>
      </w:r>
      <w:r w:rsidR="00420E24">
        <w:rPr>
          <w:color w:val="000000"/>
        </w:rPr>
        <w:t xml:space="preserve"> pharmacy (in case of home-based DOT), </w:t>
      </w:r>
      <w:r w:rsidR="00492A07">
        <w:rPr>
          <w:color w:val="000000"/>
        </w:rPr>
        <w:t>designated wards and/or DOT corners where IPs are dispensed to participants.</w:t>
      </w:r>
    </w:p>
    <w:p w14:paraId="4B507CE6" w14:textId="77777777" w:rsidR="00D906DD" w:rsidRDefault="00D906DD">
      <w:pPr>
        <w:spacing w:before="60" w:after="0"/>
        <w:contextualSpacing/>
        <w:jc w:val="both"/>
        <w:rPr>
          <w:rFonts w:asciiTheme="minorHAnsi" w:hAnsiTheme="minorHAnsi"/>
          <w:b/>
        </w:rPr>
      </w:pPr>
    </w:p>
    <w:p w14:paraId="15D89D4B" w14:textId="2337355D" w:rsidR="00420E24" w:rsidRPr="00B967AF" w:rsidRDefault="00360BA6" w:rsidP="004D598D">
      <w:pPr>
        <w:pStyle w:val="ListNumber"/>
        <w:tabs>
          <w:tab w:val="clear" w:pos="360"/>
          <w:tab w:val="num" w:pos="0"/>
        </w:tabs>
        <w:ind w:left="0" w:firstLine="0"/>
        <w:jc w:val="both"/>
      </w:pPr>
      <w:r w:rsidRPr="00665278">
        <w:rPr>
          <w:rFonts w:asciiTheme="minorHAnsi" w:hAnsiTheme="minorHAnsi"/>
          <w:b/>
        </w:rPr>
        <w:t>Investigational product (IP):</w:t>
      </w:r>
      <w:r w:rsidR="0092415A">
        <w:rPr>
          <w:rFonts w:asciiTheme="minorHAnsi" w:hAnsiTheme="minorHAnsi"/>
        </w:rPr>
        <w:t xml:space="preserve"> </w:t>
      </w:r>
      <w:r w:rsidR="00420E24">
        <w:t>A</w:t>
      </w:r>
      <w:r w:rsidR="00420E24" w:rsidRPr="00B967AF">
        <w:t xml:space="preserve">ll the </w:t>
      </w:r>
      <w:r w:rsidR="00420E24">
        <w:t xml:space="preserve">TB </w:t>
      </w:r>
      <w:r w:rsidR="00420E24" w:rsidRPr="00B967AF">
        <w:t xml:space="preserve">drugs listed in </w:t>
      </w:r>
      <w:r w:rsidR="00420E24">
        <w:t xml:space="preserve">the endTB </w:t>
      </w:r>
      <w:r w:rsidR="008971E6">
        <w:t>c</w:t>
      </w:r>
      <w:r w:rsidR="00420E24">
        <w:t xml:space="preserve">linical </w:t>
      </w:r>
      <w:r w:rsidR="008971E6">
        <w:t>t</w:t>
      </w:r>
      <w:r w:rsidR="00420E24">
        <w:t xml:space="preserve">rial </w:t>
      </w:r>
      <w:r w:rsidR="008971E6">
        <w:t>p</w:t>
      </w:r>
      <w:r w:rsidR="00420E24">
        <w:t>rotocol</w:t>
      </w:r>
      <w:r w:rsidR="00582C22">
        <w:t>s</w:t>
      </w:r>
      <w:r w:rsidR="00420E24" w:rsidRPr="00B967AF">
        <w:t xml:space="preserve"> are considered IP</w:t>
      </w:r>
      <w:r w:rsidR="00420E24">
        <w:t xml:space="preserve">s: </w:t>
      </w:r>
      <w:r w:rsidR="008603A6">
        <w:t>a</w:t>
      </w:r>
      <w:r w:rsidR="00420E24">
        <w:t xml:space="preserve">mikacin, </w:t>
      </w:r>
      <w:proofErr w:type="spellStart"/>
      <w:r w:rsidR="008603A6">
        <w:t>b</w:t>
      </w:r>
      <w:r w:rsidR="00420E24">
        <w:t>edaquiline</w:t>
      </w:r>
      <w:proofErr w:type="spellEnd"/>
      <w:r w:rsidR="00420E24">
        <w:t xml:space="preserve">, </w:t>
      </w:r>
      <w:r w:rsidR="008603A6">
        <w:t>c</w:t>
      </w:r>
      <w:r w:rsidR="00420E24">
        <w:t xml:space="preserve">apreomycin, </w:t>
      </w:r>
      <w:r w:rsidR="008603A6">
        <w:t>c</w:t>
      </w:r>
      <w:r w:rsidR="00420E24">
        <w:t xml:space="preserve">lofazimine, </w:t>
      </w:r>
      <w:proofErr w:type="spellStart"/>
      <w:r w:rsidR="008603A6">
        <w:t>c</w:t>
      </w:r>
      <w:r w:rsidR="00420E24">
        <w:t>ycloserine</w:t>
      </w:r>
      <w:proofErr w:type="spellEnd"/>
      <w:r w:rsidR="00420E24">
        <w:t xml:space="preserve">, </w:t>
      </w:r>
      <w:proofErr w:type="spellStart"/>
      <w:r w:rsidR="008603A6">
        <w:t>d</w:t>
      </w:r>
      <w:r w:rsidR="00420E24">
        <w:t>elamanid</w:t>
      </w:r>
      <w:proofErr w:type="spellEnd"/>
      <w:r w:rsidR="00420E24">
        <w:t xml:space="preserve">, </w:t>
      </w:r>
      <w:r w:rsidR="008603A6">
        <w:t>e</w:t>
      </w:r>
      <w:r w:rsidR="00420E24">
        <w:t xml:space="preserve">thambutol, </w:t>
      </w:r>
      <w:r w:rsidR="008603A6">
        <w:t>e</w:t>
      </w:r>
      <w:r w:rsidR="00420E24">
        <w:t xml:space="preserve">thionamide, </w:t>
      </w:r>
      <w:r w:rsidR="008603A6">
        <w:t>i</w:t>
      </w:r>
      <w:r w:rsidR="00420E24">
        <w:t xml:space="preserve">soniazid, </w:t>
      </w:r>
      <w:r w:rsidR="008603A6">
        <w:t>k</w:t>
      </w:r>
      <w:r w:rsidR="00420E24">
        <w:t xml:space="preserve">anamycin, </w:t>
      </w:r>
      <w:r w:rsidR="008603A6">
        <w:t>l</w:t>
      </w:r>
      <w:r w:rsidR="00420E24">
        <w:t xml:space="preserve">evofloxacin, </w:t>
      </w:r>
      <w:r w:rsidR="008603A6">
        <w:t>l</w:t>
      </w:r>
      <w:r w:rsidR="00420E24">
        <w:t xml:space="preserve">inezolid, </w:t>
      </w:r>
      <w:r w:rsidR="008603A6">
        <w:t>m</w:t>
      </w:r>
      <w:r w:rsidR="00420E24">
        <w:t xml:space="preserve">oxifloxacin, PAS, </w:t>
      </w:r>
      <w:proofErr w:type="spellStart"/>
      <w:r w:rsidR="008603A6">
        <w:t>p</w:t>
      </w:r>
      <w:r w:rsidR="00420E24">
        <w:t>rothionamide</w:t>
      </w:r>
      <w:proofErr w:type="spellEnd"/>
      <w:r w:rsidR="00420E24">
        <w:t xml:space="preserve">, </w:t>
      </w:r>
      <w:r w:rsidR="008603A6">
        <w:t>p</w:t>
      </w:r>
      <w:r w:rsidR="00420E24">
        <w:t xml:space="preserve">yrazinamide and </w:t>
      </w:r>
      <w:r w:rsidR="008603A6">
        <w:t>t</w:t>
      </w:r>
      <w:r w:rsidR="00420E24">
        <w:t>erizidone</w:t>
      </w:r>
      <w:r w:rsidR="00420E24" w:rsidRPr="00B967AF">
        <w:t>.</w:t>
      </w:r>
      <w:r w:rsidR="00582C22">
        <w:t xml:space="preserve"> In addition</w:t>
      </w:r>
      <w:r w:rsidR="008971E6">
        <w:t>,</w:t>
      </w:r>
      <w:r w:rsidR="00582C22">
        <w:t xml:space="preserve"> for </w:t>
      </w:r>
      <w:r w:rsidR="00130336">
        <w:t xml:space="preserve">the </w:t>
      </w:r>
      <w:r w:rsidR="00582C22">
        <w:t xml:space="preserve">endTB-Q protocol, </w:t>
      </w:r>
      <w:r w:rsidR="00A72174">
        <w:t>a</w:t>
      </w:r>
      <w:r w:rsidR="00582C22">
        <w:t>moxicillin/</w:t>
      </w:r>
      <w:r w:rsidR="00A72174">
        <w:t>c</w:t>
      </w:r>
      <w:r w:rsidR="00582C22">
        <w:t xml:space="preserve">lavulanate and </w:t>
      </w:r>
      <w:r w:rsidR="00A72174">
        <w:t>i</w:t>
      </w:r>
      <w:r w:rsidR="00582C22">
        <w:t>mipenem/</w:t>
      </w:r>
      <w:proofErr w:type="spellStart"/>
      <w:r w:rsidR="00A72174">
        <w:t>c</w:t>
      </w:r>
      <w:r w:rsidR="00582C22">
        <w:t>ilastatin</w:t>
      </w:r>
      <w:proofErr w:type="spellEnd"/>
      <w:r w:rsidR="00582C22">
        <w:t>.</w:t>
      </w:r>
    </w:p>
    <w:p w14:paraId="3217070F" w14:textId="77777777" w:rsidR="00D906DD" w:rsidRDefault="00D906DD" w:rsidP="00B37D26">
      <w:pPr>
        <w:spacing w:before="60" w:after="0"/>
        <w:contextualSpacing/>
        <w:jc w:val="both"/>
        <w:rPr>
          <w:rFonts w:asciiTheme="minorHAnsi" w:hAnsiTheme="minorHAnsi"/>
          <w:b/>
        </w:rPr>
      </w:pPr>
    </w:p>
    <w:p w14:paraId="3876A8DC" w14:textId="77777777" w:rsidR="00AC6AEC" w:rsidRDefault="00AC6AEC" w:rsidP="008748BD">
      <w:pPr>
        <w:spacing w:before="60" w:after="0"/>
        <w:contextualSpacing/>
        <w:jc w:val="both"/>
        <w:rPr>
          <w:rFonts w:asciiTheme="minorHAnsi" w:hAnsiTheme="minorHAnsi"/>
        </w:rPr>
      </w:pPr>
      <w:r w:rsidRPr="00305EE9">
        <w:rPr>
          <w:rFonts w:asciiTheme="minorHAnsi" w:hAnsiTheme="minorHAnsi"/>
          <w:b/>
        </w:rPr>
        <w:t>Protocol:</w:t>
      </w:r>
      <w:r w:rsidRPr="00AC6AEC">
        <w:rPr>
          <w:rFonts w:asciiTheme="minorHAnsi" w:hAnsiTheme="minorHAnsi"/>
        </w:rPr>
        <w:t xml:space="preserve"> A document that describes the objective(s), design, methodology, statistical considerations, and organization of a trial. The protocol usually also gives the background and rationale for the trial, but these could be provided in other protocol referenced documents. Throughout the ICH GCP Guideline, the term protocol refers to protocol and protocol amendments.</w:t>
      </w:r>
    </w:p>
    <w:p w14:paraId="3B38D4AB" w14:textId="77777777" w:rsidR="00D906DD" w:rsidRDefault="00D906DD" w:rsidP="00113B6B">
      <w:pPr>
        <w:spacing w:before="60" w:after="0"/>
        <w:contextualSpacing/>
        <w:jc w:val="both"/>
        <w:rPr>
          <w:rFonts w:asciiTheme="minorHAnsi" w:hAnsiTheme="minorHAnsi"/>
          <w:b/>
        </w:rPr>
      </w:pPr>
    </w:p>
    <w:p w14:paraId="5D9033C3" w14:textId="7CBA439E" w:rsidR="008A2A74" w:rsidRDefault="008A2A74" w:rsidP="008A2A74">
      <w:pPr>
        <w:spacing w:before="60" w:after="0"/>
        <w:contextualSpacing/>
        <w:jc w:val="both"/>
        <w:rPr>
          <w:rFonts w:asciiTheme="minorHAnsi" w:hAnsiTheme="minorHAnsi"/>
          <w:b/>
        </w:rPr>
      </w:pPr>
      <w:r>
        <w:rPr>
          <w:rFonts w:asciiTheme="minorHAnsi" w:hAnsiTheme="minorHAnsi"/>
          <w:b/>
        </w:rPr>
        <w:t xml:space="preserve">Site Principal </w:t>
      </w:r>
      <w:r w:rsidRPr="00AC6AEC">
        <w:rPr>
          <w:rFonts w:asciiTheme="minorHAnsi" w:hAnsiTheme="minorHAnsi"/>
          <w:b/>
        </w:rPr>
        <w:t>Investigator</w:t>
      </w:r>
      <w:r>
        <w:rPr>
          <w:rFonts w:asciiTheme="minorHAnsi" w:hAnsiTheme="minorHAnsi"/>
          <w:b/>
        </w:rPr>
        <w:t xml:space="preserve"> (Site PI)</w:t>
      </w:r>
      <w:r w:rsidRPr="00AC6AEC">
        <w:rPr>
          <w:rFonts w:asciiTheme="minorHAnsi" w:hAnsiTheme="minorHAnsi"/>
          <w:b/>
        </w:rPr>
        <w:t xml:space="preserve">: </w:t>
      </w:r>
      <w:r w:rsidRPr="00305EE9">
        <w:rPr>
          <w:rFonts w:asciiTheme="minorHAnsi" w:hAnsiTheme="minorHAnsi"/>
        </w:rPr>
        <w:t>A person responsible for the conduct of the clinical trial at a trial site. If a trial is conducted by a team of individuals at a trial site, the Investigator is the responsible leader of the team and may be called the Principal Investigator.</w:t>
      </w:r>
    </w:p>
    <w:p w14:paraId="73863250" w14:textId="77777777" w:rsidR="00F277D1" w:rsidRDefault="00F277D1" w:rsidP="00113B6B">
      <w:pPr>
        <w:spacing w:before="60" w:after="0"/>
        <w:contextualSpacing/>
        <w:jc w:val="both"/>
        <w:rPr>
          <w:rFonts w:asciiTheme="minorHAnsi" w:hAnsiTheme="minorHAnsi"/>
          <w:b/>
        </w:rPr>
      </w:pPr>
    </w:p>
    <w:p w14:paraId="0E43684F" w14:textId="10C0F04C" w:rsidR="00AC6AEC" w:rsidRDefault="00AC6AEC" w:rsidP="00113B6B">
      <w:pPr>
        <w:spacing w:before="60" w:after="0"/>
        <w:contextualSpacing/>
        <w:jc w:val="both"/>
        <w:rPr>
          <w:rFonts w:asciiTheme="minorHAnsi" w:hAnsiTheme="minorHAnsi"/>
        </w:rPr>
      </w:pPr>
      <w:r w:rsidRPr="00305EE9">
        <w:rPr>
          <w:rFonts w:asciiTheme="minorHAnsi" w:hAnsiTheme="minorHAnsi"/>
          <w:b/>
        </w:rPr>
        <w:t>Sponsor:</w:t>
      </w:r>
      <w:r w:rsidRPr="00AC6AEC">
        <w:rPr>
          <w:rFonts w:asciiTheme="minorHAnsi" w:hAnsiTheme="minorHAnsi"/>
        </w:rPr>
        <w:t xml:space="preserve">  An individual, company, institution, or organization that takes responsibility for the initiation, management, and/or financing of a clinical trial.</w:t>
      </w:r>
    </w:p>
    <w:p w14:paraId="4B055D6A" w14:textId="77777777" w:rsidR="00D906DD" w:rsidRDefault="00D906DD" w:rsidP="00113B6B">
      <w:pPr>
        <w:spacing w:before="60" w:after="0"/>
        <w:contextualSpacing/>
        <w:jc w:val="both"/>
        <w:rPr>
          <w:rFonts w:asciiTheme="minorHAnsi" w:hAnsiTheme="minorHAnsi"/>
          <w:b/>
        </w:rPr>
      </w:pPr>
    </w:p>
    <w:p w14:paraId="27DD869F" w14:textId="3222C36B" w:rsidR="00360BA6" w:rsidRDefault="00AC6AEC" w:rsidP="00113B6B">
      <w:pPr>
        <w:spacing w:before="60" w:after="0"/>
        <w:jc w:val="both"/>
        <w:rPr>
          <w:rFonts w:asciiTheme="minorHAnsi" w:hAnsiTheme="minorHAnsi"/>
        </w:rPr>
      </w:pPr>
      <w:r w:rsidRPr="00305EE9">
        <w:rPr>
          <w:rFonts w:asciiTheme="minorHAnsi" w:hAnsiTheme="minorHAnsi"/>
          <w:b/>
        </w:rPr>
        <w:t>Study Treatment and Adherence:</w:t>
      </w:r>
      <w:r w:rsidRPr="00AC6AEC">
        <w:rPr>
          <w:rFonts w:asciiTheme="minorHAnsi" w:hAnsiTheme="minorHAnsi"/>
        </w:rPr>
        <w:t xml:space="preserve"> Completion of all study visits and doses of study treatment in the time and manner specified in the study protocol</w:t>
      </w:r>
      <w:r w:rsidR="00402C3F">
        <w:rPr>
          <w:rFonts w:asciiTheme="minorHAnsi" w:hAnsiTheme="minorHAnsi"/>
        </w:rPr>
        <w:t xml:space="preserve"> and according to prescription</w:t>
      </w:r>
      <w:r w:rsidR="00EF5967">
        <w:rPr>
          <w:rFonts w:asciiTheme="minorHAnsi" w:hAnsiTheme="minorHAnsi"/>
        </w:rPr>
        <w:t xml:space="preserve"> of </w:t>
      </w:r>
      <w:r w:rsidR="00402C3F">
        <w:rPr>
          <w:rFonts w:asciiTheme="minorHAnsi" w:hAnsiTheme="minorHAnsi"/>
        </w:rPr>
        <w:t>s</w:t>
      </w:r>
      <w:r w:rsidR="00EF5967">
        <w:rPr>
          <w:rFonts w:asciiTheme="minorHAnsi" w:hAnsiTheme="minorHAnsi"/>
        </w:rPr>
        <w:t>tudy regimen</w:t>
      </w:r>
      <w:r w:rsidR="00402C3F">
        <w:rPr>
          <w:rFonts w:asciiTheme="minorHAnsi" w:hAnsiTheme="minorHAnsi"/>
        </w:rPr>
        <w:t>. Receiving anti-tuberculosis drugs inconsistently, or in an inappropriate way or stopping treatment too soon, can lead to treatment failure or relapse. Second-line treatment requires complicated regimens, may</w:t>
      </w:r>
      <w:r w:rsidR="00402C3F" w:rsidRPr="00B8696E">
        <w:rPr>
          <w:rFonts w:asciiTheme="minorHAnsi" w:hAnsiTheme="minorHAnsi"/>
        </w:rPr>
        <w:t xml:space="preserve"> not </w:t>
      </w:r>
      <w:r w:rsidR="00402C3F">
        <w:rPr>
          <w:rFonts w:asciiTheme="minorHAnsi" w:hAnsiTheme="minorHAnsi"/>
        </w:rPr>
        <w:t xml:space="preserve">be </w:t>
      </w:r>
      <w:r w:rsidR="00402C3F" w:rsidRPr="00B8696E">
        <w:rPr>
          <w:rFonts w:asciiTheme="minorHAnsi" w:hAnsiTheme="minorHAnsi"/>
        </w:rPr>
        <w:t xml:space="preserve">well tolerated, and </w:t>
      </w:r>
      <w:r w:rsidR="00402C3F">
        <w:rPr>
          <w:rFonts w:asciiTheme="minorHAnsi" w:hAnsiTheme="minorHAnsi"/>
        </w:rPr>
        <w:t>thus</w:t>
      </w:r>
      <w:r w:rsidR="00402C3F" w:rsidRPr="00B8696E">
        <w:rPr>
          <w:rFonts w:asciiTheme="minorHAnsi" w:hAnsiTheme="minorHAnsi"/>
        </w:rPr>
        <w:t xml:space="preserve"> require</w:t>
      </w:r>
      <w:r w:rsidR="00402C3F">
        <w:rPr>
          <w:rFonts w:asciiTheme="minorHAnsi" w:hAnsiTheme="minorHAnsi"/>
        </w:rPr>
        <w:t xml:space="preserve">s </w:t>
      </w:r>
      <w:r w:rsidR="00402C3F" w:rsidRPr="00B8696E">
        <w:rPr>
          <w:rFonts w:asciiTheme="minorHAnsi" w:hAnsiTheme="minorHAnsi"/>
          <w:b/>
          <w:i/>
        </w:rPr>
        <w:t>DOT</w:t>
      </w:r>
      <w:r w:rsidR="00402C3F">
        <w:rPr>
          <w:rFonts w:asciiTheme="minorHAnsi" w:hAnsiTheme="minorHAnsi"/>
        </w:rPr>
        <w:t xml:space="preserve"> as part of a package of treatment support.</w:t>
      </w:r>
    </w:p>
    <w:p w14:paraId="2709B8FF" w14:textId="77777777" w:rsidR="008A2A74" w:rsidRDefault="008A2A74" w:rsidP="00113B6B">
      <w:pPr>
        <w:spacing w:before="60" w:after="0"/>
        <w:jc w:val="both"/>
        <w:rPr>
          <w:rFonts w:asciiTheme="minorHAnsi" w:hAnsiTheme="minorHAnsi"/>
        </w:rPr>
      </w:pPr>
    </w:p>
    <w:p w14:paraId="3B0ADE23" w14:textId="7AAFBBA8" w:rsidR="008A2A74" w:rsidRDefault="008A2A74" w:rsidP="00113B6B">
      <w:pPr>
        <w:spacing w:before="60" w:after="0"/>
        <w:jc w:val="both"/>
        <w:rPr>
          <w:rFonts w:asciiTheme="minorHAnsi" w:hAnsiTheme="minorHAnsi"/>
        </w:rPr>
      </w:pPr>
      <w:r>
        <w:rPr>
          <w:rFonts w:asciiTheme="minorHAnsi" w:hAnsiTheme="minorHAnsi"/>
          <w:b/>
        </w:rPr>
        <w:t xml:space="preserve">Treatment </w:t>
      </w:r>
      <w:r w:rsidRPr="0069276B">
        <w:rPr>
          <w:rFonts w:asciiTheme="minorHAnsi" w:hAnsiTheme="minorHAnsi"/>
          <w:b/>
        </w:rPr>
        <w:t xml:space="preserve">Adherence </w:t>
      </w:r>
      <w:r>
        <w:rPr>
          <w:rFonts w:asciiTheme="minorHAnsi" w:hAnsiTheme="minorHAnsi"/>
          <w:b/>
        </w:rPr>
        <w:t>Source Document</w:t>
      </w:r>
      <w:r>
        <w:rPr>
          <w:rFonts w:asciiTheme="minorHAnsi" w:hAnsiTheme="minorHAnsi"/>
        </w:rPr>
        <w:t xml:space="preserve">: </w:t>
      </w:r>
      <w:r w:rsidR="00840107">
        <w:rPr>
          <w:rFonts w:asciiTheme="minorHAnsi" w:hAnsiTheme="minorHAnsi"/>
        </w:rPr>
        <w:t>L</w:t>
      </w:r>
      <w:r>
        <w:rPr>
          <w:rFonts w:asciiTheme="minorHAnsi" w:hAnsiTheme="minorHAnsi"/>
        </w:rPr>
        <w:t xml:space="preserve">og book or worksheet for each individual participant in which the DOT nurse or </w:t>
      </w:r>
      <w:r w:rsidR="0096348F">
        <w:rPr>
          <w:rFonts w:asciiTheme="minorHAnsi" w:hAnsiTheme="minorHAnsi"/>
        </w:rPr>
        <w:t>other delegated study personnel</w:t>
      </w:r>
      <w:r>
        <w:rPr>
          <w:rFonts w:asciiTheme="minorHAnsi" w:hAnsiTheme="minorHAnsi"/>
        </w:rPr>
        <w:t xml:space="preserve"> records treatment delivery, deviations from the prescribed treatment or from DOT (i.e.</w:t>
      </w:r>
      <w:r w:rsidR="008971E6">
        <w:rPr>
          <w:rFonts w:asciiTheme="minorHAnsi" w:hAnsiTheme="minorHAnsi"/>
        </w:rPr>
        <w:t>,</w:t>
      </w:r>
      <w:r>
        <w:rPr>
          <w:rFonts w:asciiTheme="minorHAnsi" w:hAnsiTheme="minorHAnsi"/>
        </w:rPr>
        <w:t xml:space="preserve"> self-administered treatment), and their cause (if known), any reactions reported by the participant, any reaction (e.g.</w:t>
      </w:r>
      <w:r w:rsidR="008971E6">
        <w:rPr>
          <w:rFonts w:asciiTheme="minorHAnsi" w:hAnsiTheme="minorHAnsi"/>
        </w:rPr>
        <w:t>,</w:t>
      </w:r>
      <w:r>
        <w:rPr>
          <w:rFonts w:asciiTheme="minorHAnsi" w:hAnsiTheme="minorHAnsi"/>
        </w:rPr>
        <w:t xml:space="preserve"> vomiting) observed during administration.</w:t>
      </w:r>
    </w:p>
    <w:p w14:paraId="788256CD" w14:textId="77777777" w:rsidR="00F23C87" w:rsidRPr="00931588" w:rsidRDefault="004E294D">
      <w:pPr>
        <w:pStyle w:val="Heading2"/>
      </w:pPr>
      <w:bookmarkStart w:id="8" w:name="_Toc166238136"/>
      <w:r w:rsidRPr="00931588">
        <w:lastRenderedPageBreak/>
        <w:t>PROCEDURE:</w:t>
      </w:r>
      <w:bookmarkEnd w:id="8"/>
    </w:p>
    <w:p w14:paraId="3B48FCE5" w14:textId="77777777" w:rsidR="005230B5" w:rsidRPr="00931588" w:rsidRDefault="00D906DD" w:rsidP="004D598D">
      <w:pPr>
        <w:pStyle w:val="Heading3"/>
        <w:jc w:val="both"/>
      </w:pPr>
      <w:bookmarkStart w:id="9" w:name="_Toc166238137"/>
      <w:r>
        <w:t>Materials</w:t>
      </w:r>
      <w:bookmarkEnd w:id="9"/>
    </w:p>
    <w:p w14:paraId="7A1AB1EF" w14:textId="42BF096D" w:rsidR="00492A07" w:rsidRDefault="00054569" w:rsidP="004D598D">
      <w:pPr>
        <w:pStyle w:val="ListParagraph"/>
        <w:numPr>
          <w:ilvl w:val="0"/>
          <w:numId w:val="23"/>
        </w:numPr>
        <w:spacing w:after="0" w:line="240" w:lineRule="auto"/>
        <w:jc w:val="both"/>
        <w:rPr>
          <w:rFonts w:asciiTheme="minorHAnsi" w:hAnsiTheme="minorHAnsi"/>
        </w:rPr>
      </w:pPr>
      <w:r w:rsidRPr="00492A07">
        <w:rPr>
          <w:rFonts w:asciiTheme="minorHAnsi" w:hAnsiTheme="minorHAnsi"/>
        </w:rPr>
        <w:t>Participant</w:t>
      </w:r>
      <w:r w:rsidR="00A0643E" w:rsidRPr="00492A07">
        <w:rPr>
          <w:rFonts w:asciiTheme="minorHAnsi" w:hAnsiTheme="minorHAnsi"/>
        </w:rPr>
        <w:t xml:space="preserve">’s </w:t>
      </w:r>
      <w:r w:rsidR="00492A07">
        <w:rPr>
          <w:rFonts w:asciiTheme="minorHAnsi" w:hAnsiTheme="minorHAnsi"/>
        </w:rPr>
        <w:t xml:space="preserve">prescription </w:t>
      </w:r>
      <w:r w:rsidR="001F5123">
        <w:rPr>
          <w:rFonts w:asciiTheme="minorHAnsi" w:hAnsiTheme="minorHAnsi"/>
        </w:rPr>
        <w:t>documentation</w:t>
      </w:r>
      <w:r w:rsidR="00492A07">
        <w:rPr>
          <w:rFonts w:asciiTheme="minorHAnsi" w:hAnsiTheme="minorHAnsi"/>
        </w:rPr>
        <w:t xml:space="preserve"> from the medical chart</w:t>
      </w:r>
      <w:r w:rsidR="001F5123">
        <w:rPr>
          <w:rFonts w:asciiTheme="minorHAnsi" w:hAnsiTheme="minorHAnsi"/>
        </w:rPr>
        <w:t xml:space="preserve"> </w:t>
      </w:r>
      <w:r w:rsidR="001F5123">
        <w:rPr>
          <w:rFonts w:asciiTheme="minorHAnsi" w:hAnsiTheme="minorHAnsi" w:cs="Arial"/>
        </w:rPr>
        <w:t>(i.e. local prescription notes)</w:t>
      </w:r>
      <w:r w:rsidR="00D50801">
        <w:rPr>
          <w:rFonts w:asciiTheme="minorHAnsi" w:hAnsiTheme="minorHAnsi" w:cs="Arial"/>
        </w:rPr>
        <w:t>.</w:t>
      </w:r>
    </w:p>
    <w:p w14:paraId="6D29085F" w14:textId="77777777" w:rsidR="005230B5" w:rsidRPr="00492A07" w:rsidRDefault="00492A07" w:rsidP="004D598D">
      <w:pPr>
        <w:pStyle w:val="ListParagraph"/>
        <w:numPr>
          <w:ilvl w:val="0"/>
          <w:numId w:val="23"/>
        </w:numPr>
        <w:spacing w:after="0" w:line="240" w:lineRule="auto"/>
        <w:jc w:val="both"/>
        <w:rPr>
          <w:rFonts w:asciiTheme="minorHAnsi" w:hAnsiTheme="minorHAnsi"/>
        </w:rPr>
      </w:pPr>
      <w:r>
        <w:rPr>
          <w:rFonts w:asciiTheme="minorHAnsi" w:hAnsiTheme="minorHAnsi"/>
        </w:rPr>
        <w:t>Treatment initiation form and, if applicable, treatment change form</w:t>
      </w:r>
      <w:r w:rsidR="00C61E94">
        <w:rPr>
          <w:rFonts w:asciiTheme="minorHAnsi" w:hAnsiTheme="minorHAnsi"/>
        </w:rPr>
        <w:t xml:space="preserve"> and subsequent prescription forms</w:t>
      </w:r>
      <w:r w:rsidR="00A0643E" w:rsidRPr="00492A07">
        <w:rPr>
          <w:rFonts w:asciiTheme="minorHAnsi" w:hAnsiTheme="minorHAnsi"/>
        </w:rPr>
        <w:t>.</w:t>
      </w:r>
    </w:p>
    <w:p w14:paraId="730980C8" w14:textId="028D9E28" w:rsidR="00492A07" w:rsidRPr="00CB2118" w:rsidRDefault="0030770D" w:rsidP="004D598D">
      <w:pPr>
        <w:pStyle w:val="ListParagraph"/>
        <w:numPr>
          <w:ilvl w:val="0"/>
          <w:numId w:val="23"/>
        </w:numPr>
        <w:spacing w:after="0" w:line="240" w:lineRule="auto"/>
        <w:jc w:val="both"/>
        <w:rPr>
          <w:rFonts w:asciiTheme="minorHAnsi" w:hAnsiTheme="minorHAnsi"/>
        </w:rPr>
      </w:pPr>
      <w:r w:rsidRPr="004D598D">
        <w:rPr>
          <w:rFonts w:asciiTheme="minorHAnsi" w:hAnsiTheme="minorHAnsi"/>
        </w:rPr>
        <w:t xml:space="preserve">Trial </w:t>
      </w:r>
      <w:r w:rsidR="000243EC" w:rsidRPr="0030770D">
        <w:rPr>
          <w:rFonts w:asciiTheme="minorHAnsi" w:hAnsiTheme="minorHAnsi"/>
        </w:rPr>
        <w:t xml:space="preserve">Treatment card </w:t>
      </w:r>
      <w:r>
        <w:rPr>
          <w:rFonts w:asciiTheme="minorHAnsi" w:hAnsiTheme="minorHAnsi"/>
        </w:rPr>
        <w:t>(</w:t>
      </w:r>
      <w:r w:rsidR="00333BA5">
        <w:rPr>
          <w:rFonts w:asciiTheme="minorHAnsi" w:hAnsiTheme="minorHAnsi"/>
        </w:rPr>
        <w:t>DOT card, DOT treatment card</w:t>
      </w:r>
      <w:r w:rsidR="008971E6">
        <w:rPr>
          <w:rFonts w:asciiTheme="minorHAnsi" w:hAnsiTheme="minorHAnsi"/>
        </w:rPr>
        <w:t>,</w:t>
      </w:r>
      <w:r w:rsidR="00333BA5">
        <w:rPr>
          <w:rFonts w:asciiTheme="minorHAnsi" w:hAnsiTheme="minorHAnsi"/>
        </w:rPr>
        <w:t xml:space="preserve"> </w:t>
      </w:r>
      <w:r w:rsidR="000243EC" w:rsidRPr="0030770D">
        <w:rPr>
          <w:rFonts w:asciiTheme="minorHAnsi" w:hAnsiTheme="minorHAnsi"/>
        </w:rPr>
        <w:t>or log</w:t>
      </w:r>
      <w:r>
        <w:rPr>
          <w:rFonts w:asciiTheme="minorHAnsi" w:hAnsiTheme="minorHAnsi"/>
        </w:rPr>
        <w:t>)</w:t>
      </w:r>
      <w:r w:rsidRPr="0030770D">
        <w:rPr>
          <w:rFonts w:asciiTheme="minorHAnsi" w:hAnsiTheme="minorHAnsi"/>
        </w:rPr>
        <w:t>:</w:t>
      </w:r>
      <w:r>
        <w:rPr>
          <w:rFonts w:asciiTheme="minorHAnsi" w:hAnsiTheme="minorHAnsi"/>
        </w:rPr>
        <w:t xml:space="preserve"> </w:t>
      </w:r>
      <w:r w:rsidR="000B7AD7" w:rsidRPr="0030770D">
        <w:rPr>
          <w:rFonts w:asciiTheme="minorHAnsi" w:hAnsiTheme="minorHAnsi"/>
        </w:rPr>
        <w:t>can be adapted fr</w:t>
      </w:r>
      <w:r w:rsidR="00803125">
        <w:rPr>
          <w:rFonts w:asciiTheme="minorHAnsi" w:hAnsiTheme="minorHAnsi"/>
        </w:rPr>
        <w:t xml:space="preserve">om the program’s existing tools, </w:t>
      </w:r>
      <w:r w:rsidR="000B7AD7" w:rsidRPr="0030770D">
        <w:rPr>
          <w:rFonts w:asciiTheme="minorHAnsi" w:hAnsiTheme="minorHAnsi"/>
        </w:rPr>
        <w:t>should allow identification of the intake of individual drugs (and not only “treatment”) by day and dose intake (for example in case of 2 intakes per day), including Sundays.</w:t>
      </w:r>
    </w:p>
    <w:p w14:paraId="4E9E72CA" w14:textId="408A5A8C" w:rsidR="00492A07" w:rsidRDefault="00492A07" w:rsidP="004D598D">
      <w:pPr>
        <w:pStyle w:val="ListParagraph"/>
        <w:numPr>
          <w:ilvl w:val="0"/>
          <w:numId w:val="23"/>
        </w:numPr>
        <w:spacing w:after="0" w:line="240" w:lineRule="auto"/>
        <w:jc w:val="both"/>
        <w:rPr>
          <w:rFonts w:asciiTheme="minorHAnsi" w:hAnsiTheme="minorHAnsi"/>
        </w:rPr>
      </w:pPr>
      <w:r>
        <w:rPr>
          <w:rFonts w:asciiTheme="minorHAnsi" w:hAnsiTheme="minorHAnsi"/>
        </w:rPr>
        <w:t xml:space="preserve">Treatment </w:t>
      </w:r>
      <w:r w:rsidR="001F5123">
        <w:rPr>
          <w:rFonts w:asciiTheme="minorHAnsi" w:hAnsiTheme="minorHAnsi"/>
        </w:rPr>
        <w:t xml:space="preserve">Adherence </w:t>
      </w:r>
      <w:r w:rsidR="009C19AD">
        <w:rPr>
          <w:rFonts w:asciiTheme="minorHAnsi" w:hAnsiTheme="minorHAnsi"/>
        </w:rPr>
        <w:t>Source Document</w:t>
      </w:r>
      <w:r w:rsidR="00D50801">
        <w:rPr>
          <w:rFonts w:asciiTheme="minorHAnsi" w:hAnsiTheme="minorHAnsi"/>
        </w:rPr>
        <w:t>.</w:t>
      </w:r>
    </w:p>
    <w:p w14:paraId="2FA68C38" w14:textId="20369C4E" w:rsidR="00D658DB" w:rsidRPr="00360BA6" w:rsidRDefault="009A12A1" w:rsidP="004D598D">
      <w:pPr>
        <w:pStyle w:val="Heading3"/>
        <w:jc w:val="both"/>
      </w:pPr>
      <w:bookmarkStart w:id="10" w:name="_Toc166238138"/>
      <w:r>
        <w:t xml:space="preserve">DOT </w:t>
      </w:r>
      <w:r w:rsidR="000656B1">
        <w:t>and treatment adherence</w:t>
      </w:r>
      <w:bookmarkEnd w:id="10"/>
    </w:p>
    <w:p w14:paraId="235E1C35" w14:textId="77777777" w:rsidR="00895EEB" w:rsidRPr="00360BA6" w:rsidRDefault="00895EEB" w:rsidP="00B37D26">
      <w:pPr>
        <w:spacing w:after="0"/>
        <w:jc w:val="both"/>
        <w:rPr>
          <w:rFonts w:asciiTheme="minorHAnsi" w:hAnsiTheme="minorHAnsi" w:cs="Arial"/>
        </w:rPr>
      </w:pPr>
      <w:r w:rsidRPr="00360BA6">
        <w:rPr>
          <w:rFonts w:asciiTheme="minorHAnsi" w:hAnsiTheme="minorHAnsi"/>
        </w:rPr>
        <w:t xml:space="preserve">The </w:t>
      </w:r>
      <w:r w:rsidRPr="00360BA6">
        <w:rPr>
          <w:rFonts w:asciiTheme="minorHAnsi" w:hAnsiTheme="minorHAnsi" w:cs="Arial"/>
        </w:rPr>
        <w:t>DOT nurse or “treatment supporter”</w:t>
      </w:r>
      <w:r w:rsidR="00D906DD">
        <w:rPr>
          <w:rFonts w:asciiTheme="minorHAnsi" w:hAnsiTheme="minorHAnsi" w:cs="Arial"/>
        </w:rPr>
        <w:t xml:space="preserve"> should:</w:t>
      </w:r>
    </w:p>
    <w:p w14:paraId="6C6CEB40" w14:textId="232E5D65" w:rsidR="00BD5367" w:rsidRPr="005F348A" w:rsidRDefault="00895EEB" w:rsidP="008748BD">
      <w:pPr>
        <w:pStyle w:val="ListParagraph"/>
        <w:numPr>
          <w:ilvl w:val="0"/>
          <w:numId w:val="12"/>
        </w:numPr>
        <w:spacing w:after="0"/>
        <w:jc w:val="both"/>
        <w:rPr>
          <w:rFonts w:asciiTheme="minorHAnsi" w:hAnsiTheme="minorHAnsi" w:cs="Arial"/>
        </w:rPr>
      </w:pPr>
      <w:r w:rsidRPr="005F348A">
        <w:rPr>
          <w:rFonts w:asciiTheme="minorHAnsi" w:hAnsiTheme="minorHAnsi" w:cs="Arial"/>
        </w:rPr>
        <w:t>Verify th</w:t>
      </w:r>
      <w:r w:rsidR="00D906DD">
        <w:rPr>
          <w:rFonts w:asciiTheme="minorHAnsi" w:hAnsiTheme="minorHAnsi" w:cs="Arial"/>
        </w:rPr>
        <w:t>at</w:t>
      </w:r>
      <w:r w:rsidRPr="005F348A">
        <w:rPr>
          <w:rFonts w:asciiTheme="minorHAnsi" w:hAnsiTheme="minorHAnsi" w:cs="Arial"/>
        </w:rPr>
        <w:t xml:space="preserve"> </w:t>
      </w:r>
      <w:r w:rsidR="00D906DD">
        <w:rPr>
          <w:rFonts w:asciiTheme="minorHAnsi" w:hAnsiTheme="minorHAnsi" w:cs="Arial"/>
        </w:rPr>
        <w:t xml:space="preserve">the </w:t>
      </w:r>
      <w:r w:rsidR="00054569">
        <w:rPr>
          <w:rFonts w:asciiTheme="minorHAnsi" w:hAnsiTheme="minorHAnsi" w:cs="Arial"/>
        </w:rPr>
        <w:t>participant</w:t>
      </w:r>
      <w:r w:rsidRPr="005F348A">
        <w:rPr>
          <w:rFonts w:asciiTheme="minorHAnsi" w:hAnsiTheme="minorHAnsi" w:cs="Arial"/>
        </w:rPr>
        <w:t xml:space="preserve">’s name </w:t>
      </w:r>
      <w:r w:rsidR="0045705F">
        <w:rPr>
          <w:rFonts w:asciiTheme="minorHAnsi" w:hAnsiTheme="minorHAnsi" w:cs="Arial"/>
        </w:rPr>
        <w:t>or the subject identification number</w:t>
      </w:r>
      <w:r w:rsidR="0045705F" w:rsidRPr="005F348A">
        <w:rPr>
          <w:rFonts w:asciiTheme="minorHAnsi" w:hAnsiTheme="minorHAnsi" w:cs="Arial"/>
        </w:rPr>
        <w:t xml:space="preserve"> </w:t>
      </w:r>
      <w:r w:rsidRPr="005F348A">
        <w:rPr>
          <w:rFonts w:asciiTheme="minorHAnsi" w:hAnsiTheme="minorHAnsi" w:cs="Arial"/>
        </w:rPr>
        <w:t>match</w:t>
      </w:r>
      <w:r w:rsidR="00D906DD">
        <w:rPr>
          <w:rFonts w:asciiTheme="minorHAnsi" w:hAnsiTheme="minorHAnsi" w:cs="Arial"/>
        </w:rPr>
        <w:t>es</w:t>
      </w:r>
      <w:r w:rsidRPr="005F348A">
        <w:rPr>
          <w:rFonts w:asciiTheme="minorHAnsi" w:hAnsiTheme="minorHAnsi" w:cs="Arial"/>
        </w:rPr>
        <w:t xml:space="preserve"> the treatment card</w:t>
      </w:r>
      <w:r w:rsidR="00BB498A">
        <w:rPr>
          <w:rFonts w:asciiTheme="minorHAnsi" w:hAnsiTheme="minorHAnsi" w:cs="Arial"/>
        </w:rPr>
        <w:t>.</w:t>
      </w:r>
    </w:p>
    <w:p w14:paraId="2989F9D3" w14:textId="7374316D" w:rsidR="009636A7" w:rsidRDefault="009636A7" w:rsidP="00113B6B">
      <w:pPr>
        <w:pStyle w:val="ListParagraph"/>
        <w:numPr>
          <w:ilvl w:val="0"/>
          <w:numId w:val="12"/>
        </w:numPr>
        <w:spacing w:after="0"/>
        <w:jc w:val="both"/>
      </w:pPr>
      <w:r>
        <w:rPr>
          <w:rFonts w:asciiTheme="minorHAnsi" w:hAnsiTheme="minorHAnsi"/>
        </w:rPr>
        <w:t>A</w:t>
      </w:r>
      <w:r w:rsidRPr="00742DD0">
        <w:rPr>
          <w:rFonts w:asciiTheme="minorHAnsi" w:hAnsiTheme="minorHAnsi"/>
        </w:rPr>
        <w:t xml:space="preserve">sk if the </w:t>
      </w:r>
      <w:r w:rsidR="00054569">
        <w:rPr>
          <w:rFonts w:asciiTheme="minorHAnsi" w:hAnsiTheme="minorHAnsi"/>
        </w:rPr>
        <w:t>participant</w:t>
      </w:r>
      <w:r w:rsidRPr="00742DD0">
        <w:rPr>
          <w:rFonts w:asciiTheme="minorHAnsi" w:hAnsiTheme="minorHAnsi"/>
        </w:rPr>
        <w:t xml:space="preserve"> </w:t>
      </w:r>
      <w:r w:rsidR="00D906DD">
        <w:rPr>
          <w:rFonts w:asciiTheme="minorHAnsi" w:hAnsiTheme="minorHAnsi"/>
        </w:rPr>
        <w:t>has</w:t>
      </w:r>
      <w:r w:rsidRPr="00742DD0">
        <w:rPr>
          <w:rFonts w:asciiTheme="minorHAnsi" w:hAnsiTheme="minorHAnsi"/>
        </w:rPr>
        <w:t xml:space="preserve"> take</w:t>
      </w:r>
      <w:r w:rsidR="00D906DD">
        <w:rPr>
          <w:rFonts w:asciiTheme="minorHAnsi" w:hAnsiTheme="minorHAnsi"/>
        </w:rPr>
        <w:t>n</w:t>
      </w:r>
      <w:r w:rsidRPr="00742DD0">
        <w:rPr>
          <w:rFonts w:asciiTheme="minorHAnsi" w:hAnsiTheme="minorHAnsi"/>
        </w:rPr>
        <w:t xml:space="preserve"> any </w:t>
      </w:r>
      <w:r w:rsidR="00911976">
        <w:rPr>
          <w:rFonts w:asciiTheme="minorHAnsi" w:hAnsiTheme="minorHAnsi"/>
        </w:rPr>
        <w:t xml:space="preserve">study medicine or other </w:t>
      </w:r>
      <w:r w:rsidRPr="00742DD0">
        <w:rPr>
          <w:rFonts w:asciiTheme="minorHAnsi" w:hAnsiTheme="minorHAnsi"/>
        </w:rPr>
        <w:t xml:space="preserve">medicine or herbal product </w:t>
      </w:r>
      <w:r w:rsidR="00911976" w:rsidRPr="00742DD0">
        <w:rPr>
          <w:rFonts w:asciiTheme="minorHAnsi" w:hAnsiTheme="minorHAnsi"/>
        </w:rPr>
        <w:t xml:space="preserve">on his/her own </w:t>
      </w:r>
      <w:r w:rsidRPr="00742DD0">
        <w:rPr>
          <w:rFonts w:asciiTheme="minorHAnsi" w:hAnsiTheme="minorHAnsi"/>
        </w:rPr>
        <w:t xml:space="preserve">since the last DOT. </w:t>
      </w:r>
      <w:r w:rsidR="003B2FA2">
        <w:rPr>
          <w:rFonts w:asciiTheme="minorHAnsi" w:hAnsiTheme="minorHAnsi"/>
        </w:rPr>
        <w:t>The DOT nurse or treatment supporter should record s</w:t>
      </w:r>
      <w:r w:rsidRPr="00742DD0">
        <w:rPr>
          <w:rFonts w:asciiTheme="minorHAnsi" w:hAnsiTheme="minorHAnsi"/>
        </w:rPr>
        <w:t xml:space="preserve">uch </w:t>
      </w:r>
      <w:r w:rsidR="00407360">
        <w:rPr>
          <w:rFonts w:asciiTheme="minorHAnsi" w:hAnsiTheme="minorHAnsi"/>
        </w:rPr>
        <w:t>participant</w:t>
      </w:r>
      <w:r w:rsidR="003B2FA2">
        <w:rPr>
          <w:rFonts w:asciiTheme="minorHAnsi" w:hAnsiTheme="minorHAnsi"/>
        </w:rPr>
        <w:t xml:space="preserve"> reported use of other medicines to delegated site personnel. Delegated site personnel should document this information on the</w:t>
      </w:r>
      <w:r w:rsidRPr="00742DD0">
        <w:rPr>
          <w:rFonts w:asciiTheme="minorHAnsi" w:hAnsiTheme="minorHAnsi"/>
        </w:rPr>
        <w:t xml:space="preserve"> </w:t>
      </w:r>
      <w:r w:rsidR="00720DCB">
        <w:rPr>
          <w:rFonts w:asciiTheme="minorHAnsi" w:hAnsiTheme="minorHAnsi"/>
        </w:rPr>
        <w:t>concomitant medication log</w:t>
      </w:r>
      <w:r>
        <w:rPr>
          <w:rFonts w:asciiTheme="minorHAnsi" w:hAnsiTheme="minorHAnsi"/>
        </w:rPr>
        <w:t xml:space="preserve"> and</w:t>
      </w:r>
      <w:r w:rsidR="00720DCB">
        <w:rPr>
          <w:rFonts w:asciiTheme="minorHAnsi" w:hAnsiTheme="minorHAnsi"/>
        </w:rPr>
        <w:t xml:space="preserve"> </w:t>
      </w:r>
      <w:r>
        <w:rPr>
          <w:rFonts w:asciiTheme="minorHAnsi" w:hAnsiTheme="minorHAnsi"/>
        </w:rPr>
        <w:t xml:space="preserve">the </w:t>
      </w:r>
      <w:r w:rsidR="003B2FA2">
        <w:rPr>
          <w:rFonts w:asciiTheme="minorHAnsi" w:hAnsiTheme="minorHAnsi"/>
        </w:rPr>
        <w:t xml:space="preserve">site clinical investigator </w:t>
      </w:r>
      <w:r w:rsidR="00D906DD">
        <w:rPr>
          <w:rFonts w:asciiTheme="minorHAnsi" w:hAnsiTheme="minorHAnsi"/>
        </w:rPr>
        <w:t xml:space="preserve">should be </w:t>
      </w:r>
      <w:r>
        <w:rPr>
          <w:rFonts w:asciiTheme="minorHAnsi" w:hAnsiTheme="minorHAnsi"/>
        </w:rPr>
        <w:t>informed</w:t>
      </w:r>
      <w:r w:rsidR="00BB498A">
        <w:rPr>
          <w:rFonts w:asciiTheme="minorHAnsi" w:hAnsiTheme="minorHAnsi"/>
        </w:rPr>
        <w:t>.</w:t>
      </w:r>
    </w:p>
    <w:p w14:paraId="2D41EBFF" w14:textId="4B9905E1" w:rsidR="00360BA6" w:rsidRDefault="00BD5367" w:rsidP="00113B6B">
      <w:pPr>
        <w:pStyle w:val="ListParagraph"/>
        <w:numPr>
          <w:ilvl w:val="0"/>
          <w:numId w:val="12"/>
        </w:numPr>
        <w:spacing w:after="0"/>
        <w:jc w:val="both"/>
        <w:rPr>
          <w:rFonts w:asciiTheme="minorHAnsi" w:hAnsiTheme="minorHAnsi" w:cs="Arial"/>
        </w:rPr>
      </w:pPr>
      <w:r w:rsidRPr="005F348A">
        <w:rPr>
          <w:rFonts w:asciiTheme="minorHAnsi" w:hAnsiTheme="minorHAnsi" w:cs="Arial"/>
        </w:rPr>
        <w:t>A</w:t>
      </w:r>
      <w:r w:rsidRPr="005F348A">
        <w:rPr>
          <w:rFonts w:asciiTheme="minorHAnsi" w:hAnsiTheme="minorHAnsi"/>
        </w:rPr>
        <w:t xml:space="preserve">sk </w:t>
      </w:r>
      <w:r w:rsidR="00054569">
        <w:rPr>
          <w:rFonts w:asciiTheme="minorHAnsi" w:hAnsiTheme="minorHAnsi"/>
        </w:rPr>
        <w:t>participant</w:t>
      </w:r>
      <w:r w:rsidRPr="005F348A">
        <w:rPr>
          <w:rFonts w:asciiTheme="minorHAnsi" w:hAnsiTheme="minorHAnsi"/>
        </w:rPr>
        <w:t xml:space="preserve"> about any particular difficulty, complain</w:t>
      </w:r>
      <w:r w:rsidR="00D906DD">
        <w:rPr>
          <w:rFonts w:asciiTheme="minorHAnsi" w:hAnsiTheme="minorHAnsi"/>
        </w:rPr>
        <w:t>t,</w:t>
      </w:r>
      <w:r w:rsidRPr="005F348A">
        <w:rPr>
          <w:rFonts w:asciiTheme="minorHAnsi" w:hAnsiTheme="minorHAnsi"/>
        </w:rPr>
        <w:t xml:space="preserve"> or adverse event in relation to his/her participation in the trial</w:t>
      </w:r>
      <w:r w:rsidRPr="00346142">
        <w:rPr>
          <w:rFonts w:asciiTheme="minorHAnsi" w:hAnsiTheme="minorHAnsi"/>
        </w:rPr>
        <w:t xml:space="preserve">. </w:t>
      </w:r>
      <w:r w:rsidR="00750AF1" w:rsidRPr="00346142">
        <w:rPr>
          <w:rFonts w:asciiTheme="minorHAnsi" w:hAnsiTheme="minorHAnsi" w:cs="Arial"/>
        </w:rPr>
        <w:t xml:space="preserve">If the </w:t>
      </w:r>
      <w:r w:rsidR="00054569">
        <w:rPr>
          <w:rFonts w:asciiTheme="minorHAnsi" w:hAnsiTheme="minorHAnsi" w:cs="Arial"/>
        </w:rPr>
        <w:t>participant</w:t>
      </w:r>
      <w:r w:rsidR="00750AF1" w:rsidRPr="00346142">
        <w:rPr>
          <w:rFonts w:asciiTheme="minorHAnsi" w:hAnsiTheme="minorHAnsi" w:cs="Arial"/>
        </w:rPr>
        <w:t xml:space="preserve"> has any medical complain</w:t>
      </w:r>
      <w:r w:rsidR="00D906DD">
        <w:rPr>
          <w:rFonts w:asciiTheme="minorHAnsi" w:hAnsiTheme="minorHAnsi" w:cs="Arial"/>
        </w:rPr>
        <w:t>t</w:t>
      </w:r>
      <w:r w:rsidR="00911976">
        <w:rPr>
          <w:rFonts w:asciiTheme="minorHAnsi" w:hAnsiTheme="minorHAnsi" w:cs="Arial"/>
        </w:rPr>
        <w:t>,</w:t>
      </w:r>
      <w:r w:rsidR="00750AF1" w:rsidRPr="00346142">
        <w:rPr>
          <w:rFonts w:asciiTheme="minorHAnsi" w:hAnsiTheme="minorHAnsi" w:cs="Arial"/>
        </w:rPr>
        <w:t xml:space="preserve"> assess its </w:t>
      </w:r>
      <w:r w:rsidR="00346142" w:rsidRPr="00346142">
        <w:rPr>
          <w:rFonts w:asciiTheme="minorHAnsi" w:hAnsiTheme="minorHAnsi" w:cs="Arial"/>
        </w:rPr>
        <w:t xml:space="preserve">potential </w:t>
      </w:r>
      <w:r w:rsidR="00750AF1" w:rsidRPr="00346142">
        <w:rPr>
          <w:rFonts w:asciiTheme="minorHAnsi" w:hAnsiTheme="minorHAnsi" w:cs="Arial"/>
        </w:rPr>
        <w:t>dangero</w:t>
      </w:r>
      <w:r w:rsidR="009636A7" w:rsidRPr="00346142">
        <w:rPr>
          <w:rFonts w:asciiTheme="minorHAnsi" w:hAnsiTheme="minorHAnsi" w:cs="Arial"/>
        </w:rPr>
        <w:t>u</w:t>
      </w:r>
      <w:r w:rsidR="00750AF1" w:rsidRPr="00346142">
        <w:rPr>
          <w:rFonts w:asciiTheme="minorHAnsi" w:hAnsiTheme="minorHAnsi" w:cs="Arial"/>
        </w:rPr>
        <w:t>s</w:t>
      </w:r>
      <w:r w:rsidR="009636A7" w:rsidRPr="00346142">
        <w:rPr>
          <w:rFonts w:asciiTheme="minorHAnsi" w:hAnsiTheme="minorHAnsi" w:cs="Arial"/>
        </w:rPr>
        <w:t>ness</w:t>
      </w:r>
      <w:r w:rsidR="00911976">
        <w:rPr>
          <w:rFonts w:asciiTheme="minorHAnsi" w:hAnsiTheme="minorHAnsi" w:cs="Arial"/>
        </w:rPr>
        <w:t xml:space="preserve"> according to the table (below)</w:t>
      </w:r>
      <w:r w:rsidR="00750AF1" w:rsidRPr="00346142">
        <w:rPr>
          <w:rFonts w:asciiTheme="minorHAnsi" w:hAnsiTheme="minorHAnsi" w:cs="Arial"/>
        </w:rPr>
        <w:t>.</w:t>
      </w:r>
    </w:p>
    <w:p w14:paraId="33D4D88A" w14:textId="77777777" w:rsidR="00D21708" w:rsidRDefault="00D21708" w:rsidP="00D21708">
      <w:pPr>
        <w:pStyle w:val="ListParagraph"/>
        <w:spacing w:after="0"/>
        <w:ind w:left="360"/>
        <w:jc w:val="both"/>
        <w:rPr>
          <w:rFonts w:asciiTheme="minorHAnsi" w:hAnsiTheme="minorHAnsi" w:cs="Arial"/>
        </w:rPr>
      </w:pPr>
    </w:p>
    <w:tbl>
      <w:tblPr>
        <w:tblStyle w:val="TableGrid"/>
        <w:tblW w:w="0" w:type="auto"/>
        <w:tblLook w:val="04A0" w:firstRow="1" w:lastRow="0" w:firstColumn="1" w:lastColumn="0" w:noHBand="0" w:noVBand="1"/>
      </w:tblPr>
      <w:tblGrid>
        <w:gridCol w:w="4788"/>
        <w:gridCol w:w="4788"/>
      </w:tblGrid>
      <w:tr w:rsidR="00346142" w14:paraId="1EE50B02" w14:textId="77777777" w:rsidTr="00346142">
        <w:tc>
          <w:tcPr>
            <w:tcW w:w="4788" w:type="dxa"/>
          </w:tcPr>
          <w:p w14:paraId="55074F08" w14:textId="77777777" w:rsidR="00346142" w:rsidRPr="00A50C24" w:rsidRDefault="00346142" w:rsidP="004D598D">
            <w:pPr>
              <w:jc w:val="both"/>
              <w:rPr>
                <w:b/>
              </w:rPr>
            </w:pPr>
            <w:r w:rsidRPr="00A50C24">
              <w:rPr>
                <w:b/>
              </w:rPr>
              <w:t>Not Dangerous</w:t>
            </w:r>
          </w:p>
        </w:tc>
        <w:tc>
          <w:tcPr>
            <w:tcW w:w="4788" w:type="dxa"/>
          </w:tcPr>
          <w:p w14:paraId="146FC4FE" w14:textId="77777777" w:rsidR="00346142" w:rsidRPr="00A50C24" w:rsidRDefault="00346142" w:rsidP="004D598D">
            <w:pPr>
              <w:jc w:val="both"/>
              <w:rPr>
                <w:b/>
              </w:rPr>
            </w:pPr>
            <w:r w:rsidRPr="00A50C24">
              <w:rPr>
                <w:b/>
              </w:rPr>
              <w:t>Dangerous</w:t>
            </w:r>
          </w:p>
        </w:tc>
      </w:tr>
      <w:tr w:rsidR="00346142" w14:paraId="4C47B430" w14:textId="77777777" w:rsidTr="00346142">
        <w:tc>
          <w:tcPr>
            <w:tcW w:w="4788" w:type="dxa"/>
          </w:tcPr>
          <w:p w14:paraId="53E4112F" w14:textId="77777777" w:rsidR="00346142" w:rsidRDefault="00346142" w:rsidP="004D598D">
            <w:pPr>
              <w:jc w:val="both"/>
            </w:pPr>
            <w:r>
              <w:t>Nausea</w:t>
            </w:r>
          </w:p>
          <w:p w14:paraId="6F742086" w14:textId="48835624" w:rsidR="00346142" w:rsidRDefault="00346142" w:rsidP="004D598D">
            <w:pPr>
              <w:jc w:val="both"/>
            </w:pPr>
            <w:r>
              <w:t>No appetite</w:t>
            </w:r>
          </w:p>
          <w:p w14:paraId="55109676" w14:textId="718C6EE7" w:rsidR="00346142" w:rsidRDefault="00346142" w:rsidP="004D598D">
            <w:pPr>
              <w:jc w:val="both"/>
            </w:pPr>
            <w:r>
              <w:t>Stomach ache</w:t>
            </w:r>
          </w:p>
          <w:p w14:paraId="7869085A" w14:textId="33878D3A" w:rsidR="00346142" w:rsidRDefault="00346142" w:rsidP="004D598D">
            <w:pPr>
              <w:jc w:val="both"/>
            </w:pPr>
            <w:r>
              <w:t>Gas</w:t>
            </w:r>
          </w:p>
          <w:p w14:paraId="70725C94" w14:textId="77777777" w:rsidR="00346142" w:rsidRDefault="00346142" w:rsidP="004D598D">
            <w:pPr>
              <w:jc w:val="both"/>
            </w:pPr>
            <w:r>
              <w:t>Pain in the joints</w:t>
            </w:r>
          </w:p>
          <w:p w14:paraId="6E568B94" w14:textId="77777777" w:rsidR="00346142" w:rsidRDefault="00346142" w:rsidP="004D598D">
            <w:pPr>
              <w:jc w:val="both"/>
            </w:pPr>
          </w:p>
        </w:tc>
        <w:tc>
          <w:tcPr>
            <w:tcW w:w="4788" w:type="dxa"/>
          </w:tcPr>
          <w:p w14:paraId="0935A9AD" w14:textId="7241C6E7" w:rsidR="00346142" w:rsidRDefault="00346142" w:rsidP="004D598D">
            <w:pPr>
              <w:jc w:val="both"/>
            </w:pPr>
            <w:r>
              <w:t>Skin rash and itching</w:t>
            </w:r>
          </w:p>
          <w:p w14:paraId="6ABAFD87" w14:textId="60788E24" w:rsidR="00346142" w:rsidRDefault="00346142" w:rsidP="004D598D">
            <w:pPr>
              <w:jc w:val="both"/>
            </w:pPr>
            <w:r>
              <w:t>Vomiting repeatedly</w:t>
            </w:r>
          </w:p>
          <w:p w14:paraId="229D2047" w14:textId="77777777" w:rsidR="00346142" w:rsidRDefault="00346142" w:rsidP="004D598D">
            <w:pPr>
              <w:jc w:val="both"/>
            </w:pPr>
            <w:r>
              <w:t>Deafness</w:t>
            </w:r>
          </w:p>
          <w:p w14:paraId="00EBFD6B" w14:textId="0BF1EF72" w:rsidR="00346142" w:rsidRDefault="00346142" w:rsidP="004D598D">
            <w:pPr>
              <w:jc w:val="both"/>
            </w:pPr>
            <w:r>
              <w:t>Dizziness</w:t>
            </w:r>
          </w:p>
          <w:p w14:paraId="78659921" w14:textId="77777777" w:rsidR="00346142" w:rsidRDefault="00346142" w:rsidP="004D598D">
            <w:pPr>
              <w:jc w:val="both"/>
            </w:pPr>
            <w:r>
              <w:t>Visual impairment</w:t>
            </w:r>
          </w:p>
          <w:p w14:paraId="6CB08E15" w14:textId="77777777" w:rsidR="00346142" w:rsidRDefault="00346142" w:rsidP="004D598D">
            <w:pPr>
              <w:jc w:val="both"/>
            </w:pPr>
            <w:r>
              <w:t>Burning sensation in the feet</w:t>
            </w:r>
          </w:p>
        </w:tc>
      </w:tr>
    </w:tbl>
    <w:p w14:paraId="75D87950" w14:textId="5B7B9F43" w:rsidR="00346142" w:rsidRDefault="2B61F7F8" w:rsidP="2B61F7F8">
      <w:pPr>
        <w:rPr>
          <w:i/>
          <w:iCs/>
          <w:sz w:val="20"/>
          <w:szCs w:val="20"/>
        </w:rPr>
      </w:pPr>
      <w:r w:rsidRPr="2B61F7F8">
        <w:rPr>
          <w:i/>
          <w:iCs/>
          <w:sz w:val="20"/>
          <w:szCs w:val="20"/>
        </w:rPr>
        <w:t>Adapted from “A guide for TB Treatment Supporters”</w:t>
      </w:r>
      <w:r w:rsidR="008971E6">
        <w:rPr>
          <w:i/>
          <w:iCs/>
          <w:sz w:val="20"/>
          <w:szCs w:val="20"/>
        </w:rPr>
        <w:br/>
      </w:r>
      <w:hyperlink r:id="rId11">
        <w:r w:rsidRPr="2B61F7F8">
          <w:rPr>
            <w:rStyle w:val="Hyperlink"/>
            <w:i/>
            <w:iCs/>
            <w:sz w:val="20"/>
            <w:szCs w:val="20"/>
          </w:rPr>
          <w:t>http://apps.who.int/iris/bitstream/10665/67356/1/WHO_CDS_TB_2002.300.pdf</w:t>
        </w:r>
      </w:hyperlink>
    </w:p>
    <w:p w14:paraId="0CB2F723" w14:textId="4362FD6A" w:rsidR="00360BA6" w:rsidRDefault="00750AF1" w:rsidP="00B37D26">
      <w:pPr>
        <w:pStyle w:val="ListParagraph"/>
        <w:numPr>
          <w:ilvl w:val="1"/>
          <w:numId w:val="12"/>
        </w:numPr>
        <w:spacing w:after="0"/>
        <w:jc w:val="both"/>
        <w:rPr>
          <w:rFonts w:asciiTheme="minorHAnsi" w:hAnsiTheme="minorHAnsi" w:cs="Arial"/>
        </w:rPr>
      </w:pPr>
      <w:r w:rsidRPr="00360BA6">
        <w:rPr>
          <w:rFonts w:asciiTheme="minorHAnsi" w:hAnsiTheme="minorHAnsi" w:cs="Arial"/>
        </w:rPr>
        <w:t>If dan</w:t>
      </w:r>
      <w:r w:rsidR="00C8500E" w:rsidRPr="00360BA6">
        <w:rPr>
          <w:rFonts w:asciiTheme="minorHAnsi" w:hAnsiTheme="minorHAnsi" w:cs="Arial"/>
        </w:rPr>
        <w:t>gerous</w:t>
      </w:r>
      <w:r w:rsidR="005207A9">
        <w:rPr>
          <w:rFonts w:asciiTheme="minorHAnsi" w:hAnsiTheme="minorHAnsi" w:cs="Arial"/>
        </w:rPr>
        <w:t>,</w:t>
      </w:r>
      <w:r w:rsidR="00C8500E" w:rsidRPr="00360BA6">
        <w:rPr>
          <w:rFonts w:asciiTheme="minorHAnsi" w:hAnsiTheme="minorHAnsi" w:cs="Arial"/>
        </w:rPr>
        <w:t xml:space="preserve"> do not </w:t>
      </w:r>
      <w:r w:rsidR="00C61E94">
        <w:rPr>
          <w:rFonts w:asciiTheme="minorHAnsi" w:hAnsiTheme="minorHAnsi" w:cs="Arial"/>
        </w:rPr>
        <w:t>administer</w:t>
      </w:r>
      <w:r w:rsidR="00C61E94" w:rsidRPr="00360BA6">
        <w:rPr>
          <w:rFonts w:asciiTheme="minorHAnsi" w:hAnsiTheme="minorHAnsi" w:cs="Arial"/>
        </w:rPr>
        <w:t xml:space="preserve"> </w:t>
      </w:r>
      <w:r w:rsidR="00C8500E" w:rsidRPr="00360BA6">
        <w:rPr>
          <w:rFonts w:asciiTheme="minorHAnsi" w:hAnsiTheme="minorHAnsi" w:cs="Arial"/>
        </w:rPr>
        <w:t xml:space="preserve">the drugs, </w:t>
      </w:r>
      <w:r w:rsidRPr="00360BA6">
        <w:rPr>
          <w:rFonts w:asciiTheme="minorHAnsi" w:hAnsiTheme="minorHAnsi" w:cs="Arial"/>
        </w:rPr>
        <w:t>inform</w:t>
      </w:r>
      <w:r w:rsidR="00D906DD">
        <w:rPr>
          <w:rFonts w:asciiTheme="minorHAnsi" w:hAnsiTheme="minorHAnsi" w:cs="Arial"/>
        </w:rPr>
        <w:t xml:space="preserve"> </w:t>
      </w:r>
      <w:r w:rsidRPr="00360BA6">
        <w:rPr>
          <w:rFonts w:asciiTheme="minorHAnsi" w:hAnsiTheme="minorHAnsi" w:cs="Arial"/>
        </w:rPr>
        <w:t xml:space="preserve">the </w:t>
      </w:r>
      <w:r w:rsidR="005F348A" w:rsidRPr="00360BA6">
        <w:rPr>
          <w:rFonts w:asciiTheme="minorHAnsi" w:hAnsiTheme="minorHAnsi" w:cs="Arial"/>
        </w:rPr>
        <w:t xml:space="preserve">study </w:t>
      </w:r>
      <w:r w:rsidRPr="00360BA6">
        <w:rPr>
          <w:rFonts w:asciiTheme="minorHAnsi" w:hAnsiTheme="minorHAnsi" w:cs="Arial"/>
        </w:rPr>
        <w:t>investigator</w:t>
      </w:r>
      <w:r w:rsidR="00D906DD">
        <w:rPr>
          <w:rFonts w:asciiTheme="minorHAnsi" w:hAnsiTheme="minorHAnsi" w:cs="Arial"/>
        </w:rPr>
        <w:t xml:space="preserve"> immediately</w:t>
      </w:r>
      <w:r w:rsidR="00C8500E" w:rsidRPr="00360BA6">
        <w:rPr>
          <w:rFonts w:asciiTheme="minorHAnsi" w:hAnsiTheme="minorHAnsi" w:cs="Arial"/>
        </w:rPr>
        <w:t xml:space="preserve"> and refer the </w:t>
      </w:r>
      <w:r w:rsidR="00054569">
        <w:rPr>
          <w:rFonts w:asciiTheme="minorHAnsi" w:hAnsiTheme="minorHAnsi" w:cs="Arial"/>
        </w:rPr>
        <w:t>participant</w:t>
      </w:r>
      <w:r w:rsidR="005F348A" w:rsidRPr="00360BA6">
        <w:rPr>
          <w:rFonts w:asciiTheme="minorHAnsi" w:hAnsiTheme="minorHAnsi" w:cs="Arial"/>
        </w:rPr>
        <w:t xml:space="preserve"> to the </w:t>
      </w:r>
      <w:r w:rsidR="00D906DD">
        <w:rPr>
          <w:rFonts w:asciiTheme="minorHAnsi" w:hAnsiTheme="minorHAnsi" w:cs="Arial"/>
        </w:rPr>
        <w:t xml:space="preserve">clinical </w:t>
      </w:r>
      <w:r w:rsidR="005F348A" w:rsidRPr="00360BA6">
        <w:rPr>
          <w:rFonts w:asciiTheme="minorHAnsi" w:hAnsiTheme="minorHAnsi" w:cs="Arial"/>
        </w:rPr>
        <w:t>trial site</w:t>
      </w:r>
      <w:r w:rsidR="00C61E94">
        <w:rPr>
          <w:rFonts w:asciiTheme="minorHAnsi" w:hAnsiTheme="minorHAnsi" w:cs="Arial"/>
        </w:rPr>
        <w:t>.</w:t>
      </w:r>
    </w:p>
    <w:p w14:paraId="48BFC3F8" w14:textId="79615416" w:rsidR="00360BA6" w:rsidRPr="00360BA6" w:rsidRDefault="00750AF1" w:rsidP="008748BD">
      <w:pPr>
        <w:pStyle w:val="ListParagraph"/>
        <w:numPr>
          <w:ilvl w:val="1"/>
          <w:numId w:val="12"/>
        </w:numPr>
        <w:spacing w:after="0"/>
        <w:jc w:val="both"/>
        <w:rPr>
          <w:rFonts w:asciiTheme="minorHAnsi" w:hAnsiTheme="minorHAnsi" w:cs="Arial"/>
        </w:rPr>
      </w:pPr>
      <w:r w:rsidRPr="00360BA6">
        <w:rPr>
          <w:rFonts w:asciiTheme="minorHAnsi" w:hAnsiTheme="minorHAnsi" w:cs="Arial"/>
        </w:rPr>
        <w:t>If not dangerous</w:t>
      </w:r>
      <w:r w:rsidR="005207A9">
        <w:rPr>
          <w:rFonts w:asciiTheme="minorHAnsi" w:hAnsiTheme="minorHAnsi" w:cs="Arial"/>
        </w:rPr>
        <w:t>,</w:t>
      </w:r>
      <w:r w:rsidRPr="00360BA6">
        <w:rPr>
          <w:rFonts w:asciiTheme="minorHAnsi" w:hAnsiTheme="minorHAnsi" w:cs="Arial"/>
        </w:rPr>
        <w:t xml:space="preserve"> </w:t>
      </w:r>
      <w:r>
        <w:t xml:space="preserve">reassure the </w:t>
      </w:r>
      <w:r w:rsidR="00054569">
        <w:t>participant</w:t>
      </w:r>
      <w:r>
        <w:t xml:space="preserve"> and </w:t>
      </w:r>
      <w:r w:rsidR="00C61E94">
        <w:t xml:space="preserve">administer the </w:t>
      </w:r>
      <w:r>
        <w:t>drugs</w:t>
      </w:r>
      <w:r w:rsidR="00C61E94">
        <w:t>.</w:t>
      </w:r>
    </w:p>
    <w:p w14:paraId="7FCDDB27" w14:textId="1175E3F9" w:rsidR="00360BA6" w:rsidRPr="00360BA6" w:rsidRDefault="003B2FA2" w:rsidP="008748BD">
      <w:pPr>
        <w:pStyle w:val="ListParagraph"/>
        <w:numPr>
          <w:ilvl w:val="1"/>
          <w:numId w:val="12"/>
        </w:numPr>
        <w:spacing w:after="0"/>
        <w:jc w:val="both"/>
        <w:rPr>
          <w:rFonts w:asciiTheme="minorHAnsi" w:hAnsiTheme="minorHAnsi" w:cs="Arial"/>
        </w:rPr>
      </w:pPr>
      <w:r>
        <w:rPr>
          <w:rFonts w:asciiTheme="minorHAnsi" w:hAnsiTheme="minorHAnsi"/>
        </w:rPr>
        <w:t>The DOT nurse or treatment support</w:t>
      </w:r>
      <w:r w:rsidR="0030770D">
        <w:rPr>
          <w:rFonts w:asciiTheme="minorHAnsi" w:hAnsiTheme="minorHAnsi"/>
        </w:rPr>
        <w:t>er</w:t>
      </w:r>
      <w:r>
        <w:rPr>
          <w:rFonts w:asciiTheme="minorHAnsi" w:hAnsiTheme="minorHAnsi"/>
        </w:rPr>
        <w:t xml:space="preserve"> should relay </w:t>
      </w:r>
      <w:r w:rsidR="00407360">
        <w:rPr>
          <w:rFonts w:asciiTheme="minorHAnsi" w:hAnsiTheme="minorHAnsi"/>
        </w:rPr>
        <w:t>participant</w:t>
      </w:r>
      <w:r>
        <w:rPr>
          <w:rFonts w:asciiTheme="minorHAnsi" w:hAnsiTheme="minorHAnsi"/>
        </w:rPr>
        <w:t xml:space="preserve"> reported adverse</w:t>
      </w:r>
      <w:r w:rsidRPr="00742DD0">
        <w:rPr>
          <w:rFonts w:asciiTheme="minorHAnsi" w:hAnsiTheme="minorHAnsi"/>
        </w:rPr>
        <w:t xml:space="preserve"> </w:t>
      </w:r>
      <w:r>
        <w:rPr>
          <w:rFonts w:asciiTheme="minorHAnsi" w:hAnsiTheme="minorHAnsi"/>
        </w:rPr>
        <w:t>events and/or other complaints to delegated site personnel. Delegated site personnel should document these events in the adverse event log</w:t>
      </w:r>
      <w:r w:rsidR="00C8500E" w:rsidRPr="00360BA6">
        <w:rPr>
          <w:rFonts w:asciiTheme="minorHAnsi" w:hAnsiTheme="minorHAnsi"/>
        </w:rPr>
        <w:t xml:space="preserve"> and the study </w:t>
      </w:r>
      <w:r w:rsidR="00CF0184" w:rsidRPr="00360BA6">
        <w:rPr>
          <w:rFonts w:asciiTheme="minorHAnsi" w:hAnsiTheme="minorHAnsi"/>
        </w:rPr>
        <w:t>investigator</w:t>
      </w:r>
      <w:r w:rsidR="00C8500E" w:rsidRPr="00360BA6">
        <w:rPr>
          <w:rFonts w:asciiTheme="minorHAnsi" w:hAnsiTheme="minorHAnsi"/>
        </w:rPr>
        <w:t xml:space="preserve"> should be informed immediately if the event </w:t>
      </w:r>
      <w:r w:rsidR="00911976">
        <w:rPr>
          <w:rFonts w:asciiTheme="minorHAnsi" w:hAnsiTheme="minorHAnsi"/>
        </w:rPr>
        <w:t>has</w:t>
      </w:r>
      <w:r w:rsidR="00911976" w:rsidRPr="00360BA6">
        <w:rPr>
          <w:rFonts w:asciiTheme="minorHAnsi" w:hAnsiTheme="minorHAnsi"/>
        </w:rPr>
        <w:t xml:space="preserve"> worsen</w:t>
      </w:r>
      <w:r w:rsidR="00911976">
        <w:rPr>
          <w:rFonts w:asciiTheme="minorHAnsi" w:hAnsiTheme="minorHAnsi"/>
        </w:rPr>
        <w:t>ed</w:t>
      </w:r>
      <w:r w:rsidR="00911976" w:rsidRPr="00360BA6">
        <w:rPr>
          <w:rFonts w:asciiTheme="minorHAnsi" w:hAnsiTheme="minorHAnsi"/>
        </w:rPr>
        <w:t xml:space="preserve"> </w:t>
      </w:r>
      <w:r w:rsidR="00C8500E" w:rsidRPr="00360BA6">
        <w:rPr>
          <w:rFonts w:asciiTheme="minorHAnsi" w:hAnsiTheme="minorHAnsi"/>
        </w:rPr>
        <w:t>compared to previous days or prevent</w:t>
      </w:r>
      <w:r w:rsidR="009636A7" w:rsidRPr="00360BA6">
        <w:rPr>
          <w:rFonts w:asciiTheme="minorHAnsi" w:hAnsiTheme="minorHAnsi"/>
        </w:rPr>
        <w:t>s</w:t>
      </w:r>
      <w:r w:rsidR="00C8500E" w:rsidRPr="00360BA6">
        <w:rPr>
          <w:rFonts w:asciiTheme="minorHAnsi" w:hAnsiTheme="minorHAnsi"/>
        </w:rPr>
        <w:t xml:space="preserve"> the </w:t>
      </w:r>
      <w:r w:rsidR="00054569">
        <w:rPr>
          <w:rFonts w:asciiTheme="minorHAnsi" w:hAnsiTheme="minorHAnsi"/>
        </w:rPr>
        <w:t>participant</w:t>
      </w:r>
      <w:r w:rsidR="00C8500E" w:rsidRPr="00360BA6">
        <w:rPr>
          <w:rFonts w:asciiTheme="minorHAnsi" w:hAnsiTheme="minorHAnsi"/>
        </w:rPr>
        <w:t xml:space="preserve"> </w:t>
      </w:r>
      <w:r w:rsidR="00D906DD">
        <w:rPr>
          <w:rFonts w:asciiTheme="minorHAnsi" w:hAnsiTheme="minorHAnsi"/>
        </w:rPr>
        <w:t>from</w:t>
      </w:r>
      <w:r w:rsidR="00C8500E" w:rsidRPr="00360BA6">
        <w:rPr>
          <w:rFonts w:asciiTheme="minorHAnsi" w:hAnsiTheme="minorHAnsi"/>
        </w:rPr>
        <w:t xml:space="preserve"> tak</w:t>
      </w:r>
      <w:r w:rsidR="00D906DD">
        <w:rPr>
          <w:rFonts w:asciiTheme="minorHAnsi" w:hAnsiTheme="minorHAnsi"/>
        </w:rPr>
        <w:t>ing</w:t>
      </w:r>
      <w:r w:rsidR="00C8500E" w:rsidRPr="00360BA6">
        <w:rPr>
          <w:rFonts w:asciiTheme="minorHAnsi" w:hAnsiTheme="minorHAnsi"/>
        </w:rPr>
        <w:t xml:space="preserve"> the treatment</w:t>
      </w:r>
      <w:r w:rsidR="00D906DD" w:rsidRPr="00D906DD">
        <w:rPr>
          <w:rFonts w:asciiTheme="minorHAnsi" w:hAnsiTheme="minorHAnsi"/>
        </w:rPr>
        <w:t xml:space="preserve"> </w:t>
      </w:r>
      <w:r w:rsidR="00D906DD" w:rsidRPr="00360BA6">
        <w:rPr>
          <w:rFonts w:asciiTheme="minorHAnsi" w:hAnsiTheme="minorHAnsi"/>
        </w:rPr>
        <w:t>properly</w:t>
      </w:r>
      <w:r w:rsidR="00C61E94">
        <w:rPr>
          <w:rFonts w:asciiTheme="minorHAnsi" w:hAnsiTheme="minorHAnsi"/>
        </w:rPr>
        <w:t>.</w:t>
      </w:r>
    </w:p>
    <w:p w14:paraId="0C764AA4" w14:textId="04BD2B72" w:rsidR="00E915C1" w:rsidRDefault="0030770D" w:rsidP="00FF0F55">
      <w:pPr>
        <w:pStyle w:val="ListParagraph"/>
        <w:numPr>
          <w:ilvl w:val="0"/>
          <w:numId w:val="12"/>
        </w:numPr>
        <w:spacing w:after="0"/>
        <w:jc w:val="both"/>
        <w:rPr>
          <w:rFonts w:asciiTheme="minorHAnsi" w:hAnsiTheme="minorHAnsi" w:cs="Arial"/>
        </w:rPr>
      </w:pPr>
      <w:r w:rsidRPr="00A814B8">
        <w:rPr>
          <w:rFonts w:asciiTheme="minorHAnsi" w:hAnsiTheme="minorHAnsi" w:cs="Arial"/>
          <w:u w:val="single"/>
        </w:rPr>
        <w:t>Clinic-based DOT</w:t>
      </w:r>
      <w:r>
        <w:rPr>
          <w:rFonts w:asciiTheme="minorHAnsi" w:hAnsiTheme="minorHAnsi" w:cs="Arial"/>
        </w:rPr>
        <w:t>: t</w:t>
      </w:r>
      <w:r w:rsidR="00AE7F75">
        <w:rPr>
          <w:rFonts w:asciiTheme="minorHAnsi" w:hAnsiTheme="minorHAnsi" w:cs="Arial"/>
        </w:rPr>
        <w:t>he DOT nurse p</w:t>
      </w:r>
      <w:r w:rsidR="0016613C" w:rsidRPr="00360BA6">
        <w:rPr>
          <w:rFonts w:asciiTheme="minorHAnsi" w:hAnsiTheme="minorHAnsi" w:cs="Arial"/>
        </w:rPr>
        <w:t>repare</w:t>
      </w:r>
      <w:r w:rsidR="00AE7F75">
        <w:rPr>
          <w:rFonts w:asciiTheme="minorHAnsi" w:hAnsiTheme="minorHAnsi" w:cs="Arial"/>
        </w:rPr>
        <w:t>s</w:t>
      </w:r>
      <w:r w:rsidR="0016613C" w:rsidRPr="00360BA6">
        <w:rPr>
          <w:rFonts w:asciiTheme="minorHAnsi" w:hAnsiTheme="minorHAnsi" w:cs="Arial"/>
        </w:rPr>
        <w:t xml:space="preserve"> the treatment dose according to the prescription </w:t>
      </w:r>
      <w:r w:rsidR="00C8500E" w:rsidRPr="00360BA6">
        <w:rPr>
          <w:rFonts w:asciiTheme="minorHAnsi" w:hAnsiTheme="minorHAnsi" w:cs="Arial"/>
        </w:rPr>
        <w:t xml:space="preserve">indicated on the </w:t>
      </w:r>
      <w:r w:rsidR="001F5123">
        <w:rPr>
          <w:rFonts w:asciiTheme="minorHAnsi" w:hAnsiTheme="minorHAnsi" w:cs="Arial"/>
        </w:rPr>
        <w:t>prescription documentation (i.e.</w:t>
      </w:r>
      <w:r w:rsidR="00CD627C">
        <w:rPr>
          <w:rFonts w:asciiTheme="minorHAnsi" w:hAnsiTheme="minorHAnsi" w:cs="Arial"/>
        </w:rPr>
        <w:t>,</w:t>
      </w:r>
      <w:r w:rsidR="001F5123">
        <w:rPr>
          <w:rFonts w:asciiTheme="minorHAnsi" w:hAnsiTheme="minorHAnsi" w:cs="Arial"/>
        </w:rPr>
        <w:t xml:space="preserve"> local prescription notes and/or treatment initiation form and, if applicable, treatment change form</w:t>
      </w:r>
      <w:r w:rsidR="00BB498A">
        <w:rPr>
          <w:rFonts w:asciiTheme="minorHAnsi" w:hAnsiTheme="minorHAnsi" w:cs="Arial"/>
        </w:rPr>
        <w:t xml:space="preserve"> or subsequent prescriptions</w:t>
      </w:r>
      <w:r w:rsidR="001F5123">
        <w:rPr>
          <w:rFonts w:asciiTheme="minorHAnsi" w:hAnsiTheme="minorHAnsi" w:cs="Arial"/>
        </w:rPr>
        <w:t>)</w:t>
      </w:r>
      <w:r w:rsidR="005F4CF8">
        <w:rPr>
          <w:rFonts w:asciiTheme="minorHAnsi" w:hAnsiTheme="minorHAnsi" w:cs="Arial"/>
        </w:rPr>
        <w:t>.</w:t>
      </w:r>
    </w:p>
    <w:p w14:paraId="175D741C" w14:textId="27F0B8A7" w:rsidR="00360BA6" w:rsidRDefault="0030770D" w:rsidP="00A814B8">
      <w:pPr>
        <w:pStyle w:val="ListParagraph"/>
        <w:numPr>
          <w:ilvl w:val="0"/>
          <w:numId w:val="12"/>
        </w:numPr>
        <w:spacing w:after="0"/>
        <w:jc w:val="both"/>
        <w:rPr>
          <w:rFonts w:asciiTheme="minorHAnsi" w:hAnsiTheme="minorHAnsi" w:cs="Arial"/>
        </w:rPr>
      </w:pPr>
      <w:r w:rsidRPr="00A814B8">
        <w:rPr>
          <w:rFonts w:asciiTheme="minorHAnsi" w:hAnsiTheme="minorHAnsi" w:cs="Arial"/>
          <w:u w:val="single"/>
        </w:rPr>
        <w:lastRenderedPageBreak/>
        <w:t>Home-based DOT with treatment supporter</w:t>
      </w:r>
      <w:r>
        <w:rPr>
          <w:rFonts w:asciiTheme="minorHAnsi" w:hAnsiTheme="minorHAnsi" w:cs="Arial"/>
        </w:rPr>
        <w:t xml:space="preserve">: </w:t>
      </w:r>
      <w:r w:rsidR="0016613C" w:rsidRPr="00360BA6">
        <w:rPr>
          <w:rFonts w:asciiTheme="minorHAnsi" w:hAnsiTheme="minorHAnsi" w:cs="Arial"/>
        </w:rPr>
        <w:t>the prescribed dose</w:t>
      </w:r>
      <w:r w:rsidR="00AE7F75">
        <w:rPr>
          <w:rFonts w:asciiTheme="minorHAnsi" w:hAnsiTheme="minorHAnsi" w:cs="Arial"/>
        </w:rPr>
        <w:t xml:space="preserve"> </w:t>
      </w:r>
      <w:r w:rsidR="005F4CF8">
        <w:rPr>
          <w:rFonts w:asciiTheme="minorHAnsi" w:hAnsiTheme="minorHAnsi" w:cs="Arial"/>
        </w:rPr>
        <w:t xml:space="preserve">of TB medications is </w:t>
      </w:r>
      <w:r w:rsidR="00AE7F75">
        <w:rPr>
          <w:rFonts w:asciiTheme="minorHAnsi" w:hAnsiTheme="minorHAnsi" w:cs="Arial"/>
        </w:rPr>
        <w:t>prepared by the DOT nurse or site pharmacist</w:t>
      </w:r>
      <w:r w:rsidR="0016613C" w:rsidRPr="00360BA6">
        <w:rPr>
          <w:rFonts w:asciiTheme="minorHAnsi" w:hAnsiTheme="minorHAnsi" w:cs="Arial"/>
        </w:rPr>
        <w:t xml:space="preserve"> </w:t>
      </w:r>
      <w:r w:rsidR="005F4CF8">
        <w:rPr>
          <w:rFonts w:asciiTheme="minorHAnsi" w:hAnsiTheme="minorHAnsi" w:cs="Arial"/>
        </w:rPr>
        <w:t xml:space="preserve">in </w:t>
      </w:r>
      <w:r w:rsidR="005F4CF8" w:rsidRPr="00360BA6">
        <w:rPr>
          <w:rFonts w:asciiTheme="minorHAnsi" w:hAnsiTheme="minorHAnsi" w:cs="Arial"/>
        </w:rPr>
        <w:t>prefilled bottles</w:t>
      </w:r>
      <w:r w:rsidR="005F4CF8">
        <w:rPr>
          <w:rFonts w:asciiTheme="minorHAnsi" w:hAnsiTheme="minorHAnsi" w:cs="Arial"/>
        </w:rPr>
        <w:t xml:space="preserve"> or blister pack(s)</w:t>
      </w:r>
      <w:r w:rsidR="005F4CF8" w:rsidRPr="00360BA6">
        <w:rPr>
          <w:rFonts w:asciiTheme="minorHAnsi" w:hAnsiTheme="minorHAnsi" w:cs="Arial"/>
        </w:rPr>
        <w:t xml:space="preserve"> </w:t>
      </w:r>
      <w:r w:rsidR="0016613C" w:rsidRPr="00360BA6">
        <w:rPr>
          <w:rFonts w:asciiTheme="minorHAnsi" w:hAnsiTheme="minorHAnsi" w:cs="Arial"/>
        </w:rPr>
        <w:t xml:space="preserve">(in </w:t>
      </w:r>
      <w:r w:rsidR="00CF0184" w:rsidRPr="00360BA6">
        <w:rPr>
          <w:rFonts w:asciiTheme="minorHAnsi" w:hAnsiTheme="minorHAnsi" w:cs="Arial"/>
        </w:rPr>
        <w:t>such</w:t>
      </w:r>
      <w:r w:rsidR="0016613C" w:rsidRPr="00360BA6">
        <w:rPr>
          <w:rFonts w:asciiTheme="minorHAnsi" w:hAnsiTheme="minorHAnsi" w:cs="Arial"/>
        </w:rPr>
        <w:t xml:space="preserve"> case </w:t>
      </w:r>
      <w:r w:rsidR="005F4CF8">
        <w:rPr>
          <w:rFonts w:asciiTheme="minorHAnsi" w:hAnsiTheme="minorHAnsi" w:cs="Arial"/>
        </w:rPr>
        <w:t xml:space="preserve">the treatment supporter should </w:t>
      </w:r>
      <w:r w:rsidR="0016613C" w:rsidRPr="00360BA6">
        <w:rPr>
          <w:rFonts w:asciiTheme="minorHAnsi" w:hAnsiTheme="minorHAnsi" w:cs="Arial"/>
        </w:rPr>
        <w:t xml:space="preserve">check that the </w:t>
      </w:r>
      <w:r w:rsidR="00054569">
        <w:rPr>
          <w:rFonts w:asciiTheme="minorHAnsi" w:hAnsiTheme="minorHAnsi" w:cs="Arial"/>
        </w:rPr>
        <w:t>participant</w:t>
      </w:r>
      <w:r w:rsidR="00C8500E" w:rsidRPr="00360BA6">
        <w:rPr>
          <w:rFonts w:asciiTheme="minorHAnsi" w:hAnsiTheme="minorHAnsi" w:cs="Arial"/>
        </w:rPr>
        <w:t>’s</w:t>
      </w:r>
      <w:r w:rsidR="0016613C" w:rsidRPr="00360BA6">
        <w:rPr>
          <w:rFonts w:asciiTheme="minorHAnsi" w:hAnsiTheme="minorHAnsi" w:cs="Arial"/>
        </w:rPr>
        <w:t xml:space="preserve"> </w:t>
      </w:r>
      <w:r w:rsidR="00C8500E" w:rsidRPr="00360BA6">
        <w:rPr>
          <w:rFonts w:asciiTheme="minorHAnsi" w:hAnsiTheme="minorHAnsi" w:cs="Arial"/>
        </w:rPr>
        <w:t>name</w:t>
      </w:r>
      <w:r w:rsidR="00333BA5">
        <w:rPr>
          <w:rFonts w:asciiTheme="minorHAnsi" w:hAnsiTheme="minorHAnsi" w:cs="Arial"/>
        </w:rPr>
        <w:t xml:space="preserve"> </w:t>
      </w:r>
      <w:r w:rsidR="00CD627C">
        <w:rPr>
          <w:rFonts w:asciiTheme="minorHAnsi" w:hAnsiTheme="minorHAnsi" w:cs="Arial"/>
        </w:rPr>
        <w:t>[</w:t>
      </w:r>
      <w:r w:rsidR="00333BA5">
        <w:rPr>
          <w:rFonts w:asciiTheme="minorHAnsi" w:hAnsiTheme="minorHAnsi" w:cs="Arial"/>
        </w:rPr>
        <w:t>or subject identification number</w:t>
      </w:r>
      <w:r w:rsidR="00CD627C">
        <w:rPr>
          <w:rFonts w:asciiTheme="minorHAnsi" w:hAnsiTheme="minorHAnsi" w:cs="Arial"/>
        </w:rPr>
        <w:t>]</w:t>
      </w:r>
      <w:r w:rsidR="00C8500E" w:rsidRPr="00360BA6">
        <w:rPr>
          <w:rFonts w:asciiTheme="minorHAnsi" w:hAnsiTheme="minorHAnsi" w:cs="Arial"/>
        </w:rPr>
        <w:t xml:space="preserve"> </w:t>
      </w:r>
      <w:r w:rsidR="00D906DD">
        <w:rPr>
          <w:rFonts w:asciiTheme="minorHAnsi" w:hAnsiTheme="minorHAnsi" w:cs="Arial"/>
        </w:rPr>
        <w:t>matches the name</w:t>
      </w:r>
      <w:r w:rsidR="0045705F">
        <w:rPr>
          <w:rFonts w:asciiTheme="minorHAnsi" w:hAnsiTheme="minorHAnsi" w:cs="Arial"/>
        </w:rPr>
        <w:t xml:space="preserve"> or subject identification number</w:t>
      </w:r>
      <w:r w:rsidR="00D906DD">
        <w:rPr>
          <w:rFonts w:asciiTheme="minorHAnsi" w:hAnsiTheme="minorHAnsi" w:cs="Arial"/>
        </w:rPr>
        <w:t xml:space="preserve"> on the prefilled bottles</w:t>
      </w:r>
      <w:r w:rsidR="005F4CF8">
        <w:rPr>
          <w:rFonts w:asciiTheme="minorHAnsi" w:hAnsiTheme="minorHAnsi" w:cs="Arial"/>
        </w:rPr>
        <w:t>/blister packs</w:t>
      </w:r>
      <w:r w:rsidR="0016613C" w:rsidRPr="00360BA6">
        <w:rPr>
          <w:rFonts w:asciiTheme="minorHAnsi" w:hAnsiTheme="minorHAnsi" w:cs="Arial"/>
        </w:rPr>
        <w:t>)</w:t>
      </w:r>
      <w:r w:rsidR="00BB498A">
        <w:rPr>
          <w:rFonts w:asciiTheme="minorHAnsi" w:hAnsiTheme="minorHAnsi" w:cs="Arial"/>
        </w:rPr>
        <w:t>.</w:t>
      </w:r>
    </w:p>
    <w:p w14:paraId="773C2345" w14:textId="0128E55A" w:rsidR="00360BA6" w:rsidRDefault="0030770D" w:rsidP="00113B6B">
      <w:pPr>
        <w:pStyle w:val="ListParagraph"/>
        <w:numPr>
          <w:ilvl w:val="0"/>
          <w:numId w:val="12"/>
        </w:numPr>
        <w:spacing w:after="0"/>
        <w:jc w:val="both"/>
        <w:rPr>
          <w:rFonts w:asciiTheme="minorHAnsi" w:hAnsiTheme="minorHAnsi" w:cs="Arial"/>
        </w:rPr>
      </w:pPr>
      <w:r>
        <w:rPr>
          <w:rFonts w:asciiTheme="minorHAnsi" w:hAnsiTheme="minorHAnsi" w:cs="Arial"/>
        </w:rPr>
        <w:t>Hand-over</w:t>
      </w:r>
      <w:r w:rsidRPr="00360BA6">
        <w:rPr>
          <w:rFonts w:asciiTheme="minorHAnsi" w:hAnsiTheme="minorHAnsi" w:cs="Arial"/>
        </w:rPr>
        <w:t xml:space="preserve"> </w:t>
      </w:r>
      <w:r w:rsidR="0016613C" w:rsidRPr="00360BA6">
        <w:rPr>
          <w:rFonts w:asciiTheme="minorHAnsi" w:hAnsiTheme="minorHAnsi" w:cs="Arial"/>
        </w:rPr>
        <w:t xml:space="preserve">the treatment dose to the </w:t>
      </w:r>
      <w:r w:rsidR="00054569">
        <w:rPr>
          <w:rFonts w:asciiTheme="minorHAnsi" w:hAnsiTheme="minorHAnsi" w:cs="Arial"/>
        </w:rPr>
        <w:t>participant</w:t>
      </w:r>
      <w:r w:rsidR="00BB498A">
        <w:rPr>
          <w:rFonts w:asciiTheme="minorHAnsi" w:hAnsiTheme="minorHAnsi" w:cs="Arial"/>
        </w:rPr>
        <w:t>.</w:t>
      </w:r>
    </w:p>
    <w:p w14:paraId="59220ABF" w14:textId="18F34C58" w:rsidR="00360BA6" w:rsidRDefault="0016613C" w:rsidP="00113B6B">
      <w:pPr>
        <w:pStyle w:val="ListParagraph"/>
        <w:numPr>
          <w:ilvl w:val="0"/>
          <w:numId w:val="12"/>
        </w:numPr>
        <w:spacing w:after="0"/>
        <w:jc w:val="both"/>
        <w:rPr>
          <w:rFonts w:asciiTheme="minorHAnsi" w:hAnsiTheme="minorHAnsi" w:cs="Arial"/>
        </w:rPr>
      </w:pPr>
      <w:r w:rsidRPr="00360BA6">
        <w:rPr>
          <w:rFonts w:asciiTheme="minorHAnsi" w:hAnsiTheme="minorHAnsi" w:cs="Arial"/>
        </w:rPr>
        <w:t xml:space="preserve">Watch the </w:t>
      </w:r>
      <w:r w:rsidR="00054569">
        <w:rPr>
          <w:rFonts w:asciiTheme="minorHAnsi" w:hAnsiTheme="minorHAnsi" w:cs="Arial"/>
        </w:rPr>
        <w:t>participant</w:t>
      </w:r>
      <w:r w:rsidRPr="00360BA6">
        <w:rPr>
          <w:rFonts w:asciiTheme="minorHAnsi" w:hAnsiTheme="minorHAnsi" w:cs="Arial"/>
        </w:rPr>
        <w:t xml:space="preserve"> swallow the drugs</w:t>
      </w:r>
      <w:r w:rsidR="005F4CF8">
        <w:rPr>
          <w:rFonts w:asciiTheme="minorHAnsi" w:hAnsiTheme="minorHAnsi" w:cs="Arial"/>
        </w:rPr>
        <w:t>.</w:t>
      </w:r>
    </w:p>
    <w:p w14:paraId="0A0324D2" w14:textId="58E893B7" w:rsidR="00360BA6" w:rsidRDefault="0016613C">
      <w:pPr>
        <w:pStyle w:val="ListParagraph"/>
        <w:numPr>
          <w:ilvl w:val="0"/>
          <w:numId w:val="12"/>
        </w:numPr>
        <w:spacing w:after="0"/>
        <w:jc w:val="both"/>
        <w:rPr>
          <w:rFonts w:asciiTheme="minorHAnsi" w:hAnsiTheme="minorHAnsi" w:cs="Arial"/>
        </w:rPr>
      </w:pPr>
      <w:r w:rsidRPr="00360BA6">
        <w:rPr>
          <w:rFonts w:asciiTheme="minorHAnsi" w:hAnsiTheme="minorHAnsi" w:cs="Arial"/>
        </w:rPr>
        <w:t xml:space="preserve">Indicate the intake of </w:t>
      </w:r>
      <w:r w:rsidR="005F4CF8">
        <w:rPr>
          <w:rFonts w:asciiTheme="minorHAnsi" w:hAnsiTheme="minorHAnsi" w:cs="Arial"/>
        </w:rPr>
        <w:t xml:space="preserve">the </w:t>
      </w:r>
      <w:r w:rsidRPr="00360BA6">
        <w:rPr>
          <w:rFonts w:asciiTheme="minorHAnsi" w:hAnsiTheme="minorHAnsi" w:cs="Arial"/>
        </w:rPr>
        <w:t>drug</w:t>
      </w:r>
      <w:r w:rsidR="005F4CF8">
        <w:rPr>
          <w:rFonts w:asciiTheme="minorHAnsi" w:hAnsiTheme="minorHAnsi" w:cs="Arial"/>
        </w:rPr>
        <w:t>s</w:t>
      </w:r>
      <w:r w:rsidRPr="00360BA6">
        <w:rPr>
          <w:rFonts w:asciiTheme="minorHAnsi" w:hAnsiTheme="minorHAnsi" w:cs="Arial"/>
        </w:rPr>
        <w:t xml:space="preserve"> on the </w:t>
      </w:r>
      <w:r w:rsidR="00054569">
        <w:rPr>
          <w:rFonts w:asciiTheme="minorHAnsi" w:hAnsiTheme="minorHAnsi" w:cs="Arial"/>
        </w:rPr>
        <w:t>participant</w:t>
      </w:r>
      <w:r w:rsidRPr="00360BA6">
        <w:rPr>
          <w:rFonts w:asciiTheme="minorHAnsi" w:hAnsiTheme="minorHAnsi" w:cs="Arial"/>
        </w:rPr>
        <w:t xml:space="preserve">’s </w:t>
      </w:r>
      <w:r w:rsidR="00BF1D7F">
        <w:rPr>
          <w:rFonts w:asciiTheme="minorHAnsi" w:hAnsiTheme="minorHAnsi" w:cs="Arial"/>
        </w:rPr>
        <w:t xml:space="preserve">DOT </w:t>
      </w:r>
      <w:r w:rsidRPr="00360BA6">
        <w:rPr>
          <w:rFonts w:asciiTheme="minorHAnsi" w:hAnsiTheme="minorHAnsi" w:cs="Arial"/>
        </w:rPr>
        <w:t>treatment card</w:t>
      </w:r>
      <w:r w:rsidR="005F4CF8">
        <w:rPr>
          <w:rFonts w:asciiTheme="minorHAnsi" w:hAnsiTheme="minorHAnsi" w:cs="Arial"/>
        </w:rPr>
        <w:t>.</w:t>
      </w:r>
    </w:p>
    <w:p w14:paraId="35A84130" w14:textId="014B43B3" w:rsidR="00360BA6" w:rsidRPr="00360BA6" w:rsidRDefault="00742DD0">
      <w:pPr>
        <w:pStyle w:val="ListParagraph"/>
        <w:numPr>
          <w:ilvl w:val="0"/>
          <w:numId w:val="12"/>
        </w:numPr>
        <w:spacing w:after="0"/>
        <w:jc w:val="both"/>
        <w:rPr>
          <w:rFonts w:asciiTheme="minorHAnsi" w:hAnsiTheme="minorHAnsi" w:cs="Arial"/>
        </w:rPr>
      </w:pPr>
      <w:r w:rsidRPr="00360BA6">
        <w:rPr>
          <w:rFonts w:asciiTheme="minorHAnsi" w:hAnsiTheme="minorHAnsi"/>
        </w:rPr>
        <w:t xml:space="preserve">In case of immediate vomiting of the drugs (within 30 minutes </w:t>
      </w:r>
      <w:r w:rsidR="00CC1A89">
        <w:rPr>
          <w:rFonts w:asciiTheme="minorHAnsi" w:hAnsiTheme="minorHAnsi"/>
        </w:rPr>
        <w:t xml:space="preserve">from the </w:t>
      </w:r>
      <w:r w:rsidR="005C0EA0">
        <w:rPr>
          <w:rFonts w:asciiTheme="minorHAnsi" w:hAnsiTheme="minorHAnsi"/>
        </w:rPr>
        <w:t xml:space="preserve">intake of the </w:t>
      </w:r>
      <w:r w:rsidR="00CC1A89">
        <w:rPr>
          <w:rFonts w:asciiTheme="minorHAnsi" w:hAnsiTheme="minorHAnsi"/>
        </w:rPr>
        <w:t>last</w:t>
      </w:r>
      <w:r w:rsidR="00CC1A89" w:rsidRPr="00360BA6">
        <w:rPr>
          <w:rFonts w:asciiTheme="minorHAnsi" w:hAnsiTheme="minorHAnsi"/>
        </w:rPr>
        <w:t xml:space="preserve"> </w:t>
      </w:r>
      <w:r w:rsidRPr="00360BA6">
        <w:rPr>
          <w:rFonts w:asciiTheme="minorHAnsi" w:hAnsiTheme="minorHAnsi"/>
        </w:rPr>
        <w:t xml:space="preserve">drug </w:t>
      </w:r>
      <w:r w:rsidR="00CC1A89">
        <w:rPr>
          <w:rFonts w:asciiTheme="minorHAnsi" w:hAnsiTheme="minorHAnsi"/>
        </w:rPr>
        <w:t>administered</w:t>
      </w:r>
      <w:r w:rsidRPr="00360BA6">
        <w:rPr>
          <w:rFonts w:asciiTheme="minorHAnsi" w:hAnsiTheme="minorHAnsi"/>
        </w:rPr>
        <w:t>)</w:t>
      </w:r>
      <w:r w:rsidR="00360BA6">
        <w:rPr>
          <w:rFonts w:asciiTheme="minorHAnsi" w:hAnsiTheme="minorHAnsi"/>
        </w:rPr>
        <w:t>:</w:t>
      </w:r>
    </w:p>
    <w:p w14:paraId="12D9B16C" w14:textId="6D77C465" w:rsidR="00054569" w:rsidRPr="00AC5F7B" w:rsidRDefault="00054569">
      <w:pPr>
        <w:pStyle w:val="ListParagraph"/>
        <w:numPr>
          <w:ilvl w:val="1"/>
          <w:numId w:val="12"/>
        </w:numPr>
        <w:spacing w:after="0"/>
        <w:jc w:val="both"/>
        <w:rPr>
          <w:rFonts w:asciiTheme="minorHAnsi" w:hAnsiTheme="minorHAnsi" w:cs="Arial"/>
        </w:rPr>
      </w:pPr>
      <w:r>
        <w:rPr>
          <w:rFonts w:asciiTheme="minorHAnsi" w:hAnsiTheme="minorHAnsi"/>
        </w:rPr>
        <w:t xml:space="preserve">Reattempt </w:t>
      </w:r>
      <w:r w:rsidRPr="00AC5F7B">
        <w:rPr>
          <w:rFonts w:asciiTheme="minorHAnsi" w:hAnsiTheme="minorHAnsi"/>
        </w:rPr>
        <w:t>administration</w:t>
      </w:r>
      <w:r w:rsidR="00742DD0" w:rsidRPr="00AC5F7B">
        <w:rPr>
          <w:rFonts w:asciiTheme="minorHAnsi" w:hAnsiTheme="minorHAnsi"/>
        </w:rPr>
        <w:t xml:space="preserve"> with a new dose</w:t>
      </w:r>
      <w:r w:rsidR="00CC1A89" w:rsidRPr="00AC5F7B">
        <w:rPr>
          <w:rFonts w:asciiTheme="minorHAnsi" w:hAnsiTheme="minorHAnsi"/>
        </w:rPr>
        <w:t xml:space="preserve"> (only for the drugs </w:t>
      </w:r>
      <w:r w:rsidR="008418ED" w:rsidRPr="00AC5F7B">
        <w:rPr>
          <w:rFonts w:asciiTheme="minorHAnsi" w:hAnsiTheme="minorHAnsi"/>
        </w:rPr>
        <w:t xml:space="preserve">which were </w:t>
      </w:r>
      <w:r w:rsidR="00AC5F7B" w:rsidRPr="00AC5F7B">
        <w:rPr>
          <w:rFonts w:asciiTheme="minorHAnsi" w:hAnsiTheme="minorHAnsi"/>
        </w:rPr>
        <w:t>administered before vomiting</w:t>
      </w:r>
      <w:r w:rsidR="00CC1A89" w:rsidRPr="00AC5F7B">
        <w:rPr>
          <w:rFonts w:asciiTheme="minorHAnsi" w:hAnsiTheme="minorHAnsi"/>
        </w:rPr>
        <w:t>)</w:t>
      </w:r>
      <w:r w:rsidR="00BF1D7F" w:rsidRPr="00AC5F7B">
        <w:rPr>
          <w:rFonts w:asciiTheme="minorHAnsi" w:hAnsiTheme="minorHAnsi"/>
        </w:rPr>
        <w:t>;</w:t>
      </w:r>
    </w:p>
    <w:p w14:paraId="44782DB0" w14:textId="26B64CA1" w:rsidR="00360BA6" w:rsidRPr="00360BA6" w:rsidRDefault="00054569">
      <w:pPr>
        <w:pStyle w:val="ListParagraph"/>
        <w:numPr>
          <w:ilvl w:val="1"/>
          <w:numId w:val="12"/>
        </w:numPr>
        <w:spacing w:after="0"/>
        <w:jc w:val="both"/>
        <w:rPr>
          <w:rFonts w:asciiTheme="minorHAnsi" w:hAnsiTheme="minorHAnsi" w:cs="Arial"/>
        </w:rPr>
      </w:pPr>
      <w:r>
        <w:rPr>
          <w:rFonts w:asciiTheme="minorHAnsi" w:hAnsiTheme="minorHAnsi"/>
        </w:rPr>
        <w:t>Record</w:t>
      </w:r>
      <w:r w:rsidRPr="00360BA6">
        <w:rPr>
          <w:rFonts w:asciiTheme="minorHAnsi" w:hAnsiTheme="minorHAnsi"/>
        </w:rPr>
        <w:t xml:space="preserve"> </w:t>
      </w:r>
      <w:r w:rsidR="00D906DD">
        <w:rPr>
          <w:rFonts w:asciiTheme="minorHAnsi" w:hAnsiTheme="minorHAnsi"/>
        </w:rPr>
        <w:t>vomiting event</w:t>
      </w:r>
      <w:r w:rsidR="00742DD0" w:rsidRPr="00360BA6">
        <w:rPr>
          <w:rFonts w:asciiTheme="minorHAnsi" w:hAnsiTheme="minorHAnsi"/>
        </w:rPr>
        <w:t xml:space="preserve"> in the </w:t>
      </w:r>
      <w:r w:rsidR="00EB18E4">
        <w:rPr>
          <w:rFonts w:asciiTheme="minorHAnsi" w:hAnsiTheme="minorHAnsi"/>
        </w:rPr>
        <w:t>treatment card</w:t>
      </w:r>
      <w:r w:rsidR="00CC1A89">
        <w:rPr>
          <w:rFonts w:asciiTheme="minorHAnsi" w:hAnsiTheme="minorHAnsi"/>
        </w:rPr>
        <w:t xml:space="preserve"> (specifying which drugs were vomited and which ones were re-administered)</w:t>
      </w:r>
      <w:r w:rsidR="00D906DD">
        <w:rPr>
          <w:rFonts w:asciiTheme="minorHAnsi" w:hAnsiTheme="minorHAnsi"/>
        </w:rPr>
        <w:t>;</w:t>
      </w:r>
    </w:p>
    <w:p w14:paraId="517D8E48" w14:textId="77777777" w:rsidR="00360BA6" w:rsidRPr="00360BA6" w:rsidRDefault="00742DD0">
      <w:pPr>
        <w:pStyle w:val="ListParagraph"/>
        <w:numPr>
          <w:ilvl w:val="1"/>
          <w:numId w:val="12"/>
        </w:numPr>
        <w:spacing w:after="0"/>
        <w:jc w:val="both"/>
        <w:rPr>
          <w:rFonts w:asciiTheme="minorHAnsi" w:hAnsiTheme="minorHAnsi" w:cs="Arial"/>
        </w:rPr>
      </w:pPr>
      <w:r w:rsidRPr="00360BA6">
        <w:rPr>
          <w:rFonts w:asciiTheme="minorHAnsi" w:hAnsiTheme="minorHAnsi"/>
        </w:rPr>
        <w:t xml:space="preserve">If the </w:t>
      </w:r>
      <w:r w:rsidR="00054569">
        <w:rPr>
          <w:rFonts w:asciiTheme="minorHAnsi" w:hAnsiTheme="minorHAnsi"/>
        </w:rPr>
        <w:t>participant</w:t>
      </w:r>
      <w:r w:rsidR="00054569" w:rsidRPr="00360BA6">
        <w:rPr>
          <w:rFonts w:asciiTheme="minorHAnsi" w:hAnsiTheme="minorHAnsi"/>
        </w:rPr>
        <w:t xml:space="preserve"> </w:t>
      </w:r>
      <w:r w:rsidR="00D906DD" w:rsidRPr="00360BA6">
        <w:rPr>
          <w:rFonts w:asciiTheme="minorHAnsi" w:hAnsiTheme="minorHAnsi"/>
        </w:rPr>
        <w:t>vomits again</w:t>
      </w:r>
      <w:r w:rsidRPr="00360BA6">
        <w:rPr>
          <w:rFonts w:asciiTheme="minorHAnsi" w:hAnsiTheme="minorHAnsi"/>
        </w:rPr>
        <w:t xml:space="preserve">, </w:t>
      </w:r>
      <w:r w:rsidR="00054569">
        <w:rPr>
          <w:rFonts w:asciiTheme="minorHAnsi" w:hAnsiTheme="minorHAnsi"/>
        </w:rPr>
        <w:t xml:space="preserve">record the vomiting episode, inform </w:t>
      </w:r>
      <w:r w:rsidRPr="00360BA6">
        <w:rPr>
          <w:rFonts w:asciiTheme="minorHAnsi" w:hAnsiTheme="minorHAnsi"/>
        </w:rPr>
        <w:t xml:space="preserve">the </w:t>
      </w:r>
      <w:r w:rsidR="00B843AC">
        <w:rPr>
          <w:rFonts w:asciiTheme="minorHAnsi" w:hAnsiTheme="minorHAnsi"/>
        </w:rPr>
        <w:t>site clinical investigator</w:t>
      </w:r>
      <w:r w:rsidR="00054569" w:rsidRPr="00360BA6">
        <w:rPr>
          <w:rFonts w:asciiTheme="minorHAnsi" w:hAnsiTheme="minorHAnsi"/>
        </w:rPr>
        <w:t xml:space="preserve"> </w:t>
      </w:r>
      <w:r w:rsidR="00360BA6">
        <w:rPr>
          <w:rFonts w:asciiTheme="minorHAnsi" w:hAnsiTheme="minorHAnsi"/>
        </w:rPr>
        <w:t>immediately</w:t>
      </w:r>
      <w:r w:rsidR="00054569">
        <w:rPr>
          <w:rFonts w:asciiTheme="minorHAnsi" w:hAnsiTheme="minorHAnsi"/>
        </w:rPr>
        <w:t xml:space="preserve">, do not try to give the </w:t>
      </w:r>
      <w:r w:rsidR="00360BA6">
        <w:rPr>
          <w:rFonts w:asciiTheme="minorHAnsi" w:hAnsiTheme="minorHAnsi"/>
        </w:rPr>
        <w:t>drugs again.</w:t>
      </w:r>
    </w:p>
    <w:p w14:paraId="58C835B9" w14:textId="23522CA8" w:rsidR="00B8696E" w:rsidRPr="00360BA6" w:rsidRDefault="00BF1D7F">
      <w:pPr>
        <w:spacing w:before="120" w:after="0"/>
        <w:jc w:val="both"/>
        <w:rPr>
          <w:rFonts w:asciiTheme="minorHAnsi" w:hAnsiTheme="minorHAnsi" w:cs="Arial"/>
        </w:rPr>
      </w:pPr>
      <w:r>
        <w:rPr>
          <w:rFonts w:asciiTheme="minorHAnsi" w:hAnsiTheme="minorHAnsi"/>
        </w:rPr>
        <w:t>In case DOT is performed by a DOT nurse or other study personnel, t</w:t>
      </w:r>
      <w:r w:rsidR="00C37B9E" w:rsidRPr="00360BA6">
        <w:rPr>
          <w:rFonts w:asciiTheme="minorHAnsi" w:hAnsiTheme="minorHAnsi"/>
        </w:rPr>
        <w:t>he name and function of e</w:t>
      </w:r>
      <w:r w:rsidR="00D658DB" w:rsidRPr="00360BA6">
        <w:rPr>
          <w:rFonts w:asciiTheme="minorHAnsi" w:hAnsiTheme="minorHAnsi"/>
        </w:rPr>
        <w:t xml:space="preserve">ach person in charge of the DOT </w:t>
      </w:r>
      <w:r w:rsidR="00C37B9E" w:rsidRPr="00360BA6">
        <w:rPr>
          <w:rFonts w:asciiTheme="minorHAnsi" w:hAnsiTheme="minorHAnsi"/>
        </w:rPr>
        <w:t xml:space="preserve">for the </w:t>
      </w:r>
      <w:r w:rsidR="00054569">
        <w:rPr>
          <w:rFonts w:asciiTheme="minorHAnsi" w:hAnsiTheme="minorHAnsi"/>
        </w:rPr>
        <w:t>participant</w:t>
      </w:r>
      <w:r w:rsidR="00C37B9E" w:rsidRPr="00360BA6">
        <w:rPr>
          <w:rFonts w:asciiTheme="minorHAnsi" w:hAnsiTheme="minorHAnsi"/>
        </w:rPr>
        <w:t>s of</w:t>
      </w:r>
      <w:r w:rsidR="00D658DB" w:rsidRPr="00360BA6">
        <w:rPr>
          <w:rFonts w:asciiTheme="minorHAnsi" w:hAnsiTheme="minorHAnsi"/>
        </w:rPr>
        <w:t xml:space="preserve"> the trial should be recorded in the trial site delegation log</w:t>
      </w:r>
      <w:r>
        <w:rPr>
          <w:rFonts w:asciiTheme="minorHAnsi" w:hAnsiTheme="minorHAnsi"/>
        </w:rPr>
        <w:t xml:space="preserve">. </w:t>
      </w:r>
      <w:r w:rsidR="00277A27">
        <w:rPr>
          <w:rFonts w:asciiTheme="minorHAnsi" w:hAnsiTheme="minorHAnsi"/>
        </w:rPr>
        <w:t>Should this not be possible (e.g.</w:t>
      </w:r>
      <w:r w:rsidR="00CD627C">
        <w:rPr>
          <w:rFonts w:asciiTheme="minorHAnsi" w:hAnsiTheme="minorHAnsi"/>
        </w:rPr>
        <w:t>,</w:t>
      </w:r>
      <w:r w:rsidR="00277A27">
        <w:rPr>
          <w:rFonts w:asciiTheme="minorHAnsi" w:hAnsiTheme="minorHAnsi"/>
        </w:rPr>
        <w:t xml:space="preserve"> </w:t>
      </w:r>
      <w:r w:rsidR="00CD627C">
        <w:rPr>
          <w:rFonts w:asciiTheme="minorHAnsi" w:hAnsiTheme="minorHAnsi"/>
        </w:rPr>
        <w:t xml:space="preserve">a high number of </w:t>
      </w:r>
      <w:r w:rsidR="00277A27">
        <w:rPr>
          <w:rFonts w:asciiTheme="minorHAnsi" w:hAnsiTheme="minorHAnsi"/>
        </w:rPr>
        <w:t xml:space="preserve">DOT nurses </w:t>
      </w:r>
      <w:r w:rsidR="00CD627C">
        <w:rPr>
          <w:rFonts w:asciiTheme="minorHAnsi" w:hAnsiTheme="minorHAnsi"/>
        </w:rPr>
        <w:t xml:space="preserve">per participant </w:t>
      </w:r>
      <w:r w:rsidR="00277A27">
        <w:rPr>
          <w:rFonts w:asciiTheme="minorHAnsi" w:hAnsiTheme="minorHAnsi"/>
        </w:rPr>
        <w:t>due to shifts and turnover)</w:t>
      </w:r>
      <w:r w:rsidR="00E24F3F">
        <w:rPr>
          <w:rFonts w:asciiTheme="minorHAnsi" w:hAnsiTheme="minorHAnsi"/>
        </w:rPr>
        <w:t>,</w:t>
      </w:r>
      <w:r w:rsidR="00277A27">
        <w:rPr>
          <w:rFonts w:asciiTheme="minorHAnsi" w:hAnsiTheme="minorHAnsi"/>
        </w:rPr>
        <w:t xml:space="preserve"> documentation of DOT nurses</w:t>
      </w:r>
      <w:r w:rsidR="00E24F3F">
        <w:rPr>
          <w:rFonts w:asciiTheme="minorHAnsi" w:hAnsiTheme="minorHAnsi"/>
        </w:rPr>
        <w:t>’</w:t>
      </w:r>
      <w:r w:rsidR="00277A27">
        <w:rPr>
          <w:rFonts w:asciiTheme="minorHAnsi" w:hAnsiTheme="minorHAnsi"/>
        </w:rPr>
        <w:t xml:space="preserve"> training on DOT specific processes should be filed in the Investigator Site File in the appropriate section</w:t>
      </w:r>
      <w:r w:rsidR="00E24F3F">
        <w:rPr>
          <w:rFonts w:asciiTheme="minorHAnsi" w:hAnsiTheme="minorHAnsi"/>
        </w:rPr>
        <w:t>,</w:t>
      </w:r>
      <w:r w:rsidR="00277A27">
        <w:rPr>
          <w:rFonts w:asciiTheme="minorHAnsi" w:hAnsiTheme="minorHAnsi"/>
        </w:rPr>
        <w:t xml:space="preserve"> at </w:t>
      </w:r>
      <w:r w:rsidR="00E24F3F">
        <w:rPr>
          <w:rFonts w:asciiTheme="minorHAnsi" w:hAnsiTheme="minorHAnsi"/>
        </w:rPr>
        <w:t>a</w:t>
      </w:r>
      <w:r w:rsidR="00277A27">
        <w:rPr>
          <w:rFonts w:asciiTheme="minorHAnsi" w:hAnsiTheme="minorHAnsi"/>
        </w:rPr>
        <w:t xml:space="preserve"> minimum. </w:t>
      </w:r>
      <w:r>
        <w:rPr>
          <w:rFonts w:asciiTheme="minorHAnsi" w:hAnsiTheme="minorHAnsi"/>
        </w:rPr>
        <w:t>Treatment supporters do not have to be included in the delegation of responsibility log.</w:t>
      </w:r>
      <w:r w:rsidR="00B46147">
        <w:rPr>
          <w:rFonts w:asciiTheme="minorHAnsi" w:hAnsiTheme="minorHAnsi"/>
        </w:rPr>
        <w:t xml:space="preserve"> </w:t>
      </w:r>
      <w:r>
        <w:rPr>
          <w:rFonts w:asciiTheme="minorHAnsi" w:hAnsiTheme="minorHAnsi"/>
        </w:rPr>
        <w:t>DOT nurses and/or treatment supporters</w:t>
      </w:r>
      <w:r w:rsidR="00D658DB" w:rsidRPr="00360BA6">
        <w:rPr>
          <w:rFonts w:asciiTheme="minorHAnsi" w:hAnsiTheme="minorHAnsi"/>
        </w:rPr>
        <w:t xml:space="preserve"> should be </w:t>
      </w:r>
      <w:r w:rsidR="00C37B9E" w:rsidRPr="00360BA6">
        <w:rPr>
          <w:rFonts w:asciiTheme="minorHAnsi" w:hAnsiTheme="minorHAnsi"/>
        </w:rPr>
        <w:t xml:space="preserve">adequately </w:t>
      </w:r>
      <w:r w:rsidR="00D658DB" w:rsidRPr="00360BA6">
        <w:rPr>
          <w:rFonts w:asciiTheme="minorHAnsi" w:hAnsiTheme="minorHAnsi"/>
        </w:rPr>
        <w:t>trained</w:t>
      </w:r>
      <w:r w:rsidR="00C37B9E" w:rsidRPr="00360BA6">
        <w:rPr>
          <w:rFonts w:asciiTheme="minorHAnsi" w:hAnsiTheme="minorHAnsi"/>
        </w:rPr>
        <w:t xml:space="preserve"> on DOT</w:t>
      </w:r>
      <w:r w:rsidR="00B46147">
        <w:rPr>
          <w:rFonts w:asciiTheme="minorHAnsi" w:hAnsiTheme="minorHAnsi"/>
        </w:rPr>
        <w:t>. Only trained personnel</w:t>
      </w:r>
      <w:r w:rsidR="00D658DB" w:rsidRPr="00360BA6">
        <w:rPr>
          <w:rFonts w:asciiTheme="minorHAnsi" w:hAnsiTheme="minorHAnsi"/>
        </w:rPr>
        <w:t xml:space="preserve"> with similar qualification</w:t>
      </w:r>
      <w:r w:rsidR="00B46147">
        <w:rPr>
          <w:rFonts w:asciiTheme="minorHAnsi" w:hAnsiTheme="minorHAnsi"/>
        </w:rPr>
        <w:t xml:space="preserve">s should replace </w:t>
      </w:r>
      <w:r w:rsidR="004C4C58">
        <w:rPr>
          <w:rFonts w:asciiTheme="minorHAnsi" w:hAnsiTheme="minorHAnsi"/>
        </w:rPr>
        <w:t xml:space="preserve">the </w:t>
      </w:r>
      <w:r w:rsidR="00B46147">
        <w:rPr>
          <w:rFonts w:asciiTheme="minorHAnsi" w:hAnsiTheme="minorHAnsi"/>
        </w:rPr>
        <w:t>regular person</w:t>
      </w:r>
      <w:r w:rsidR="00D658DB" w:rsidRPr="00360BA6">
        <w:rPr>
          <w:rFonts w:asciiTheme="minorHAnsi" w:hAnsiTheme="minorHAnsi"/>
        </w:rPr>
        <w:t xml:space="preserve"> during </w:t>
      </w:r>
      <w:r w:rsidR="004C4C58">
        <w:rPr>
          <w:rFonts w:asciiTheme="minorHAnsi" w:hAnsiTheme="minorHAnsi"/>
        </w:rPr>
        <w:t xml:space="preserve">an </w:t>
      </w:r>
      <w:r w:rsidR="00D658DB" w:rsidRPr="00360BA6">
        <w:rPr>
          <w:rFonts w:asciiTheme="minorHAnsi" w:hAnsiTheme="minorHAnsi"/>
        </w:rPr>
        <w:t>absence or breaks.</w:t>
      </w:r>
    </w:p>
    <w:p w14:paraId="106EC553" w14:textId="01412263" w:rsidR="00942058" w:rsidRPr="00360BA6" w:rsidRDefault="00942058">
      <w:pPr>
        <w:spacing w:before="120" w:after="0" w:line="240" w:lineRule="auto"/>
        <w:jc w:val="both"/>
        <w:rPr>
          <w:rFonts w:asciiTheme="minorHAnsi" w:hAnsiTheme="minorHAnsi"/>
        </w:rPr>
      </w:pPr>
      <w:r w:rsidRPr="00360BA6">
        <w:rPr>
          <w:rFonts w:asciiTheme="minorHAnsi" w:hAnsiTheme="minorHAnsi"/>
        </w:rPr>
        <w:t xml:space="preserve">Information </w:t>
      </w:r>
      <w:r w:rsidR="000243EC" w:rsidRPr="00360BA6">
        <w:rPr>
          <w:rFonts w:asciiTheme="minorHAnsi" w:hAnsiTheme="minorHAnsi"/>
        </w:rPr>
        <w:t>about</w:t>
      </w:r>
      <w:r w:rsidRPr="00360BA6">
        <w:rPr>
          <w:rFonts w:asciiTheme="minorHAnsi" w:hAnsiTheme="minorHAnsi"/>
        </w:rPr>
        <w:t xml:space="preserve"> the absence of </w:t>
      </w:r>
      <w:r w:rsidR="000243EC" w:rsidRPr="00360BA6">
        <w:rPr>
          <w:rFonts w:asciiTheme="minorHAnsi" w:hAnsiTheme="minorHAnsi"/>
        </w:rPr>
        <w:t xml:space="preserve">DOT </w:t>
      </w:r>
      <w:r w:rsidRPr="00360BA6">
        <w:rPr>
          <w:rFonts w:asciiTheme="minorHAnsi" w:hAnsiTheme="minorHAnsi"/>
        </w:rPr>
        <w:t>and r</w:t>
      </w:r>
      <w:r w:rsidR="000243EC" w:rsidRPr="00360BA6">
        <w:rPr>
          <w:rFonts w:asciiTheme="minorHAnsi" w:hAnsiTheme="minorHAnsi"/>
        </w:rPr>
        <w:t xml:space="preserve">eason </w:t>
      </w:r>
      <w:r w:rsidR="00B46147">
        <w:rPr>
          <w:rFonts w:asciiTheme="minorHAnsi" w:hAnsiTheme="minorHAnsi"/>
        </w:rPr>
        <w:t>for any</w:t>
      </w:r>
      <w:r w:rsidR="000243EC" w:rsidRPr="00360BA6">
        <w:rPr>
          <w:rFonts w:asciiTheme="minorHAnsi" w:hAnsiTheme="minorHAnsi"/>
        </w:rPr>
        <w:t xml:space="preserve"> </w:t>
      </w:r>
      <w:r w:rsidRPr="00360BA6">
        <w:rPr>
          <w:rFonts w:asciiTheme="minorHAnsi" w:hAnsiTheme="minorHAnsi"/>
        </w:rPr>
        <w:t xml:space="preserve">drug delivery without DOT </w:t>
      </w:r>
      <w:r w:rsidR="000243EC" w:rsidRPr="00360BA6">
        <w:rPr>
          <w:rFonts w:asciiTheme="minorHAnsi" w:hAnsiTheme="minorHAnsi"/>
        </w:rPr>
        <w:t xml:space="preserve">should be documented in the </w:t>
      </w:r>
      <w:r w:rsidR="00BF1D7F">
        <w:rPr>
          <w:rFonts w:asciiTheme="minorHAnsi" w:hAnsiTheme="minorHAnsi"/>
        </w:rPr>
        <w:t>treatment card and</w:t>
      </w:r>
      <w:r w:rsidR="0030770D">
        <w:rPr>
          <w:rFonts w:asciiTheme="minorHAnsi" w:hAnsiTheme="minorHAnsi"/>
        </w:rPr>
        <w:t xml:space="preserve"> then subsequently reported in</w:t>
      </w:r>
      <w:r w:rsidR="008B1353">
        <w:rPr>
          <w:rFonts w:asciiTheme="minorHAnsi" w:hAnsiTheme="minorHAnsi"/>
        </w:rPr>
        <w:t xml:space="preserve"> </w:t>
      </w:r>
      <w:r w:rsidR="00BF1D7F">
        <w:rPr>
          <w:rFonts w:asciiTheme="minorHAnsi" w:hAnsiTheme="minorHAnsi"/>
        </w:rPr>
        <w:t xml:space="preserve">the </w:t>
      </w:r>
      <w:r w:rsidR="0030770D">
        <w:rPr>
          <w:rFonts w:asciiTheme="minorHAnsi" w:hAnsiTheme="minorHAnsi"/>
        </w:rPr>
        <w:t xml:space="preserve">Treatment </w:t>
      </w:r>
      <w:r w:rsidR="0030770D" w:rsidRPr="00360BA6">
        <w:rPr>
          <w:rFonts w:asciiTheme="minorHAnsi" w:hAnsiTheme="minorHAnsi"/>
        </w:rPr>
        <w:t xml:space="preserve">Adherence </w:t>
      </w:r>
      <w:r w:rsidR="0030770D">
        <w:rPr>
          <w:rFonts w:asciiTheme="minorHAnsi" w:hAnsiTheme="minorHAnsi"/>
        </w:rPr>
        <w:t>Source Document</w:t>
      </w:r>
      <w:r w:rsidR="000243EC" w:rsidRPr="00360BA6">
        <w:rPr>
          <w:rFonts w:asciiTheme="minorHAnsi" w:hAnsiTheme="minorHAnsi"/>
        </w:rPr>
        <w:t>.</w:t>
      </w:r>
    </w:p>
    <w:p w14:paraId="24DE046A" w14:textId="77777777" w:rsidR="006E6310" w:rsidRPr="00931588" w:rsidRDefault="00665278" w:rsidP="004D598D">
      <w:pPr>
        <w:pStyle w:val="Heading4"/>
        <w:jc w:val="both"/>
      </w:pPr>
      <w:r w:rsidRPr="00931588">
        <w:t>Monitoring</w:t>
      </w:r>
      <w:r w:rsidR="00850625" w:rsidRPr="00931588">
        <w:t xml:space="preserve"> of treatment adherence</w:t>
      </w:r>
    </w:p>
    <w:p w14:paraId="745C1957" w14:textId="77777777" w:rsidR="00850625" w:rsidRDefault="00850625" w:rsidP="00B37D26">
      <w:pPr>
        <w:spacing w:after="0"/>
        <w:jc w:val="both"/>
        <w:rPr>
          <w:rFonts w:asciiTheme="minorHAnsi" w:hAnsiTheme="minorHAnsi"/>
        </w:rPr>
      </w:pPr>
      <w:r>
        <w:rPr>
          <w:rFonts w:asciiTheme="minorHAnsi" w:hAnsiTheme="minorHAnsi"/>
        </w:rPr>
        <w:t xml:space="preserve">At each trial visit, the </w:t>
      </w:r>
      <w:r w:rsidR="0016613C">
        <w:rPr>
          <w:rFonts w:asciiTheme="minorHAnsi" w:hAnsiTheme="minorHAnsi"/>
        </w:rPr>
        <w:t>investigator</w:t>
      </w:r>
      <w:r w:rsidR="00D906DD">
        <w:rPr>
          <w:rFonts w:asciiTheme="minorHAnsi" w:hAnsiTheme="minorHAnsi"/>
        </w:rPr>
        <w:t xml:space="preserve"> </w:t>
      </w:r>
      <w:r w:rsidR="009C19AD">
        <w:rPr>
          <w:rFonts w:asciiTheme="minorHAnsi" w:hAnsiTheme="minorHAnsi"/>
        </w:rPr>
        <w:t xml:space="preserve">or delegate </w:t>
      </w:r>
      <w:r w:rsidR="00D906DD">
        <w:rPr>
          <w:rFonts w:asciiTheme="minorHAnsi" w:hAnsiTheme="minorHAnsi"/>
        </w:rPr>
        <w:t>should:</w:t>
      </w:r>
    </w:p>
    <w:p w14:paraId="0C451FB6" w14:textId="6428AAE8" w:rsidR="000243EC" w:rsidRDefault="000243EC" w:rsidP="008748BD">
      <w:pPr>
        <w:pStyle w:val="ListParagraph"/>
        <w:numPr>
          <w:ilvl w:val="0"/>
          <w:numId w:val="5"/>
        </w:numPr>
        <w:spacing w:after="0"/>
        <w:jc w:val="both"/>
        <w:rPr>
          <w:rFonts w:asciiTheme="minorHAnsi" w:hAnsiTheme="minorHAnsi"/>
        </w:rPr>
      </w:pPr>
      <w:r>
        <w:rPr>
          <w:rFonts w:asciiTheme="minorHAnsi" w:hAnsiTheme="minorHAnsi"/>
        </w:rPr>
        <w:t>Review</w:t>
      </w:r>
      <w:r w:rsidR="00850625" w:rsidRPr="00850625">
        <w:rPr>
          <w:rFonts w:asciiTheme="minorHAnsi" w:hAnsiTheme="minorHAnsi"/>
        </w:rPr>
        <w:t xml:space="preserve"> </w:t>
      </w:r>
      <w:r w:rsidR="00360BA6">
        <w:rPr>
          <w:rFonts w:asciiTheme="minorHAnsi" w:hAnsiTheme="minorHAnsi"/>
        </w:rPr>
        <w:t xml:space="preserve">the </w:t>
      </w:r>
      <w:r w:rsidR="000B7AD7">
        <w:rPr>
          <w:lang w:val="en-GB"/>
        </w:rPr>
        <w:t>treatment</w:t>
      </w:r>
      <w:r w:rsidR="00B843AC">
        <w:rPr>
          <w:lang w:val="en-GB"/>
        </w:rPr>
        <w:t xml:space="preserve"> related source document</w:t>
      </w:r>
      <w:r w:rsidR="0030770D">
        <w:rPr>
          <w:lang w:val="en-GB"/>
        </w:rPr>
        <w:t>s</w:t>
      </w:r>
      <w:r w:rsidR="00B843AC">
        <w:rPr>
          <w:lang w:val="en-GB"/>
        </w:rPr>
        <w:t>, including the treatment card, the treatment initiation form</w:t>
      </w:r>
      <w:r w:rsidR="00522641">
        <w:rPr>
          <w:lang w:val="en-GB"/>
        </w:rPr>
        <w:t xml:space="preserve"> and</w:t>
      </w:r>
      <w:r w:rsidR="00B843AC">
        <w:rPr>
          <w:lang w:val="en-GB"/>
        </w:rPr>
        <w:t xml:space="preserve"> </w:t>
      </w:r>
      <w:r w:rsidR="00522641">
        <w:rPr>
          <w:lang w:val="en-GB"/>
        </w:rPr>
        <w:t xml:space="preserve">the follow up prescriptions </w:t>
      </w:r>
      <w:r w:rsidR="00EA2F70">
        <w:rPr>
          <w:rFonts w:asciiTheme="minorHAnsi" w:hAnsiTheme="minorHAnsi"/>
        </w:rPr>
        <w:t xml:space="preserve">and </w:t>
      </w:r>
      <w:r w:rsidR="003D656F">
        <w:rPr>
          <w:rFonts w:asciiTheme="minorHAnsi" w:hAnsiTheme="minorHAnsi"/>
        </w:rPr>
        <w:t>verify the consistency between the treatment delivered and the prescription</w:t>
      </w:r>
      <w:r w:rsidR="00EA2F70">
        <w:rPr>
          <w:rFonts w:asciiTheme="minorHAnsi" w:hAnsiTheme="minorHAnsi"/>
        </w:rPr>
        <w:t>(s).</w:t>
      </w:r>
    </w:p>
    <w:p w14:paraId="52DE3B65" w14:textId="6793393C" w:rsidR="00801F86" w:rsidRPr="00850625" w:rsidRDefault="00801F86" w:rsidP="008748BD">
      <w:pPr>
        <w:pStyle w:val="ListParagraph"/>
        <w:numPr>
          <w:ilvl w:val="0"/>
          <w:numId w:val="5"/>
        </w:numPr>
        <w:spacing w:after="0"/>
        <w:jc w:val="both"/>
        <w:rPr>
          <w:rFonts w:asciiTheme="minorHAnsi" w:hAnsiTheme="minorHAnsi"/>
        </w:rPr>
      </w:pPr>
      <w:r>
        <w:rPr>
          <w:rFonts w:asciiTheme="minorHAnsi" w:hAnsiTheme="minorHAnsi"/>
        </w:rPr>
        <w:t>Count the number of dose</w:t>
      </w:r>
      <w:r w:rsidR="000243EC">
        <w:rPr>
          <w:rFonts w:asciiTheme="minorHAnsi" w:hAnsiTheme="minorHAnsi"/>
        </w:rPr>
        <w:t>s</w:t>
      </w:r>
      <w:r>
        <w:rPr>
          <w:rFonts w:asciiTheme="minorHAnsi" w:hAnsiTheme="minorHAnsi"/>
        </w:rPr>
        <w:t xml:space="preserve"> </w:t>
      </w:r>
      <w:r w:rsidR="009636A7">
        <w:rPr>
          <w:rFonts w:asciiTheme="minorHAnsi" w:hAnsiTheme="minorHAnsi"/>
        </w:rPr>
        <w:t>taken</w:t>
      </w:r>
      <w:r w:rsidR="00716EBD">
        <w:rPr>
          <w:rFonts w:asciiTheme="minorHAnsi" w:hAnsiTheme="minorHAnsi"/>
        </w:rPr>
        <w:t xml:space="preserve"> in total, and the number taken</w:t>
      </w:r>
      <w:r w:rsidR="009636A7">
        <w:rPr>
          <w:rFonts w:asciiTheme="minorHAnsi" w:hAnsiTheme="minorHAnsi"/>
        </w:rPr>
        <w:t xml:space="preserve"> under DOT </w:t>
      </w:r>
      <w:r w:rsidR="000243EC">
        <w:rPr>
          <w:rFonts w:asciiTheme="minorHAnsi" w:hAnsiTheme="minorHAnsi"/>
        </w:rPr>
        <w:t xml:space="preserve">for </w:t>
      </w:r>
      <w:r>
        <w:rPr>
          <w:rFonts w:asciiTheme="minorHAnsi" w:hAnsiTheme="minorHAnsi"/>
        </w:rPr>
        <w:t xml:space="preserve">each </w:t>
      </w:r>
      <w:r w:rsidR="000243EC">
        <w:rPr>
          <w:rFonts w:asciiTheme="minorHAnsi" w:hAnsiTheme="minorHAnsi"/>
        </w:rPr>
        <w:t xml:space="preserve">individual </w:t>
      </w:r>
      <w:r>
        <w:rPr>
          <w:rFonts w:asciiTheme="minorHAnsi" w:hAnsiTheme="minorHAnsi"/>
        </w:rPr>
        <w:t xml:space="preserve">drug </w:t>
      </w:r>
      <w:r w:rsidR="0012144A">
        <w:rPr>
          <w:rFonts w:asciiTheme="minorHAnsi" w:hAnsiTheme="minorHAnsi"/>
        </w:rPr>
        <w:t xml:space="preserve">as recorded on the </w:t>
      </w:r>
      <w:r w:rsidR="000B7AD7">
        <w:rPr>
          <w:lang w:val="en-GB"/>
        </w:rPr>
        <w:t>treatment</w:t>
      </w:r>
      <w:r w:rsidR="00B843AC">
        <w:rPr>
          <w:lang w:val="en-GB"/>
        </w:rPr>
        <w:t xml:space="preserve"> card </w:t>
      </w:r>
      <w:r w:rsidR="00EA2F70">
        <w:rPr>
          <w:rFonts w:asciiTheme="minorHAnsi" w:hAnsiTheme="minorHAnsi"/>
        </w:rPr>
        <w:t xml:space="preserve">since </w:t>
      </w:r>
      <w:r>
        <w:rPr>
          <w:rFonts w:asciiTheme="minorHAnsi" w:hAnsiTheme="minorHAnsi"/>
        </w:rPr>
        <w:t xml:space="preserve">the last visit and </w:t>
      </w:r>
      <w:r w:rsidR="000243EC">
        <w:rPr>
          <w:rFonts w:asciiTheme="minorHAnsi" w:hAnsiTheme="minorHAnsi"/>
        </w:rPr>
        <w:t xml:space="preserve">record the findings in the </w:t>
      </w:r>
      <w:r w:rsidR="00522641">
        <w:rPr>
          <w:rFonts w:asciiTheme="minorHAnsi" w:hAnsiTheme="minorHAnsi"/>
        </w:rPr>
        <w:t>Treatment Adherence Source Document</w:t>
      </w:r>
      <w:r w:rsidR="00EA2F70">
        <w:rPr>
          <w:rFonts w:asciiTheme="minorHAnsi" w:hAnsiTheme="minorHAnsi"/>
        </w:rPr>
        <w:t>.</w:t>
      </w:r>
    </w:p>
    <w:p w14:paraId="420FB9F8" w14:textId="12007EB6" w:rsidR="00CE19F0" w:rsidRPr="0021799B" w:rsidRDefault="00801F86" w:rsidP="0021799B">
      <w:pPr>
        <w:pStyle w:val="ListParagraph"/>
        <w:numPr>
          <w:ilvl w:val="0"/>
          <w:numId w:val="5"/>
        </w:numPr>
        <w:spacing w:after="120"/>
        <w:jc w:val="both"/>
        <w:rPr>
          <w:rFonts w:asciiTheme="minorHAnsi" w:hAnsiTheme="minorHAnsi"/>
        </w:rPr>
      </w:pPr>
      <w:r>
        <w:rPr>
          <w:rFonts w:asciiTheme="minorHAnsi" w:hAnsiTheme="minorHAnsi"/>
        </w:rPr>
        <w:t xml:space="preserve">Ask the </w:t>
      </w:r>
      <w:r w:rsidR="00054569">
        <w:rPr>
          <w:rFonts w:asciiTheme="minorHAnsi" w:hAnsiTheme="minorHAnsi"/>
        </w:rPr>
        <w:t>participant</w:t>
      </w:r>
      <w:r>
        <w:rPr>
          <w:rFonts w:asciiTheme="minorHAnsi" w:hAnsiTheme="minorHAnsi"/>
        </w:rPr>
        <w:t xml:space="preserve"> whether he/she has an</w:t>
      </w:r>
      <w:r w:rsidR="000243EC">
        <w:rPr>
          <w:rFonts w:asciiTheme="minorHAnsi" w:hAnsiTheme="minorHAnsi"/>
        </w:rPr>
        <w:t xml:space="preserve">y difficulty with the treatment and </w:t>
      </w:r>
      <w:r w:rsidRPr="000243EC">
        <w:rPr>
          <w:rFonts w:asciiTheme="minorHAnsi" w:hAnsiTheme="minorHAnsi"/>
        </w:rPr>
        <w:t xml:space="preserve">if </w:t>
      </w:r>
      <w:r w:rsidR="005904F0">
        <w:rPr>
          <w:rFonts w:asciiTheme="minorHAnsi" w:hAnsiTheme="minorHAnsi"/>
        </w:rPr>
        <w:t>he/she</w:t>
      </w:r>
      <w:r w:rsidRPr="000243EC">
        <w:rPr>
          <w:rFonts w:asciiTheme="minorHAnsi" w:hAnsiTheme="minorHAnsi"/>
        </w:rPr>
        <w:t xml:space="preserve"> receive</w:t>
      </w:r>
      <w:r w:rsidR="005904F0">
        <w:rPr>
          <w:rFonts w:asciiTheme="minorHAnsi" w:hAnsiTheme="minorHAnsi"/>
        </w:rPr>
        <w:t>d</w:t>
      </w:r>
      <w:r w:rsidRPr="000243EC">
        <w:rPr>
          <w:rFonts w:asciiTheme="minorHAnsi" w:hAnsiTheme="minorHAnsi"/>
        </w:rPr>
        <w:t xml:space="preserve"> any concomitant drugs</w:t>
      </w:r>
      <w:r w:rsidR="000243EC">
        <w:rPr>
          <w:rFonts w:asciiTheme="minorHAnsi" w:hAnsiTheme="minorHAnsi"/>
        </w:rPr>
        <w:t xml:space="preserve">/herbal medicine </w:t>
      </w:r>
      <w:r w:rsidRPr="000243EC">
        <w:rPr>
          <w:rFonts w:asciiTheme="minorHAnsi" w:hAnsiTheme="minorHAnsi"/>
        </w:rPr>
        <w:t>since the last visit</w:t>
      </w:r>
      <w:r w:rsidR="00EA2F70">
        <w:rPr>
          <w:rFonts w:asciiTheme="minorHAnsi" w:hAnsiTheme="minorHAnsi"/>
        </w:rPr>
        <w:t>.</w:t>
      </w:r>
    </w:p>
    <w:p w14:paraId="705E2752" w14:textId="3809B76D" w:rsidR="006E6310" w:rsidRDefault="00801F86" w:rsidP="00113B6B">
      <w:pPr>
        <w:pStyle w:val="ListParagraph"/>
        <w:numPr>
          <w:ilvl w:val="0"/>
          <w:numId w:val="5"/>
        </w:numPr>
        <w:spacing w:after="120"/>
        <w:jc w:val="both"/>
        <w:rPr>
          <w:rFonts w:asciiTheme="minorHAnsi" w:hAnsiTheme="minorHAnsi"/>
        </w:rPr>
      </w:pPr>
      <w:r w:rsidRPr="005904F0">
        <w:rPr>
          <w:rFonts w:asciiTheme="minorHAnsi" w:hAnsiTheme="minorHAnsi"/>
        </w:rPr>
        <w:t xml:space="preserve">Organize regular meetings (weekly or biweekly) with the </w:t>
      </w:r>
      <w:r w:rsidR="005904F0" w:rsidRPr="005904F0">
        <w:rPr>
          <w:rFonts w:asciiTheme="minorHAnsi" w:hAnsiTheme="minorHAnsi"/>
        </w:rPr>
        <w:t xml:space="preserve">DOT </w:t>
      </w:r>
      <w:r w:rsidRPr="005904F0">
        <w:rPr>
          <w:rFonts w:asciiTheme="minorHAnsi" w:hAnsiTheme="minorHAnsi"/>
        </w:rPr>
        <w:t xml:space="preserve">nurses or </w:t>
      </w:r>
      <w:r w:rsidR="00E112CB">
        <w:rPr>
          <w:rFonts w:asciiTheme="minorHAnsi" w:hAnsiTheme="minorHAnsi"/>
        </w:rPr>
        <w:t>treatment supporters</w:t>
      </w:r>
      <w:r w:rsidRPr="005904F0">
        <w:rPr>
          <w:rFonts w:asciiTheme="minorHAnsi" w:hAnsiTheme="minorHAnsi"/>
        </w:rPr>
        <w:t xml:space="preserve"> to </w:t>
      </w:r>
      <w:r w:rsidR="005904F0" w:rsidRPr="005904F0">
        <w:rPr>
          <w:rFonts w:asciiTheme="minorHAnsi" w:hAnsiTheme="minorHAnsi"/>
        </w:rPr>
        <w:t xml:space="preserve">review </w:t>
      </w:r>
      <w:r w:rsidR="001914AC">
        <w:rPr>
          <w:rFonts w:asciiTheme="minorHAnsi" w:hAnsiTheme="minorHAnsi"/>
        </w:rPr>
        <w:t>IP dispensation log</w:t>
      </w:r>
      <w:r w:rsidR="005904F0" w:rsidRPr="005904F0">
        <w:rPr>
          <w:rFonts w:asciiTheme="minorHAnsi" w:hAnsiTheme="minorHAnsi"/>
        </w:rPr>
        <w:t xml:space="preserve">, </w:t>
      </w:r>
      <w:r w:rsidR="00B843AC">
        <w:rPr>
          <w:rFonts w:asciiTheme="minorHAnsi" w:hAnsiTheme="minorHAnsi"/>
        </w:rPr>
        <w:t xml:space="preserve">treatment card, </w:t>
      </w:r>
      <w:r w:rsidR="00522641">
        <w:rPr>
          <w:rFonts w:asciiTheme="minorHAnsi" w:hAnsiTheme="minorHAnsi"/>
        </w:rPr>
        <w:t>Treatment Adherence Source Documents</w:t>
      </w:r>
      <w:r w:rsidR="005904F0" w:rsidRPr="005904F0">
        <w:rPr>
          <w:rFonts w:asciiTheme="minorHAnsi" w:hAnsiTheme="minorHAnsi"/>
        </w:rPr>
        <w:t xml:space="preserve"> and</w:t>
      </w:r>
      <w:r w:rsidRPr="005904F0">
        <w:rPr>
          <w:rFonts w:asciiTheme="minorHAnsi" w:hAnsiTheme="minorHAnsi"/>
        </w:rPr>
        <w:t xml:space="preserve"> any issues around treatment</w:t>
      </w:r>
      <w:r w:rsidR="005904F0" w:rsidRPr="005904F0">
        <w:rPr>
          <w:rFonts w:asciiTheme="minorHAnsi" w:hAnsiTheme="minorHAnsi"/>
        </w:rPr>
        <w:t>. E</w:t>
      </w:r>
      <w:r w:rsidRPr="005904F0">
        <w:rPr>
          <w:rFonts w:asciiTheme="minorHAnsi" w:hAnsiTheme="minorHAnsi"/>
        </w:rPr>
        <w:t xml:space="preserve">stablish trust and good communication to be able to handle any difficulty with treatment. </w:t>
      </w:r>
    </w:p>
    <w:p w14:paraId="0A857F4D" w14:textId="77777777" w:rsidR="00AC6AEC" w:rsidRDefault="00AC6AEC" w:rsidP="004D598D">
      <w:pPr>
        <w:pStyle w:val="Heading3"/>
        <w:jc w:val="both"/>
      </w:pPr>
      <w:bookmarkStart w:id="11" w:name="_Toc166238139"/>
      <w:r>
        <w:lastRenderedPageBreak/>
        <w:t>Adherence Counseling</w:t>
      </w:r>
      <w:bookmarkEnd w:id="11"/>
    </w:p>
    <w:p w14:paraId="3E71507D" w14:textId="11E6C4D4" w:rsidR="00AC6AEC" w:rsidRPr="001C1EDD" w:rsidRDefault="008603A6" w:rsidP="001C1EDD">
      <w:pPr>
        <w:spacing w:before="120" w:after="0"/>
        <w:jc w:val="both"/>
        <w:rPr>
          <w:rFonts w:asciiTheme="minorHAnsi" w:hAnsiTheme="minorHAnsi"/>
        </w:rPr>
      </w:pPr>
      <w:r>
        <w:rPr>
          <w:rFonts w:asciiTheme="minorHAnsi" w:hAnsiTheme="minorHAnsi"/>
        </w:rPr>
        <w:t xml:space="preserve">For </w:t>
      </w:r>
      <w:r w:rsidR="00407360">
        <w:rPr>
          <w:rFonts w:asciiTheme="minorHAnsi" w:hAnsiTheme="minorHAnsi"/>
        </w:rPr>
        <w:t>participant</w:t>
      </w:r>
      <w:r>
        <w:rPr>
          <w:rFonts w:asciiTheme="minorHAnsi" w:hAnsiTheme="minorHAnsi"/>
        </w:rPr>
        <w:t xml:space="preserve">s followed by a </w:t>
      </w:r>
      <w:r w:rsidR="00AC6AEC" w:rsidRPr="001C1EDD">
        <w:rPr>
          <w:rFonts w:asciiTheme="minorHAnsi" w:hAnsiTheme="minorHAnsi"/>
        </w:rPr>
        <w:t>treatment supporter</w:t>
      </w:r>
      <w:r>
        <w:rPr>
          <w:rFonts w:asciiTheme="minorHAnsi" w:hAnsiTheme="minorHAnsi"/>
        </w:rPr>
        <w:t xml:space="preserve">, s/he </w:t>
      </w:r>
      <w:r w:rsidR="00AC6AEC" w:rsidRPr="001C1EDD">
        <w:rPr>
          <w:rFonts w:asciiTheme="minorHAnsi" w:hAnsiTheme="minorHAnsi"/>
        </w:rPr>
        <w:t>should accompany the participant to the (portion of each) study visit at which adherence counseling is scheduled. At that visit, the procedure nurse, adherence counsellor or designee should:</w:t>
      </w:r>
    </w:p>
    <w:p w14:paraId="1C29A900" w14:textId="292ADC3A" w:rsidR="00AC6AEC" w:rsidRDefault="009A689F" w:rsidP="004D598D">
      <w:pPr>
        <w:pStyle w:val="ListParagraph"/>
        <w:numPr>
          <w:ilvl w:val="0"/>
          <w:numId w:val="22"/>
        </w:numPr>
        <w:jc w:val="both"/>
      </w:pPr>
      <w:r>
        <w:t>I</w:t>
      </w:r>
      <w:r w:rsidR="00AC6AEC">
        <w:t>nquire about the participant’s (and family’s) overall well-being</w:t>
      </w:r>
      <w:r>
        <w:t>.</w:t>
      </w:r>
    </w:p>
    <w:p w14:paraId="05451376" w14:textId="77E45E2A" w:rsidR="00AC6AEC" w:rsidRDefault="009A689F" w:rsidP="004D598D">
      <w:pPr>
        <w:pStyle w:val="ListParagraph"/>
        <w:numPr>
          <w:ilvl w:val="0"/>
          <w:numId w:val="22"/>
        </w:numPr>
        <w:jc w:val="both"/>
      </w:pPr>
      <w:r>
        <w:t>D</w:t>
      </w:r>
      <w:r w:rsidR="00AC6AEC">
        <w:t>iscuss with study participant and supporter any challenges to adherence to the study and treatment; ask about any expected life changes (home, work, travel, etc</w:t>
      </w:r>
      <w:r w:rsidR="008603A6">
        <w:t>.</w:t>
      </w:r>
      <w:r w:rsidR="00AC6AEC">
        <w:t xml:space="preserve">) that </w:t>
      </w:r>
      <w:r w:rsidR="00492A07">
        <w:t>may</w:t>
      </w:r>
      <w:r w:rsidR="00AC6AEC">
        <w:t xml:space="preserve"> compromise adherence, including changes in degree of privacy. Work with the participant to develop solutions to these challenges or changes. These </w:t>
      </w:r>
      <w:r w:rsidR="00492A07">
        <w:t>may</w:t>
      </w:r>
      <w:r w:rsidR="00AC6AEC">
        <w:t xml:space="preserve"> include:</w:t>
      </w:r>
    </w:p>
    <w:p w14:paraId="46083AA8" w14:textId="5D19BF72" w:rsidR="00AC6AEC" w:rsidRDefault="00AC6AEC" w:rsidP="004D598D">
      <w:pPr>
        <w:pStyle w:val="ListParagraph"/>
        <w:numPr>
          <w:ilvl w:val="1"/>
          <w:numId w:val="22"/>
        </w:numPr>
        <w:jc w:val="both"/>
      </w:pPr>
      <w:r>
        <w:t xml:space="preserve">changes in support system (i.e., removing family members/friends from or adding family members/friends to </w:t>
      </w:r>
      <w:r w:rsidR="008B1353">
        <w:t xml:space="preserve">the Subject identification and </w:t>
      </w:r>
      <w:r>
        <w:t xml:space="preserve">contact log, updating contact info in </w:t>
      </w:r>
      <w:r w:rsidR="008B1353">
        <w:t xml:space="preserve">the Subject identification and </w:t>
      </w:r>
      <w:r>
        <w:t xml:space="preserve">contact log [see </w:t>
      </w:r>
      <w:r w:rsidR="008B1353">
        <w:t>Supporting documents</w:t>
      </w:r>
      <w:r>
        <w:t>]);</w:t>
      </w:r>
    </w:p>
    <w:p w14:paraId="44BF1FFD" w14:textId="77777777" w:rsidR="00AC6AEC" w:rsidRDefault="00AC6AEC" w:rsidP="004D598D">
      <w:pPr>
        <w:pStyle w:val="ListParagraph"/>
        <w:numPr>
          <w:ilvl w:val="1"/>
          <w:numId w:val="22"/>
        </w:numPr>
        <w:jc w:val="both"/>
      </w:pPr>
      <w:r>
        <w:t>referral to mental-health provider;</w:t>
      </w:r>
    </w:p>
    <w:p w14:paraId="733B0865" w14:textId="77777777" w:rsidR="00AC6AEC" w:rsidRDefault="00AC6AEC" w:rsidP="004D598D">
      <w:pPr>
        <w:pStyle w:val="ListParagraph"/>
        <w:numPr>
          <w:ilvl w:val="1"/>
          <w:numId w:val="22"/>
        </w:numPr>
        <w:jc w:val="both"/>
      </w:pPr>
      <w:r>
        <w:t>referral to specialist for adverse event or comorbidity evaluation and/or management;</w:t>
      </w:r>
    </w:p>
    <w:p w14:paraId="3ABE0294" w14:textId="67CEA9FC" w:rsidR="00AC6AEC" w:rsidRDefault="00AC6AEC" w:rsidP="004D598D">
      <w:pPr>
        <w:pStyle w:val="ListParagraph"/>
        <w:numPr>
          <w:ilvl w:val="1"/>
          <w:numId w:val="22"/>
        </w:numPr>
        <w:jc w:val="both"/>
      </w:pPr>
      <w:r>
        <w:t>meet</w:t>
      </w:r>
      <w:r w:rsidR="0021799B">
        <w:t>ings</w:t>
      </w:r>
      <w:r>
        <w:t xml:space="preserve"> with </w:t>
      </w:r>
      <w:r w:rsidR="009A689F">
        <w:t xml:space="preserve">the </w:t>
      </w:r>
      <w:r>
        <w:t>coordinator of treatment support if arrangements for support need to be changed (personnel, location, timing, etc.)</w:t>
      </w:r>
      <w:r w:rsidR="009A689F">
        <w:t>;</w:t>
      </w:r>
    </w:p>
    <w:p w14:paraId="2675B338" w14:textId="3FD26EBA" w:rsidR="00AC6AEC" w:rsidRDefault="00AC6AEC" w:rsidP="004D598D">
      <w:pPr>
        <w:pStyle w:val="ListParagraph"/>
        <w:numPr>
          <w:ilvl w:val="1"/>
          <w:numId w:val="22"/>
        </w:numPr>
        <w:jc w:val="both"/>
      </w:pPr>
      <w:r>
        <w:t>reinforcement of medical/scientific reasons for importance of adherence by clinical investigator;</w:t>
      </w:r>
    </w:p>
    <w:p w14:paraId="0C6941D1" w14:textId="77777777" w:rsidR="00AC6AEC" w:rsidRDefault="00AC6AEC" w:rsidP="004D598D">
      <w:pPr>
        <w:pStyle w:val="ListParagraph"/>
        <w:numPr>
          <w:ilvl w:val="1"/>
          <w:numId w:val="22"/>
        </w:numPr>
        <w:jc w:val="both"/>
      </w:pPr>
      <w:r>
        <w:t>discussion with family members/friends how adherence can be supported;</w:t>
      </w:r>
    </w:p>
    <w:p w14:paraId="3D0E9391" w14:textId="77777777" w:rsidR="00AC6AEC" w:rsidRDefault="00AC6AEC" w:rsidP="004D598D">
      <w:pPr>
        <w:pStyle w:val="ListParagraph"/>
        <w:numPr>
          <w:ilvl w:val="1"/>
          <w:numId w:val="22"/>
        </w:numPr>
        <w:jc w:val="both"/>
      </w:pPr>
      <w:r>
        <w:t>discussion with health facility to reinforce study and treatment compliance</w:t>
      </w:r>
      <w:r w:rsidR="009A689F">
        <w:t>.</w:t>
      </w:r>
    </w:p>
    <w:p w14:paraId="733FF4B2" w14:textId="7F32E7D7" w:rsidR="00AC6AEC" w:rsidRDefault="009A689F" w:rsidP="004D598D">
      <w:pPr>
        <w:pStyle w:val="ListParagraph"/>
        <w:numPr>
          <w:ilvl w:val="0"/>
          <w:numId w:val="22"/>
        </w:numPr>
        <w:jc w:val="both"/>
      </w:pPr>
      <w:r>
        <w:t>C</w:t>
      </w:r>
      <w:r w:rsidR="00AC6AEC">
        <w:t xml:space="preserve">onfirm that </w:t>
      </w:r>
      <w:r w:rsidR="00522641">
        <w:t xml:space="preserve">the </w:t>
      </w:r>
      <w:r w:rsidR="00AC6AEC">
        <w:t>participant has current and complete contact information for investigator, study coordinator, treatment support</w:t>
      </w:r>
      <w:r w:rsidR="00716EBD">
        <w:t>er</w:t>
      </w:r>
      <w:r w:rsidR="00AC6AEC">
        <w:t>.</w:t>
      </w:r>
    </w:p>
    <w:p w14:paraId="779B3464" w14:textId="7EC56EF1" w:rsidR="00AC6AEC" w:rsidRDefault="009A689F" w:rsidP="004D598D">
      <w:pPr>
        <w:pStyle w:val="ListParagraph"/>
        <w:numPr>
          <w:ilvl w:val="0"/>
          <w:numId w:val="22"/>
        </w:numPr>
        <w:jc w:val="both"/>
      </w:pPr>
      <w:r>
        <w:t>S</w:t>
      </w:r>
      <w:r w:rsidR="00AC6AEC">
        <w:t>olicit and answer questions from the participant (and supporter) about study participation and treatment</w:t>
      </w:r>
      <w:r>
        <w:t>.</w:t>
      </w:r>
    </w:p>
    <w:p w14:paraId="1835D78B" w14:textId="25856DE5" w:rsidR="00AC6AEC" w:rsidRDefault="009A689F" w:rsidP="004D598D">
      <w:pPr>
        <w:pStyle w:val="ListParagraph"/>
        <w:numPr>
          <w:ilvl w:val="0"/>
          <w:numId w:val="22"/>
        </w:numPr>
        <w:jc w:val="both"/>
      </w:pPr>
      <w:r>
        <w:t>R</w:t>
      </w:r>
      <w:r w:rsidR="00716EBD">
        <w:t xml:space="preserve">eview </w:t>
      </w:r>
      <w:r w:rsidR="00AC6AEC">
        <w:t>prescribed dosing (using visual guide provided by pharmacy) and study schedule, composition of regimen, remaining duration of treatment and study participation</w:t>
      </w:r>
      <w:r w:rsidR="007303EE">
        <w:t>.</w:t>
      </w:r>
    </w:p>
    <w:p w14:paraId="649AA2AC" w14:textId="31C3D159" w:rsidR="00AC6AEC" w:rsidRDefault="007303EE" w:rsidP="004D598D">
      <w:pPr>
        <w:pStyle w:val="ListParagraph"/>
        <w:numPr>
          <w:ilvl w:val="0"/>
          <w:numId w:val="22"/>
        </w:numPr>
        <w:jc w:val="both"/>
      </w:pPr>
      <w:r>
        <w:t>R</w:t>
      </w:r>
      <w:r w:rsidR="00AC6AEC">
        <w:t xml:space="preserve">eview the </w:t>
      </w:r>
      <w:r>
        <w:t xml:space="preserve">treatment </w:t>
      </w:r>
      <w:r w:rsidR="00522641">
        <w:t>card</w:t>
      </w:r>
      <w:r w:rsidR="009C19AD">
        <w:t xml:space="preserve"> and</w:t>
      </w:r>
      <w:r>
        <w:t xml:space="preserve"> </w:t>
      </w:r>
      <w:r w:rsidR="00522641">
        <w:t>the Treatment A</w:t>
      </w:r>
      <w:r w:rsidR="00AC6AEC">
        <w:t xml:space="preserve">dherence </w:t>
      </w:r>
      <w:r w:rsidR="00522641">
        <w:t>Source</w:t>
      </w:r>
      <w:r w:rsidR="009C19AD">
        <w:t xml:space="preserve"> </w:t>
      </w:r>
      <w:r w:rsidR="00522641">
        <w:t>D</w:t>
      </w:r>
      <w:r w:rsidR="009C19AD">
        <w:t>ocuments</w:t>
      </w:r>
      <w:r w:rsidR="00AC6AEC">
        <w:t xml:space="preserve"> with </w:t>
      </w:r>
      <w:r w:rsidR="00A44307">
        <w:t xml:space="preserve">the </w:t>
      </w:r>
      <w:r w:rsidR="00AC6AEC">
        <w:t>participant and supporter. Provide positive feedback on successes and discuss constructively any missed doses or deviations from the study schedule since the last visit</w:t>
      </w:r>
      <w:r>
        <w:t>.</w:t>
      </w:r>
    </w:p>
    <w:p w14:paraId="1B5F7CA6" w14:textId="7DBEFDE9" w:rsidR="00AC6AEC" w:rsidRDefault="007303EE" w:rsidP="004D598D">
      <w:pPr>
        <w:pStyle w:val="ListParagraph"/>
        <w:numPr>
          <w:ilvl w:val="0"/>
          <w:numId w:val="22"/>
        </w:numPr>
        <w:jc w:val="both"/>
      </w:pPr>
      <w:r>
        <w:t>R</w:t>
      </w:r>
      <w:r w:rsidR="00AC6AEC">
        <w:t>eview the timing of the subsequent study visit and any planned changes in study regimen</w:t>
      </w:r>
      <w:r>
        <w:t>.</w:t>
      </w:r>
    </w:p>
    <w:p w14:paraId="393DAFD1" w14:textId="1811B1F1" w:rsidR="00AC6AEC" w:rsidRDefault="007303EE" w:rsidP="004D598D">
      <w:pPr>
        <w:pStyle w:val="ListParagraph"/>
        <w:numPr>
          <w:ilvl w:val="0"/>
          <w:numId w:val="22"/>
        </w:numPr>
        <w:jc w:val="both"/>
      </w:pPr>
      <w:r>
        <w:t>S</w:t>
      </w:r>
      <w:r w:rsidR="00AC6AEC">
        <w:t>olicit and answer any remaining questions from the participant (and supporter) about study participation and treatment</w:t>
      </w:r>
      <w:r>
        <w:t>.</w:t>
      </w:r>
    </w:p>
    <w:p w14:paraId="0E8EB1A8" w14:textId="79E43148" w:rsidR="00AC6AEC" w:rsidRDefault="007303EE" w:rsidP="004D598D">
      <w:pPr>
        <w:pStyle w:val="ListParagraph"/>
        <w:numPr>
          <w:ilvl w:val="0"/>
          <w:numId w:val="22"/>
        </w:numPr>
        <w:jc w:val="both"/>
      </w:pPr>
      <w:r>
        <w:t>P</w:t>
      </w:r>
      <w:r w:rsidR="00AC6AEC">
        <w:t xml:space="preserve">rovide and document </w:t>
      </w:r>
      <w:r>
        <w:t xml:space="preserve">any </w:t>
      </w:r>
      <w:r w:rsidR="00AC6AEC">
        <w:t>enabler</w:t>
      </w:r>
      <w:r>
        <w:t>.</w:t>
      </w:r>
    </w:p>
    <w:p w14:paraId="13422D83" w14:textId="77777777" w:rsidR="00EE0C96" w:rsidRDefault="00EE0C96" w:rsidP="004D598D">
      <w:pPr>
        <w:pStyle w:val="Heading3"/>
        <w:jc w:val="both"/>
      </w:pPr>
      <w:bookmarkStart w:id="12" w:name="_Toc166238140"/>
      <w:r>
        <w:t xml:space="preserve">Handling </w:t>
      </w:r>
      <w:r w:rsidR="00D06C82">
        <w:t>missed treatment days</w:t>
      </w:r>
      <w:bookmarkEnd w:id="12"/>
      <w:r w:rsidR="00D06C82">
        <w:t xml:space="preserve"> </w:t>
      </w:r>
    </w:p>
    <w:p w14:paraId="7322C013" w14:textId="0CB54D5D" w:rsidR="00522641" w:rsidRDefault="002B7F2F" w:rsidP="004D598D">
      <w:pPr>
        <w:jc w:val="both"/>
      </w:pPr>
      <w:r>
        <w:t>For each full day of treatment missed (i.e., all prescribed doses of all prescribed drugs are missed</w:t>
      </w:r>
      <w:r w:rsidR="00B06039">
        <w:t xml:space="preserve">, or </w:t>
      </w:r>
      <w:r w:rsidR="001C5F1F">
        <w:t xml:space="preserve">all the </w:t>
      </w:r>
      <w:r w:rsidR="003C6027">
        <w:t xml:space="preserve">treatment is </w:t>
      </w:r>
      <w:r w:rsidR="00804FC3">
        <w:t xml:space="preserve">temporarily </w:t>
      </w:r>
      <w:r w:rsidR="00D57375">
        <w:t>discontinued</w:t>
      </w:r>
      <w:r w:rsidR="003C6027">
        <w:t xml:space="preserve"> by the</w:t>
      </w:r>
      <w:r w:rsidR="00682BE2">
        <w:t xml:space="preserve"> Site Clinical Investigator</w:t>
      </w:r>
      <w:r w:rsidR="00D57375">
        <w:t>/</w:t>
      </w:r>
      <w:r w:rsidR="00682BE2">
        <w:t>Principal Investigator for toxicity or other reasons</w:t>
      </w:r>
      <w:r>
        <w:t>)</w:t>
      </w:r>
      <w:r w:rsidR="00EE0C96">
        <w:t xml:space="preserve"> </w:t>
      </w:r>
      <w:r>
        <w:t>during</w:t>
      </w:r>
      <w:r w:rsidR="00EE0C96">
        <w:t xml:space="preserve"> </w:t>
      </w:r>
      <w:r>
        <w:t>treatment,</w:t>
      </w:r>
      <w:r w:rsidR="00B71142">
        <w:t xml:space="preserve"> </w:t>
      </w:r>
      <w:r w:rsidR="007A2DE3">
        <w:t xml:space="preserve">that day </w:t>
      </w:r>
      <w:r w:rsidR="00EE0C96">
        <w:t>will need to be made</w:t>
      </w:r>
      <w:r w:rsidR="00B57EBA">
        <w:t xml:space="preserve"> </w:t>
      </w:r>
      <w:r w:rsidR="00EE0C96">
        <w:t>up</w:t>
      </w:r>
      <w:r>
        <w:t>.</w:t>
      </w:r>
    </w:p>
    <w:p w14:paraId="1442FE53" w14:textId="2265ABEC" w:rsidR="00522641" w:rsidRDefault="0074542D" w:rsidP="004D598D">
      <w:pPr>
        <w:jc w:val="both"/>
      </w:pPr>
      <w:r>
        <w:lastRenderedPageBreak/>
        <w:t>In experimental arms, t</w:t>
      </w:r>
      <w:r w:rsidR="00013F97">
        <w:t xml:space="preserve">reatment should be continued until </w:t>
      </w:r>
      <w:r w:rsidR="005C2DBC">
        <w:t xml:space="preserve">all missed days have been made up </w:t>
      </w:r>
      <w:r w:rsidR="00013F97">
        <w:t>or until 47</w:t>
      </w:r>
      <w:r w:rsidR="00B57EBA">
        <w:t xml:space="preserve"> </w:t>
      </w:r>
      <w:r w:rsidR="00013F97">
        <w:t xml:space="preserve">weeks </w:t>
      </w:r>
      <w:r w:rsidR="00522641">
        <w:t xml:space="preserve">(corresponding to 8 weeks after the end of the planned treatment duration) </w:t>
      </w:r>
      <w:r w:rsidR="00013F97">
        <w:t>have elapsed, whichever comes first.</w:t>
      </w:r>
    </w:p>
    <w:p w14:paraId="513EC02E" w14:textId="31814CFC" w:rsidR="0098764C" w:rsidRDefault="0074542D" w:rsidP="004D598D">
      <w:pPr>
        <w:jc w:val="both"/>
      </w:pPr>
      <w:r>
        <w:t xml:space="preserve">In </w:t>
      </w:r>
      <w:r w:rsidR="0024033B">
        <w:t>the control arm</w:t>
      </w:r>
      <w:r>
        <w:t xml:space="preserve">, </w:t>
      </w:r>
      <w:r w:rsidR="0083099A">
        <w:t>no make-up days will be administered</w:t>
      </w:r>
      <w:r w:rsidR="00343518">
        <w:t xml:space="preserve"> when using the conventional regimen</w:t>
      </w:r>
      <w:r w:rsidR="0083099A">
        <w:t>.</w:t>
      </w:r>
    </w:p>
    <w:p w14:paraId="6CD8A5E5" w14:textId="487327A1" w:rsidR="00EE0C96" w:rsidRDefault="00343518" w:rsidP="004D598D">
      <w:pPr>
        <w:jc w:val="both"/>
      </w:pPr>
      <w:r>
        <w:t xml:space="preserve">When using </w:t>
      </w:r>
      <w:r w:rsidR="0098764C">
        <w:t>a</w:t>
      </w:r>
      <w:r>
        <w:t xml:space="preserve"> shorter regimen</w:t>
      </w:r>
      <w:r w:rsidR="0098764C">
        <w:t xml:space="preserve"> in the control arm</w:t>
      </w:r>
      <w:r>
        <w:t>, make-up days can be administered as needed</w:t>
      </w:r>
      <w:r w:rsidR="00D819DE">
        <w:t xml:space="preserve"> up to 8 weeks after the end of the planned </w:t>
      </w:r>
      <w:r w:rsidR="0003328C">
        <w:t>treatment duration</w:t>
      </w:r>
      <w:r>
        <w:t>.</w:t>
      </w:r>
    </w:p>
    <w:p w14:paraId="4E6141F2" w14:textId="77777777" w:rsidR="00E67DE9" w:rsidRDefault="00E67DE9" w:rsidP="004D598D">
      <w:pPr>
        <w:pStyle w:val="Heading4"/>
        <w:ind w:left="1800" w:hanging="720"/>
        <w:jc w:val="both"/>
      </w:pPr>
      <w:r w:rsidRPr="006C3696">
        <w:t>Determining days that require make-up</w:t>
      </w:r>
    </w:p>
    <w:p w14:paraId="042BAF38" w14:textId="04C41B4A" w:rsidR="00EE0C96" w:rsidRDefault="00EE0C96" w:rsidP="004D598D">
      <w:pPr>
        <w:pStyle w:val="ListParagraph"/>
        <w:numPr>
          <w:ilvl w:val="0"/>
          <w:numId w:val="20"/>
        </w:numPr>
        <w:jc w:val="both"/>
      </w:pPr>
      <w:r>
        <w:t>A</w:t>
      </w:r>
      <w:r w:rsidR="0074542D">
        <w:t xml:space="preserve"> ‘full day of treatment</w:t>
      </w:r>
      <w:r w:rsidR="003E25A7">
        <w:t>’</w:t>
      </w:r>
      <w:r w:rsidR="0074542D">
        <w:t xml:space="preserve"> or ‘daily dose’ includes</w:t>
      </w:r>
      <w:r>
        <w:t xml:space="preserve"> all </w:t>
      </w:r>
      <w:r w:rsidR="0074542D">
        <w:t>doses of all study-regimen drugs</w:t>
      </w:r>
      <w:r>
        <w:t xml:space="preserve"> prescribed for that day</w:t>
      </w:r>
      <w:r w:rsidR="00E67DE9">
        <w:t>, including morning and evening doses</w:t>
      </w:r>
      <w:r>
        <w:t>.</w:t>
      </w:r>
      <w:r w:rsidR="000E52CA">
        <w:t xml:space="preserve"> </w:t>
      </w:r>
      <w:r w:rsidR="00D57375">
        <w:t>This applies also if all the treatment is temporarily discontinued by the Site Clinical Investigator/Principal Investigator.</w:t>
      </w:r>
    </w:p>
    <w:p w14:paraId="1AEDA3B4" w14:textId="7257AA84" w:rsidR="00EE0C96" w:rsidRDefault="00EE0C96" w:rsidP="004D598D">
      <w:pPr>
        <w:pStyle w:val="ListParagraph"/>
        <w:numPr>
          <w:ilvl w:val="0"/>
          <w:numId w:val="20"/>
        </w:numPr>
        <w:jc w:val="both"/>
      </w:pPr>
      <w:r>
        <w:t xml:space="preserve">If a participant </w:t>
      </w:r>
      <w:r w:rsidR="00E67DE9">
        <w:t xml:space="preserve">receives </w:t>
      </w:r>
      <w:r w:rsidR="0074542D">
        <w:t>even</w:t>
      </w:r>
      <w:r w:rsidR="00E67DE9">
        <w:t xml:space="preserve"> 1 single pill out of a given day’s daily dose, it is considered that treatment has been administered on that day. This day will </w:t>
      </w:r>
      <w:r w:rsidR="00E67DE9" w:rsidRPr="003703EC">
        <w:rPr>
          <w:u w:val="single"/>
        </w:rPr>
        <w:t>not</w:t>
      </w:r>
      <w:r w:rsidR="00E67DE9">
        <w:t xml:space="preserve"> be made up at the end of the regimen.</w:t>
      </w:r>
    </w:p>
    <w:p w14:paraId="29ADF840" w14:textId="6C62A8F4" w:rsidR="00E67DE9" w:rsidRDefault="0074542D" w:rsidP="004D598D">
      <w:pPr>
        <w:pStyle w:val="ListParagraph"/>
        <w:numPr>
          <w:ilvl w:val="0"/>
          <w:numId w:val="20"/>
        </w:numPr>
        <w:jc w:val="both"/>
      </w:pPr>
      <w:r>
        <w:t xml:space="preserve">Make-up days are required for the </w:t>
      </w:r>
      <w:r w:rsidR="00E67DE9">
        <w:t xml:space="preserve">days on which a participant </w:t>
      </w:r>
      <w:r w:rsidR="007303EE">
        <w:t xml:space="preserve">does not intake </w:t>
      </w:r>
      <w:r w:rsidR="007303EE">
        <w:rPr>
          <w:u w:val="single"/>
        </w:rPr>
        <w:t>any</w:t>
      </w:r>
      <w:r w:rsidR="007303EE">
        <w:t xml:space="preserve"> </w:t>
      </w:r>
      <w:r w:rsidR="00E67DE9">
        <w:t>of the intended anti-tuberculosis drugs for that day</w:t>
      </w:r>
      <w:r w:rsidR="00525981">
        <w:t>, and for the days when all the treatment</w:t>
      </w:r>
      <w:r w:rsidR="00094146">
        <w:t xml:space="preserve"> was temporarily discontinued by the Site Clinical Investigator/Principal Investigator</w:t>
      </w:r>
      <w:r w:rsidR="00DA711A">
        <w:t>.</w:t>
      </w:r>
    </w:p>
    <w:p w14:paraId="12196A26" w14:textId="1FF87CF9" w:rsidR="00E67DE9" w:rsidRPr="006C3696" w:rsidRDefault="00E67DE9" w:rsidP="004D598D">
      <w:pPr>
        <w:pStyle w:val="Heading4"/>
        <w:jc w:val="both"/>
      </w:pPr>
      <w:r w:rsidRPr="006C3696">
        <w:t>Administering make-up days</w:t>
      </w:r>
    </w:p>
    <w:p w14:paraId="4C2FDCE2" w14:textId="1ADF1854" w:rsidR="0098764C" w:rsidRDefault="0098764C" w:rsidP="004D598D">
      <w:pPr>
        <w:pStyle w:val="ListParagraph"/>
        <w:numPr>
          <w:ilvl w:val="0"/>
          <w:numId w:val="20"/>
        </w:numPr>
        <w:jc w:val="both"/>
      </w:pPr>
      <w:r>
        <w:t>In the experimental arms</w:t>
      </w:r>
      <w:r w:rsidR="000435FC">
        <w:t>,</w:t>
      </w:r>
      <w:r>
        <w:t xml:space="preserve"> track </w:t>
      </w:r>
      <w:r w:rsidR="0024033B">
        <w:t>the d</w:t>
      </w:r>
      <w:r w:rsidR="00E67DE9">
        <w:t xml:space="preserve">ays on which no </w:t>
      </w:r>
      <w:r w:rsidR="00636458">
        <w:t>anti-TB</w:t>
      </w:r>
      <w:r w:rsidR="00E67DE9">
        <w:t xml:space="preserve"> treatment has been administered throughout the participant’s treatment. </w:t>
      </w:r>
      <w:r w:rsidR="0024033B">
        <w:t>Sum the</w:t>
      </w:r>
      <w:r w:rsidR="00E67DE9">
        <w:t xml:space="preserve"> total number of missed days </w:t>
      </w:r>
      <w:r w:rsidR="0024033B">
        <w:t>an</w:t>
      </w:r>
      <w:r w:rsidR="00E67DE9">
        <w:t xml:space="preserve">d </w:t>
      </w:r>
      <w:r w:rsidR="00636458">
        <w:t>add</w:t>
      </w:r>
      <w:r w:rsidR="0024033B">
        <w:t xml:space="preserve"> this number of treatment days</w:t>
      </w:r>
      <w:r w:rsidR="00636458">
        <w:t xml:space="preserve"> to the end of the </w:t>
      </w:r>
      <w:r w:rsidR="0024033B">
        <w:t>39-week period</w:t>
      </w:r>
      <w:r w:rsidR="00636458">
        <w:t>, starting on the first day of week 40</w:t>
      </w:r>
      <w:r w:rsidR="0024033B">
        <w:t>.</w:t>
      </w:r>
    </w:p>
    <w:p w14:paraId="7409DE70" w14:textId="305EA51C" w:rsidR="00E67DE9" w:rsidRDefault="0024033B" w:rsidP="004D598D">
      <w:pPr>
        <w:pStyle w:val="ListParagraph"/>
        <w:numPr>
          <w:ilvl w:val="0"/>
          <w:numId w:val="20"/>
        </w:numPr>
        <w:jc w:val="both"/>
      </w:pPr>
      <w:r>
        <w:t>In the control arm,</w:t>
      </w:r>
      <w:r w:rsidR="000435FC">
        <w:t xml:space="preserve"> when using the conventional regimen,</w:t>
      </w:r>
      <w:r>
        <w:t xml:space="preserve"> continue treatment until the number of daily doses administered matches the intended duration of treatment. </w:t>
      </w:r>
      <w:r w:rsidR="000435FC">
        <w:t>Make up days are not required.</w:t>
      </w:r>
    </w:p>
    <w:p w14:paraId="37FC6793" w14:textId="7BB50702" w:rsidR="0098764C" w:rsidRDefault="000435FC" w:rsidP="004D598D">
      <w:pPr>
        <w:pStyle w:val="ListParagraph"/>
        <w:numPr>
          <w:ilvl w:val="0"/>
          <w:numId w:val="20"/>
        </w:numPr>
        <w:jc w:val="both"/>
      </w:pPr>
      <w:r>
        <w:t>I</w:t>
      </w:r>
      <w:r w:rsidR="0098764C">
        <w:t>n the control arm</w:t>
      </w:r>
      <w:r>
        <w:t>, when using a shorter regimen,</w:t>
      </w:r>
      <w:r w:rsidR="0098764C">
        <w:t xml:space="preserve"> track the days on which no anti-TB treatment has been administered throughout the participant’s treatment. Sum the total number of missed days and add this number of treatment days to the end of the treatment period.</w:t>
      </w:r>
    </w:p>
    <w:p w14:paraId="39A75617" w14:textId="7C94ADDE" w:rsidR="00E67DE9" w:rsidRDefault="00E67DE9" w:rsidP="004D598D">
      <w:pPr>
        <w:pStyle w:val="ListParagraph"/>
        <w:numPr>
          <w:ilvl w:val="0"/>
          <w:numId w:val="20"/>
        </w:numPr>
        <w:jc w:val="both"/>
      </w:pPr>
      <w:r>
        <w:t xml:space="preserve">If the regimen has changed during the </w:t>
      </w:r>
      <w:r w:rsidR="006C3696">
        <w:t xml:space="preserve">course of the trial, the </w:t>
      </w:r>
      <w:r w:rsidR="00B37D26">
        <w:t xml:space="preserve">regimen of </w:t>
      </w:r>
      <w:r w:rsidR="006C3696">
        <w:t xml:space="preserve">make-up days will </w:t>
      </w:r>
      <w:r w:rsidR="00B37D26">
        <w:t xml:space="preserve">be </w:t>
      </w:r>
      <w:r w:rsidR="0024033B">
        <w:t>the</w:t>
      </w:r>
      <w:r w:rsidR="006C3696">
        <w:t xml:space="preserve"> </w:t>
      </w:r>
      <w:r w:rsidR="00B37D26">
        <w:t>one</w:t>
      </w:r>
      <w:r w:rsidR="006C3696">
        <w:t xml:space="preserve"> </w:t>
      </w:r>
      <w:r w:rsidR="00013F97">
        <w:t xml:space="preserve">prescribed </w:t>
      </w:r>
      <w:r w:rsidR="00B37D26">
        <w:t>at</w:t>
      </w:r>
      <w:r w:rsidR="006C3696">
        <w:t xml:space="preserve"> </w:t>
      </w:r>
      <w:r w:rsidR="0098764C">
        <w:t>the end of the planned treatment duration (</w:t>
      </w:r>
      <w:r w:rsidR="006C3696">
        <w:t>week 39</w:t>
      </w:r>
      <w:r w:rsidR="0098764C">
        <w:t xml:space="preserve"> for the investigational arms)</w:t>
      </w:r>
      <w:r w:rsidR="006C3696">
        <w:t>. Th</w:t>
      </w:r>
      <w:r w:rsidR="0024033B">
        <w:t>is</w:t>
      </w:r>
      <w:r w:rsidR="006C3696">
        <w:t xml:space="preserve"> </w:t>
      </w:r>
      <w:r w:rsidR="00013F97">
        <w:t>may</w:t>
      </w:r>
      <w:r w:rsidR="006C3696">
        <w:t xml:space="preserve"> </w:t>
      </w:r>
      <w:r w:rsidR="0024033B">
        <w:t>be different from</w:t>
      </w:r>
      <w:r w:rsidR="00013F97">
        <w:t xml:space="preserve"> </w:t>
      </w:r>
      <w:r w:rsidR="006C3696">
        <w:t>the regimen at the time of the missed day(s).</w:t>
      </w:r>
    </w:p>
    <w:p w14:paraId="639E7D4E" w14:textId="685B5A0D" w:rsidR="00D21708" w:rsidRDefault="0024033B" w:rsidP="004D598D">
      <w:pPr>
        <w:pStyle w:val="ListParagraph"/>
        <w:numPr>
          <w:ilvl w:val="0"/>
          <w:numId w:val="20"/>
        </w:numPr>
        <w:jc w:val="both"/>
      </w:pPr>
      <w:r>
        <w:t>Each make-up day should contain the entire daily dose of the regimen</w:t>
      </w:r>
      <w:r w:rsidR="00940830">
        <w:t>,</w:t>
      </w:r>
      <w:r>
        <w:t xml:space="preserve"> </w:t>
      </w:r>
      <w:r w:rsidR="00940830" w:rsidRPr="00940830">
        <w:t>in a manner consistent with the existing schedule</w:t>
      </w:r>
      <w:r w:rsidR="00940830">
        <w:t xml:space="preserve"> (i</w:t>
      </w:r>
      <w:r w:rsidR="00B57EBA">
        <w:t>.</w:t>
      </w:r>
      <w:r w:rsidR="00940830">
        <w:t>e.</w:t>
      </w:r>
      <w:r w:rsidR="00B57EBA">
        <w:t>,</w:t>
      </w:r>
      <w:r w:rsidR="00940830">
        <w:t xml:space="preserve"> injectables</w:t>
      </w:r>
      <w:r w:rsidR="0098764C">
        <w:t xml:space="preserve"> in the control arm</w:t>
      </w:r>
      <w:r w:rsidR="00940830">
        <w:t xml:space="preserve"> </w:t>
      </w:r>
      <w:r w:rsidR="00E915C1">
        <w:t xml:space="preserve">are </w:t>
      </w:r>
      <w:r w:rsidR="00940830">
        <w:t xml:space="preserve">not </w:t>
      </w:r>
      <w:r w:rsidR="00E915C1">
        <w:t>always</w:t>
      </w:r>
      <w:r w:rsidR="00940830">
        <w:t xml:space="preserve"> given on Sundays).</w:t>
      </w:r>
    </w:p>
    <w:p w14:paraId="6C64B79F" w14:textId="65A0342E" w:rsidR="00B37D26" w:rsidRDefault="00D21708" w:rsidP="00D21708">
      <w:r>
        <w:br w:type="page"/>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3099A" w14:paraId="598C8C0D" w14:textId="77777777" w:rsidTr="0083099A">
        <w:tc>
          <w:tcPr>
            <w:tcW w:w="9350" w:type="dxa"/>
            <w:gridSpan w:val="7"/>
            <w:tcBorders>
              <w:top w:val="single" w:sz="4" w:space="0" w:color="auto"/>
              <w:left w:val="single" w:sz="4" w:space="0" w:color="auto"/>
              <w:bottom w:val="single" w:sz="4" w:space="0" w:color="auto"/>
              <w:right w:val="single" w:sz="4" w:space="0" w:color="auto"/>
            </w:tcBorders>
          </w:tcPr>
          <w:p w14:paraId="1754D2F1" w14:textId="0E5F91FB" w:rsidR="0083099A" w:rsidRDefault="0083099A" w:rsidP="004D598D">
            <w:pPr>
              <w:jc w:val="both"/>
              <w:rPr>
                <w:rFonts w:asciiTheme="minorHAnsi" w:eastAsiaTheme="minorHAnsi" w:hAnsiTheme="minorHAnsi"/>
              </w:rPr>
            </w:pPr>
            <w:r>
              <w:lastRenderedPageBreak/>
              <w:br/>
              <w:t xml:space="preserve">Please note that administering make-up days in this manner may potentially require exceeding the allowable number of doses for some drugs. This will be the case if </w:t>
            </w:r>
            <w:r w:rsidR="00407360">
              <w:t>participant</w:t>
            </w:r>
            <w:r>
              <w:t xml:space="preserve">s consistently miss treatment on certain days of the week. For example, consider a </w:t>
            </w:r>
            <w:r w:rsidR="00407360">
              <w:t>participant</w:t>
            </w:r>
            <w:r>
              <w:t xml:space="preserve"> with the following regimen</w:t>
            </w:r>
            <w:r w:rsidR="003D7C71">
              <w:t>:</w:t>
            </w:r>
          </w:p>
          <w:p w14:paraId="2C2D1BB4" w14:textId="77777777" w:rsidR="0083099A" w:rsidRDefault="0083099A" w:rsidP="004D598D">
            <w:pPr>
              <w:jc w:val="both"/>
            </w:pPr>
          </w:p>
        </w:tc>
      </w:tr>
      <w:tr w:rsidR="0083099A" w14:paraId="10DE3949" w14:textId="77777777" w:rsidTr="0083099A">
        <w:tc>
          <w:tcPr>
            <w:tcW w:w="1335" w:type="dxa"/>
            <w:tcBorders>
              <w:top w:val="single" w:sz="4" w:space="0" w:color="auto"/>
              <w:left w:val="single" w:sz="4" w:space="0" w:color="auto"/>
              <w:bottom w:val="single" w:sz="4" w:space="0" w:color="auto"/>
              <w:right w:val="single" w:sz="4" w:space="0" w:color="auto"/>
            </w:tcBorders>
            <w:hideMark/>
          </w:tcPr>
          <w:p w14:paraId="7FE5A962" w14:textId="77777777" w:rsidR="0083099A" w:rsidRDefault="0083099A" w:rsidP="004D598D">
            <w:pPr>
              <w:jc w:val="both"/>
              <w:rPr>
                <w:b/>
              </w:rPr>
            </w:pPr>
            <w:r>
              <w:rPr>
                <w:b/>
              </w:rPr>
              <w:t>Sunday</w:t>
            </w:r>
          </w:p>
        </w:tc>
        <w:tc>
          <w:tcPr>
            <w:tcW w:w="1335" w:type="dxa"/>
            <w:tcBorders>
              <w:top w:val="single" w:sz="4" w:space="0" w:color="auto"/>
              <w:left w:val="single" w:sz="4" w:space="0" w:color="auto"/>
              <w:bottom w:val="single" w:sz="4" w:space="0" w:color="auto"/>
              <w:right w:val="single" w:sz="4" w:space="0" w:color="auto"/>
            </w:tcBorders>
            <w:hideMark/>
          </w:tcPr>
          <w:p w14:paraId="28A00C90" w14:textId="77777777" w:rsidR="0083099A" w:rsidRDefault="0083099A" w:rsidP="004D598D">
            <w:pPr>
              <w:jc w:val="both"/>
              <w:rPr>
                <w:b/>
              </w:rPr>
            </w:pPr>
            <w:r>
              <w:rPr>
                <w:b/>
              </w:rPr>
              <w:t>Monday</w:t>
            </w:r>
          </w:p>
        </w:tc>
        <w:tc>
          <w:tcPr>
            <w:tcW w:w="1336" w:type="dxa"/>
            <w:tcBorders>
              <w:top w:val="single" w:sz="4" w:space="0" w:color="auto"/>
              <w:left w:val="single" w:sz="4" w:space="0" w:color="auto"/>
              <w:bottom w:val="single" w:sz="4" w:space="0" w:color="auto"/>
              <w:right w:val="single" w:sz="4" w:space="0" w:color="auto"/>
            </w:tcBorders>
            <w:hideMark/>
          </w:tcPr>
          <w:p w14:paraId="1F0EC2D0" w14:textId="77777777" w:rsidR="0083099A" w:rsidRDefault="0083099A" w:rsidP="004D598D">
            <w:pPr>
              <w:jc w:val="both"/>
              <w:rPr>
                <w:b/>
              </w:rPr>
            </w:pPr>
            <w:r>
              <w:rPr>
                <w:b/>
              </w:rPr>
              <w:t>Tuesday</w:t>
            </w:r>
          </w:p>
        </w:tc>
        <w:tc>
          <w:tcPr>
            <w:tcW w:w="1336" w:type="dxa"/>
            <w:tcBorders>
              <w:top w:val="single" w:sz="4" w:space="0" w:color="auto"/>
              <w:left w:val="single" w:sz="4" w:space="0" w:color="auto"/>
              <w:bottom w:val="single" w:sz="4" w:space="0" w:color="auto"/>
              <w:right w:val="single" w:sz="4" w:space="0" w:color="auto"/>
            </w:tcBorders>
            <w:hideMark/>
          </w:tcPr>
          <w:p w14:paraId="14545884" w14:textId="77777777" w:rsidR="0083099A" w:rsidRDefault="0083099A" w:rsidP="004D598D">
            <w:pPr>
              <w:jc w:val="both"/>
              <w:rPr>
                <w:b/>
              </w:rPr>
            </w:pPr>
            <w:r>
              <w:rPr>
                <w:b/>
              </w:rPr>
              <w:t>Wednesday</w:t>
            </w:r>
          </w:p>
        </w:tc>
        <w:tc>
          <w:tcPr>
            <w:tcW w:w="1336" w:type="dxa"/>
            <w:tcBorders>
              <w:top w:val="single" w:sz="4" w:space="0" w:color="auto"/>
              <w:left w:val="single" w:sz="4" w:space="0" w:color="auto"/>
              <w:bottom w:val="single" w:sz="4" w:space="0" w:color="auto"/>
              <w:right w:val="single" w:sz="4" w:space="0" w:color="auto"/>
            </w:tcBorders>
            <w:hideMark/>
          </w:tcPr>
          <w:p w14:paraId="02D48737" w14:textId="77777777" w:rsidR="0083099A" w:rsidRDefault="0083099A" w:rsidP="004D598D">
            <w:pPr>
              <w:jc w:val="both"/>
              <w:rPr>
                <w:b/>
              </w:rPr>
            </w:pPr>
            <w:r>
              <w:rPr>
                <w:b/>
              </w:rPr>
              <w:t>Thursday</w:t>
            </w:r>
          </w:p>
        </w:tc>
        <w:tc>
          <w:tcPr>
            <w:tcW w:w="1336" w:type="dxa"/>
            <w:tcBorders>
              <w:top w:val="single" w:sz="4" w:space="0" w:color="auto"/>
              <w:left w:val="single" w:sz="4" w:space="0" w:color="auto"/>
              <w:bottom w:val="single" w:sz="4" w:space="0" w:color="auto"/>
              <w:right w:val="single" w:sz="4" w:space="0" w:color="auto"/>
            </w:tcBorders>
            <w:hideMark/>
          </w:tcPr>
          <w:p w14:paraId="2E53F27E" w14:textId="77777777" w:rsidR="0083099A" w:rsidRDefault="0083099A" w:rsidP="004D598D">
            <w:pPr>
              <w:jc w:val="both"/>
              <w:rPr>
                <w:b/>
              </w:rPr>
            </w:pPr>
            <w:r>
              <w:rPr>
                <w:b/>
              </w:rPr>
              <w:t>Friday</w:t>
            </w:r>
          </w:p>
        </w:tc>
        <w:tc>
          <w:tcPr>
            <w:tcW w:w="1336" w:type="dxa"/>
            <w:tcBorders>
              <w:top w:val="single" w:sz="4" w:space="0" w:color="auto"/>
              <w:left w:val="single" w:sz="4" w:space="0" w:color="auto"/>
              <w:bottom w:val="single" w:sz="4" w:space="0" w:color="auto"/>
              <w:right w:val="single" w:sz="4" w:space="0" w:color="auto"/>
            </w:tcBorders>
            <w:hideMark/>
          </w:tcPr>
          <w:p w14:paraId="658A9760" w14:textId="77777777" w:rsidR="0083099A" w:rsidRDefault="0083099A" w:rsidP="004D598D">
            <w:pPr>
              <w:jc w:val="both"/>
              <w:rPr>
                <w:b/>
              </w:rPr>
            </w:pPr>
            <w:r>
              <w:rPr>
                <w:b/>
              </w:rPr>
              <w:t>Saturday</w:t>
            </w:r>
          </w:p>
        </w:tc>
      </w:tr>
      <w:tr w:rsidR="0083099A" w14:paraId="77EB3BF0" w14:textId="77777777" w:rsidTr="0083099A">
        <w:tc>
          <w:tcPr>
            <w:tcW w:w="1335" w:type="dxa"/>
            <w:tcBorders>
              <w:top w:val="single" w:sz="4" w:space="0" w:color="auto"/>
              <w:left w:val="single" w:sz="4" w:space="0" w:color="auto"/>
              <w:bottom w:val="single" w:sz="4" w:space="0" w:color="auto"/>
              <w:right w:val="single" w:sz="4" w:space="0" w:color="auto"/>
            </w:tcBorders>
            <w:hideMark/>
          </w:tcPr>
          <w:p w14:paraId="38485F37" w14:textId="6EDF1D53" w:rsidR="0083099A" w:rsidRDefault="00CB2118" w:rsidP="003D7C71">
            <w:proofErr w:type="spellStart"/>
            <w:r>
              <w:t>Dlm</w:t>
            </w:r>
            <w:proofErr w:type="spellEnd"/>
            <w:r>
              <w:t>, Le, Z</w:t>
            </w:r>
          </w:p>
        </w:tc>
        <w:tc>
          <w:tcPr>
            <w:tcW w:w="1335" w:type="dxa"/>
            <w:tcBorders>
              <w:top w:val="single" w:sz="4" w:space="0" w:color="auto"/>
              <w:left w:val="single" w:sz="4" w:space="0" w:color="auto"/>
              <w:bottom w:val="single" w:sz="4" w:space="0" w:color="auto"/>
              <w:right w:val="single" w:sz="4" w:space="0" w:color="auto"/>
            </w:tcBorders>
            <w:hideMark/>
          </w:tcPr>
          <w:p w14:paraId="4B799593" w14:textId="0074E6C7" w:rsidR="0083099A" w:rsidRPr="004D598D" w:rsidRDefault="0083099A" w:rsidP="003D7C71">
            <w:pPr>
              <w:rPr>
                <w:lang w:val="fr-FR"/>
              </w:rPr>
            </w:pPr>
            <w:proofErr w:type="spellStart"/>
            <w:r w:rsidRPr="004D598D">
              <w:rPr>
                <w:lang w:val="fr-FR"/>
              </w:rPr>
              <w:t>Dlm</w:t>
            </w:r>
            <w:proofErr w:type="spellEnd"/>
            <w:r w:rsidRPr="004D598D">
              <w:rPr>
                <w:lang w:val="fr-FR"/>
              </w:rPr>
              <w:t xml:space="preserve">, </w:t>
            </w:r>
            <w:r w:rsidR="00CB2118" w:rsidRPr="004D598D">
              <w:rPr>
                <w:lang w:val="fr-FR"/>
              </w:rPr>
              <w:t>Le</w:t>
            </w:r>
            <w:r w:rsidRPr="004D598D">
              <w:rPr>
                <w:lang w:val="fr-FR"/>
              </w:rPr>
              <w:t xml:space="preserve">, </w:t>
            </w:r>
            <w:proofErr w:type="spellStart"/>
            <w:r w:rsidRPr="004D598D">
              <w:rPr>
                <w:lang w:val="fr-FR"/>
              </w:rPr>
              <w:t>Bdq</w:t>
            </w:r>
            <w:proofErr w:type="spellEnd"/>
            <w:r w:rsidR="00CB2118" w:rsidRPr="004D598D">
              <w:rPr>
                <w:lang w:val="fr-FR"/>
              </w:rPr>
              <w:t>,</w:t>
            </w:r>
            <w:r w:rsidRPr="004D598D">
              <w:rPr>
                <w:lang w:val="fr-FR"/>
              </w:rPr>
              <w:t xml:space="preserve"> </w:t>
            </w:r>
            <w:proofErr w:type="spellStart"/>
            <w:r w:rsidRPr="004D598D">
              <w:rPr>
                <w:lang w:val="fr-FR"/>
              </w:rPr>
              <w:t>Lzd</w:t>
            </w:r>
            <w:proofErr w:type="spellEnd"/>
            <w:r w:rsidR="00CB2118" w:rsidRPr="004D598D">
              <w:rPr>
                <w:lang w:val="fr-FR"/>
              </w:rPr>
              <w:t>, Z</w:t>
            </w:r>
          </w:p>
        </w:tc>
        <w:tc>
          <w:tcPr>
            <w:tcW w:w="1336" w:type="dxa"/>
            <w:tcBorders>
              <w:top w:val="single" w:sz="4" w:space="0" w:color="auto"/>
              <w:left w:val="single" w:sz="4" w:space="0" w:color="auto"/>
              <w:bottom w:val="single" w:sz="4" w:space="0" w:color="auto"/>
              <w:right w:val="single" w:sz="4" w:space="0" w:color="auto"/>
            </w:tcBorders>
            <w:hideMark/>
          </w:tcPr>
          <w:p w14:paraId="126C0504" w14:textId="1FC609E1" w:rsidR="0083099A" w:rsidRDefault="0083099A" w:rsidP="003D7C71">
            <w:proofErr w:type="spellStart"/>
            <w:r>
              <w:t>Dlm</w:t>
            </w:r>
            <w:proofErr w:type="spellEnd"/>
            <w:r>
              <w:t xml:space="preserve">, </w:t>
            </w:r>
            <w:r w:rsidR="00CB2118">
              <w:t>Le, Z</w:t>
            </w:r>
          </w:p>
        </w:tc>
        <w:tc>
          <w:tcPr>
            <w:tcW w:w="1336" w:type="dxa"/>
            <w:tcBorders>
              <w:top w:val="single" w:sz="4" w:space="0" w:color="auto"/>
              <w:left w:val="single" w:sz="4" w:space="0" w:color="auto"/>
              <w:bottom w:val="single" w:sz="4" w:space="0" w:color="auto"/>
              <w:right w:val="single" w:sz="4" w:space="0" w:color="auto"/>
            </w:tcBorders>
            <w:hideMark/>
          </w:tcPr>
          <w:p w14:paraId="55093169" w14:textId="0B75CF50" w:rsidR="0083099A" w:rsidRPr="004D598D" w:rsidRDefault="0083099A" w:rsidP="003D7C71">
            <w:pPr>
              <w:rPr>
                <w:lang w:val="fr-FR"/>
              </w:rPr>
            </w:pPr>
            <w:proofErr w:type="spellStart"/>
            <w:r w:rsidRPr="004D598D">
              <w:rPr>
                <w:lang w:val="fr-FR"/>
              </w:rPr>
              <w:t>Dlm</w:t>
            </w:r>
            <w:proofErr w:type="spellEnd"/>
            <w:r w:rsidRPr="004D598D">
              <w:rPr>
                <w:lang w:val="fr-FR"/>
              </w:rPr>
              <w:t xml:space="preserve">, </w:t>
            </w:r>
            <w:r w:rsidR="00CB2118" w:rsidRPr="004D598D">
              <w:rPr>
                <w:lang w:val="fr-FR"/>
              </w:rPr>
              <w:t>Le</w:t>
            </w:r>
            <w:r w:rsidRPr="004D598D">
              <w:rPr>
                <w:lang w:val="fr-FR"/>
              </w:rPr>
              <w:t xml:space="preserve">, </w:t>
            </w:r>
            <w:proofErr w:type="spellStart"/>
            <w:r w:rsidRPr="004D598D">
              <w:rPr>
                <w:lang w:val="fr-FR"/>
              </w:rPr>
              <w:t>Bdq</w:t>
            </w:r>
            <w:proofErr w:type="spellEnd"/>
            <w:r w:rsidR="00CB2118" w:rsidRPr="004D598D">
              <w:rPr>
                <w:lang w:val="fr-FR"/>
              </w:rPr>
              <w:t>,</w:t>
            </w:r>
            <w:r w:rsidRPr="004D598D">
              <w:rPr>
                <w:lang w:val="fr-FR"/>
              </w:rPr>
              <w:t xml:space="preserve"> </w:t>
            </w:r>
            <w:proofErr w:type="spellStart"/>
            <w:r w:rsidRPr="004D598D">
              <w:rPr>
                <w:lang w:val="fr-FR"/>
              </w:rPr>
              <w:t>Lzd</w:t>
            </w:r>
            <w:proofErr w:type="spellEnd"/>
            <w:r w:rsidR="00CB2118" w:rsidRPr="004D598D">
              <w:rPr>
                <w:lang w:val="fr-FR"/>
              </w:rPr>
              <w:t>, Z</w:t>
            </w:r>
          </w:p>
        </w:tc>
        <w:tc>
          <w:tcPr>
            <w:tcW w:w="1336" w:type="dxa"/>
            <w:tcBorders>
              <w:top w:val="single" w:sz="4" w:space="0" w:color="auto"/>
              <w:left w:val="single" w:sz="4" w:space="0" w:color="auto"/>
              <w:bottom w:val="single" w:sz="4" w:space="0" w:color="auto"/>
              <w:right w:val="single" w:sz="4" w:space="0" w:color="auto"/>
            </w:tcBorders>
            <w:hideMark/>
          </w:tcPr>
          <w:p w14:paraId="5CB96382" w14:textId="419EF57C" w:rsidR="0083099A" w:rsidRDefault="0083099A" w:rsidP="003D7C71">
            <w:proofErr w:type="spellStart"/>
            <w:r>
              <w:t>Dlm</w:t>
            </w:r>
            <w:proofErr w:type="spellEnd"/>
            <w:r>
              <w:t xml:space="preserve">, </w:t>
            </w:r>
            <w:r w:rsidR="00CB2118">
              <w:t>Le, Z</w:t>
            </w:r>
          </w:p>
        </w:tc>
        <w:tc>
          <w:tcPr>
            <w:tcW w:w="1336" w:type="dxa"/>
            <w:tcBorders>
              <w:top w:val="single" w:sz="4" w:space="0" w:color="auto"/>
              <w:left w:val="single" w:sz="4" w:space="0" w:color="auto"/>
              <w:bottom w:val="single" w:sz="4" w:space="0" w:color="auto"/>
              <w:right w:val="single" w:sz="4" w:space="0" w:color="auto"/>
            </w:tcBorders>
            <w:hideMark/>
          </w:tcPr>
          <w:p w14:paraId="4F2B4E50" w14:textId="0A3C67D6" w:rsidR="0083099A" w:rsidRPr="004D598D" w:rsidRDefault="0083099A" w:rsidP="003D7C71">
            <w:pPr>
              <w:rPr>
                <w:lang w:val="fr-FR"/>
              </w:rPr>
            </w:pPr>
            <w:proofErr w:type="spellStart"/>
            <w:r w:rsidRPr="004D598D">
              <w:rPr>
                <w:lang w:val="fr-FR"/>
              </w:rPr>
              <w:t>Dlm</w:t>
            </w:r>
            <w:proofErr w:type="spellEnd"/>
            <w:r w:rsidRPr="004D598D">
              <w:rPr>
                <w:lang w:val="fr-FR"/>
              </w:rPr>
              <w:t xml:space="preserve">, </w:t>
            </w:r>
            <w:r w:rsidR="00CB2118" w:rsidRPr="004D598D">
              <w:rPr>
                <w:lang w:val="fr-FR"/>
              </w:rPr>
              <w:t>Le</w:t>
            </w:r>
            <w:r w:rsidRPr="004D598D">
              <w:rPr>
                <w:lang w:val="fr-FR"/>
              </w:rPr>
              <w:t xml:space="preserve">, </w:t>
            </w:r>
            <w:proofErr w:type="spellStart"/>
            <w:r w:rsidRPr="004D598D">
              <w:rPr>
                <w:lang w:val="fr-FR"/>
              </w:rPr>
              <w:t>Bdq</w:t>
            </w:r>
            <w:proofErr w:type="spellEnd"/>
            <w:r w:rsidR="00CB2118" w:rsidRPr="004D598D">
              <w:rPr>
                <w:lang w:val="fr-FR"/>
              </w:rPr>
              <w:t>,</w:t>
            </w:r>
            <w:r w:rsidRPr="004D598D">
              <w:rPr>
                <w:lang w:val="fr-FR"/>
              </w:rPr>
              <w:t xml:space="preserve"> </w:t>
            </w:r>
            <w:proofErr w:type="spellStart"/>
            <w:r w:rsidRPr="004D598D">
              <w:rPr>
                <w:lang w:val="fr-FR"/>
              </w:rPr>
              <w:t>Lzd</w:t>
            </w:r>
            <w:proofErr w:type="spellEnd"/>
            <w:r w:rsidR="00CB2118" w:rsidRPr="004D598D">
              <w:rPr>
                <w:lang w:val="fr-FR"/>
              </w:rPr>
              <w:t>, Z</w:t>
            </w:r>
          </w:p>
        </w:tc>
        <w:tc>
          <w:tcPr>
            <w:tcW w:w="1336" w:type="dxa"/>
            <w:tcBorders>
              <w:top w:val="single" w:sz="4" w:space="0" w:color="auto"/>
              <w:left w:val="single" w:sz="4" w:space="0" w:color="auto"/>
              <w:bottom w:val="single" w:sz="4" w:space="0" w:color="auto"/>
              <w:right w:val="single" w:sz="4" w:space="0" w:color="auto"/>
            </w:tcBorders>
            <w:hideMark/>
          </w:tcPr>
          <w:p w14:paraId="4B6835F8" w14:textId="4A682714" w:rsidR="0083099A" w:rsidRDefault="0083099A" w:rsidP="003D7C71">
            <w:proofErr w:type="spellStart"/>
            <w:r>
              <w:t>Dlm</w:t>
            </w:r>
            <w:proofErr w:type="spellEnd"/>
            <w:r>
              <w:t xml:space="preserve">, </w:t>
            </w:r>
            <w:r w:rsidR="00CB2118">
              <w:t>Le, Z</w:t>
            </w:r>
          </w:p>
        </w:tc>
      </w:tr>
      <w:tr w:rsidR="0083099A" w14:paraId="58BF56D0" w14:textId="77777777" w:rsidTr="0083099A">
        <w:tc>
          <w:tcPr>
            <w:tcW w:w="9350" w:type="dxa"/>
            <w:gridSpan w:val="7"/>
            <w:tcBorders>
              <w:top w:val="single" w:sz="4" w:space="0" w:color="auto"/>
              <w:left w:val="single" w:sz="4" w:space="0" w:color="auto"/>
              <w:bottom w:val="single" w:sz="4" w:space="0" w:color="auto"/>
              <w:right w:val="single" w:sz="4" w:space="0" w:color="auto"/>
            </w:tcBorders>
          </w:tcPr>
          <w:p w14:paraId="17C17CCD" w14:textId="7C88155D" w:rsidR="0083099A" w:rsidRDefault="0083099A" w:rsidP="004D598D">
            <w:pPr>
              <w:jc w:val="both"/>
            </w:pPr>
            <w:r>
              <w:t xml:space="preserve">If this </w:t>
            </w:r>
            <w:r w:rsidR="00407360">
              <w:t>participant</w:t>
            </w:r>
            <w:r>
              <w:t xml:space="preserve"> were to miss 10 Saturday doses (and did not miss doses on any other day), he would have only missed doses of delamanid and </w:t>
            </w:r>
            <w:r w:rsidR="00CB2118">
              <w:t>levofloxacin and pyrazinamide</w:t>
            </w:r>
            <w:r>
              <w:t xml:space="preserve">; he would have successfully completed his bedaquiline and linezolid doses. Even still, though, his make-up days would have to follow this same regimen and, therefore, would include additional doses of </w:t>
            </w:r>
            <w:proofErr w:type="spellStart"/>
            <w:r>
              <w:t>bedaquiline</w:t>
            </w:r>
            <w:proofErr w:type="spellEnd"/>
            <w:r>
              <w:t xml:space="preserve"> and linezolid.</w:t>
            </w:r>
          </w:p>
          <w:p w14:paraId="74DD73AD" w14:textId="77777777" w:rsidR="0083099A" w:rsidRDefault="0083099A" w:rsidP="004D598D">
            <w:pPr>
              <w:jc w:val="both"/>
            </w:pPr>
          </w:p>
          <w:p w14:paraId="6EAB9E51" w14:textId="59C40EA1" w:rsidR="0083099A" w:rsidRDefault="0083099A" w:rsidP="004D598D">
            <w:pPr>
              <w:jc w:val="both"/>
            </w:pPr>
            <w:r>
              <w:t xml:space="preserve">The main principle of anti-tuberculosis treatment is to always administer an effective treatment combination. Stopping the bedaquiline and linezolid for the make-up period would weaken the regimen and could cause resistance. Thus, even if a </w:t>
            </w:r>
            <w:r w:rsidR="00407360">
              <w:t>participant</w:t>
            </w:r>
            <w:r>
              <w:t xml:space="preserve"> only misses doses </w:t>
            </w:r>
            <w:r w:rsidR="00B37D26">
              <w:t>not containing all the drugs composing the regimen,</w:t>
            </w:r>
            <w:r>
              <w:t xml:space="preserve"> all drugs that were included in the regimen </w:t>
            </w:r>
            <w:r w:rsidR="00B37D26">
              <w:t xml:space="preserve">prescribed </w:t>
            </w:r>
            <w:r>
              <w:t>at the end of 39-weeks should be included in the make-up days.</w:t>
            </w:r>
          </w:p>
          <w:p w14:paraId="48E58DF9" w14:textId="77777777" w:rsidR="0083099A" w:rsidRDefault="0083099A" w:rsidP="004D598D">
            <w:pPr>
              <w:jc w:val="both"/>
            </w:pPr>
          </w:p>
          <w:p w14:paraId="29846FBC" w14:textId="51721426" w:rsidR="0083099A" w:rsidRDefault="0083099A" w:rsidP="004D598D">
            <w:pPr>
              <w:jc w:val="both"/>
            </w:pPr>
            <w:r>
              <w:t>In these cases, the study team should report exceeding the allowable number of doses as a minor deviation for the applicable drugs.</w:t>
            </w:r>
          </w:p>
        </w:tc>
      </w:tr>
    </w:tbl>
    <w:p w14:paraId="1E768DBF" w14:textId="77777777" w:rsidR="0083099A" w:rsidRDefault="0083099A" w:rsidP="004D598D">
      <w:pPr>
        <w:jc w:val="both"/>
      </w:pPr>
    </w:p>
    <w:p w14:paraId="45289AFF" w14:textId="77777777" w:rsidR="00B33421" w:rsidRDefault="00B33421" w:rsidP="004D598D">
      <w:pPr>
        <w:pStyle w:val="Heading4"/>
        <w:jc w:val="both"/>
      </w:pPr>
      <w:r>
        <w:t>Missed days during initial bedaquiline intensive dose</w:t>
      </w:r>
      <w:r w:rsidRPr="006C3696">
        <w:t xml:space="preserve"> </w:t>
      </w:r>
    </w:p>
    <w:p w14:paraId="41CF14D5" w14:textId="14BF2484" w:rsidR="00A40751" w:rsidRDefault="00A40751" w:rsidP="004D598D">
      <w:pPr>
        <w:jc w:val="both"/>
      </w:pPr>
      <w:r>
        <w:t xml:space="preserve">Bedaquiline-containing regimens start with an intensive 2-week posology </w:t>
      </w:r>
      <w:r w:rsidR="008748BD">
        <w:t xml:space="preserve">of bedaquiline, </w:t>
      </w:r>
      <w:r>
        <w:t xml:space="preserve">meant to be a loading dose to quickly reach effective drug concentrations in the blood. Therefore, if doses are missed during this period, it is important to address these missed doses. Handling of these missed doses of </w:t>
      </w:r>
      <w:r w:rsidR="00B37D26">
        <w:t>bedaquiline</w:t>
      </w:r>
      <w:r w:rsidR="00B37D26" w:rsidDel="00B37D26">
        <w:t xml:space="preserve"> </w:t>
      </w:r>
      <w:r>
        <w:t>will follow a protocol different from the one outlined above.</w:t>
      </w:r>
    </w:p>
    <w:p w14:paraId="405F144F" w14:textId="094DC559" w:rsidR="007E4709" w:rsidRPr="004D598D" w:rsidRDefault="00CF0EB1" w:rsidP="004D598D">
      <w:pPr>
        <w:jc w:val="both"/>
        <w:rPr>
          <w:b/>
        </w:rPr>
      </w:pPr>
      <w:r>
        <w:rPr>
          <w:b/>
        </w:rPr>
        <w:t xml:space="preserve">Figure 1. </w:t>
      </w:r>
      <w:r w:rsidR="007E4709" w:rsidRPr="00CF0EB1">
        <w:rPr>
          <w:b/>
        </w:rPr>
        <w:t xml:space="preserve">Correct </w:t>
      </w:r>
      <w:r w:rsidRPr="00CF0EB1">
        <w:rPr>
          <w:b/>
        </w:rPr>
        <w:t>administration of intensive 2-week posology of bedaquiline</w:t>
      </w:r>
      <w:r>
        <w:rPr>
          <w:b/>
        </w:rPr>
        <w:t xml:space="preserve"> </w:t>
      </w:r>
    </w:p>
    <w:p w14:paraId="1A9AE7E1" w14:textId="51CB5231" w:rsidR="007E4709" w:rsidRDefault="0099374B" w:rsidP="005D2ABB">
      <w:pPr>
        <w:jc w:val="center"/>
        <w:rPr>
          <w:rFonts w:eastAsiaTheme="minorHAnsi"/>
        </w:rPr>
      </w:pPr>
      <w:r>
        <w:rPr>
          <w:rFonts w:eastAsiaTheme="minorHAnsi"/>
          <w:noProof/>
          <w:lang w:val="fr-FR" w:eastAsia="fr-FR"/>
        </w:rPr>
        <w:drawing>
          <wp:inline distT="0" distB="0" distL="0" distR="0" wp14:anchorId="1C96A005" wp14:editId="572EF16E">
            <wp:extent cx="4413565" cy="14287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3565" cy="1428750"/>
                    </a:xfrm>
                    <a:prstGeom prst="rect">
                      <a:avLst/>
                    </a:prstGeom>
                    <a:noFill/>
                    <a:ln>
                      <a:noFill/>
                    </a:ln>
                  </pic:spPr>
                </pic:pic>
              </a:graphicData>
            </a:graphic>
          </wp:inline>
        </w:drawing>
      </w:r>
    </w:p>
    <w:p w14:paraId="0798920C" w14:textId="52AAF042" w:rsidR="00CF0EB1" w:rsidRDefault="00A40751" w:rsidP="007F66D2">
      <w:pPr>
        <w:jc w:val="both"/>
      </w:pPr>
      <w:r>
        <w:t xml:space="preserve">During the initial 2-weeks, </w:t>
      </w:r>
      <w:r w:rsidR="00AB11DC">
        <w:t xml:space="preserve">study participants </w:t>
      </w:r>
      <w:r>
        <w:t>receive four 100 mg tabs daily</w:t>
      </w:r>
      <w:r w:rsidR="00C918FD">
        <w:t xml:space="preserve"> (400 mg/day)</w:t>
      </w:r>
      <w:r w:rsidR="007B7AB9">
        <w:t xml:space="preserve"> of bedaquiline</w:t>
      </w:r>
      <w:r>
        <w:t xml:space="preserve">. If a subject misses any </w:t>
      </w:r>
      <w:r w:rsidR="00C918FD">
        <w:t>bedaquiline</w:t>
      </w:r>
      <w:r w:rsidR="00C918FD" w:rsidDel="00B37D26">
        <w:t xml:space="preserve"> </w:t>
      </w:r>
      <w:r w:rsidR="00C918FD">
        <w:t>dose (i.e.</w:t>
      </w:r>
      <w:r w:rsidR="00880E7F">
        <w:t>,</w:t>
      </w:r>
      <w:r w:rsidR="00C918FD">
        <w:t xml:space="preserve"> all the 4 daily tablets)</w:t>
      </w:r>
      <w:r w:rsidR="003D7C71">
        <w:t xml:space="preserve"> </w:t>
      </w:r>
      <w:r>
        <w:t xml:space="preserve">during the intensive 2-week phase, this dose of </w:t>
      </w:r>
      <w:r w:rsidR="00C918FD">
        <w:t>bedaquiline</w:t>
      </w:r>
      <w:r w:rsidR="00C918FD" w:rsidDel="00B37D26">
        <w:t xml:space="preserve"> </w:t>
      </w:r>
      <w:r>
        <w:t xml:space="preserve">will need to be made up at </w:t>
      </w:r>
      <w:r w:rsidR="00C918FD">
        <w:t>a 400mg/day</w:t>
      </w:r>
      <w:r>
        <w:t xml:space="preserve"> dose</w:t>
      </w:r>
      <w:r w:rsidR="00CF0EB1">
        <w:t xml:space="preserve"> (</w:t>
      </w:r>
      <w:r w:rsidR="00CF0EB1" w:rsidRPr="00CF0EB1">
        <w:rPr>
          <w:i/>
        </w:rPr>
        <w:t>see</w:t>
      </w:r>
      <w:r w:rsidR="00CF0EB1">
        <w:t xml:space="preserve"> Figure 2 and 3 below)</w:t>
      </w:r>
      <w:r>
        <w:t xml:space="preserve">. All </w:t>
      </w:r>
      <w:r w:rsidR="00FD0CF4">
        <w:t>participants</w:t>
      </w:r>
      <w:r>
        <w:t xml:space="preserve"> should receive at least 14 administrations of </w:t>
      </w:r>
      <w:proofErr w:type="spellStart"/>
      <w:r w:rsidR="00C918FD">
        <w:t>bedaquiline</w:t>
      </w:r>
      <w:proofErr w:type="spellEnd"/>
      <w:r w:rsidR="00C918FD" w:rsidDel="00B37D26">
        <w:t xml:space="preserve"> </w:t>
      </w:r>
      <w:r>
        <w:t>at 400 mg/day.</w:t>
      </w:r>
      <w:r w:rsidR="00CF0EB1">
        <w:br w:type="page"/>
      </w:r>
    </w:p>
    <w:p w14:paraId="4E8073C6" w14:textId="2A6C4285" w:rsidR="00CF0EB1" w:rsidRPr="004D598D" w:rsidRDefault="00CF0EB1" w:rsidP="00CF0EB1">
      <w:pPr>
        <w:jc w:val="both"/>
        <w:rPr>
          <w:b/>
        </w:rPr>
      </w:pPr>
      <w:r>
        <w:rPr>
          <w:b/>
        </w:rPr>
        <w:lastRenderedPageBreak/>
        <w:t>Figure 2. A</w:t>
      </w:r>
      <w:r w:rsidRPr="00CF0EB1">
        <w:rPr>
          <w:b/>
        </w:rPr>
        <w:t>dministration of intensive 2-week posology of bedaquiline</w:t>
      </w:r>
      <w:r>
        <w:rPr>
          <w:b/>
        </w:rPr>
        <w:t xml:space="preserve"> with two consecutive missed doses.</w:t>
      </w:r>
    </w:p>
    <w:p w14:paraId="788287B3" w14:textId="77777777" w:rsidR="00BA15CE" w:rsidRDefault="00BA15CE" w:rsidP="005D2ABB">
      <w:pPr>
        <w:jc w:val="center"/>
      </w:pPr>
      <w:r>
        <w:rPr>
          <w:noProof/>
          <w:lang w:val="fr-FR" w:eastAsia="fr-FR"/>
        </w:rPr>
        <w:drawing>
          <wp:inline distT="0" distB="0" distL="0" distR="0" wp14:anchorId="16955BED" wp14:editId="4CD6F21B">
            <wp:extent cx="3409950" cy="16262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803" cy="1635752"/>
                    </a:xfrm>
                    <a:prstGeom prst="rect">
                      <a:avLst/>
                    </a:prstGeom>
                    <a:noFill/>
                    <a:ln>
                      <a:noFill/>
                    </a:ln>
                  </pic:spPr>
                </pic:pic>
              </a:graphicData>
            </a:graphic>
          </wp:inline>
        </w:drawing>
      </w:r>
    </w:p>
    <w:p w14:paraId="4C7F548C" w14:textId="129DDEB8" w:rsidR="00CF0EB1" w:rsidRPr="004D598D" w:rsidRDefault="00CF0EB1" w:rsidP="00CF0EB1">
      <w:pPr>
        <w:jc w:val="both"/>
        <w:rPr>
          <w:b/>
        </w:rPr>
      </w:pPr>
      <w:r>
        <w:rPr>
          <w:b/>
        </w:rPr>
        <w:t>Figure 3. A</w:t>
      </w:r>
      <w:r w:rsidRPr="00CF0EB1">
        <w:rPr>
          <w:b/>
        </w:rPr>
        <w:t>dministration of intensive 2-week posology of bedaquiline</w:t>
      </w:r>
      <w:r>
        <w:rPr>
          <w:b/>
        </w:rPr>
        <w:t xml:space="preserve"> with four “sparse” missed doses.</w:t>
      </w:r>
    </w:p>
    <w:p w14:paraId="6AF8AEC2" w14:textId="77777777" w:rsidR="005D2ABB" w:rsidRDefault="00F33C3E" w:rsidP="005D2ABB">
      <w:pPr>
        <w:jc w:val="center"/>
      </w:pPr>
      <w:r>
        <w:rPr>
          <w:noProof/>
          <w:lang w:val="fr-FR" w:eastAsia="fr-FR"/>
        </w:rPr>
        <w:drawing>
          <wp:inline distT="0" distB="0" distL="0" distR="0" wp14:anchorId="10FF9C45" wp14:editId="55980FAE">
            <wp:extent cx="3800475" cy="20611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8795" cy="2076528"/>
                    </a:xfrm>
                    <a:prstGeom prst="rect">
                      <a:avLst/>
                    </a:prstGeom>
                    <a:noFill/>
                    <a:ln>
                      <a:noFill/>
                    </a:ln>
                  </pic:spPr>
                </pic:pic>
              </a:graphicData>
            </a:graphic>
          </wp:inline>
        </w:drawing>
      </w:r>
    </w:p>
    <w:p w14:paraId="429CE007" w14:textId="61552982" w:rsidR="00A40751" w:rsidRDefault="00A40751" w:rsidP="005D2ABB">
      <w:pPr>
        <w:jc w:val="both"/>
      </w:pPr>
      <w:r>
        <w:t>If only bedaquiline is missed during these days, then there is no need to add additional treatment days beyond 39 weeks of treatment</w:t>
      </w:r>
      <w:r w:rsidR="00C918FD">
        <w:t xml:space="preserve"> but 400mg/day of bedaquiline should be extended until 14 t</w:t>
      </w:r>
      <w:r w:rsidR="000C5F1F">
        <w:t>o</w:t>
      </w:r>
      <w:r w:rsidR="00C918FD">
        <w:t>tal days are administered</w:t>
      </w:r>
      <w:r w:rsidR="0005373D">
        <w:t>.</w:t>
      </w:r>
    </w:p>
    <w:p w14:paraId="174B4C14" w14:textId="17992796" w:rsidR="00C918FD" w:rsidRDefault="00A40751" w:rsidP="004D598D">
      <w:pPr>
        <w:pStyle w:val="ListParagraph"/>
        <w:numPr>
          <w:ilvl w:val="0"/>
          <w:numId w:val="28"/>
        </w:numPr>
        <w:jc w:val="both"/>
      </w:pPr>
      <w:r>
        <w:t xml:space="preserve">If all drugs are missed during the intensive </w:t>
      </w:r>
      <w:r w:rsidR="00C918FD">
        <w:t>bedaquiline</w:t>
      </w:r>
      <w:r w:rsidR="00C918FD" w:rsidDel="00B37D26">
        <w:t xml:space="preserve"> </w:t>
      </w:r>
      <w:r>
        <w:t>phase, 400mg</w:t>
      </w:r>
      <w:r w:rsidR="00C918FD">
        <w:t>/day</w:t>
      </w:r>
      <w:r>
        <w:t xml:space="preserve"> dose </w:t>
      </w:r>
      <w:r w:rsidR="00C918FD">
        <w:t xml:space="preserve">of bedaquiline </w:t>
      </w:r>
      <w:r>
        <w:t xml:space="preserve">should be extended until 14 total days are administered. Additionally, these missed days should be </w:t>
      </w:r>
      <w:r w:rsidR="00C918FD">
        <w:t>made</w:t>
      </w:r>
      <w:r w:rsidR="00880E7F">
        <w:t xml:space="preserve"> </w:t>
      </w:r>
      <w:r w:rsidR="00C918FD">
        <w:t xml:space="preserve">up at </w:t>
      </w:r>
      <w:r>
        <w:t xml:space="preserve">the end of the 39 weeks </w:t>
      </w:r>
      <w:r w:rsidR="00C918FD">
        <w:t xml:space="preserve">and contain a </w:t>
      </w:r>
      <w:r>
        <w:t>lower</w:t>
      </w:r>
      <w:r w:rsidR="00880E7F">
        <w:t xml:space="preserve"> </w:t>
      </w:r>
      <w:r>
        <w:t xml:space="preserve">dose </w:t>
      </w:r>
      <w:r w:rsidR="00C918FD">
        <w:t xml:space="preserve">of </w:t>
      </w:r>
      <w:proofErr w:type="spellStart"/>
      <w:r w:rsidR="00C918FD">
        <w:t>bedaquiline</w:t>
      </w:r>
      <w:proofErr w:type="spellEnd"/>
      <w:r w:rsidR="00C918FD">
        <w:t xml:space="preserve"> (200mg/day, three times/week)</w:t>
      </w:r>
      <w:r>
        <w:t>.</w:t>
      </w:r>
    </w:p>
    <w:p w14:paraId="3EB26572" w14:textId="69905718" w:rsidR="00A40751" w:rsidRDefault="00A40751" w:rsidP="004D598D">
      <w:pPr>
        <w:pStyle w:val="ListParagraph"/>
        <w:ind w:left="360"/>
        <w:jc w:val="both"/>
      </w:pPr>
      <w:r>
        <w:t xml:space="preserve">For example, if all drugs are missed on days 5 and 6, 400mg of </w:t>
      </w:r>
      <w:r w:rsidR="00C918FD">
        <w:t xml:space="preserve">bedaquiline </w:t>
      </w:r>
      <w:r>
        <w:t xml:space="preserve">should be administered on days 15 and 16 of treatment. Further, two additional full days of treatment (following 200mg </w:t>
      </w:r>
      <w:r w:rsidR="00C918FD">
        <w:t>bedaquiline</w:t>
      </w:r>
      <w:r>
        <w:t>, 3 times weekly) should be added after the 39-week treatment period.</w:t>
      </w:r>
    </w:p>
    <w:p w14:paraId="5CEA9982" w14:textId="77777777" w:rsidR="00A40751" w:rsidRDefault="00A40751" w:rsidP="004D598D">
      <w:pPr>
        <w:pStyle w:val="ListParagraph"/>
        <w:ind w:left="360"/>
        <w:jc w:val="both"/>
      </w:pPr>
    </w:p>
    <w:tbl>
      <w:tblPr>
        <w:tblStyle w:val="TableGrid"/>
        <w:tblW w:w="0" w:type="auto"/>
        <w:jc w:val="center"/>
        <w:tblLook w:val="04A0" w:firstRow="1" w:lastRow="0" w:firstColumn="1" w:lastColumn="0" w:noHBand="0" w:noVBand="1"/>
      </w:tblPr>
      <w:tblGrid>
        <w:gridCol w:w="8005"/>
      </w:tblGrid>
      <w:tr w:rsidR="00A40751" w14:paraId="131A22C1" w14:textId="77777777" w:rsidTr="003703EC">
        <w:trPr>
          <w:jc w:val="center"/>
        </w:trPr>
        <w:tc>
          <w:tcPr>
            <w:tcW w:w="8005" w:type="dxa"/>
          </w:tcPr>
          <w:p w14:paraId="2F0FFAED" w14:textId="616A16FF" w:rsidR="00A40751" w:rsidRDefault="00A40751" w:rsidP="004D598D">
            <w:pPr>
              <w:pStyle w:val="ListParagraph"/>
              <w:ind w:left="0"/>
              <w:jc w:val="both"/>
            </w:pPr>
            <w:r>
              <w:t>NOTE: While linezolid-containing regimens also start with a higher dose of linezolid, missed doses of linezolid are NOT considered exceptions and should be handled as outlined above, in sections 5.4.1 and 5.4.2.</w:t>
            </w:r>
          </w:p>
        </w:tc>
      </w:tr>
    </w:tbl>
    <w:p w14:paraId="4E6F938E" w14:textId="77777777" w:rsidR="004443F3" w:rsidRDefault="004443F3" w:rsidP="004D598D">
      <w:pPr>
        <w:pStyle w:val="Heading4"/>
        <w:jc w:val="both"/>
      </w:pPr>
      <w:bookmarkStart w:id="13" w:name="_Hlk527633481"/>
      <w:r>
        <w:lastRenderedPageBreak/>
        <w:t>Treatment interruptions during initial bedaquiline intensive dose</w:t>
      </w:r>
      <w:r w:rsidRPr="006C3696">
        <w:t xml:space="preserve"> </w:t>
      </w:r>
      <w:bookmarkEnd w:id="13"/>
    </w:p>
    <w:p w14:paraId="297C87AD" w14:textId="3E012854" w:rsidR="004443F3" w:rsidRDefault="00A40751">
      <w:pPr>
        <w:jc w:val="both"/>
      </w:pPr>
      <w:r>
        <w:t xml:space="preserve">If 7 or more days are missed during the intensive bedaquiline phase, then this phase should be re-started to ensure that the participant receives 14 consecutive days of </w:t>
      </w:r>
      <w:proofErr w:type="spellStart"/>
      <w:r>
        <w:t>bedaquiline</w:t>
      </w:r>
      <w:proofErr w:type="spellEnd"/>
      <w:r>
        <w:t xml:space="preserve"> dosed at 400mg/day.</w:t>
      </w:r>
    </w:p>
    <w:p w14:paraId="74E7008C" w14:textId="4D74E360" w:rsidR="000C5F1F" w:rsidRDefault="00407360" w:rsidP="000C5F1F">
      <w:pPr>
        <w:pStyle w:val="Heading4"/>
      </w:pPr>
      <w:r>
        <w:t xml:space="preserve">Participant </w:t>
      </w:r>
      <w:r w:rsidR="007B7AB9">
        <w:t>a</w:t>
      </w:r>
      <w:r w:rsidR="00535E68">
        <w:t>lready on treatment with bedaquiline at study treatment initiation</w:t>
      </w:r>
    </w:p>
    <w:p w14:paraId="5D0CEBB3" w14:textId="77777777" w:rsidR="000C5F1F" w:rsidRDefault="000C5F1F" w:rsidP="004D598D">
      <w:pPr>
        <w:jc w:val="both"/>
      </w:pPr>
      <w:r>
        <w:t xml:space="preserve">If </w:t>
      </w:r>
      <w:r w:rsidR="00080513">
        <w:t xml:space="preserve">the participant </w:t>
      </w:r>
      <w:r w:rsidR="004D2A11">
        <w:t>is</w:t>
      </w:r>
      <w:r w:rsidR="00080513">
        <w:t xml:space="preserve"> already on treatment with bedaquiline at the moment of starting study treatment, the dose of bedaquiline should be adapted to the previous treatment. For instance, if a participant already received </w:t>
      </w:r>
      <w:r w:rsidR="004D2A11">
        <w:t>6</w:t>
      </w:r>
      <w:r w:rsidR="00080513">
        <w:t xml:space="preserve"> days of treatment with bedaquiline at 400 mg/day, </w:t>
      </w:r>
      <w:r w:rsidR="004D2A11">
        <w:t>s/he should receive only 8 days of bedaquiline at 400 mg/day after switching to study treatment. If the participant has already received all the 14 days of bedaquiline treatment at 400 mg/day, the study treatment should start with bedaquiline given at 200 mg thrice weekly.</w:t>
      </w:r>
    </w:p>
    <w:p w14:paraId="4CF37097" w14:textId="1843B0F2" w:rsidR="00EE0C96" w:rsidRDefault="00EE0C96" w:rsidP="004D598D">
      <w:pPr>
        <w:pStyle w:val="Heading3"/>
        <w:jc w:val="both"/>
      </w:pPr>
      <w:bookmarkStart w:id="14" w:name="_Toc166238141"/>
      <w:r>
        <w:t>Discontinuation</w:t>
      </w:r>
      <w:bookmarkEnd w:id="14"/>
    </w:p>
    <w:p w14:paraId="32333D21" w14:textId="14214DF4" w:rsidR="00EE0C96" w:rsidRDefault="00013F97" w:rsidP="004D598D">
      <w:pPr>
        <w:jc w:val="both"/>
      </w:pPr>
      <w:r w:rsidRPr="003703EC">
        <w:t xml:space="preserve">There is no standard threshold </w:t>
      </w:r>
      <w:r w:rsidR="00113B6B">
        <w:t xml:space="preserve">of missed doses triggering </w:t>
      </w:r>
      <w:r w:rsidRPr="003703EC">
        <w:t>permanent discontinuation</w:t>
      </w:r>
      <w:r w:rsidR="00CF0EB1">
        <w:t xml:space="preserve"> of a drug or</w:t>
      </w:r>
      <w:r w:rsidR="0083455C">
        <w:t xml:space="preserve"> treatment</w:t>
      </w:r>
      <w:r w:rsidRPr="003703EC">
        <w:t xml:space="preserve">. Any permanent discontinuation </w:t>
      </w:r>
      <w:r w:rsidR="00113B6B">
        <w:t xml:space="preserve">of a drug or treatment </w:t>
      </w:r>
      <w:r w:rsidRPr="003703EC">
        <w:t>must be discussed with the Clinical Advisory Committee</w:t>
      </w:r>
      <w:r w:rsidR="00880E7F">
        <w:t xml:space="preserve"> (CAC)</w:t>
      </w:r>
      <w:r w:rsidRPr="003703EC">
        <w:t xml:space="preserve">. No classification of permanent discontinuation </w:t>
      </w:r>
      <w:r w:rsidR="00113B6B">
        <w:t>can</w:t>
      </w:r>
      <w:r w:rsidR="00113B6B" w:rsidRPr="003703EC">
        <w:t xml:space="preserve"> </w:t>
      </w:r>
      <w:r w:rsidRPr="003703EC">
        <w:t xml:space="preserve">be made without the </w:t>
      </w:r>
      <w:r w:rsidR="00880E7F">
        <w:t xml:space="preserve">CAC’s </w:t>
      </w:r>
      <w:r w:rsidRPr="003703EC">
        <w:t xml:space="preserve">input from that discussion. </w:t>
      </w:r>
      <w:r w:rsidR="00EE0C96">
        <w:t>Regardless</w:t>
      </w:r>
      <w:r w:rsidR="0083455C">
        <w:t xml:space="preserve"> of the total number of missed days</w:t>
      </w:r>
      <w:r w:rsidR="00EE0C96">
        <w:t>, if a participant continues the trial, treatment</w:t>
      </w:r>
      <w:r w:rsidR="0083455C">
        <w:t xml:space="preserve"> in the experimental arms</w:t>
      </w:r>
      <w:r w:rsidR="00EE0C96">
        <w:t xml:space="preserve"> will only be continued up to 47 weeks. </w:t>
      </w:r>
      <w:r>
        <w:t>Total treatment period</w:t>
      </w:r>
      <w:r w:rsidR="0083455C">
        <w:t xml:space="preserve"> in the experimental arms</w:t>
      </w:r>
      <w:r>
        <w:t>, including make-up days, should not exceed 47 weeks.</w:t>
      </w:r>
    </w:p>
    <w:p w14:paraId="759574E6" w14:textId="77777777" w:rsidR="004C2A15" w:rsidRDefault="004C2A15" w:rsidP="004C2A15">
      <w:pPr>
        <w:pStyle w:val="Heading3"/>
      </w:pPr>
      <w:bookmarkStart w:id="15" w:name="_Toc166238142"/>
      <w:r>
        <w:t>Adaptation of drug posology according to weight bands</w:t>
      </w:r>
      <w:bookmarkEnd w:id="15"/>
    </w:p>
    <w:p w14:paraId="01B29338" w14:textId="159BF0E0" w:rsidR="004C2A15" w:rsidRPr="00BB1E92" w:rsidRDefault="004C2A15" w:rsidP="004C2A15">
      <w:pPr>
        <w:jc w:val="both"/>
      </w:pPr>
      <w:r>
        <w:t xml:space="preserve">The initial dosage of levofloxacin and pyrazinamide in experimental arms, and of most drugs in the control arm of the endTB </w:t>
      </w:r>
      <w:r w:rsidR="00636F5C">
        <w:t xml:space="preserve">clinical </w:t>
      </w:r>
      <w:r>
        <w:t xml:space="preserve">trials, is determined by weight. During trial participation, the dosage of these drugs should be adapted to changes in participant’s weight, as feasible. It is advised to adapt the dosage of these drugs when a participant’s weight changes enough that it is within a different weight band (compared to the previous one) at two consecutive study visits. The adapted dose may be started immediately or at the next </w:t>
      </w:r>
      <w:r w:rsidRPr="00CE431C">
        <w:t>preparation of drug</w:t>
      </w:r>
      <w:r>
        <w:t>s for administration.</w:t>
      </w:r>
    </w:p>
    <w:p w14:paraId="47C07D28" w14:textId="77777777" w:rsidR="00010F8D" w:rsidRDefault="00010F8D" w:rsidP="00A814B8">
      <w:pPr>
        <w:pStyle w:val="Heading3"/>
      </w:pPr>
      <w:bookmarkStart w:id="16" w:name="_Toc166238143"/>
      <w:r>
        <w:t>Food and administration of Investigational Products</w:t>
      </w:r>
      <w:bookmarkEnd w:id="16"/>
    </w:p>
    <w:p w14:paraId="0A6E36EF" w14:textId="49526493" w:rsidR="001C1EDD" w:rsidRDefault="00016CA9">
      <w:pPr>
        <w:jc w:val="both"/>
      </w:pPr>
      <w:r>
        <w:t>Investigational Products in experimental and control arms of the endTB trial should be administered respecting the recommendations below:</w:t>
      </w:r>
    </w:p>
    <w:tbl>
      <w:tblPr>
        <w:tblStyle w:val="ListTable4-Accent51"/>
        <w:tblW w:w="0" w:type="auto"/>
        <w:tblLook w:val="04A0" w:firstRow="1" w:lastRow="0" w:firstColumn="1" w:lastColumn="0" w:noHBand="0" w:noVBand="1"/>
      </w:tblPr>
      <w:tblGrid>
        <w:gridCol w:w="3085"/>
        <w:gridCol w:w="3260"/>
        <w:gridCol w:w="3368"/>
      </w:tblGrid>
      <w:tr w:rsidR="00154E79" w14:paraId="0124CE15" w14:textId="77777777" w:rsidTr="007F6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D89B847" w14:textId="3E7FA648" w:rsidR="00154E79" w:rsidRDefault="00B85E20">
            <w:pPr>
              <w:jc w:val="both"/>
            </w:pPr>
            <w:r>
              <w:t>Drug</w:t>
            </w:r>
          </w:p>
        </w:tc>
        <w:tc>
          <w:tcPr>
            <w:tcW w:w="3260" w:type="dxa"/>
          </w:tcPr>
          <w:p w14:paraId="676F6404" w14:textId="1569C40F" w:rsidR="00154E79" w:rsidRDefault="00B85E20" w:rsidP="00A814B8">
            <w:pPr>
              <w:jc w:val="center"/>
              <w:cnfStyle w:val="100000000000" w:firstRow="1" w:lastRow="0" w:firstColumn="0" w:lastColumn="0" w:oddVBand="0" w:evenVBand="0" w:oddHBand="0" w:evenHBand="0" w:firstRowFirstColumn="0" w:firstRowLastColumn="0" w:lastRowFirstColumn="0" w:lastRowLastColumn="0"/>
            </w:pPr>
            <w:r>
              <w:t>Intake with/without food</w:t>
            </w:r>
          </w:p>
        </w:tc>
        <w:tc>
          <w:tcPr>
            <w:tcW w:w="3368" w:type="dxa"/>
          </w:tcPr>
          <w:p w14:paraId="375CE0B2" w14:textId="697C5446" w:rsidR="00154E79" w:rsidRDefault="00B85E20" w:rsidP="00A814B8">
            <w:pPr>
              <w:jc w:val="center"/>
              <w:cnfStyle w:val="100000000000" w:firstRow="1" w:lastRow="0" w:firstColumn="0" w:lastColumn="0" w:oddVBand="0" w:evenVBand="0" w:oddHBand="0" w:evenHBand="0" w:firstRowFirstColumn="0" w:firstRowLastColumn="0" w:lastRowFirstColumn="0" w:lastRowLastColumn="0"/>
            </w:pPr>
            <w:r>
              <w:t>Notes</w:t>
            </w:r>
          </w:p>
        </w:tc>
      </w:tr>
      <w:tr w:rsidR="00154E79" w14:paraId="21BDAEAE" w14:textId="77777777" w:rsidTr="007F6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7C029EB1" w14:textId="075EDCC3" w:rsidR="00154E79" w:rsidRDefault="00395D97" w:rsidP="00A814B8">
            <w:r>
              <w:t>Amikacin, capreomycin, kanamycin</w:t>
            </w:r>
          </w:p>
        </w:tc>
        <w:tc>
          <w:tcPr>
            <w:tcW w:w="3260" w:type="dxa"/>
            <w:vAlign w:val="center"/>
          </w:tcPr>
          <w:p w14:paraId="0B8EECCF" w14:textId="73364C1F" w:rsidR="00154E79" w:rsidRDefault="002D20D6" w:rsidP="00A814B8">
            <w:pPr>
              <w:jc w:val="center"/>
              <w:cnfStyle w:val="000000100000" w:firstRow="0" w:lastRow="0" w:firstColumn="0" w:lastColumn="0" w:oddVBand="0" w:evenVBand="0" w:oddHBand="1" w:evenHBand="0" w:firstRowFirstColumn="0" w:firstRowLastColumn="0" w:lastRowFirstColumn="0" w:lastRowLastColumn="0"/>
            </w:pPr>
            <w:r>
              <w:t>Not applicable</w:t>
            </w:r>
          </w:p>
        </w:tc>
        <w:tc>
          <w:tcPr>
            <w:tcW w:w="3368" w:type="dxa"/>
            <w:vAlign w:val="center"/>
          </w:tcPr>
          <w:p w14:paraId="051F6DA3" w14:textId="33995FB0" w:rsidR="00154E79" w:rsidRDefault="00395D97" w:rsidP="00A814B8">
            <w:pPr>
              <w:jc w:val="center"/>
              <w:cnfStyle w:val="000000100000" w:firstRow="0" w:lastRow="0" w:firstColumn="0" w:lastColumn="0" w:oddVBand="0" w:evenVBand="0" w:oddHBand="1" w:evenHBand="0" w:firstRowFirstColumn="0" w:firstRowLastColumn="0" w:lastRowFirstColumn="0" w:lastRowLastColumn="0"/>
            </w:pPr>
            <w:r>
              <w:t>Increase fluid intake</w:t>
            </w:r>
            <w:r w:rsidR="00543475">
              <w:t xml:space="preserve"> to avoid toxicity</w:t>
            </w:r>
          </w:p>
        </w:tc>
      </w:tr>
      <w:tr w:rsidR="00154E79" w14:paraId="5A3373F5" w14:textId="77777777" w:rsidTr="007F66D2">
        <w:tc>
          <w:tcPr>
            <w:cnfStyle w:val="001000000000" w:firstRow="0" w:lastRow="0" w:firstColumn="1" w:lastColumn="0" w:oddVBand="0" w:evenVBand="0" w:oddHBand="0" w:evenHBand="0" w:firstRowFirstColumn="0" w:firstRowLastColumn="0" w:lastRowFirstColumn="0" w:lastRowLastColumn="0"/>
            <w:tcW w:w="3085" w:type="dxa"/>
            <w:vAlign w:val="center"/>
          </w:tcPr>
          <w:p w14:paraId="04E2FFFD" w14:textId="3310C1D9" w:rsidR="00154E79" w:rsidRDefault="00395D97" w:rsidP="00A814B8">
            <w:r>
              <w:t>Amoxicillin/clavulanate (endTB-Q)</w:t>
            </w:r>
          </w:p>
        </w:tc>
        <w:tc>
          <w:tcPr>
            <w:tcW w:w="3260" w:type="dxa"/>
            <w:vAlign w:val="center"/>
          </w:tcPr>
          <w:p w14:paraId="138337EC" w14:textId="28F1EE0D" w:rsidR="00154E79" w:rsidRDefault="00B6778E" w:rsidP="00A814B8">
            <w:pPr>
              <w:jc w:val="center"/>
              <w:cnfStyle w:val="000000000000" w:firstRow="0" w:lastRow="0" w:firstColumn="0" w:lastColumn="0" w:oddVBand="0" w:evenVBand="0" w:oddHBand="0" w:evenHBand="0" w:firstRowFirstColumn="0" w:firstRowLastColumn="0" w:lastRowFirstColumn="0" w:lastRowLastColumn="0"/>
            </w:pPr>
            <w:r>
              <w:t>With food</w:t>
            </w:r>
          </w:p>
        </w:tc>
        <w:tc>
          <w:tcPr>
            <w:tcW w:w="3368" w:type="dxa"/>
            <w:vAlign w:val="center"/>
          </w:tcPr>
          <w:p w14:paraId="2C051641" w14:textId="77777777" w:rsidR="00154E79" w:rsidRDefault="00154E79" w:rsidP="00A814B8">
            <w:pPr>
              <w:jc w:val="center"/>
              <w:cnfStyle w:val="000000000000" w:firstRow="0" w:lastRow="0" w:firstColumn="0" w:lastColumn="0" w:oddVBand="0" w:evenVBand="0" w:oddHBand="0" w:evenHBand="0" w:firstRowFirstColumn="0" w:firstRowLastColumn="0" w:lastRowFirstColumn="0" w:lastRowLastColumn="0"/>
            </w:pPr>
          </w:p>
        </w:tc>
      </w:tr>
      <w:tr w:rsidR="00154E79" w14:paraId="3B3B0777" w14:textId="77777777" w:rsidTr="007F6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02F46EA0" w14:textId="218563BB" w:rsidR="00154E79" w:rsidRDefault="00B6778E" w:rsidP="00A814B8">
            <w:r>
              <w:t>Bedaquiline</w:t>
            </w:r>
          </w:p>
        </w:tc>
        <w:tc>
          <w:tcPr>
            <w:tcW w:w="3260" w:type="dxa"/>
            <w:vAlign w:val="center"/>
          </w:tcPr>
          <w:p w14:paraId="7644A3D3" w14:textId="2312086D" w:rsidR="00154E79" w:rsidRDefault="00B6778E" w:rsidP="00A814B8">
            <w:pPr>
              <w:jc w:val="center"/>
              <w:cnfStyle w:val="000000100000" w:firstRow="0" w:lastRow="0" w:firstColumn="0" w:lastColumn="0" w:oddVBand="0" w:evenVBand="0" w:oddHBand="1" w:evenHBand="0" w:firstRowFirstColumn="0" w:firstRowLastColumn="0" w:lastRowFirstColumn="0" w:lastRowLastColumn="0"/>
            </w:pPr>
            <w:r>
              <w:t>With food</w:t>
            </w:r>
          </w:p>
        </w:tc>
        <w:tc>
          <w:tcPr>
            <w:tcW w:w="3368" w:type="dxa"/>
            <w:vAlign w:val="center"/>
          </w:tcPr>
          <w:p w14:paraId="424DBC3B" w14:textId="77E7E9EF" w:rsidR="00154E79" w:rsidRDefault="002D20D6" w:rsidP="00A814B8">
            <w:pPr>
              <w:jc w:val="center"/>
              <w:cnfStyle w:val="000000100000" w:firstRow="0" w:lastRow="0" w:firstColumn="0" w:lastColumn="0" w:oddVBand="0" w:evenVBand="0" w:oddHBand="1" w:evenHBand="0" w:firstRowFirstColumn="0" w:firstRowLastColumn="0" w:lastRowFirstColumn="0" w:lastRowLastColumn="0"/>
            </w:pPr>
            <w:r>
              <w:t>High-fat, high-calorie meal</w:t>
            </w:r>
          </w:p>
        </w:tc>
      </w:tr>
      <w:tr w:rsidR="00154E79" w14:paraId="1896A908" w14:textId="77777777" w:rsidTr="007F66D2">
        <w:tc>
          <w:tcPr>
            <w:cnfStyle w:val="001000000000" w:firstRow="0" w:lastRow="0" w:firstColumn="1" w:lastColumn="0" w:oddVBand="0" w:evenVBand="0" w:oddHBand="0" w:evenHBand="0" w:firstRowFirstColumn="0" w:firstRowLastColumn="0" w:lastRowFirstColumn="0" w:lastRowLastColumn="0"/>
            <w:tcW w:w="3085" w:type="dxa"/>
            <w:vAlign w:val="center"/>
          </w:tcPr>
          <w:p w14:paraId="629A2683" w14:textId="468D8C1B" w:rsidR="00154E79" w:rsidRDefault="00B6778E" w:rsidP="00A814B8">
            <w:r>
              <w:t>Clofazimine</w:t>
            </w:r>
          </w:p>
        </w:tc>
        <w:tc>
          <w:tcPr>
            <w:tcW w:w="3260" w:type="dxa"/>
            <w:vAlign w:val="center"/>
          </w:tcPr>
          <w:p w14:paraId="4EC457F7" w14:textId="5F687979" w:rsidR="00154E79" w:rsidRDefault="00B6778E" w:rsidP="00A814B8">
            <w:pPr>
              <w:jc w:val="center"/>
              <w:cnfStyle w:val="000000000000" w:firstRow="0" w:lastRow="0" w:firstColumn="0" w:lastColumn="0" w:oddVBand="0" w:evenVBand="0" w:oddHBand="0" w:evenHBand="0" w:firstRowFirstColumn="0" w:firstRowLastColumn="0" w:lastRowFirstColumn="0" w:lastRowLastColumn="0"/>
            </w:pPr>
            <w:r>
              <w:t>With food</w:t>
            </w:r>
          </w:p>
        </w:tc>
        <w:tc>
          <w:tcPr>
            <w:tcW w:w="3368" w:type="dxa"/>
            <w:vAlign w:val="center"/>
          </w:tcPr>
          <w:p w14:paraId="5D6F798B" w14:textId="3E5B6D70" w:rsidR="00154E79" w:rsidRDefault="00B6778E" w:rsidP="00A814B8">
            <w:pPr>
              <w:jc w:val="center"/>
              <w:cnfStyle w:val="000000000000" w:firstRow="0" w:lastRow="0" w:firstColumn="0" w:lastColumn="0" w:oddVBand="0" w:evenVBand="0" w:oddHBand="0" w:evenHBand="0" w:firstRowFirstColumn="0" w:firstRowLastColumn="0" w:lastRowFirstColumn="0" w:lastRowLastColumn="0"/>
            </w:pPr>
            <w:r>
              <w:t>Avoid orange juice and antacids</w:t>
            </w:r>
          </w:p>
        </w:tc>
      </w:tr>
      <w:tr w:rsidR="00154E79" w14:paraId="6C8731F3" w14:textId="77777777" w:rsidTr="007F6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66DF6215" w14:textId="398284E5" w:rsidR="00154E79" w:rsidRDefault="003D719B" w:rsidP="00A814B8">
            <w:r>
              <w:t>Cycloserine, terizidone</w:t>
            </w:r>
          </w:p>
        </w:tc>
        <w:tc>
          <w:tcPr>
            <w:tcW w:w="3260" w:type="dxa"/>
            <w:vAlign w:val="center"/>
          </w:tcPr>
          <w:p w14:paraId="22C2B917" w14:textId="30079FE2" w:rsidR="00154E79" w:rsidRDefault="002D20D6" w:rsidP="00A814B8">
            <w:pPr>
              <w:jc w:val="center"/>
              <w:cnfStyle w:val="000000100000" w:firstRow="0" w:lastRow="0" w:firstColumn="0" w:lastColumn="0" w:oddVBand="0" w:evenVBand="0" w:oddHBand="1" w:evenHBand="0" w:firstRowFirstColumn="0" w:firstRowLastColumn="0" w:lastRowFirstColumn="0" w:lastRowLastColumn="0"/>
            </w:pPr>
            <w:r>
              <w:t>With or without food</w:t>
            </w:r>
          </w:p>
        </w:tc>
        <w:tc>
          <w:tcPr>
            <w:tcW w:w="3368" w:type="dxa"/>
            <w:vAlign w:val="center"/>
          </w:tcPr>
          <w:p w14:paraId="23436BB1" w14:textId="72A433F9" w:rsidR="00154E79" w:rsidRDefault="007177B2" w:rsidP="00A814B8">
            <w:pPr>
              <w:jc w:val="center"/>
              <w:cnfStyle w:val="000000100000" w:firstRow="0" w:lastRow="0" w:firstColumn="0" w:lastColumn="0" w:oddVBand="0" w:evenVBand="0" w:oddHBand="1" w:evenHBand="0" w:firstRowFirstColumn="0" w:firstRowLastColumn="0" w:lastRowFirstColumn="0" w:lastRowLastColumn="0"/>
            </w:pPr>
            <w:r>
              <w:t>P</w:t>
            </w:r>
            <w:r w:rsidRPr="007177B2">
              <w:t xml:space="preserve">rophylaxis with 50 mg of pyridoxine daily for every 250 mg </w:t>
            </w:r>
            <w:r w:rsidRPr="007177B2">
              <w:lastRenderedPageBreak/>
              <w:t>of cycloserine/terizidone</w:t>
            </w:r>
          </w:p>
        </w:tc>
      </w:tr>
      <w:tr w:rsidR="00154E79" w14:paraId="499F19ED" w14:textId="77777777" w:rsidTr="007F66D2">
        <w:tc>
          <w:tcPr>
            <w:cnfStyle w:val="001000000000" w:firstRow="0" w:lastRow="0" w:firstColumn="1" w:lastColumn="0" w:oddVBand="0" w:evenVBand="0" w:oddHBand="0" w:evenHBand="0" w:firstRowFirstColumn="0" w:firstRowLastColumn="0" w:lastRowFirstColumn="0" w:lastRowLastColumn="0"/>
            <w:tcW w:w="3085" w:type="dxa"/>
            <w:vAlign w:val="center"/>
          </w:tcPr>
          <w:p w14:paraId="19943084" w14:textId="652FC6C1" w:rsidR="00154E79" w:rsidRDefault="003D719B" w:rsidP="00A814B8">
            <w:r>
              <w:lastRenderedPageBreak/>
              <w:t>Delamanid</w:t>
            </w:r>
          </w:p>
        </w:tc>
        <w:tc>
          <w:tcPr>
            <w:tcW w:w="3260" w:type="dxa"/>
            <w:vAlign w:val="center"/>
          </w:tcPr>
          <w:p w14:paraId="6515E788" w14:textId="75D6F83E" w:rsidR="00154E79" w:rsidRDefault="007177B2" w:rsidP="00A814B8">
            <w:pPr>
              <w:jc w:val="center"/>
              <w:cnfStyle w:val="000000000000" w:firstRow="0" w:lastRow="0" w:firstColumn="0" w:lastColumn="0" w:oddVBand="0" w:evenVBand="0" w:oddHBand="0" w:evenHBand="0" w:firstRowFirstColumn="0" w:firstRowLastColumn="0" w:lastRowFirstColumn="0" w:lastRowLastColumn="0"/>
            </w:pPr>
            <w:r>
              <w:t>With food</w:t>
            </w:r>
          </w:p>
        </w:tc>
        <w:tc>
          <w:tcPr>
            <w:tcW w:w="3368" w:type="dxa"/>
            <w:vAlign w:val="center"/>
          </w:tcPr>
          <w:p w14:paraId="1460335C" w14:textId="1706749B" w:rsidR="00154E79" w:rsidRDefault="007177B2" w:rsidP="00A814B8">
            <w:pPr>
              <w:jc w:val="center"/>
              <w:cnfStyle w:val="000000000000" w:firstRow="0" w:lastRow="0" w:firstColumn="0" w:lastColumn="0" w:oddVBand="0" w:evenVBand="0" w:oddHBand="0" w:evenHBand="0" w:firstRowFirstColumn="0" w:firstRowLastColumn="0" w:lastRowFirstColumn="0" w:lastRowLastColumn="0"/>
            </w:pPr>
            <w:r>
              <w:t>High-fat, high-calorie meal</w:t>
            </w:r>
          </w:p>
        </w:tc>
      </w:tr>
      <w:tr w:rsidR="00154E79" w14:paraId="52323DD3" w14:textId="77777777" w:rsidTr="007F6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77B27A34" w14:textId="5EC6763D" w:rsidR="00154E79" w:rsidRDefault="003D719B" w:rsidP="00A814B8">
            <w:r>
              <w:t>Ethambutol</w:t>
            </w:r>
          </w:p>
        </w:tc>
        <w:tc>
          <w:tcPr>
            <w:tcW w:w="3260" w:type="dxa"/>
            <w:vAlign w:val="center"/>
          </w:tcPr>
          <w:p w14:paraId="15070651" w14:textId="5A66A1C3" w:rsidR="00154E79" w:rsidRDefault="007177B2" w:rsidP="00A814B8">
            <w:pPr>
              <w:jc w:val="center"/>
              <w:cnfStyle w:val="000000100000" w:firstRow="0" w:lastRow="0" w:firstColumn="0" w:lastColumn="0" w:oddVBand="0" w:evenVBand="0" w:oddHBand="1" w:evenHBand="0" w:firstRowFirstColumn="0" w:firstRowLastColumn="0" w:lastRowFirstColumn="0" w:lastRowLastColumn="0"/>
            </w:pPr>
            <w:r>
              <w:t>With or without food</w:t>
            </w:r>
          </w:p>
        </w:tc>
        <w:tc>
          <w:tcPr>
            <w:tcW w:w="3368" w:type="dxa"/>
            <w:vAlign w:val="center"/>
          </w:tcPr>
          <w:p w14:paraId="498A1AC8" w14:textId="77777777" w:rsidR="00154E79" w:rsidRDefault="00154E79" w:rsidP="00A814B8">
            <w:pPr>
              <w:jc w:val="center"/>
              <w:cnfStyle w:val="000000100000" w:firstRow="0" w:lastRow="0" w:firstColumn="0" w:lastColumn="0" w:oddVBand="0" w:evenVBand="0" w:oddHBand="1" w:evenHBand="0" w:firstRowFirstColumn="0" w:firstRowLastColumn="0" w:lastRowFirstColumn="0" w:lastRowLastColumn="0"/>
            </w:pPr>
          </w:p>
        </w:tc>
      </w:tr>
      <w:tr w:rsidR="00F9714B" w14:paraId="508ECBF9" w14:textId="77777777" w:rsidTr="007F66D2">
        <w:tc>
          <w:tcPr>
            <w:cnfStyle w:val="001000000000" w:firstRow="0" w:lastRow="0" w:firstColumn="1" w:lastColumn="0" w:oddVBand="0" w:evenVBand="0" w:oddHBand="0" w:evenHBand="0" w:firstRowFirstColumn="0" w:firstRowLastColumn="0" w:lastRowFirstColumn="0" w:lastRowLastColumn="0"/>
            <w:tcW w:w="3085" w:type="dxa"/>
            <w:vAlign w:val="center"/>
          </w:tcPr>
          <w:p w14:paraId="3E33FEAB" w14:textId="6738DFA3" w:rsidR="00F9714B" w:rsidRDefault="0086434B" w:rsidP="00B6778E">
            <w:r w:rsidRPr="00E4530D">
              <w:t>Ethionamide</w:t>
            </w:r>
            <w:r>
              <w:t>, p</w:t>
            </w:r>
            <w:r w:rsidRPr="003D06F8">
              <w:t>rothionamide</w:t>
            </w:r>
          </w:p>
        </w:tc>
        <w:tc>
          <w:tcPr>
            <w:tcW w:w="3260" w:type="dxa"/>
            <w:vAlign w:val="center"/>
          </w:tcPr>
          <w:p w14:paraId="6BBDA97B" w14:textId="7693CC6D" w:rsidR="00F9714B" w:rsidRDefault="0086434B" w:rsidP="007177B2">
            <w:pPr>
              <w:jc w:val="center"/>
              <w:cnfStyle w:val="000000000000" w:firstRow="0" w:lastRow="0" w:firstColumn="0" w:lastColumn="0" w:oddVBand="0" w:evenVBand="0" w:oddHBand="0" w:evenHBand="0" w:firstRowFirstColumn="0" w:firstRowLastColumn="0" w:lastRowFirstColumn="0" w:lastRowLastColumn="0"/>
            </w:pPr>
            <w:r>
              <w:t>With food</w:t>
            </w:r>
          </w:p>
        </w:tc>
        <w:tc>
          <w:tcPr>
            <w:tcW w:w="3368" w:type="dxa"/>
            <w:vAlign w:val="center"/>
          </w:tcPr>
          <w:p w14:paraId="661BB8D6" w14:textId="6B59E49C" w:rsidR="00F9714B" w:rsidRDefault="0086434B" w:rsidP="007177B2">
            <w:pPr>
              <w:jc w:val="center"/>
              <w:cnfStyle w:val="000000000000" w:firstRow="0" w:lastRow="0" w:firstColumn="0" w:lastColumn="0" w:oddVBand="0" w:evenVBand="0" w:oddHBand="0" w:evenHBand="0" w:firstRowFirstColumn="0" w:firstRowLastColumn="0" w:lastRowFirstColumn="0" w:lastRowLastColumn="0"/>
            </w:pPr>
            <w:r>
              <w:t>P</w:t>
            </w:r>
            <w:r w:rsidRPr="007177B2">
              <w:t>rophylaxis with 50 mg of pyridoxine daily</w:t>
            </w:r>
          </w:p>
        </w:tc>
      </w:tr>
      <w:tr w:rsidR="00F9714B" w14:paraId="02629AC3" w14:textId="77777777" w:rsidTr="007F6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711127AB" w14:textId="3806CB4E" w:rsidR="00F9714B" w:rsidRDefault="0086434B" w:rsidP="00B6778E">
            <w:r>
              <w:t>Imipenem/</w:t>
            </w:r>
            <w:proofErr w:type="spellStart"/>
            <w:r>
              <w:t>cilastatin</w:t>
            </w:r>
            <w:proofErr w:type="spellEnd"/>
            <w:r>
              <w:t xml:space="preserve"> (endTB-Q)</w:t>
            </w:r>
          </w:p>
        </w:tc>
        <w:tc>
          <w:tcPr>
            <w:tcW w:w="3260" w:type="dxa"/>
            <w:vAlign w:val="center"/>
          </w:tcPr>
          <w:p w14:paraId="3A2BB778" w14:textId="2A702325" w:rsidR="00F9714B" w:rsidRDefault="0086434B" w:rsidP="007177B2">
            <w:pPr>
              <w:jc w:val="center"/>
              <w:cnfStyle w:val="000000100000" w:firstRow="0" w:lastRow="0" w:firstColumn="0" w:lastColumn="0" w:oddVBand="0" w:evenVBand="0" w:oddHBand="1" w:evenHBand="0" w:firstRowFirstColumn="0" w:firstRowLastColumn="0" w:lastRowFirstColumn="0" w:lastRowLastColumn="0"/>
            </w:pPr>
            <w:r>
              <w:t>Not applicable</w:t>
            </w:r>
          </w:p>
        </w:tc>
        <w:tc>
          <w:tcPr>
            <w:tcW w:w="3368" w:type="dxa"/>
            <w:vAlign w:val="center"/>
          </w:tcPr>
          <w:p w14:paraId="3A2A433F" w14:textId="6087D74A" w:rsidR="00F9714B" w:rsidRDefault="0086434B" w:rsidP="007177B2">
            <w:pPr>
              <w:jc w:val="center"/>
              <w:cnfStyle w:val="000000100000" w:firstRow="0" w:lastRow="0" w:firstColumn="0" w:lastColumn="0" w:oddVBand="0" w:evenVBand="0" w:oddHBand="1" w:evenHBand="0" w:firstRowFirstColumn="0" w:firstRowLastColumn="0" w:lastRowFirstColumn="0" w:lastRowLastColumn="0"/>
            </w:pPr>
            <w:r>
              <w:t>A</w:t>
            </w:r>
            <w:r w:rsidRPr="00E4530D">
              <w:t xml:space="preserve">dminister </w:t>
            </w:r>
            <w:r>
              <w:t>after amoxicillin/clavulanate</w:t>
            </w:r>
          </w:p>
        </w:tc>
      </w:tr>
      <w:tr w:rsidR="00F9714B" w14:paraId="51204C19" w14:textId="77777777" w:rsidTr="007F66D2">
        <w:tc>
          <w:tcPr>
            <w:cnfStyle w:val="001000000000" w:firstRow="0" w:lastRow="0" w:firstColumn="1" w:lastColumn="0" w:oddVBand="0" w:evenVBand="0" w:oddHBand="0" w:evenHBand="0" w:firstRowFirstColumn="0" w:firstRowLastColumn="0" w:lastRowFirstColumn="0" w:lastRowLastColumn="0"/>
            <w:tcW w:w="3085" w:type="dxa"/>
            <w:vAlign w:val="center"/>
          </w:tcPr>
          <w:p w14:paraId="61306887" w14:textId="2EF85C91" w:rsidR="00F9714B" w:rsidRDefault="0086434B" w:rsidP="00B6778E">
            <w:r w:rsidRPr="00E4530D">
              <w:t>Isoniazid</w:t>
            </w:r>
          </w:p>
        </w:tc>
        <w:tc>
          <w:tcPr>
            <w:tcW w:w="3260" w:type="dxa"/>
            <w:vAlign w:val="center"/>
          </w:tcPr>
          <w:p w14:paraId="1926F456" w14:textId="28A671C4" w:rsidR="00F9714B" w:rsidRDefault="0086434B" w:rsidP="007177B2">
            <w:pPr>
              <w:jc w:val="center"/>
              <w:cnfStyle w:val="000000000000" w:firstRow="0" w:lastRow="0" w:firstColumn="0" w:lastColumn="0" w:oddVBand="0" w:evenVBand="0" w:oddHBand="0" w:evenHBand="0" w:firstRowFirstColumn="0" w:firstRowLastColumn="0" w:lastRowFirstColumn="0" w:lastRowLastColumn="0"/>
            </w:pPr>
            <w:r>
              <w:t>Without food (1 hour before or 2 hours after meals)</w:t>
            </w:r>
          </w:p>
        </w:tc>
        <w:tc>
          <w:tcPr>
            <w:tcW w:w="3368" w:type="dxa"/>
            <w:vAlign w:val="center"/>
          </w:tcPr>
          <w:p w14:paraId="0678534C" w14:textId="2E6F0C43" w:rsidR="00F9714B" w:rsidRDefault="0086434B" w:rsidP="007177B2">
            <w:pPr>
              <w:jc w:val="center"/>
              <w:cnfStyle w:val="000000000000" w:firstRow="0" w:lastRow="0" w:firstColumn="0" w:lastColumn="0" w:oddVBand="0" w:evenVBand="0" w:oddHBand="0" w:evenHBand="0" w:firstRowFirstColumn="0" w:firstRowLastColumn="0" w:lastRowFirstColumn="0" w:lastRowLastColumn="0"/>
            </w:pPr>
            <w:r>
              <w:t>P</w:t>
            </w:r>
            <w:r w:rsidRPr="007177B2">
              <w:t>rophylaxis with 50 mg of pyridoxine daily</w:t>
            </w:r>
          </w:p>
        </w:tc>
      </w:tr>
      <w:tr w:rsidR="00F9714B" w14:paraId="5A315FD4" w14:textId="77777777" w:rsidTr="007F6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09DF2AAA" w14:textId="691C342C" w:rsidR="00F9714B" w:rsidRDefault="0086434B" w:rsidP="00B6778E">
            <w:r w:rsidRPr="00E4530D">
              <w:t>Levofloxacin</w:t>
            </w:r>
            <w:r>
              <w:t>, m</w:t>
            </w:r>
            <w:r w:rsidRPr="003D06F8">
              <w:t>oxifloxacin</w:t>
            </w:r>
          </w:p>
        </w:tc>
        <w:tc>
          <w:tcPr>
            <w:tcW w:w="3260" w:type="dxa"/>
            <w:vAlign w:val="center"/>
          </w:tcPr>
          <w:p w14:paraId="517476E0" w14:textId="0F4914C0" w:rsidR="00F9714B" w:rsidRDefault="0086434B" w:rsidP="007177B2">
            <w:pPr>
              <w:jc w:val="center"/>
              <w:cnfStyle w:val="000000100000" w:firstRow="0" w:lastRow="0" w:firstColumn="0" w:lastColumn="0" w:oddVBand="0" w:evenVBand="0" w:oddHBand="1" w:evenHBand="0" w:firstRowFirstColumn="0" w:firstRowLastColumn="0" w:lastRowFirstColumn="0" w:lastRowLastColumn="0"/>
            </w:pPr>
            <w:r>
              <w:t>With or without food</w:t>
            </w:r>
          </w:p>
        </w:tc>
        <w:tc>
          <w:tcPr>
            <w:tcW w:w="3368" w:type="dxa"/>
            <w:vAlign w:val="center"/>
          </w:tcPr>
          <w:p w14:paraId="7C015546" w14:textId="07BDBDCB" w:rsidR="00F9714B" w:rsidRDefault="0086434B" w:rsidP="007177B2">
            <w:pPr>
              <w:jc w:val="center"/>
              <w:cnfStyle w:val="000000100000" w:firstRow="0" w:lastRow="0" w:firstColumn="0" w:lastColumn="0" w:oddVBand="0" w:evenVBand="0" w:oddHBand="1" w:evenHBand="0" w:firstRowFirstColumn="0" w:firstRowLastColumn="0" w:lastRowFirstColumn="0" w:lastRowLastColumn="0"/>
            </w:pPr>
            <w:r>
              <w:t>M</w:t>
            </w:r>
            <w:r w:rsidRPr="0086434B">
              <w:t>ilk-based products, iron and zinc salts, magnesium- or aluminum-containing antacids, sucralfate,</w:t>
            </w:r>
            <w:r w:rsidR="00543475">
              <w:t xml:space="preserve"> and</w:t>
            </w:r>
            <w:r w:rsidRPr="0086434B">
              <w:t xml:space="preserve"> multivitamins should be avoided or taken at least two hours before or after</w:t>
            </w:r>
          </w:p>
        </w:tc>
      </w:tr>
      <w:tr w:rsidR="00F9714B" w14:paraId="6B407D9E" w14:textId="77777777" w:rsidTr="007F66D2">
        <w:tc>
          <w:tcPr>
            <w:cnfStyle w:val="001000000000" w:firstRow="0" w:lastRow="0" w:firstColumn="1" w:lastColumn="0" w:oddVBand="0" w:evenVBand="0" w:oddHBand="0" w:evenHBand="0" w:firstRowFirstColumn="0" w:firstRowLastColumn="0" w:lastRowFirstColumn="0" w:lastRowLastColumn="0"/>
            <w:tcW w:w="3085" w:type="dxa"/>
            <w:vAlign w:val="center"/>
          </w:tcPr>
          <w:p w14:paraId="624F8510" w14:textId="0E47A030" w:rsidR="00F9714B" w:rsidRDefault="00543475" w:rsidP="00B6778E">
            <w:r w:rsidRPr="00E4530D">
              <w:t>Linezolid</w:t>
            </w:r>
          </w:p>
        </w:tc>
        <w:tc>
          <w:tcPr>
            <w:tcW w:w="3260" w:type="dxa"/>
            <w:vAlign w:val="center"/>
          </w:tcPr>
          <w:p w14:paraId="1FB08EDB" w14:textId="12556BF0" w:rsidR="00F9714B" w:rsidRDefault="00543475" w:rsidP="007177B2">
            <w:pPr>
              <w:jc w:val="center"/>
              <w:cnfStyle w:val="000000000000" w:firstRow="0" w:lastRow="0" w:firstColumn="0" w:lastColumn="0" w:oddVBand="0" w:evenVBand="0" w:oddHBand="0" w:evenHBand="0" w:firstRowFirstColumn="0" w:firstRowLastColumn="0" w:lastRowFirstColumn="0" w:lastRowLastColumn="0"/>
            </w:pPr>
            <w:r>
              <w:t>With or without food</w:t>
            </w:r>
          </w:p>
        </w:tc>
        <w:tc>
          <w:tcPr>
            <w:tcW w:w="3368" w:type="dxa"/>
            <w:vAlign w:val="center"/>
          </w:tcPr>
          <w:p w14:paraId="53652B71" w14:textId="04477D5E" w:rsidR="00F9714B" w:rsidRDefault="00543475" w:rsidP="007177B2">
            <w:pPr>
              <w:jc w:val="center"/>
              <w:cnfStyle w:val="000000000000" w:firstRow="0" w:lastRow="0" w:firstColumn="0" w:lastColumn="0" w:oddVBand="0" w:evenVBand="0" w:oddHBand="0" w:evenHBand="0" w:firstRowFirstColumn="0" w:firstRowLastColumn="0" w:lastRowFirstColumn="0" w:lastRowLastColumn="0"/>
            </w:pPr>
            <w:r>
              <w:t>P</w:t>
            </w:r>
            <w:r w:rsidRPr="007177B2">
              <w:t>rophylaxis with 50 mg of pyridoxine daily</w:t>
            </w:r>
          </w:p>
        </w:tc>
      </w:tr>
      <w:tr w:rsidR="00F9714B" w14:paraId="0AA2934B" w14:textId="77777777" w:rsidTr="007F6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6A69D4FF" w14:textId="05F1BE9B" w:rsidR="00F9714B" w:rsidRDefault="00543475" w:rsidP="00B6778E">
            <w:r>
              <w:t>PAS</w:t>
            </w:r>
          </w:p>
        </w:tc>
        <w:tc>
          <w:tcPr>
            <w:tcW w:w="3260" w:type="dxa"/>
            <w:vAlign w:val="center"/>
          </w:tcPr>
          <w:p w14:paraId="791D1DB0" w14:textId="0548E144" w:rsidR="00F9714B" w:rsidRDefault="00543475" w:rsidP="007177B2">
            <w:pPr>
              <w:jc w:val="center"/>
              <w:cnfStyle w:val="000000100000" w:firstRow="0" w:lastRow="0" w:firstColumn="0" w:lastColumn="0" w:oddVBand="0" w:evenVBand="0" w:oddHBand="1" w:evenHBand="0" w:firstRowFirstColumn="0" w:firstRowLastColumn="0" w:lastRowFirstColumn="0" w:lastRowLastColumn="0"/>
            </w:pPr>
            <w:r>
              <w:t>Administer with acidic juices (i.e.</w:t>
            </w:r>
            <w:r w:rsidR="00B807C7">
              <w:t>,</w:t>
            </w:r>
            <w:r>
              <w:t xml:space="preserve"> orange, apple)</w:t>
            </w:r>
          </w:p>
        </w:tc>
        <w:tc>
          <w:tcPr>
            <w:tcW w:w="3368" w:type="dxa"/>
            <w:vAlign w:val="center"/>
          </w:tcPr>
          <w:p w14:paraId="6D08EE15" w14:textId="03D3CE94" w:rsidR="00F9714B" w:rsidRDefault="00543475" w:rsidP="007177B2">
            <w:pPr>
              <w:jc w:val="center"/>
              <w:cnfStyle w:val="000000100000" w:firstRow="0" w:lastRow="0" w:firstColumn="0" w:lastColumn="0" w:oddVBand="0" w:evenVBand="0" w:oddHBand="1" w:evenHBand="0" w:firstRowFirstColumn="0" w:firstRowLastColumn="0" w:lastRowFirstColumn="0" w:lastRowLastColumn="0"/>
            </w:pPr>
            <w:r>
              <w:t>I</w:t>
            </w:r>
            <w:r w:rsidRPr="00DA0E21">
              <w:t>ncrease fluid intake to avoid toxicity</w:t>
            </w:r>
          </w:p>
        </w:tc>
      </w:tr>
      <w:tr w:rsidR="00F9714B" w14:paraId="59844394" w14:textId="77777777" w:rsidTr="007F66D2">
        <w:tc>
          <w:tcPr>
            <w:cnfStyle w:val="001000000000" w:firstRow="0" w:lastRow="0" w:firstColumn="1" w:lastColumn="0" w:oddVBand="0" w:evenVBand="0" w:oddHBand="0" w:evenHBand="0" w:firstRowFirstColumn="0" w:firstRowLastColumn="0" w:lastRowFirstColumn="0" w:lastRowLastColumn="0"/>
            <w:tcW w:w="3085" w:type="dxa"/>
            <w:vAlign w:val="center"/>
          </w:tcPr>
          <w:p w14:paraId="2894A2BB" w14:textId="3D75248C" w:rsidR="00F9714B" w:rsidRDefault="00543475" w:rsidP="00B6778E">
            <w:r w:rsidRPr="00FA6892">
              <w:t>Pyrazinamide</w:t>
            </w:r>
          </w:p>
        </w:tc>
        <w:tc>
          <w:tcPr>
            <w:tcW w:w="3260" w:type="dxa"/>
            <w:vAlign w:val="center"/>
          </w:tcPr>
          <w:p w14:paraId="6933B161" w14:textId="15AAE990" w:rsidR="00F9714B" w:rsidRDefault="00543475" w:rsidP="007177B2">
            <w:pPr>
              <w:jc w:val="center"/>
              <w:cnfStyle w:val="000000000000" w:firstRow="0" w:lastRow="0" w:firstColumn="0" w:lastColumn="0" w:oddVBand="0" w:evenVBand="0" w:oddHBand="0" w:evenHBand="0" w:firstRowFirstColumn="0" w:firstRowLastColumn="0" w:lastRowFirstColumn="0" w:lastRowLastColumn="0"/>
            </w:pPr>
            <w:r>
              <w:t>With or without food</w:t>
            </w:r>
          </w:p>
        </w:tc>
        <w:tc>
          <w:tcPr>
            <w:tcW w:w="3368" w:type="dxa"/>
            <w:vAlign w:val="center"/>
          </w:tcPr>
          <w:p w14:paraId="7F28C115" w14:textId="77777777" w:rsidR="00F9714B" w:rsidRDefault="00F9714B" w:rsidP="007177B2">
            <w:pPr>
              <w:jc w:val="center"/>
              <w:cnfStyle w:val="000000000000" w:firstRow="0" w:lastRow="0" w:firstColumn="0" w:lastColumn="0" w:oddVBand="0" w:evenVBand="0" w:oddHBand="0" w:evenHBand="0" w:firstRowFirstColumn="0" w:firstRowLastColumn="0" w:lastRowFirstColumn="0" w:lastRowLastColumn="0"/>
            </w:pPr>
          </w:p>
        </w:tc>
      </w:tr>
    </w:tbl>
    <w:p w14:paraId="78E92A86" w14:textId="77777777" w:rsidR="002C08FC" w:rsidRDefault="002C08FC" w:rsidP="00A814B8">
      <w:pPr>
        <w:jc w:val="both"/>
      </w:pPr>
    </w:p>
    <w:p w14:paraId="1105E00D" w14:textId="77777777" w:rsidR="00745CF3" w:rsidRDefault="00745CF3">
      <w:pPr>
        <w:spacing w:after="0"/>
        <w:jc w:val="both"/>
      </w:pPr>
      <w:r>
        <w:t xml:space="preserve">During the course of treatment, it is </w:t>
      </w:r>
      <w:r w:rsidR="00DA0E21">
        <w:t xml:space="preserve">recommended </w:t>
      </w:r>
      <w:r w:rsidR="00DA0E21" w:rsidRPr="00DA0E21">
        <w:t>to</w:t>
      </w:r>
      <w:r>
        <w:t>:</w:t>
      </w:r>
    </w:p>
    <w:p w14:paraId="22C2881B" w14:textId="57F69903" w:rsidR="00B728D6" w:rsidRDefault="00B728D6" w:rsidP="00B728D6">
      <w:pPr>
        <w:pStyle w:val="ListParagraph"/>
        <w:numPr>
          <w:ilvl w:val="0"/>
          <w:numId w:val="35"/>
        </w:numPr>
        <w:spacing w:after="0"/>
        <w:jc w:val="both"/>
      </w:pPr>
      <w:r>
        <w:t>Avoid drinking alcohol (i.e.</w:t>
      </w:r>
      <w:r w:rsidR="00B807C7">
        <w:t>,</w:t>
      </w:r>
      <w:r>
        <w:t xml:space="preserve"> vodka, beer, wine);</w:t>
      </w:r>
    </w:p>
    <w:p w14:paraId="1BEC2FC1" w14:textId="4C6F1BC1" w:rsidR="00B728D6" w:rsidRDefault="00B728D6" w:rsidP="00B728D6">
      <w:pPr>
        <w:pStyle w:val="ListParagraph"/>
        <w:numPr>
          <w:ilvl w:val="0"/>
          <w:numId w:val="35"/>
        </w:numPr>
        <w:spacing w:after="0"/>
        <w:jc w:val="both"/>
      </w:pPr>
      <w:r>
        <w:t>Avoid smoking or chewing tobacco, betel, gutka, khat/coca leaves, and other preparations;</w:t>
      </w:r>
    </w:p>
    <w:p w14:paraId="4EF0BE94" w14:textId="4C3D0F50" w:rsidR="00B728D6" w:rsidRDefault="00B728D6" w:rsidP="00B728D6">
      <w:pPr>
        <w:pStyle w:val="ListParagraph"/>
        <w:numPr>
          <w:ilvl w:val="0"/>
          <w:numId w:val="35"/>
        </w:numPr>
        <w:spacing w:after="0"/>
        <w:jc w:val="both"/>
      </w:pPr>
      <w:r>
        <w:t xml:space="preserve">Strictly abstain from illegal drugs (heroin, cocaine) – </w:t>
      </w:r>
      <w:r w:rsidR="00B807C7">
        <w:t xml:space="preserve">ask participants to please </w:t>
      </w:r>
      <w:r>
        <w:t xml:space="preserve">talk to </w:t>
      </w:r>
      <w:r w:rsidR="00B807C7">
        <w:t xml:space="preserve">their </w:t>
      </w:r>
      <w:r>
        <w:t>doctor and counsellor about any prior or current use to get proper care.</w:t>
      </w:r>
    </w:p>
    <w:p w14:paraId="0B7CCED1" w14:textId="77777777" w:rsidR="00B728D6" w:rsidRDefault="00B728D6" w:rsidP="00B728D6">
      <w:pPr>
        <w:spacing w:after="0"/>
        <w:jc w:val="both"/>
      </w:pPr>
    </w:p>
    <w:p w14:paraId="5DF448AF" w14:textId="42E34144" w:rsidR="00DA0E21" w:rsidRDefault="00B728D6" w:rsidP="00A814B8">
      <w:pPr>
        <w:spacing w:after="0"/>
        <w:jc w:val="both"/>
      </w:pPr>
      <w:r>
        <w:t xml:space="preserve">If </w:t>
      </w:r>
      <w:r w:rsidR="00B807C7">
        <w:t xml:space="preserve">participants </w:t>
      </w:r>
      <w:r>
        <w:t xml:space="preserve">regularly use herbal tea blends or traditional preparations, </w:t>
      </w:r>
      <w:r w:rsidR="00B807C7">
        <w:t xml:space="preserve">ask them to </w:t>
      </w:r>
      <w:r>
        <w:t xml:space="preserve">please discuss with </w:t>
      </w:r>
      <w:r w:rsidR="00B807C7">
        <w:t xml:space="preserve">their </w:t>
      </w:r>
      <w:r>
        <w:t>doctor whether it is safe to use the herbs while on treatment (e.g.</w:t>
      </w:r>
      <w:r w:rsidR="00B807C7">
        <w:t>,</w:t>
      </w:r>
      <w:r>
        <w:t xml:space="preserve"> unsafe=St John’s wort, possibly bad for your heart=valerian).</w:t>
      </w:r>
    </w:p>
    <w:p w14:paraId="7E933307" w14:textId="77777777" w:rsidR="00F23C87" w:rsidRDefault="004E294D" w:rsidP="00113B6B">
      <w:pPr>
        <w:pStyle w:val="Heading2"/>
      </w:pPr>
      <w:bookmarkStart w:id="17" w:name="_Toc166238144"/>
      <w:r w:rsidRPr="00931588">
        <w:t>REFERENCES</w:t>
      </w:r>
      <w:bookmarkEnd w:id="17"/>
    </w:p>
    <w:p w14:paraId="70199CA9" w14:textId="0581498F" w:rsidR="009A12A1" w:rsidRDefault="008B40DB" w:rsidP="008B40DB">
      <w:pPr>
        <w:ind w:firstLine="360"/>
        <w:jc w:val="both"/>
      </w:pPr>
      <w:r>
        <w:t>None</w:t>
      </w:r>
    </w:p>
    <w:p w14:paraId="219BE8D2" w14:textId="77777777" w:rsidR="00113B6B" w:rsidRDefault="00113B6B" w:rsidP="004D598D">
      <w:pPr>
        <w:pStyle w:val="Heading2"/>
      </w:pPr>
      <w:bookmarkStart w:id="18" w:name="_Toc166238145"/>
      <w:r>
        <w:t>SUPPORTING DOCUMENTS</w:t>
      </w:r>
      <w:bookmarkEnd w:id="18"/>
    </w:p>
    <w:p w14:paraId="753F89A4" w14:textId="2D34F795" w:rsidR="00113B6B" w:rsidRPr="004D598D" w:rsidRDefault="73C68A73" w:rsidP="004D598D">
      <w:pPr>
        <w:pStyle w:val="Heading2"/>
        <w:numPr>
          <w:ilvl w:val="1"/>
          <w:numId w:val="30"/>
        </w:numPr>
        <w:rPr>
          <w:b w:val="0"/>
          <w:bCs w:val="0"/>
        </w:rPr>
      </w:pPr>
      <w:bookmarkStart w:id="19" w:name="_Toc166238146"/>
      <w:r>
        <w:rPr>
          <w:b w:val="0"/>
          <w:bCs w:val="0"/>
        </w:rPr>
        <w:t>Treatment Adherence Worksheet (Form 04) (endTB Site Study Document).</w:t>
      </w:r>
      <w:bookmarkEnd w:id="19"/>
    </w:p>
    <w:p w14:paraId="2190521D" w14:textId="0037AB60" w:rsidR="00113B6B" w:rsidRDefault="00113B6B" w:rsidP="004D598D">
      <w:pPr>
        <w:pStyle w:val="Heading2"/>
        <w:numPr>
          <w:ilvl w:val="1"/>
          <w:numId w:val="30"/>
        </w:numPr>
        <w:rPr>
          <w:b w:val="0"/>
        </w:rPr>
      </w:pPr>
      <w:bookmarkStart w:id="20" w:name="_Toc166238147"/>
      <w:r w:rsidRPr="004D598D">
        <w:rPr>
          <w:b w:val="0"/>
        </w:rPr>
        <w:t>IP dispensation log (Appendix to SOP IP-004-CT)</w:t>
      </w:r>
      <w:r w:rsidR="00825065">
        <w:rPr>
          <w:b w:val="0"/>
        </w:rPr>
        <w:t xml:space="preserve"> (endTB Site Study Document).</w:t>
      </w:r>
      <w:bookmarkEnd w:id="20"/>
    </w:p>
    <w:p w14:paraId="38AAEDFD" w14:textId="60A0B21E" w:rsidR="00113B6B" w:rsidRDefault="00113B6B" w:rsidP="00113B6B">
      <w:pPr>
        <w:pStyle w:val="Heading2"/>
        <w:numPr>
          <w:ilvl w:val="1"/>
          <w:numId w:val="30"/>
        </w:numPr>
        <w:rPr>
          <w:b w:val="0"/>
        </w:rPr>
      </w:pPr>
      <w:bookmarkStart w:id="21" w:name="_Toc166238148"/>
      <w:r>
        <w:rPr>
          <w:b w:val="0"/>
        </w:rPr>
        <w:t>Subject identification and contact</w:t>
      </w:r>
      <w:r w:rsidRPr="0044184B">
        <w:rPr>
          <w:b w:val="0"/>
        </w:rPr>
        <w:t xml:space="preserve"> log</w:t>
      </w:r>
      <w:r w:rsidR="00825065">
        <w:rPr>
          <w:b w:val="0"/>
        </w:rPr>
        <w:t xml:space="preserve"> (endTB Site Study Document).</w:t>
      </w:r>
      <w:bookmarkEnd w:id="21"/>
    </w:p>
    <w:p w14:paraId="0FDE1BC4" w14:textId="77777777" w:rsidR="00825065" w:rsidRDefault="00825065" w:rsidP="00825065">
      <w:pPr>
        <w:pStyle w:val="Heading2"/>
        <w:numPr>
          <w:ilvl w:val="0"/>
          <w:numId w:val="0"/>
        </w:numPr>
        <w:ind w:left="720"/>
      </w:pPr>
    </w:p>
    <w:p w14:paraId="1093028C" w14:textId="77777777" w:rsidR="0002305E" w:rsidRPr="00931588" w:rsidRDefault="00B57EBA" w:rsidP="00113B6B">
      <w:pPr>
        <w:pStyle w:val="Heading2"/>
      </w:pPr>
      <w:bookmarkStart w:id="22" w:name="_Toc166238149"/>
      <w:r>
        <w:t>APPENDIX</w:t>
      </w:r>
      <w:bookmarkEnd w:id="22"/>
    </w:p>
    <w:p w14:paraId="267F32A8" w14:textId="1C57BBD7" w:rsidR="00F13515" w:rsidRPr="00305EE9" w:rsidRDefault="008B40DB" w:rsidP="00C66FAF">
      <w:pPr>
        <w:ind w:firstLine="360"/>
        <w:jc w:val="both"/>
        <w:rPr>
          <w:b/>
          <w:sz w:val="28"/>
          <w:szCs w:val="28"/>
          <w:u w:val="single"/>
        </w:rPr>
      </w:pPr>
      <w:r>
        <w:rPr>
          <w:rFonts w:asciiTheme="minorHAnsi" w:hAnsiTheme="minorHAnsi"/>
          <w:lang w:val="en-GB"/>
        </w:rPr>
        <w:t>None</w:t>
      </w:r>
    </w:p>
    <w:sectPr w:rsidR="00F13515" w:rsidRPr="00305EE9" w:rsidSect="007F66D2">
      <w:headerReference w:type="default" r:id="rId15"/>
      <w:footerReference w:type="default" r:id="rId16"/>
      <w:pgSz w:w="12240" w:h="15840"/>
      <w:pgMar w:top="1374" w:right="1325" w:bottom="720" w:left="1418" w:header="709" w:footer="2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53282" w14:textId="77777777" w:rsidR="00D92973" w:rsidRDefault="00D92973" w:rsidP="00034864">
      <w:pPr>
        <w:spacing w:after="0" w:line="240" w:lineRule="auto"/>
      </w:pPr>
      <w:r>
        <w:separator/>
      </w:r>
    </w:p>
  </w:endnote>
  <w:endnote w:type="continuationSeparator" w:id="0">
    <w:p w14:paraId="6BFE894F" w14:textId="77777777" w:rsidR="00D92973" w:rsidRDefault="00D92973" w:rsidP="00034864">
      <w:pPr>
        <w:spacing w:after="0" w:line="240" w:lineRule="auto"/>
      </w:pPr>
      <w:r>
        <w:continuationSeparator/>
      </w:r>
    </w:p>
  </w:endnote>
  <w:endnote w:type="continuationNotice" w:id="1">
    <w:p w14:paraId="0FD82004" w14:textId="77777777" w:rsidR="00D92973" w:rsidRDefault="00D929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734309"/>
      <w:docPartObj>
        <w:docPartGallery w:val="Page Numbers (Bottom of Page)"/>
        <w:docPartUnique/>
      </w:docPartObj>
    </w:sdtPr>
    <w:sdtEndPr/>
    <w:sdtContent>
      <w:sdt>
        <w:sdtPr>
          <w:id w:val="-1669238322"/>
          <w:docPartObj>
            <w:docPartGallery w:val="Page Numbers (Top of Page)"/>
            <w:docPartUnique/>
          </w:docPartObj>
        </w:sdtPr>
        <w:sdtEndPr/>
        <w:sdtContent>
          <w:p w14:paraId="0C0CE2E5" w14:textId="77777777" w:rsidR="007F66D2" w:rsidRDefault="007F66D2" w:rsidP="007F66D2">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4A35FA8E" w14:textId="77777777" w:rsidR="007F66D2" w:rsidRDefault="007F66D2">
            <w:pPr>
              <w:pStyle w:val="Footer"/>
              <w:jc w:val="center"/>
            </w:pPr>
          </w:p>
          <w:p w14:paraId="5183A103" w14:textId="368C94D2" w:rsidR="003E0E33" w:rsidRDefault="003E0E33">
            <w:pPr>
              <w:pStyle w:val="Footer"/>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sidR="00A814B8">
              <w:rPr>
                <w:b/>
                <w:bCs/>
                <w:noProof/>
              </w:rPr>
              <w:t>1</w:t>
            </w:r>
            <w:r>
              <w:rPr>
                <w:b/>
                <w:bCs/>
                <w:sz w:val="24"/>
                <w:szCs w:val="24"/>
              </w:rPr>
              <w:fldChar w:fldCharType="end"/>
            </w:r>
            <w:r>
              <w:rPr>
                <w:lang w:val="fr-FR"/>
              </w:rPr>
              <w:t xml:space="preserve"> of </w:t>
            </w:r>
            <w:r>
              <w:rPr>
                <w:b/>
                <w:bCs/>
                <w:sz w:val="24"/>
                <w:szCs w:val="24"/>
              </w:rPr>
              <w:fldChar w:fldCharType="begin"/>
            </w:r>
            <w:r>
              <w:rPr>
                <w:b/>
                <w:bCs/>
              </w:rPr>
              <w:instrText>NUMPAGES</w:instrText>
            </w:r>
            <w:r>
              <w:rPr>
                <w:b/>
                <w:bCs/>
                <w:sz w:val="24"/>
                <w:szCs w:val="24"/>
              </w:rPr>
              <w:fldChar w:fldCharType="separate"/>
            </w:r>
            <w:r w:rsidR="00A814B8">
              <w:rPr>
                <w:b/>
                <w:bCs/>
                <w:noProof/>
              </w:rPr>
              <w:t>12</w:t>
            </w:r>
            <w:r>
              <w:rPr>
                <w:b/>
                <w:bCs/>
                <w:sz w:val="24"/>
                <w:szCs w:val="24"/>
              </w:rPr>
              <w:fldChar w:fldCharType="end"/>
            </w:r>
          </w:p>
        </w:sdtContent>
      </w:sdt>
    </w:sdtContent>
  </w:sdt>
  <w:p w14:paraId="126B07D9" w14:textId="18640E41" w:rsidR="00B37D26" w:rsidRPr="005D2ABB" w:rsidRDefault="00B37D26" w:rsidP="005E17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94BE0" w14:textId="77777777" w:rsidR="00D92973" w:rsidRDefault="00D92973" w:rsidP="00034864">
      <w:pPr>
        <w:spacing w:after="0" w:line="240" w:lineRule="auto"/>
      </w:pPr>
      <w:r>
        <w:separator/>
      </w:r>
    </w:p>
  </w:footnote>
  <w:footnote w:type="continuationSeparator" w:id="0">
    <w:p w14:paraId="66D495A5" w14:textId="77777777" w:rsidR="00D92973" w:rsidRDefault="00D92973" w:rsidP="00034864">
      <w:pPr>
        <w:spacing w:after="0" w:line="240" w:lineRule="auto"/>
      </w:pPr>
      <w:r>
        <w:continuationSeparator/>
      </w:r>
    </w:p>
  </w:footnote>
  <w:footnote w:type="continuationNotice" w:id="1">
    <w:p w14:paraId="6661E4C2" w14:textId="77777777" w:rsidR="00D92973" w:rsidRDefault="00D929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346EA" w14:textId="4E9933C7" w:rsidR="00B37D26" w:rsidRPr="00034864" w:rsidRDefault="00F21149" w:rsidP="00305EE9">
    <w:pPr>
      <w:pStyle w:val="Header"/>
      <w:jc w:val="center"/>
      <w:rPr>
        <w:b/>
      </w:rPr>
    </w:pPr>
    <w:r>
      <w:rPr>
        <w:noProof/>
      </w:rPr>
      <w:drawing>
        <wp:anchor distT="0" distB="0" distL="114300" distR="114300" simplePos="0" relativeHeight="251660288" behindDoc="0" locked="0" layoutInCell="1" allowOverlap="1" wp14:anchorId="5151C6CC" wp14:editId="7C19CD6F">
          <wp:simplePos x="0" y="0"/>
          <wp:positionH relativeFrom="column">
            <wp:posOffset>-540327</wp:posOffset>
          </wp:positionH>
          <wp:positionV relativeFrom="paragraph">
            <wp:posOffset>-42025</wp:posOffset>
          </wp:positionV>
          <wp:extent cx="498763" cy="308147"/>
          <wp:effectExtent l="0" t="0" r="0" b="0"/>
          <wp:wrapThrough wrapText="bothSides">
            <wp:wrapPolygon edited="0">
              <wp:start x="0" y="0"/>
              <wp:lineTo x="0" y="20041"/>
              <wp:lineTo x="20637" y="20041"/>
              <wp:lineTo x="20637" y="0"/>
              <wp:lineTo x="0" y="0"/>
            </wp:wrapPolygon>
          </wp:wrapThrough>
          <wp:docPr id="1955398204"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r w:rsidR="00B37D26">
      <w:rPr>
        <w:b/>
      </w:rPr>
      <w:t>endTB Clinical Trial</w:t>
    </w:r>
    <w:r w:rsidR="004C2A15">
      <w:rPr>
        <w:b/>
      </w:rPr>
      <w:t>s</w:t>
    </w:r>
    <w:r w:rsidR="00B37D26">
      <w:rPr>
        <w:b/>
      </w:rPr>
      <w:t xml:space="preserve"> </w:t>
    </w:r>
    <w:r w:rsidR="00B37D26">
      <w:rPr>
        <w:b/>
      </w:rPr>
      <w:tab/>
    </w:r>
    <w:r w:rsidR="00B37D26">
      <w:rPr>
        <w:b/>
      </w:rPr>
      <w:tab/>
      <w:t xml:space="preserve">SOP SP-017-CT </w:t>
    </w:r>
    <w:r w:rsidR="00111A1C">
      <w:rPr>
        <w:b/>
      </w:rPr>
      <w:t xml:space="preserve">Version 3.0, </w:t>
    </w:r>
    <w:r>
      <w:rPr>
        <w:b/>
      </w:rPr>
      <w:t xml:space="preserve">Date </w:t>
    </w:r>
    <w:r w:rsidR="00111A1C">
      <w:rPr>
        <w:b/>
      </w:rPr>
      <w:t>19-Dec</w:t>
    </w:r>
    <w:r w:rsidR="00AA50FD">
      <w:rPr>
        <w:b/>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E5B77"/>
    <w:multiLevelType w:val="hybridMultilevel"/>
    <w:tmpl w:val="F432BD0E"/>
    <w:lvl w:ilvl="0" w:tplc="528E71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61F88"/>
    <w:multiLevelType w:val="hybridMultilevel"/>
    <w:tmpl w:val="CE7CE2A6"/>
    <w:lvl w:ilvl="0" w:tplc="528E71A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74916"/>
    <w:multiLevelType w:val="hybridMultilevel"/>
    <w:tmpl w:val="CCC05CEA"/>
    <w:lvl w:ilvl="0" w:tplc="528E71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5E70"/>
    <w:multiLevelType w:val="hybridMultilevel"/>
    <w:tmpl w:val="88CA10F4"/>
    <w:lvl w:ilvl="0" w:tplc="528E71A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2B02FB"/>
    <w:multiLevelType w:val="multilevel"/>
    <w:tmpl w:val="E8663B5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BD24FFE"/>
    <w:multiLevelType w:val="hybridMultilevel"/>
    <w:tmpl w:val="73E0C0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AE3865"/>
    <w:multiLevelType w:val="hybridMultilevel"/>
    <w:tmpl w:val="787EDDA8"/>
    <w:lvl w:ilvl="0" w:tplc="528E71A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8B4AF2"/>
    <w:multiLevelType w:val="hybridMultilevel"/>
    <w:tmpl w:val="BE4617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C52A07"/>
    <w:multiLevelType w:val="hybridMultilevel"/>
    <w:tmpl w:val="35069A70"/>
    <w:lvl w:ilvl="0" w:tplc="528E71A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9D314EB"/>
    <w:multiLevelType w:val="hybridMultilevel"/>
    <w:tmpl w:val="670E0824"/>
    <w:lvl w:ilvl="0" w:tplc="040C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4B7F50"/>
    <w:multiLevelType w:val="hybridMultilevel"/>
    <w:tmpl w:val="DD521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735977"/>
    <w:multiLevelType w:val="hybridMultilevel"/>
    <w:tmpl w:val="9C7A708E"/>
    <w:lvl w:ilvl="0" w:tplc="B11E6238">
      <w:numFmt w:val="bullet"/>
      <w:lvlText w:val="-"/>
      <w:lvlJc w:val="left"/>
      <w:pPr>
        <w:ind w:left="502" w:hanging="360"/>
      </w:pPr>
      <w:rPr>
        <w:rFonts w:ascii="Calibri" w:eastAsia="Calibri" w:hAnsi="Calibri"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47C050D3"/>
    <w:multiLevelType w:val="hybridMultilevel"/>
    <w:tmpl w:val="FD9A99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F76E5"/>
    <w:multiLevelType w:val="multilevel"/>
    <w:tmpl w:val="E348FA6C"/>
    <w:lvl w:ilvl="0">
      <w:start w:val="1"/>
      <w:numFmt w:val="decimal"/>
      <w:pStyle w:val="Heading1"/>
      <w:isLgl/>
      <w:lvlText w:val="%1"/>
      <w:lvlJc w:val="left"/>
      <w:pPr>
        <w:ind w:left="360" w:hanging="360"/>
      </w:pPr>
      <w:rPr>
        <w:rFonts w:ascii="Calibri" w:hAnsi="Calibri" w:hint="default"/>
        <w:b/>
        <w:i w:val="0"/>
        <w:sz w:val="36"/>
      </w:rPr>
    </w:lvl>
    <w:lvl w:ilvl="1">
      <w:start w:val="1"/>
      <w:numFmt w:val="decimal"/>
      <w:pStyle w:val="Heading2"/>
      <w:lvlText w:val="%2."/>
      <w:lvlJc w:val="left"/>
      <w:pPr>
        <w:ind w:left="720" w:hanging="360"/>
      </w:pPr>
      <w:rPr>
        <w:b/>
        <w:i w:val="0"/>
        <w:sz w:val="24"/>
      </w:rPr>
    </w:lvl>
    <w:lvl w:ilvl="2">
      <w:start w:val="1"/>
      <w:numFmt w:val="decimal"/>
      <w:pStyle w:val="Heading3"/>
      <w:lvlText w:val="%2.%3"/>
      <w:lvlJc w:val="left"/>
      <w:pPr>
        <w:ind w:left="1080" w:hanging="360"/>
      </w:pPr>
      <w:rPr>
        <w:b/>
        <w:i/>
        <w:sz w:val="24"/>
      </w:rPr>
    </w:lvl>
    <w:lvl w:ilvl="3">
      <w:start w:val="1"/>
      <w:numFmt w:val="decimal"/>
      <w:pStyle w:val="Heading4"/>
      <w:lvlText w:val="%2.%3.%4"/>
      <w:lvlJc w:val="left"/>
      <w:pPr>
        <w:ind w:left="1440" w:hanging="360"/>
      </w:pPr>
      <w:rPr>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DA5CB8"/>
    <w:multiLevelType w:val="multilevel"/>
    <w:tmpl w:val="4A92383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15:restartNumberingAfterBreak="0">
    <w:nsid w:val="4EA6059A"/>
    <w:multiLevelType w:val="hybridMultilevel"/>
    <w:tmpl w:val="59462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813252"/>
    <w:multiLevelType w:val="multilevel"/>
    <w:tmpl w:val="3E18AC46"/>
    <w:lvl w:ilvl="0">
      <w:start w:val="1"/>
      <w:numFmt w:val="decimal"/>
      <w:isLgl/>
      <w:lvlText w:val="%1"/>
      <w:lvlJc w:val="left"/>
      <w:pPr>
        <w:ind w:left="360" w:hanging="360"/>
      </w:pPr>
      <w:rPr>
        <w:rFonts w:ascii="Calibri" w:hAnsi="Calibri" w:hint="default"/>
        <w:b/>
        <w:i w:val="0"/>
        <w:sz w:val="36"/>
      </w:rPr>
    </w:lvl>
    <w:lvl w:ilvl="1">
      <w:start w:val="1"/>
      <w:numFmt w:val="bullet"/>
      <w:lvlText w:val=""/>
      <w:lvlJc w:val="left"/>
      <w:pPr>
        <w:ind w:left="720" w:hanging="360"/>
      </w:pPr>
      <w:rPr>
        <w:rFonts w:ascii="Symbol" w:hAnsi="Symbol" w:hint="default"/>
        <w:b/>
        <w:i w:val="0"/>
        <w:sz w:val="24"/>
      </w:rPr>
    </w:lvl>
    <w:lvl w:ilvl="2">
      <w:start w:val="1"/>
      <w:numFmt w:val="decimal"/>
      <w:isLgl/>
      <w:lvlText w:val="%2.%3"/>
      <w:lvlJc w:val="left"/>
      <w:pPr>
        <w:ind w:left="1080" w:hanging="360"/>
      </w:pPr>
      <w:rPr>
        <w:rFonts w:ascii="Calibri" w:hAnsi="Calibri" w:hint="default"/>
        <w:b/>
        <w:i/>
        <w:sz w:val="24"/>
      </w:rPr>
    </w:lvl>
    <w:lvl w:ilvl="3">
      <w:start w:val="1"/>
      <w:numFmt w:val="decimal"/>
      <w:isLgl/>
      <w:lvlText w:val="%2.%3.%4"/>
      <w:lvlJc w:val="left"/>
      <w:pPr>
        <w:ind w:left="1440" w:hanging="360"/>
      </w:pPr>
      <w:rPr>
        <w:rFonts w:ascii="Calibri" w:hAnsi="Calibri"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62F1E87"/>
    <w:multiLevelType w:val="hybridMultilevel"/>
    <w:tmpl w:val="AF888B4E"/>
    <w:lvl w:ilvl="0" w:tplc="528E71AE">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A4B2BDC"/>
    <w:multiLevelType w:val="hybridMultilevel"/>
    <w:tmpl w:val="AF06E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F93294"/>
    <w:multiLevelType w:val="hybridMultilevel"/>
    <w:tmpl w:val="B972FE24"/>
    <w:lvl w:ilvl="0" w:tplc="528E71AE">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D222D04"/>
    <w:multiLevelType w:val="hybridMultilevel"/>
    <w:tmpl w:val="3C34F1C2"/>
    <w:lvl w:ilvl="0" w:tplc="040C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DF14AD"/>
    <w:multiLevelType w:val="hybridMultilevel"/>
    <w:tmpl w:val="DC86849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63FF7D81"/>
    <w:multiLevelType w:val="hybridMultilevel"/>
    <w:tmpl w:val="3E5E03A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672777D"/>
    <w:multiLevelType w:val="hybridMultilevel"/>
    <w:tmpl w:val="A63C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11F1F"/>
    <w:multiLevelType w:val="hybridMultilevel"/>
    <w:tmpl w:val="2560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E75CE"/>
    <w:multiLevelType w:val="hybridMultilevel"/>
    <w:tmpl w:val="6744F2C0"/>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6" w15:restartNumberingAfterBreak="0">
    <w:nsid w:val="6D343BBD"/>
    <w:multiLevelType w:val="multilevel"/>
    <w:tmpl w:val="F8C2D136"/>
    <w:styleLink w:val="SOPFormat"/>
    <w:lvl w:ilvl="0">
      <w:start w:val="1"/>
      <w:numFmt w:val="decimal"/>
      <w:isLgl/>
      <w:lvlText w:val="%1"/>
      <w:lvlJc w:val="left"/>
      <w:pPr>
        <w:ind w:left="360" w:hanging="360"/>
      </w:pPr>
      <w:rPr>
        <w:rFonts w:ascii="Calibri" w:hAnsi="Calibri" w:hint="default"/>
        <w:b/>
        <w:i w:val="0"/>
        <w:sz w:val="36"/>
      </w:rPr>
    </w:lvl>
    <w:lvl w:ilvl="1">
      <w:start w:val="1"/>
      <w:numFmt w:val="decimal"/>
      <w:isLgl/>
      <w:lvlText w:val="%2."/>
      <w:lvlJc w:val="left"/>
      <w:pPr>
        <w:ind w:left="720" w:hanging="360"/>
      </w:pPr>
      <w:rPr>
        <w:rFonts w:ascii="Calibri" w:hAnsi="Calibri" w:hint="default"/>
        <w:b/>
        <w:i w:val="0"/>
        <w:sz w:val="24"/>
      </w:rPr>
    </w:lvl>
    <w:lvl w:ilvl="2">
      <w:start w:val="1"/>
      <w:numFmt w:val="decimal"/>
      <w:isLgl/>
      <w:lvlText w:val="%2.%3"/>
      <w:lvlJc w:val="left"/>
      <w:pPr>
        <w:ind w:left="1080" w:hanging="360"/>
      </w:pPr>
      <w:rPr>
        <w:rFonts w:ascii="Calibri" w:hAnsi="Calibri" w:hint="default"/>
        <w:b/>
        <w:i/>
        <w:sz w:val="24"/>
      </w:rPr>
    </w:lvl>
    <w:lvl w:ilvl="3">
      <w:start w:val="1"/>
      <w:numFmt w:val="decimal"/>
      <w:isLgl/>
      <w:lvlText w:val="%2.%3.%4"/>
      <w:lvlJc w:val="left"/>
      <w:pPr>
        <w:ind w:left="1440" w:hanging="360"/>
      </w:pPr>
      <w:rPr>
        <w:rFonts w:ascii="Calibri" w:hAnsi="Calibri"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8E54A8D"/>
    <w:multiLevelType w:val="hybridMultilevel"/>
    <w:tmpl w:val="C63C8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D713A5"/>
    <w:multiLevelType w:val="hybridMultilevel"/>
    <w:tmpl w:val="93BAD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9403577">
    <w:abstractNumId w:val="14"/>
  </w:num>
  <w:num w:numId="2" w16cid:durableId="1481145793">
    <w:abstractNumId w:val="4"/>
  </w:num>
  <w:num w:numId="3" w16cid:durableId="876158806">
    <w:abstractNumId w:val="19"/>
  </w:num>
  <w:num w:numId="4" w16cid:durableId="925648484">
    <w:abstractNumId w:val="3"/>
  </w:num>
  <w:num w:numId="5" w16cid:durableId="2103061391">
    <w:abstractNumId w:val="8"/>
  </w:num>
  <w:num w:numId="6" w16cid:durableId="933628233">
    <w:abstractNumId w:val="7"/>
  </w:num>
  <w:num w:numId="7" w16cid:durableId="1408653926">
    <w:abstractNumId w:val="22"/>
  </w:num>
  <w:num w:numId="8" w16cid:durableId="966163065">
    <w:abstractNumId w:val="11"/>
  </w:num>
  <w:num w:numId="9" w16cid:durableId="223412476">
    <w:abstractNumId w:val="1"/>
  </w:num>
  <w:num w:numId="10" w16cid:durableId="1726027731">
    <w:abstractNumId w:val="6"/>
  </w:num>
  <w:num w:numId="11" w16cid:durableId="459373546">
    <w:abstractNumId w:val="17"/>
  </w:num>
  <w:num w:numId="12" w16cid:durableId="1244022714">
    <w:abstractNumId w:val="9"/>
  </w:num>
  <w:num w:numId="13" w16cid:durableId="609312570">
    <w:abstractNumId w:val="20"/>
  </w:num>
  <w:num w:numId="14" w16cid:durableId="538015482">
    <w:abstractNumId w:val="21"/>
  </w:num>
  <w:num w:numId="15" w16cid:durableId="1073895884">
    <w:abstractNumId w:val="24"/>
  </w:num>
  <w:num w:numId="16" w16cid:durableId="1199394532">
    <w:abstractNumId w:val="26"/>
  </w:num>
  <w:num w:numId="17" w16cid:durableId="1432891520">
    <w:abstractNumId w:val="13"/>
  </w:num>
  <w:num w:numId="18" w16cid:durableId="157962991">
    <w:abstractNumId w:val="18"/>
  </w:num>
  <w:num w:numId="19" w16cid:durableId="1975282900">
    <w:abstractNumId w:val="27"/>
  </w:num>
  <w:num w:numId="20" w16cid:durableId="1871920218">
    <w:abstractNumId w:val="15"/>
  </w:num>
  <w:num w:numId="21" w16cid:durableId="468598122">
    <w:abstractNumId w:val="23"/>
  </w:num>
  <w:num w:numId="22" w16cid:durableId="37971932">
    <w:abstractNumId w:val="12"/>
  </w:num>
  <w:num w:numId="23" w16cid:durableId="1559047873">
    <w:abstractNumId w:val="2"/>
  </w:num>
  <w:num w:numId="24" w16cid:durableId="797450234">
    <w:abstractNumId w:val="0"/>
  </w:num>
  <w:num w:numId="25" w16cid:durableId="5248336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2692961">
    <w:abstractNumId w:val="5"/>
  </w:num>
  <w:num w:numId="27" w16cid:durableId="832185856">
    <w:abstractNumId w:val="13"/>
  </w:num>
  <w:num w:numId="28" w16cid:durableId="1587417238">
    <w:abstractNumId w:val="15"/>
  </w:num>
  <w:num w:numId="29" w16cid:durableId="2020497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7562010">
    <w:abstractNumId w:val="16"/>
  </w:num>
  <w:num w:numId="31" w16cid:durableId="11830833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90498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2968107">
    <w:abstractNumId w:val="28"/>
  </w:num>
  <w:num w:numId="34" w16cid:durableId="1108621547">
    <w:abstractNumId w:val="10"/>
  </w:num>
  <w:num w:numId="35" w16cid:durableId="1907715881">
    <w:abstractNumId w:val="25"/>
  </w:num>
  <w:num w:numId="36" w16cid:durableId="14047187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864"/>
    <w:rsid w:val="00006391"/>
    <w:rsid w:val="00010F8D"/>
    <w:rsid w:val="00013F97"/>
    <w:rsid w:val="00016CA9"/>
    <w:rsid w:val="0002305E"/>
    <w:rsid w:val="00023D51"/>
    <w:rsid w:val="000243EC"/>
    <w:rsid w:val="0003328C"/>
    <w:rsid w:val="00034864"/>
    <w:rsid w:val="000416F1"/>
    <w:rsid w:val="000435FC"/>
    <w:rsid w:val="0005373D"/>
    <w:rsid w:val="00054569"/>
    <w:rsid w:val="00060430"/>
    <w:rsid w:val="000656B1"/>
    <w:rsid w:val="000750CD"/>
    <w:rsid w:val="00080513"/>
    <w:rsid w:val="000917CB"/>
    <w:rsid w:val="00093556"/>
    <w:rsid w:val="00094146"/>
    <w:rsid w:val="00096A2B"/>
    <w:rsid w:val="000A4591"/>
    <w:rsid w:val="000A6F96"/>
    <w:rsid w:val="000A7D06"/>
    <w:rsid w:val="000B1F74"/>
    <w:rsid w:val="000B4EE3"/>
    <w:rsid w:val="000B7AD7"/>
    <w:rsid w:val="000C5F1F"/>
    <w:rsid w:val="000E2233"/>
    <w:rsid w:val="000E52CA"/>
    <w:rsid w:val="000F0FFD"/>
    <w:rsid w:val="000F7A41"/>
    <w:rsid w:val="00111A1C"/>
    <w:rsid w:val="0011287D"/>
    <w:rsid w:val="00113B6B"/>
    <w:rsid w:val="0012144A"/>
    <w:rsid w:val="00122779"/>
    <w:rsid w:val="00130336"/>
    <w:rsid w:val="00134EA0"/>
    <w:rsid w:val="00136967"/>
    <w:rsid w:val="00136DD1"/>
    <w:rsid w:val="00154E79"/>
    <w:rsid w:val="0016613C"/>
    <w:rsid w:val="00167358"/>
    <w:rsid w:val="0018329F"/>
    <w:rsid w:val="001914AC"/>
    <w:rsid w:val="001955EA"/>
    <w:rsid w:val="0019642B"/>
    <w:rsid w:val="001A1764"/>
    <w:rsid w:val="001B22F5"/>
    <w:rsid w:val="001C1EDD"/>
    <w:rsid w:val="001C5F1F"/>
    <w:rsid w:val="001E0464"/>
    <w:rsid w:val="001E10B3"/>
    <w:rsid w:val="001E149D"/>
    <w:rsid w:val="001E5B48"/>
    <w:rsid w:val="001F5123"/>
    <w:rsid w:val="00212541"/>
    <w:rsid w:val="00215CCD"/>
    <w:rsid w:val="0021799B"/>
    <w:rsid w:val="00226233"/>
    <w:rsid w:val="0024033B"/>
    <w:rsid w:val="002624F4"/>
    <w:rsid w:val="002721F9"/>
    <w:rsid w:val="00273D4C"/>
    <w:rsid w:val="00277A27"/>
    <w:rsid w:val="002805E5"/>
    <w:rsid w:val="002807F1"/>
    <w:rsid w:val="002836E9"/>
    <w:rsid w:val="002B2BDE"/>
    <w:rsid w:val="002B3C80"/>
    <w:rsid w:val="002B41DB"/>
    <w:rsid w:val="002B7F2F"/>
    <w:rsid w:val="002C08FC"/>
    <w:rsid w:val="002C0970"/>
    <w:rsid w:val="002D20D6"/>
    <w:rsid w:val="002D36A2"/>
    <w:rsid w:val="002E5B06"/>
    <w:rsid w:val="002F0249"/>
    <w:rsid w:val="002F7ED0"/>
    <w:rsid w:val="00305EE9"/>
    <w:rsid w:val="0030770D"/>
    <w:rsid w:val="00320F15"/>
    <w:rsid w:val="00321E20"/>
    <w:rsid w:val="00333BA5"/>
    <w:rsid w:val="003360D0"/>
    <w:rsid w:val="003372E5"/>
    <w:rsid w:val="00341C0A"/>
    <w:rsid w:val="00343518"/>
    <w:rsid w:val="00346142"/>
    <w:rsid w:val="00355FCA"/>
    <w:rsid w:val="00360BA6"/>
    <w:rsid w:val="00370295"/>
    <w:rsid w:val="003703EC"/>
    <w:rsid w:val="0037094C"/>
    <w:rsid w:val="00371F8D"/>
    <w:rsid w:val="00375626"/>
    <w:rsid w:val="00395D97"/>
    <w:rsid w:val="003A4848"/>
    <w:rsid w:val="003A6641"/>
    <w:rsid w:val="003B2FA2"/>
    <w:rsid w:val="003C6027"/>
    <w:rsid w:val="003D056C"/>
    <w:rsid w:val="003D656F"/>
    <w:rsid w:val="003D719B"/>
    <w:rsid w:val="003D7C71"/>
    <w:rsid w:val="003E0E33"/>
    <w:rsid w:val="003E25A7"/>
    <w:rsid w:val="00402C3F"/>
    <w:rsid w:val="00407360"/>
    <w:rsid w:val="004134BF"/>
    <w:rsid w:val="00420E24"/>
    <w:rsid w:val="00422080"/>
    <w:rsid w:val="00423212"/>
    <w:rsid w:val="0043647B"/>
    <w:rsid w:val="004443F3"/>
    <w:rsid w:val="00450F03"/>
    <w:rsid w:val="0045705F"/>
    <w:rsid w:val="0048281F"/>
    <w:rsid w:val="00483399"/>
    <w:rsid w:val="00484E17"/>
    <w:rsid w:val="00485587"/>
    <w:rsid w:val="00492A07"/>
    <w:rsid w:val="004931A3"/>
    <w:rsid w:val="004A61D6"/>
    <w:rsid w:val="004A7C24"/>
    <w:rsid w:val="004B0095"/>
    <w:rsid w:val="004C1D90"/>
    <w:rsid w:val="004C2A15"/>
    <w:rsid w:val="004C424D"/>
    <w:rsid w:val="004C4A42"/>
    <w:rsid w:val="004C4C58"/>
    <w:rsid w:val="004D2A11"/>
    <w:rsid w:val="004D5817"/>
    <w:rsid w:val="004D598D"/>
    <w:rsid w:val="004E205B"/>
    <w:rsid w:val="004E294D"/>
    <w:rsid w:val="004E2C3E"/>
    <w:rsid w:val="004F192E"/>
    <w:rsid w:val="00500F4E"/>
    <w:rsid w:val="005061E9"/>
    <w:rsid w:val="0050697D"/>
    <w:rsid w:val="00514BB8"/>
    <w:rsid w:val="005207A9"/>
    <w:rsid w:val="00522641"/>
    <w:rsid w:val="005230B5"/>
    <w:rsid w:val="00525981"/>
    <w:rsid w:val="00531B09"/>
    <w:rsid w:val="00535E68"/>
    <w:rsid w:val="005377FC"/>
    <w:rsid w:val="005411FF"/>
    <w:rsid w:val="00543475"/>
    <w:rsid w:val="005460B9"/>
    <w:rsid w:val="00552A69"/>
    <w:rsid w:val="00582C22"/>
    <w:rsid w:val="005904F0"/>
    <w:rsid w:val="005A00CD"/>
    <w:rsid w:val="005A0B38"/>
    <w:rsid w:val="005B342B"/>
    <w:rsid w:val="005B6E75"/>
    <w:rsid w:val="005C0EA0"/>
    <w:rsid w:val="005C2DBC"/>
    <w:rsid w:val="005D2ABB"/>
    <w:rsid w:val="005E177E"/>
    <w:rsid w:val="005E3AE8"/>
    <w:rsid w:val="005F348A"/>
    <w:rsid w:val="005F4CF8"/>
    <w:rsid w:val="005F63CD"/>
    <w:rsid w:val="0062103C"/>
    <w:rsid w:val="00636458"/>
    <w:rsid w:val="00636F5C"/>
    <w:rsid w:val="0064125C"/>
    <w:rsid w:val="00652DE7"/>
    <w:rsid w:val="0065405B"/>
    <w:rsid w:val="00665278"/>
    <w:rsid w:val="00665C71"/>
    <w:rsid w:val="00682BE2"/>
    <w:rsid w:val="00687B18"/>
    <w:rsid w:val="0069276B"/>
    <w:rsid w:val="006C3696"/>
    <w:rsid w:val="006E3A89"/>
    <w:rsid w:val="006E6310"/>
    <w:rsid w:val="006F09B5"/>
    <w:rsid w:val="006F3296"/>
    <w:rsid w:val="007031B8"/>
    <w:rsid w:val="007044B1"/>
    <w:rsid w:val="00706AE8"/>
    <w:rsid w:val="00716EBD"/>
    <w:rsid w:val="007177B2"/>
    <w:rsid w:val="00720DCB"/>
    <w:rsid w:val="0072613C"/>
    <w:rsid w:val="007303EE"/>
    <w:rsid w:val="00742DD0"/>
    <w:rsid w:val="0074542D"/>
    <w:rsid w:val="00745CF3"/>
    <w:rsid w:val="007478CB"/>
    <w:rsid w:val="00750AF1"/>
    <w:rsid w:val="00750FD8"/>
    <w:rsid w:val="00752DE6"/>
    <w:rsid w:val="007561D8"/>
    <w:rsid w:val="00757185"/>
    <w:rsid w:val="00761E1B"/>
    <w:rsid w:val="007648A4"/>
    <w:rsid w:val="007675BE"/>
    <w:rsid w:val="007729BF"/>
    <w:rsid w:val="007742E8"/>
    <w:rsid w:val="00780C16"/>
    <w:rsid w:val="0078304E"/>
    <w:rsid w:val="007930EA"/>
    <w:rsid w:val="00793D32"/>
    <w:rsid w:val="0079537A"/>
    <w:rsid w:val="007A2DE3"/>
    <w:rsid w:val="007B7AB9"/>
    <w:rsid w:val="007C410B"/>
    <w:rsid w:val="007C5195"/>
    <w:rsid w:val="007D11E3"/>
    <w:rsid w:val="007E34C8"/>
    <w:rsid w:val="007E4709"/>
    <w:rsid w:val="007E72B2"/>
    <w:rsid w:val="007F160A"/>
    <w:rsid w:val="007F66D2"/>
    <w:rsid w:val="008012FF"/>
    <w:rsid w:val="00801F86"/>
    <w:rsid w:val="00803125"/>
    <w:rsid w:val="00803B7E"/>
    <w:rsid w:val="00804FC3"/>
    <w:rsid w:val="0081702E"/>
    <w:rsid w:val="00825065"/>
    <w:rsid w:val="0083099A"/>
    <w:rsid w:val="0083455C"/>
    <w:rsid w:val="00840107"/>
    <w:rsid w:val="008418ED"/>
    <w:rsid w:val="00850625"/>
    <w:rsid w:val="008603A6"/>
    <w:rsid w:val="0086434B"/>
    <w:rsid w:val="008702AA"/>
    <w:rsid w:val="008748BD"/>
    <w:rsid w:val="00877308"/>
    <w:rsid w:val="00877BAF"/>
    <w:rsid w:val="008805F2"/>
    <w:rsid w:val="00880E7F"/>
    <w:rsid w:val="008870C0"/>
    <w:rsid w:val="008873BD"/>
    <w:rsid w:val="00895EEB"/>
    <w:rsid w:val="008971E6"/>
    <w:rsid w:val="008A1B18"/>
    <w:rsid w:val="008A2A74"/>
    <w:rsid w:val="008A5BFB"/>
    <w:rsid w:val="008B1353"/>
    <w:rsid w:val="008B40DB"/>
    <w:rsid w:val="008B6DB1"/>
    <w:rsid w:val="008B7CC6"/>
    <w:rsid w:val="008C08B5"/>
    <w:rsid w:val="008C2418"/>
    <w:rsid w:val="008D27F6"/>
    <w:rsid w:val="008D6298"/>
    <w:rsid w:val="008E4D2D"/>
    <w:rsid w:val="008F2E2C"/>
    <w:rsid w:val="00903B07"/>
    <w:rsid w:val="00907C8C"/>
    <w:rsid w:val="0091084D"/>
    <w:rsid w:val="00911976"/>
    <w:rsid w:val="00912AD3"/>
    <w:rsid w:val="00914933"/>
    <w:rsid w:val="00917B71"/>
    <w:rsid w:val="0092310E"/>
    <w:rsid w:val="009232C2"/>
    <w:rsid w:val="0092415A"/>
    <w:rsid w:val="009253E8"/>
    <w:rsid w:val="0092704C"/>
    <w:rsid w:val="00930C8E"/>
    <w:rsid w:val="00931588"/>
    <w:rsid w:val="00934457"/>
    <w:rsid w:val="00940830"/>
    <w:rsid w:val="009410A0"/>
    <w:rsid w:val="00942058"/>
    <w:rsid w:val="009423D0"/>
    <w:rsid w:val="00944988"/>
    <w:rsid w:val="00947AEA"/>
    <w:rsid w:val="009630C0"/>
    <w:rsid w:val="0096348F"/>
    <w:rsid w:val="009636A7"/>
    <w:rsid w:val="009665AC"/>
    <w:rsid w:val="00970C2E"/>
    <w:rsid w:val="00972956"/>
    <w:rsid w:val="009773C0"/>
    <w:rsid w:val="0098764C"/>
    <w:rsid w:val="009926B1"/>
    <w:rsid w:val="0099374B"/>
    <w:rsid w:val="009A12A1"/>
    <w:rsid w:val="009A4261"/>
    <w:rsid w:val="009A442F"/>
    <w:rsid w:val="009A46A7"/>
    <w:rsid w:val="009A689F"/>
    <w:rsid w:val="009B3CDA"/>
    <w:rsid w:val="009B4120"/>
    <w:rsid w:val="009C19AD"/>
    <w:rsid w:val="009C5DA3"/>
    <w:rsid w:val="009C7245"/>
    <w:rsid w:val="009D1771"/>
    <w:rsid w:val="009D1974"/>
    <w:rsid w:val="009D3464"/>
    <w:rsid w:val="009D7D52"/>
    <w:rsid w:val="009E235C"/>
    <w:rsid w:val="009F28A3"/>
    <w:rsid w:val="009F6A3B"/>
    <w:rsid w:val="00A023DC"/>
    <w:rsid w:val="00A03045"/>
    <w:rsid w:val="00A0643E"/>
    <w:rsid w:val="00A15E29"/>
    <w:rsid w:val="00A27FF9"/>
    <w:rsid w:val="00A40751"/>
    <w:rsid w:val="00A4356D"/>
    <w:rsid w:val="00A44307"/>
    <w:rsid w:val="00A55979"/>
    <w:rsid w:val="00A56D50"/>
    <w:rsid w:val="00A65297"/>
    <w:rsid w:val="00A72174"/>
    <w:rsid w:val="00A72284"/>
    <w:rsid w:val="00A743EE"/>
    <w:rsid w:val="00A814B8"/>
    <w:rsid w:val="00A81AB8"/>
    <w:rsid w:val="00A8510A"/>
    <w:rsid w:val="00A9098A"/>
    <w:rsid w:val="00A92C57"/>
    <w:rsid w:val="00A96874"/>
    <w:rsid w:val="00AA00D6"/>
    <w:rsid w:val="00AA3AF3"/>
    <w:rsid w:val="00AA50FD"/>
    <w:rsid w:val="00AB11DC"/>
    <w:rsid w:val="00AB7247"/>
    <w:rsid w:val="00AC5F7B"/>
    <w:rsid w:val="00AC6AEC"/>
    <w:rsid w:val="00AD3A60"/>
    <w:rsid w:val="00AE4948"/>
    <w:rsid w:val="00AE5FF1"/>
    <w:rsid w:val="00AE7F75"/>
    <w:rsid w:val="00B0363E"/>
    <w:rsid w:val="00B06039"/>
    <w:rsid w:val="00B10A0F"/>
    <w:rsid w:val="00B116F8"/>
    <w:rsid w:val="00B11A29"/>
    <w:rsid w:val="00B1209A"/>
    <w:rsid w:val="00B14529"/>
    <w:rsid w:val="00B252B5"/>
    <w:rsid w:val="00B30154"/>
    <w:rsid w:val="00B3116B"/>
    <w:rsid w:val="00B33421"/>
    <w:rsid w:val="00B37D26"/>
    <w:rsid w:val="00B46147"/>
    <w:rsid w:val="00B57EBA"/>
    <w:rsid w:val="00B6778E"/>
    <w:rsid w:val="00B70786"/>
    <w:rsid w:val="00B71142"/>
    <w:rsid w:val="00B728D6"/>
    <w:rsid w:val="00B73D1C"/>
    <w:rsid w:val="00B807C7"/>
    <w:rsid w:val="00B843AC"/>
    <w:rsid w:val="00B85E20"/>
    <w:rsid w:val="00B8696E"/>
    <w:rsid w:val="00B932F6"/>
    <w:rsid w:val="00BA15CE"/>
    <w:rsid w:val="00BB498A"/>
    <w:rsid w:val="00BC6CE5"/>
    <w:rsid w:val="00BD3EC4"/>
    <w:rsid w:val="00BD5367"/>
    <w:rsid w:val="00BD6047"/>
    <w:rsid w:val="00BD71EE"/>
    <w:rsid w:val="00BE26AC"/>
    <w:rsid w:val="00BE7AE0"/>
    <w:rsid w:val="00BF0F17"/>
    <w:rsid w:val="00BF1D7F"/>
    <w:rsid w:val="00C07EA5"/>
    <w:rsid w:val="00C30560"/>
    <w:rsid w:val="00C338A5"/>
    <w:rsid w:val="00C3536B"/>
    <w:rsid w:val="00C372AB"/>
    <w:rsid w:val="00C37B9E"/>
    <w:rsid w:val="00C43D54"/>
    <w:rsid w:val="00C476CE"/>
    <w:rsid w:val="00C606E7"/>
    <w:rsid w:val="00C615DE"/>
    <w:rsid w:val="00C61E94"/>
    <w:rsid w:val="00C66A2E"/>
    <w:rsid w:val="00C66FAF"/>
    <w:rsid w:val="00C737FE"/>
    <w:rsid w:val="00C740E3"/>
    <w:rsid w:val="00C8500E"/>
    <w:rsid w:val="00C87953"/>
    <w:rsid w:val="00C918FD"/>
    <w:rsid w:val="00C9461D"/>
    <w:rsid w:val="00C95C9C"/>
    <w:rsid w:val="00CA288D"/>
    <w:rsid w:val="00CB0BED"/>
    <w:rsid w:val="00CB2118"/>
    <w:rsid w:val="00CB3877"/>
    <w:rsid w:val="00CB3D38"/>
    <w:rsid w:val="00CB75A5"/>
    <w:rsid w:val="00CC1A89"/>
    <w:rsid w:val="00CC7665"/>
    <w:rsid w:val="00CD0932"/>
    <w:rsid w:val="00CD0B4D"/>
    <w:rsid w:val="00CD28B2"/>
    <w:rsid w:val="00CD627C"/>
    <w:rsid w:val="00CD640E"/>
    <w:rsid w:val="00CE19F0"/>
    <w:rsid w:val="00CF0184"/>
    <w:rsid w:val="00CF0532"/>
    <w:rsid w:val="00CF0EB1"/>
    <w:rsid w:val="00CF5742"/>
    <w:rsid w:val="00D06C82"/>
    <w:rsid w:val="00D16D36"/>
    <w:rsid w:val="00D21708"/>
    <w:rsid w:val="00D248A7"/>
    <w:rsid w:val="00D31972"/>
    <w:rsid w:val="00D44EE2"/>
    <w:rsid w:val="00D458B3"/>
    <w:rsid w:val="00D45FD8"/>
    <w:rsid w:val="00D50801"/>
    <w:rsid w:val="00D52507"/>
    <w:rsid w:val="00D53D7B"/>
    <w:rsid w:val="00D55825"/>
    <w:rsid w:val="00D57375"/>
    <w:rsid w:val="00D658DB"/>
    <w:rsid w:val="00D73F81"/>
    <w:rsid w:val="00D819DE"/>
    <w:rsid w:val="00D906DD"/>
    <w:rsid w:val="00D92973"/>
    <w:rsid w:val="00D9433A"/>
    <w:rsid w:val="00DA0E21"/>
    <w:rsid w:val="00DA0EB6"/>
    <w:rsid w:val="00DA2BC2"/>
    <w:rsid w:val="00DA321C"/>
    <w:rsid w:val="00DA58C1"/>
    <w:rsid w:val="00DA711A"/>
    <w:rsid w:val="00DD18A1"/>
    <w:rsid w:val="00DD21DD"/>
    <w:rsid w:val="00DE65C6"/>
    <w:rsid w:val="00E112CB"/>
    <w:rsid w:val="00E24F3F"/>
    <w:rsid w:val="00E357B9"/>
    <w:rsid w:val="00E42223"/>
    <w:rsid w:val="00E45CC1"/>
    <w:rsid w:val="00E52A94"/>
    <w:rsid w:val="00E631E6"/>
    <w:rsid w:val="00E67DE9"/>
    <w:rsid w:val="00E7631C"/>
    <w:rsid w:val="00E90239"/>
    <w:rsid w:val="00E915C1"/>
    <w:rsid w:val="00EA2F70"/>
    <w:rsid w:val="00EA7183"/>
    <w:rsid w:val="00EB18E4"/>
    <w:rsid w:val="00EB4E08"/>
    <w:rsid w:val="00EB4F03"/>
    <w:rsid w:val="00ED7245"/>
    <w:rsid w:val="00EE0C96"/>
    <w:rsid w:val="00EE5353"/>
    <w:rsid w:val="00EF5967"/>
    <w:rsid w:val="00F116B0"/>
    <w:rsid w:val="00F13515"/>
    <w:rsid w:val="00F149FA"/>
    <w:rsid w:val="00F21149"/>
    <w:rsid w:val="00F22B43"/>
    <w:rsid w:val="00F23C87"/>
    <w:rsid w:val="00F2421C"/>
    <w:rsid w:val="00F257EF"/>
    <w:rsid w:val="00F27026"/>
    <w:rsid w:val="00F277D1"/>
    <w:rsid w:val="00F32AEA"/>
    <w:rsid w:val="00F33C3E"/>
    <w:rsid w:val="00F50212"/>
    <w:rsid w:val="00F5242C"/>
    <w:rsid w:val="00F64449"/>
    <w:rsid w:val="00F65EA2"/>
    <w:rsid w:val="00F80041"/>
    <w:rsid w:val="00F85F9B"/>
    <w:rsid w:val="00F87CB8"/>
    <w:rsid w:val="00F91474"/>
    <w:rsid w:val="00F9714B"/>
    <w:rsid w:val="00FA7519"/>
    <w:rsid w:val="00FA7F84"/>
    <w:rsid w:val="00FC38BF"/>
    <w:rsid w:val="00FD0308"/>
    <w:rsid w:val="00FD0CF4"/>
    <w:rsid w:val="00FD58FE"/>
    <w:rsid w:val="00FD6E8F"/>
    <w:rsid w:val="00FF0101"/>
    <w:rsid w:val="00FF0AB0"/>
    <w:rsid w:val="00FF0F55"/>
    <w:rsid w:val="2B61F7F8"/>
    <w:rsid w:val="3910860E"/>
    <w:rsid w:val="73C68A7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F9BAC"/>
  <w15:docId w15:val="{D0936B68-CAA7-4F7A-8BFF-9AD10A02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64"/>
    <w:rPr>
      <w:rFonts w:ascii="Calibri" w:eastAsia="Calibri" w:hAnsi="Calibri" w:cs="Times New Roman"/>
    </w:rPr>
  </w:style>
  <w:style w:type="paragraph" w:styleId="Heading1">
    <w:name w:val="heading 1"/>
    <w:basedOn w:val="Normal"/>
    <w:next w:val="Normal"/>
    <w:link w:val="Heading1Char"/>
    <w:uiPriority w:val="9"/>
    <w:qFormat/>
    <w:rsid w:val="00931588"/>
    <w:pPr>
      <w:keepNext/>
      <w:keepLines/>
      <w:numPr>
        <w:numId w:val="17"/>
      </w:numPr>
      <w:spacing w:before="120" w:after="120" w:line="240" w:lineRule="auto"/>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113B6B"/>
    <w:pPr>
      <w:keepNext/>
      <w:keepLines/>
      <w:numPr>
        <w:ilvl w:val="1"/>
        <w:numId w:val="17"/>
      </w:numPr>
      <w:spacing w:before="360" w:after="80"/>
      <w:contextualSpacing/>
      <w:outlineLvl w:val="1"/>
    </w:pPr>
    <w:rPr>
      <w:rFonts w:asciiTheme="minorHAnsi" w:eastAsiaTheme="majorEastAsia" w:hAnsiTheme="minorHAnsi" w:cstheme="majorBidi"/>
      <w:b/>
      <w:bCs/>
      <w:sz w:val="24"/>
      <w:szCs w:val="26"/>
    </w:rPr>
  </w:style>
  <w:style w:type="paragraph" w:styleId="Heading3">
    <w:name w:val="heading 3"/>
    <w:basedOn w:val="Normal"/>
    <w:next w:val="Normal"/>
    <w:link w:val="Heading3Char"/>
    <w:uiPriority w:val="9"/>
    <w:unhideWhenUsed/>
    <w:qFormat/>
    <w:rsid w:val="00931588"/>
    <w:pPr>
      <w:keepNext/>
      <w:keepLines/>
      <w:numPr>
        <w:ilvl w:val="2"/>
        <w:numId w:val="17"/>
      </w:numPr>
      <w:spacing w:before="120" w:after="80"/>
      <w:contextualSpacing/>
      <w:outlineLvl w:val="2"/>
    </w:pPr>
    <w:rPr>
      <w:rFonts w:eastAsiaTheme="majorEastAsia" w:cstheme="majorBidi"/>
      <w:b/>
      <w:bCs/>
      <w:i/>
      <w:sz w:val="24"/>
    </w:rPr>
  </w:style>
  <w:style w:type="paragraph" w:styleId="Heading4">
    <w:name w:val="heading 4"/>
    <w:basedOn w:val="Normal"/>
    <w:next w:val="Normal"/>
    <w:link w:val="Heading4Char"/>
    <w:uiPriority w:val="9"/>
    <w:unhideWhenUsed/>
    <w:qFormat/>
    <w:rsid w:val="00931588"/>
    <w:pPr>
      <w:keepNext/>
      <w:keepLines/>
      <w:numPr>
        <w:ilvl w:val="3"/>
        <w:numId w:val="17"/>
      </w:numPr>
      <w:spacing w:before="200" w:after="0"/>
      <w:contextualSpacing/>
      <w:outlineLvl w:val="3"/>
    </w:pPr>
    <w:rPr>
      <w:rFonts w:eastAsiaTheme="majorEastAsia" w:cstheme="majorBidi"/>
      <w:i/>
      <w:i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64"/>
    <w:rPr>
      <w:rFonts w:ascii="Calibri" w:eastAsia="Calibri" w:hAnsi="Calibri" w:cs="Times New Roman"/>
    </w:rPr>
  </w:style>
  <w:style w:type="paragraph" w:styleId="Footer">
    <w:name w:val="footer"/>
    <w:basedOn w:val="Normal"/>
    <w:link w:val="FooterChar"/>
    <w:uiPriority w:val="99"/>
    <w:unhideWhenUsed/>
    <w:rsid w:val="00034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864"/>
    <w:rPr>
      <w:rFonts w:ascii="Calibri" w:eastAsia="Calibri" w:hAnsi="Calibri" w:cs="Times New Roman"/>
    </w:rPr>
  </w:style>
  <w:style w:type="table" w:styleId="TableGrid">
    <w:name w:val="Table Grid"/>
    <w:basedOn w:val="TableNormal"/>
    <w:uiPriority w:val="59"/>
    <w:rsid w:val="0003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1588"/>
    <w:rPr>
      <w:rFonts w:ascii="Calibri" w:eastAsiaTheme="majorEastAsia" w:hAnsi="Calibri" w:cstheme="majorBidi"/>
      <w:b/>
      <w:bCs/>
      <w:sz w:val="36"/>
      <w:szCs w:val="28"/>
    </w:rPr>
  </w:style>
  <w:style w:type="paragraph" w:styleId="ListParagraph">
    <w:name w:val="List Paragraph"/>
    <w:basedOn w:val="Normal"/>
    <w:uiPriority w:val="34"/>
    <w:qFormat/>
    <w:rsid w:val="009665AC"/>
    <w:pPr>
      <w:ind w:left="720"/>
      <w:contextualSpacing/>
    </w:pPr>
  </w:style>
  <w:style w:type="character" w:customStyle="1" w:styleId="Heading2Char">
    <w:name w:val="Heading 2 Char"/>
    <w:basedOn w:val="DefaultParagraphFont"/>
    <w:link w:val="Heading2"/>
    <w:uiPriority w:val="9"/>
    <w:rsid w:val="00113B6B"/>
    <w:rPr>
      <w:rFonts w:eastAsiaTheme="majorEastAsia" w:cstheme="majorBidi"/>
      <w:b/>
      <w:bCs/>
      <w:sz w:val="24"/>
      <w:szCs w:val="26"/>
    </w:rPr>
  </w:style>
  <w:style w:type="paragraph" w:styleId="BalloonText">
    <w:name w:val="Balloon Text"/>
    <w:basedOn w:val="Normal"/>
    <w:link w:val="BalloonTextChar"/>
    <w:uiPriority w:val="99"/>
    <w:semiHidden/>
    <w:unhideWhenUsed/>
    <w:rsid w:val="00963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0C0"/>
    <w:rPr>
      <w:rFonts w:ascii="Tahoma" w:eastAsia="Calibri" w:hAnsi="Tahoma" w:cs="Tahoma"/>
      <w:sz w:val="16"/>
      <w:szCs w:val="16"/>
    </w:rPr>
  </w:style>
  <w:style w:type="character" w:customStyle="1" w:styleId="Heading3Char">
    <w:name w:val="Heading 3 Char"/>
    <w:basedOn w:val="DefaultParagraphFont"/>
    <w:link w:val="Heading3"/>
    <w:uiPriority w:val="9"/>
    <w:rsid w:val="00931588"/>
    <w:rPr>
      <w:rFonts w:ascii="Calibri" w:eastAsiaTheme="majorEastAsia" w:hAnsi="Calibri" w:cstheme="majorBidi"/>
      <w:b/>
      <w:bCs/>
      <w:i/>
      <w:sz w:val="24"/>
    </w:rPr>
  </w:style>
  <w:style w:type="character" w:styleId="CommentReference">
    <w:name w:val="annotation reference"/>
    <w:basedOn w:val="DefaultParagraphFont"/>
    <w:uiPriority w:val="99"/>
    <w:semiHidden/>
    <w:unhideWhenUsed/>
    <w:rsid w:val="00944988"/>
    <w:rPr>
      <w:sz w:val="16"/>
      <w:szCs w:val="16"/>
    </w:rPr>
  </w:style>
  <w:style w:type="paragraph" w:styleId="CommentText">
    <w:name w:val="annotation text"/>
    <w:basedOn w:val="Normal"/>
    <w:link w:val="CommentTextChar"/>
    <w:uiPriority w:val="99"/>
    <w:unhideWhenUsed/>
    <w:rsid w:val="00944988"/>
    <w:pPr>
      <w:spacing w:line="240" w:lineRule="auto"/>
    </w:pPr>
    <w:rPr>
      <w:sz w:val="20"/>
      <w:szCs w:val="20"/>
    </w:rPr>
  </w:style>
  <w:style w:type="character" w:customStyle="1" w:styleId="CommentTextChar">
    <w:name w:val="Comment Text Char"/>
    <w:basedOn w:val="DefaultParagraphFont"/>
    <w:link w:val="CommentText"/>
    <w:uiPriority w:val="99"/>
    <w:rsid w:val="0094498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4988"/>
    <w:rPr>
      <w:b/>
      <w:bCs/>
    </w:rPr>
  </w:style>
  <w:style w:type="character" w:customStyle="1" w:styleId="CommentSubjectChar">
    <w:name w:val="Comment Subject Char"/>
    <w:basedOn w:val="CommentTextChar"/>
    <w:link w:val="CommentSubject"/>
    <w:uiPriority w:val="99"/>
    <w:semiHidden/>
    <w:rsid w:val="00944988"/>
    <w:rPr>
      <w:rFonts w:ascii="Calibri" w:eastAsia="Calibri" w:hAnsi="Calibri" w:cs="Times New Roman"/>
      <w:b/>
      <w:bCs/>
      <w:sz w:val="20"/>
      <w:szCs w:val="20"/>
    </w:rPr>
  </w:style>
  <w:style w:type="character" w:customStyle="1" w:styleId="apple-converted-space">
    <w:name w:val="apple-converted-space"/>
    <w:basedOn w:val="DefaultParagraphFont"/>
    <w:rsid w:val="0064125C"/>
  </w:style>
  <w:style w:type="character" w:styleId="Emphasis">
    <w:name w:val="Emphasis"/>
    <w:basedOn w:val="DefaultParagraphFont"/>
    <w:uiPriority w:val="20"/>
    <w:qFormat/>
    <w:rsid w:val="0064125C"/>
    <w:rPr>
      <w:i/>
      <w:iCs/>
    </w:rPr>
  </w:style>
  <w:style w:type="paragraph" w:styleId="Revision">
    <w:name w:val="Revision"/>
    <w:hidden/>
    <w:uiPriority w:val="99"/>
    <w:semiHidden/>
    <w:rsid w:val="002B41DB"/>
    <w:pPr>
      <w:spacing w:after="0" w:line="240" w:lineRule="auto"/>
    </w:pPr>
    <w:rPr>
      <w:rFonts w:ascii="Calibri" w:eastAsia="Calibri" w:hAnsi="Calibri" w:cs="Times New Roman"/>
    </w:rPr>
  </w:style>
  <w:style w:type="numbering" w:customStyle="1" w:styleId="SOPFormat">
    <w:name w:val="SOP Format"/>
    <w:basedOn w:val="NoList"/>
    <w:uiPriority w:val="99"/>
    <w:rsid w:val="00931588"/>
    <w:pPr>
      <w:numPr>
        <w:numId w:val="16"/>
      </w:numPr>
    </w:pPr>
  </w:style>
  <w:style w:type="character" w:customStyle="1" w:styleId="Heading4Char">
    <w:name w:val="Heading 4 Char"/>
    <w:basedOn w:val="DefaultParagraphFont"/>
    <w:link w:val="Heading4"/>
    <w:uiPriority w:val="9"/>
    <w:rsid w:val="00931588"/>
    <w:rPr>
      <w:rFonts w:ascii="Calibri" w:eastAsiaTheme="majorEastAsia" w:hAnsi="Calibri" w:cstheme="majorBidi"/>
      <w:i/>
      <w:iCs/>
      <w:sz w:val="24"/>
      <w:u w:val="single"/>
    </w:rPr>
  </w:style>
  <w:style w:type="table" w:customStyle="1" w:styleId="TableGrid1">
    <w:name w:val="Table Grid1"/>
    <w:basedOn w:val="TableNormal"/>
    <w:next w:val="TableGrid"/>
    <w:uiPriority w:val="59"/>
    <w:rsid w:val="00F13515"/>
    <w:pPr>
      <w:spacing w:after="0" w:line="240" w:lineRule="auto"/>
    </w:pPr>
    <w:rPr>
      <w:rFonts w:ascii="Calibri" w:eastAsia="Calibri" w:hAnsi="Calibri" w:cs="Calibri"/>
      <w:color w:val="00000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135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515"/>
    <w:rPr>
      <w:rFonts w:asciiTheme="majorHAnsi" w:eastAsiaTheme="majorEastAsia" w:hAnsiTheme="majorHAnsi" w:cstheme="majorBidi"/>
      <w:spacing w:val="-10"/>
      <w:kern w:val="28"/>
      <w:sz w:val="56"/>
      <w:szCs w:val="56"/>
    </w:rPr>
  </w:style>
  <w:style w:type="paragraph" w:customStyle="1" w:styleId="Normal1">
    <w:name w:val="Normal1"/>
    <w:rsid w:val="00A9098A"/>
    <w:pPr>
      <w:widowControl w:val="0"/>
      <w:spacing w:after="0" w:line="240" w:lineRule="auto"/>
    </w:pPr>
    <w:rPr>
      <w:rFonts w:ascii="Arial" w:eastAsia="Arial" w:hAnsi="Arial" w:cs="Arial"/>
      <w:color w:val="000000"/>
      <w:sz w:val="24"/>
      <w:szCs w:val="24"/>
    </w:rPr>
  </w:style>
  <w:style w:type="paragraph" w:styleId="BodyText">
    <w:name w:val="Body Text"/>
    <w:basedOn w:val="Normal"/>
    <w:link w:val="BodyTextChar"/>
    <w:uiPriority w:val="1"/>
    <w:qFormat/>
    <w:rsid w:val="00A743EE"/>
    <w:pPr>
      <w:widowControl w:val="0"/>
      <w:spacing w:after="0" w:line="240" w:lineRule="auto"/>
      <w:ind w:left="20"/>
    </w:pPr>
    <w:rPr>
      <w:rFonts w:cstheme="minorBidi"/>
      <w:sz w:val="16"/>
      <w:szCs w:val="16"/>
    </w:rPr>
  </w:style>
  <w:style w:type="character" w:customStyle="1" w:styleId="BodyTextChar">
    <w:name w:val="Body Text Char"/>
    <w:basedOn w:val="DefaultParagraphFont"/>
    <w:link w:val="BodyText"/>
    <w:uiPriority w:val="1"/>
    <w:rsid w:val="00A743EE"/>
    <w:rPr>
      <w:rFonts w:ascii="Calibri" w:eastAsia="Calibri" w:hAnsi="Calibri"/>
      <w:sz w:val="16"/>
      <w:szCs w:val="16"/>
    </w:rPr>
  </w:style>
  <w:style w:type="paragraph" w:customStyle="1" w:styleId="TableParagraph">
    <w:name w:val="Table Paragraph"/>
    <w:basedOn w:val="Normal"/>
    <w:uiPriority w:val="1"/>
    <w:qFormat/>
    <w:rsid w:val="00A743EE"/>
    <w:pPr>
      <w:widowControl w:val="0"/>
      <w:spacing w:after="0" w:line="240" w:lineRule="auto"/>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E67D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DE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67DE9"/>
    <w:rPr>
      <w:vertAlign w:val="superscript"/>
    </w:rPr>
  </w:style>
  <w:style w:type="paragraph" w:styleId="ListNumber">
    <w:name w:val="List Number"/>
    <w:basedOn w:val="Normal"/>
    <w:uiPriority w:val="99"/>
    <w:rsid w:val="00420E24"/>
    <w:pPr>
      <w:tabs>
        <w:tab w:val="num" w:pos="360"/>
      </w:tabs>
      <w:ind w:left="360" w:hanging="360"/>
      <w:contextualSpacing/>
    </w:pPr>
    <w:rPr>
      <w:rFonts w:cs="Calibri"/>
      <w:color w:val="000000"/>
      <w:lang w:eastAsia="zh-TW"/>
    </w:rPr>
  </w:style>
  <w:style w:type="character" w:styleId="Hyperlink">
    <w:name w:val="Hyperlink"/>
    <w:basedOn w:val="DefaultParagraphFont"/>
    <w:uiPriority w:val="99"/>
    <w:unhideWhenUsed/>
    <w:rsid w:val="005D2ABB"/>
    <w:rPr>
      <w:color w:val="0000FF" w:themeColor="hyperlink"/>
      <w:u w:val="single"/>
    </w:rPr>
  </w:style>
  <w:style w:type="table" w:customStyle="1" w:styleId="ListTable4-Accent51">
    <w:name w:val="List Table 4 - Accent 51"/>
    <w:basedOn w:val="TableNormal"/>
    <w:uiPriority w:val="49"/>
    <w:rsid w:val="00B85E2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1">
    <w:name w:val="Unresolved Mention1"/>
    <w:basedOn w:val="DefaultParagraphFont"/>
    <w:uiPriority w:val="99"/>
    <w:unhideWhenUsed/>
    <w:rsid w:val="00D458B3"/>
    <w:rPr>
      <w:color w:val="605E5C"/>
      <w:shd w:val="clear" w:color="auto" w:fill="E1DFDD"/>
    </w:rPr>
  </w:style>
  <w:style w:type="character" w:customStyle="1" w:styleId="Mention1">
    <w:name w:val="Mention1"/>
    <w:basedOn w:val="DefaultParagraphFont"/>
    <w:uiPriority w:val="99"/>
    <w:unhideWhenUsed/>
    <w:rsid w:val="00D458B3"/>
    <w:rPr>
      <w:color w:val="2B579A"/>
      <w:shd w:val="clear" w:color="auto" w:fill="E1DFDD"/>
    </w:rPr>
  </w:style>
  <w:style w:type="character" w:customStyle="1" w:styleId="UnresolvedMention2">
    <w:name w:val="Unresolved Mention2"/>
    <w:basedOn w:val="DefaultParagraphFont"/>
    <w:uiPriority w:val="99"/>
    <w:semiHidden/>
    <w:unhideWhenUsed/>
    <w:rsid w:val="008971E6"/>
    <w:rPr>
      <w:color w:val="605E5C"/>
      <w:shd w:val="clear" w:color="auto" w:fill="E1DFDD"/>
    </w:rPr>
  </w:style>
  <w:style w:type="paragraph" w:styleId="TOCHeading">
    <w:name w:val="TOC Heading"/>
    <w:basedOn w:val="Heading1"/>
    <w:next w:val="Normal"/>
    <w:uiPriority w:val="39"/>
    <w:unhideWhenUsed/>
    <w:qFormat/>
    <w:rsid w:val="00F21149"/>
    <w:pPr>
      <w:numPr>
        <w:numId w:val="0"/>
      </w:numPr>
      <w:spacing w:before="240"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F21149"/>
    <w:pPr>
      <w:spacing w:after="100"/>
    </w:pPr>
  </w:style>
  <w:style w:type="paragraph" w:styleId="TOC2">
    <w:name w:val="toc 2"/>
    <w:basedOn w:val="Normal"/>
    <w:next w:val="Normal"/>
    <w:autoRedefine/>
    <w:uiPriority w:val="39"/>
    <w:unhideWhenUsed/>
    <w:rsid w:val="00F21149"/>
    <w:pPr>
      <w:spacing w:after="100"/>
      <w:ind w:left="220"/>
    </w:pPr>
  </w:style>
  <w:style w:type="paragraph" w:styleId="TOC3">
    <w:name w:val="toc 3"/>
    <w:basedOn w:val="Normal"/>
    <w:next w:val="Normal"/>
    <w:autoRedefine/>
    <w:uiPriority w:val="39"/>
    <w:unhideWhenUsed/>
    <w:rsid w:val="00F211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4656">
      <w:bodyDiv w:val="1"/>
      <w:marLeft w:val="0"/>
      <w:marRight w:val="0"/>
      <w:marTop w:val="0"/>
      <w:marBottom w:val="0"/>
      <w:divBdr>
        <w:top w:val="none" w:sz="0" w:space="0" w:color="auto"/>
        <w:left w:val="none" w:sz="0" w:space="0" w:color="auto"/>
        <w:bottom w:val="none" w:sz="0" w:space="0" w:color="auto"/>
        <w:right w:val="none" w:sz="0" w:space="0" w:color="auto"/>
      </w:divBdr>
    </w:div>
    <w:div w:id="993415504">
      <w:bodyDiv w:val="1"/>
      <w:marLeft w:val="0"/>
      <w:marRight w:val="0"/>
      <w:marTop w:val="0"/>
      <w:marBottom w:val="0"/>
      <w:divBdr>
        <w:top w:val="none" w:sz="0" w:space="0" w:color="auto"/>
        <w:left w:val="none" w:sz="0" w:space="0" w:color="auto"/>
        <w:bottom w:val="none" w:sz="0" w:space="0" w:color="auto"/>
        <w:right w:val="none" w:sz="0" w:space="0" w:color="auto"/>
      </w:divBdr>
    </w:div>
    <w:div w:id="1136874986">
      <w:bodyDiv w:val="1"/>
      <w:marLeft w:val="0"/>
      <w:marRight w:val="0"/>
      <w:marTop w:val="0"/>
      <w:marBottom w:val="0"/>
      <w:divBdr>
        <w:top w:val="none" w:sz="0" w:space="0" w:color="auto"/>
        <w:left w:val="none" w:sz="0" w:space="0" w:color="auto"/>
        <w:bottom w:val="none" w:sz="0" w:space="0" w:color="auto"/>
        <w:right w:val="none" w:sz="0" w:space="0" w:color="auto"/>
      </w:divBdr>
    </w:div>
    <w:div w:id="1625580320">
      <w:bodyDiv w:val="1"/>
      <w:marLeft w:val="0"/>
      <w:marRight w:val="0"/>
      <w:marTop w:val="0"/>
      <w:marBottom w:val="0"/>
      <w:divBdr>
        <w:top w:val="none" w:sz="0" w:space="0" w:color="auto"/>
        <w:left w:val="none" w:sz="0" w:space="0" w:color="auto"/>
        <w:bottom w:val="none" w:sz="0" w:space="0" w:color="auto"/>
        <w:right w:val="none" w:sz="0" w:space="0" w:color="auto"/>
      </w:divBdr>
    </w:div>
    <w:div w:id="1868787702">
      <w:bodyDiv w:val="1"/>
      <w:marLeft w:val="0"/>
      <w:marRight w:val="0"/>
      <w:marTop w:val="0"/>
      <w:marBottom w:val="0"/>
      <w:divBdr>
        <w:top w:val="none" w:sz="0" w:space="0" w:color="auto"/>
        <w:left w:val="none" w:sz="0" w:space="0" w:color="auto"/>
        <w:bottom w:val="none" w:sz="0" w:space="0" w:color="auto"/>
        <w:right w:val="none" w:sz="0" w:space="0" w:color="auto"/>
      </w:divBdr>
    </w:div>
    <w:div w:id="20758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who.int/iris/bitstream/10665/67356/1/WHO_CDS_TB_2002.30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SharedWithUsers xmlns="d1dc8e9d-c2d7-4f1e-a8b8-6d152e0fdc8f">
      <UserInfo>
        <DisplayName/>
        <AccountId xsi:nil="true"/>
        <AccountType/>
      </UserInfo>
    </SharedWithUsers>
    <MediaLengthInSeconds xmlns="57d60e0b-bbcc-4e8c-ae17-1bc07bf7b2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3C72F-7323-4DE1-B86B-9D4A3F21E7CD}"/>
</file>

<file path=customXml/itemProps2.xml><?xml version="1.0" encoding="utf-8"?>
<ds:datastoreItem xmlns:ds="http://schemas.openxmlformats.org/officeDocument/2006/customXml" ds:itemID="{1E23BB6F-8B18-4379-A578-604A95940FD9}">
  <ds:schemaRefs>
    <ds:schemaRef ds:uri="http://schemas.microsoft.com/sharepoint/v3/contenttype/forms"/>
  </ds:schemaRefs>
</ds:datastoreItem>
</file>

<file path=customXml/itemProps3.xml><?xml version="1.0" encoding="utf-8"?>
<ds:datastoreItem xmlns:ds="http://schemas.openxmlformats.org/officeDocument/2006/customXml" ds:itemID="{80511B83-E34D-43EC-AB0F-370621FA8E10}">
  <ds:schemaRefs>
    <ds:schemaRef ds:uri="http://schemas.microsoft.com/office/2006/documentManagement/types"/>
    <ds:schemaRef ds:uri="http://purl.org/dc/elements/1.1/"/>
    <ds:schemaRef ds:uri="http://purl.org/dc/terms/"/>
    <ds:schemaRef ds:uri="20c1abfa-485b-41c9-a329-38772ca1fd48"/>
    <ds:schemaRef ds:uri="http://purl.org/dc/dcmitype/"/>
    <ds:schemaRef ds:uri="http://schemas.microsoft.com/office/infopath/2007/PartnerControls"/>
    <ds:schemaRef ds:uri="http://schemas.openxmlformats.org/package/2006/metadata/core-properties"/>
    <ds:schemaRef ds:uri="57d60e0b-bbcc-4e8c-ae17-1bc07bf7b2a6"/>
    <ds:schemaRef ds:uri="d1dc8e9d-c2d7-4f1e-a8b8-6d152e0fdc8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8D7B1C1-F78C-46CA-A3D7-AD0C0170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4221</Words>
  <Characters>24061</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28226</CharactersWithSpaces>
  <SharedDoc>false</SharedDoc>
  <HLinks>
    <vt:vector size="12" baseType="variant">
      <vt:variant>
        <vt:i4>8126485</vt:i4>
      </vt:variant>
      <vt:variant>
        <vt:i4>0</vt:i4>
      </vt:variant>
      <vt:variant>
        <vt:i4>0</vt:i4>
      </vt:variant>
      <vt:variant>
        <vt:i4>5</vt:i4>
      </vt:variant>
      <vt:variant>
        <vt:lpwstr>http://apps.who.int/iris/bitstream/10665/67356/1/WHO_CDS_TB_2002.300.pdf</vt:lpwstr>
      </vt:variant>
      <vt:variant>
        <vt:lpwstr/>
      </vt:variant>
      <vt:variant>
        <vt:i4>3080205</vt:i4>
      </vt:variant>
      <vt:variant>
        <vt:i4>0</vt:i4>
      </vt:variant>
      <vt:variant>
        <vt:i4>0</vt:i4>
      </vt:variant>
      <vt:variant>
        <vt:i4>5</vt:i4>
      </vt:variant>
      <vt:variant>
        <vt:lpwstr>mailto:Laura.Pichon@paris.msf.org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Chang, Eva</dc:creator>
  <cp:lastModifiedBy>Marhaba Chaudhry</cp:lastModifiedBy>
  <cp:revision>7</cp:revision>
  <cp:lastPrinted>2016-08-31T17:50:00Z</cp:lastPrinted>
  <dcterms:created xsi:type="dcterms:W3CDTF">2019-12-19T14:25:00Z</dcterms:created>
  <dcterms:modified xsi:type="dcterms:W3CDTF">2024-09-02T14:36:00Z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TBStructureCentral">
    <vt:lpwstr>8;#N/A|603d074b-cb2d-4568-af2a-4cd630184ab0</vt:lpwstr>
  </property>
  <property fmtid="{D5CDD505-2E9C-101B-9397-08002B2CF9AE}" pid="3" name="ContentTypeId">
    <vt:lpwstr>0x0101008A725E7E39776844B9FB9FC2FCA9A30F</vt:lpwstr>
  </property>
  <property fmtid="{D5CDD505-2E9C-101B-9397-08002B2CF9AE}" pid="4" name="endTBStructureCountries">
    <vt:lpwstr>6;#N/A|7a4f8743-7bab-4f6a-8a0d-b24596741886</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Order">
    <vt:r8>727000</vt:r8>
  </property>
  <property fmtid="{D5CDD505-2E9C-101B-9397-08002B2CF9AE}" pid="10" name="endTBClinicalTrial">
    <vt:lpwstr>endTB</vt:lpwstr>
  </property>
  <property fmtid="{D5CDD505-2E9C-101B-9397-08002B2CF9AE}" pid="11" name="endTBCountry">
    <vt:lpwstr>Central team</vt:lpwstr>
  </property>
  <property fmtid="{D5CDD505-2E9C-101B-9397-08002B2CF9AE}" pid="12" name="endTBStatusDocument">
    <vt:lpwstr>Working</vt:lpwstr>
  </property>
  <property fmtid="{D5CDD505-2E9C-101B-9397-08002B2CF9AE}" pid="13" name="_ExtendedDescription">
    <vt:lpwstr/>
  </property>
  <property fmtid="{D5CDD505-2E9C-101B-9397-08002B2CF9AE}" pid="14" name="b133059517bd4b6ba2826fe941cfd2cb">
    <vt:lpwstr>N/A|7a4f8743-7bab-4f6a-8a0d-b24596741886</vt:lpwstr>
  </property>
  <property fmtid="{D5CDD505-2E9C-101B-9397-08002B2CF9AE}" pid="15" name="ie6fc752e8314f23b9add3aacdf734e2">
    <vt:lpwstr>N/A|603d074b-cb2d-4568-af2a-4cd630184ab0</vt:lpwstr>
  </property>
  <property fmtid="{D5CDD505-2E9C-101B-9397-08002B2CF9AE}" pid="16" name="TriggerFlowInfo">
    <vt:lpwstr/>
  </property>
  <property fmtid="{D5CDD505-2E9C-101B-9397-08002B2CF9AE}" pid="17" name="MediaServiceImageTags">
    <vt:lpwstr/>
  </property>
</Properties>
</file>