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0CE5BE" w14:textId="1B7129E6" w:rsidR="00DF5325" w:rsidRDefault="00886156" w:rsidP="009B6B26">
      <w:pPr>
        <w:pStyle w:val="BodyText24"/>
        <w:keepNext/>
        <w:keepLines/>
        <w:spacing w:line="288" w:lineRule="auto"/>
        <w:jc w:val="center"/>
        <w:rPr>
          <w:rFonts w:asciiTheme="minorHAnsi" w:hAnsiTheme="minorHAnsi"/>
          <w:vertAlign w:val="superscript"/>
        </w:rPr>
      </w:pPr>
      <w:r>
        <w:rPr>
          <w:rFonts w:asciiTheme="minorHAnsi" w:hAnsiTheme="minorHAnsi"/>
          <w:b/>
          <w:sz w:val="28"/>
          <w:szCs w:val="28"/>
          <w:u w:val="single"/>
        </w:rPr>
        <w:t xml:space="preserve">Appendix 1. </w:t>
      </w:r>
      <w:r w:rsidR="00F20AEE" w:rsidRPr="00681907">
        <w:rPr>
          <w:rFonts w:asciiTheme="minorHAnsi" w:hAnsiTheme="minorHAnsi"/>
          <w:b/>
          <w:sz w:val="28"/>
          <w:szCs w:val="28"/>
          <w:u w:val="single"/>
        </w:rPr>
        <w:t xml:space="preserve">Adjustments of anti-TB drugs in renal </w:t>
      </w:r>
      <w:proofErr w:type="spellStart"/>
      <w:r w:rsidR="00F20AEE" w:rsidRPr="00681907">
        <w:rPr>
          <w:rFonts w:asciiTheme="minorHAnsi" w:hAnsiTheme="minorHAnsi"/>
          <w:b/>
          <w:sz w:val="28"/>
          <w:szCs w:val="28"/>
          <w:u w:val="single"/>
        </w:rPr>
        <w:t>insufficiency</w:t>
      </w:r>
      <w:r w:rsidR="00F20AEE" w:rsidRPr="00681907">
        <w:rPr>
          <w:rFonts w:asciiTheme="minorHAnsi" w:hAnsiTheme="minorHAnsi"/>
          <w:vertAlign w:val="superscript"/>
        </w:rPr>
        <w:t>a</w:t>
      </w:r>
      <w:proofErr w:type="spellEnd"/>
    </w:p>
    <w:p w14:paraId="08D56CC0" w14:textId="77777777" w:rsidR="00D43C0D" w:rsidRPr="00006649" w:rsidRDefault="00D43C0D" w:rsidP="00D43C0D">
      <w:pPr>
        <w:pStyle w:val="Default"/>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519"/>
      </w:tblGrid>
      <w:tr w:rsidR="00F20AEE" w:rsidRPr="00681907" w14:paraId="6310BB57" w14:textId="77777777" w:rsidTr="000A419E">
        <w:trPr>
          <w:tblHeader/>
          <w:jc w:val="center"/>
        </w:trPr>
        <w:tc>
          <w:tcPr>
            <w:tcW w:w="2178" w:type="dxa"/>
            <w:shd w:val="clear" w:color="auto" w:fill="365F91"/>
            <w:vAlign w:val="center"/>
          </w:tcPr>
          <w:p w14:paraId="04790437" w14:textId="77777777" w:rsidR="00F20AEE" w:rsidRPr="00681907" w:rsidRDefault="00F20AEE" w:rsidP="00F20AEE">
            <w:pPr>
              <w:spacing w:after="0" w:line="240" w:lineRule="auto"/>
              <w:rPr>
                <w:rFonts w:asciiTheme="minorHAnsi" w:eastAsia="Times New Roman" w:hAnsiTheme="minorHAnsi" w:cs="Times New Roman"/>
                <w:b/>
                <w:bCs/>
                <w:color w:val="FFFFFF"/>
                <w:lang w:val="en-US" w:eastAsia="zh-CN"/>
              </w:rPr>
            </w:pPr>
            <w:r w:rsidRPr="00681907">
              <w:rPr>
                <w:rFonts w:asciiTheme="minorHAnsi" w:eastAsia="Times New Roman" w:hAnsiTheme="minorHAnsi" w:cs="Times New Roman"/>
                <w:b/>
                <w:bCs/>
                <w:color w:val="FFFFFF"/>
                <w:lang w:val="en-US" w:eastAsia="zh-CN"/>
              </w:rPr>
              <w:t xml:space="preserve">Drug </w:t>
            </w:r>
          </w:p>
        </w:tc>
        <w:tc>
          <w:tcPr>
            <w:tcW w:w="6519" w:type="dxa"/>
            <w:shd w:val="clear" w:color="auto" w:fill="365F91"/>
            <w:vAlign w:val="bottom"/>
          </w:tcPr>
          <w:p w14:paraId="31A35C17" w14:textId="77777777" w:rsidR="00F20AEE" w:rsidRPr="00681907" w:rsidRDefault="00F20AEE" w:rsidP="00F20AEE">
            <w:pPr>
              <w:spacing w:after="0" w:line="240" w:lineRule="auto"/>
              <w:rPr>
                <w:rFonts w:asciiTheme="minorHAnsi" w:eastAsia="Times New Roman" w:hAnsiTheme="minorHAnsi" w:cs="Times New Roman"/>
                <w:b/>
                <w:bCs/>
                <w:color w:val="FFFFFF"/>
                <w:lang w:val="en-US" w:eastAsia="zh-CN"/>
              </w:rPr>
            </w:pPr>
            <w:r w:rsidRPr="00681907">
              <w:rPr>
                <w:rFonts w:asciiTheme="minorHAnsi" w:eastAsia="Times New Roman" w:hAnsiTheme="minorHAnsi" w:cs="Times New Roman"/>
                <w:b/>
                <w:bCs/>
                <w:color w:val="FFFFFF"/>
                <w:lang w:val="en-US" w:eastAsia="zh-CN"/>
              </w:rPr>
              <w:t>Recommended dose and frequency for patients with creatinine clearance &lt;30 ml/min or for patients receiving haemodialysis (unless otherwise indicated dose after dialysis)</w:t>
            </w:r>
          </w:p>
        </w:tc>
      </w:tr>
      <w:tr w:rsidR="00F20AEE" w:rsidRPr="00681907" w14:paraId="09230D19" w14:textId="77777777" w:rsidTr="000A419E">
        <w:trPr>
          <w:trHeight w:val="233"/>
          <w:jc w:val="center"/>
        </w:trPr>
        <w:tc>
          <w:tcPr>
            <w:tcW w:w="2178" w:type="dxa"/>
            <w:shd w:val="clear" w:color="auto" w:fill="F2F2F2" w:themeFill="background1" w:themeFillShade="F2"/>
            <w:vAlign w:val="center"/>
          </w:tcPr>
          <w:p w14:paraId="13EFE268"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Isoniazid </w:t>
            </w:r>
          </w:p>
        </w:tc>
        <w:tc>
          <w:tcPr>
            <w:tcW w:w="6519" w:type="dxa"/>
            <w:shd w:val="clear" w:color="auto" w:fill="F2F2F2" w:themeFill="background1" w:themeFillShade="F2"/>
            <w:vAlign w:val="bottom"/>
          </w:tcPr>
          <w:p w14:paraId="74CD7589"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No adjustment necessary</w:t>
            </w:r>
          </w:p>
        </w:tc>
      </w:tr>
      <w:tr w:rsidR="00F20AEE" w:rsidRPr="00681907" w14:paraId="060BFF67" w14:textId="77777777" w:rsidTr="000A419E">
        <w:trPr>
          <w:jc w:val="center"/>
        </w:trPr>
        <w:tc>
          <w:tcPr>
            <w:tcW w:w="2178" w:type="dxa"/>
            <w:shd w:val="clear" w:color="auto" w:fill="auto"/>
            <w:vAlign w:val="center"/>
          </w:tcPr>
          <w:p w14:paraId="20BA232B"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Pyrazinamide </w:t>
            </w:r>
          </w:p>
        </w:tc>
        <w:tc>
          <w:tcPr>
            <w:tcW w:w="6519" w:type="dxa"/>
            <w:shd w:val="clear" w:color="auto" w:fill="auto"/>
            <w:vAlign w:val="bottom"/>
          </w:tcPr>
          <w:p w14:paraId="1FE3ED1C"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 xml:space="preserve">25–35 mg/kg per dose three times per week (not daily) </w:t>
            </w:r>
          </w:p>
        </w:tc>
      </w:tr>
      <w:tr w:rsidR="00F20AEE" w:rsidRPr="00681907" w14:paraId="1F2806DF" w14:textId="77777777" w:rsidTr="000A419E">
        <w:trPr>
          <w:jc w:val="center"/>
        </w:trPr>
        <w:tc>
          <w:tcPr>
            <w:tcW w:w="2178" w:type="dxa"/>
            <w:shd w:val="clear" w:color="auto" w:fill="F2F2F2"/>
            <w:vAlign w:val="center"/>
          </w:tcPr>
          <w:p w14:paraId="1551B6B0"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Ethambutol </w:t>
            </w:r>
          </w:p>
        </w:tc>
        <w:tc>
          <w:tcPr>
            <w:tcW w:w="6519" w:type="dxa"/>
            <w:shd w:val="clear" w:color="auto" w:fill="F2F2F2"/>
            <w:vAlign w:val="bottom"/>
          </w:tcPr>
          <w:p w14:paraId="7ADA2E1D"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15–25 mg/kg per dose three times per week (not daily)</w:t>
            </w:r>
          </w:p>
        </w:tc>
      </w:tr>
      <w:tr w:rsidR="00F20AEE" w:rsidRPr="00681907" w14:paraId="41801BC8" w14:textId="77777777" w:rsidTr="000A419E">
        <w:trPr>
          <w:jc w:val="center"/>
        </w:trPr>
        <w:tc>
          <w:tcPr>
            <w:tcW w:w="2178" w:type="dxa"/>
            <w:shd w:val="clear" w:color="auto" w:fill="auto"/>
            <w:vAlign w:val="center"/>
          </w:tcPr>
          <w:p w14:paraId="5D9C680F"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Capreomycin </w:t>
            </w:r>
          </w:p>
        </w:tc>
        <w:tc>
          <w:tcPr>
            <w:tcW w:w="6519" w:type="dxa"/>
            <w:shd w:val="clear" w:color="auto" w:fill="auto"/>
            <w:vAlign w:val="bottom"/>
          </w:tcPr>
          <w:p w14:paraId="5450F97D"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12–15 mg/kg per dose two or three times per week (not daily)</w:t>
            </w:r>
            <w:r w:rsidRPr="00681907">
              <w:rPr>
                <w:rFonts w:asciiTheme="minorHAnsi" w:eastAsia="Times New Roman" w:hAnsiTheme="minorHAnsi" w:cs="Times New Roman"/>
                <w:vertAlign w:val="superscript"/>
                <w:lang w:val="en-US" w:eastAsia="zh-CN"/>
              </w:rPr>
              <w:t>b</w:t>
            </w:r>
          </w:p>
        </w:tc>
      </w:tr>
      <w:tr w:rsidR="00F20AEE" w:rsidRPr="00681907" w14:paraId="1C30BE4D" w14:textId="77777777" w:rsidTr="000A419E">
        <w:trPr>
          <w:jc w:val="center"/>
        </w:trPr>
        <w:tc>
          <w:tcPr>
            <w:tcW w:w="2178" w:type="dxa"/>
            <w:shd w:val="clear" w:color="auto" w:fill="F2F2F2"/>
            <w:vAlign w:val="center"/>
          </w:tcPr>
          <w:p w14:paraId="6AB6ACA8"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Kanamycin </w:t>
            </w:r>
          </w:p>
        </w:tc>
        <w:tc>
          <w:tcPr>
            <w:tcW w:w="6519" w:type="dxa"/>
            <w:shd w:val="clear" w:color="auto" w:fill="F2F2F2"/>
            <w:vAlign w:val="bottom"/>
          </w:tcPr>
          <w:p w14:paraId="7D0AA389"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12–15 mg/kg per dose two or three times per week (not daily)</w:t>
            </w:r>
            <w:r w:rsidRPr="00681907">
              <w:rPr>
                <w:rFonts w:asciiTheme="minorHAnsi" w:eastAsia="Times New Roman" w:hAnsiTheme="minorHAnsi" w:cs="Times New Roman"/>
                <w:vertAlign w:val="superscript"/>
                <w:lang w:val="en-US" w:eastAsia="zh-CN"/>
              </w:rPr>
              <w:t>b</w:t>
            </w:r>
          </w:p>
        </w:tc>
      </w:tr>
      <w:tr w:rsidR="00F20AEE" w:rsidRPr="00681907" w14:paraId="4A6C806B" w14:textId="77777777" w:rsidTr="000A419E">
        <w:trPr>
          <w:jc w:val="center"/>
        </w:trPr>
        <w:tc>
          <w:tcPr>
            <w:tcW w:w="2178" w:type="dxa"/>
            <w:shd w:val="clear" w:color="auto" w:fill="auto"/>
            <w:vAlign w:val="center"/>
          </w:tcPr>
          <w:p w14:paraId="15014972"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Amikacin </w:t>
            </w:r>
          </w:p>
        </w:tc>
        <w:tc>
          <w:tcPr>
            <w:tcW w:w="6519" w:type="dxa"/>
            <w:shd w:val="clear" w:color="auto" w:fill="auto"/>
            <w:vAlign w:val="bottom"/>
          </w:tcPr>
          <w:p w14:paraId="6D6B5A1A"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12–15 mg/kg per dose two or three times per week (not daily)</w:t>
            </w:r>
            <w:r w:rsidRPr="00681907">
              <w:rPr>
                <w:rFonts w:asciiTheme="minorHAnsi" w:eastAsia="Times New Roman" w:hAnsiTheme="minorHAnsi" w:cs="Times New Roman"/>
                <w:vertAlign w:val="superscript"/>
                <w:lang w:val="en-US" w:eastAsia="zh-CN"/>
              </w:rPr>
              <w:t>b</w:t>
            </w:r>
          </w:p>
        </w:tc>
      </w:tr>
      <w:tr w:rsidR="00F20AEE" w:rsidRPr="00681907" w14:paraId="56752CE0" w14:textId="77777777" w:rsidTr="000A419E">
        <w:trPr>
          <w:jc w:val="center"/>
        </w:trPr>
        <w:tc>
          <w:tcPr>
            <w:tcW w:w="2178" w:type="dxa"/>
            <w:shd w:val="clear" w:color="auto" w:fill="auto"/>
            <w:vAlign w:val="center"/>
          </w:tcPr>
          <w:p w14:paraId="3F877525"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Levofloxacin </w:t>
            </w:r>
          </w:p>
        </w:tc>
        <w:tc>
          <w:tcPr>
            <w:tcW w:w="6519" w:type="dxa"/>
            <w:shd w:val="clear" w:color="auto" w:fill="auto"/>
            <w:vAlign w:val="bottom"/>
          </w:tcPr>
          <w:p w14:paraId="4AA5D1F9"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750–1000 mg per dose three times per week (not daily)</w:t>
            </w:r>
          </w:p>
        </w:tc>
      </w:tr>
      <w:tr w:rsidR="00F20AEE" w:rsidRPr="00681907" w14:paraId="7A284A7A" w14:textId="77777777" w:rsidTr="000A419E">
        <w:trPr>
          <w:jc w:val="center"/>
        </w:trPr>
        <w:tc>
          <w:tcPr>
            <w:tcW w:w="2178" w:type="dxa"/>
            <w:shd w:val="clear" w:color="auto" w:fill="F2F2F2"/>
            <w:vAlign w:val="center"/>
          </w:tcPr>
          <w:p w14:paraId="68476B09"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Moxifloxacin </w:t>
            </w:r>
          </w:p>
        </w:tc>
        <w:tc>
          <w:tcPr>
            <w:tcW w:w="6519" w:type="dxa"/>
            <w:shd w:val="clear" w:color="auto" w:fill="F2F2F2"/>
            <w:vAlign w:val="bottom"/>
          </w:tcPr>
          <w:p w14:paraId="16E2140F"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No adjustment necessary</w:t>
            </w:r>
          </w:p>
        </w:tc>
      </w:tr>
      <w:tr w:rsidR="00F20AEE" w:rsidRPr="00681907" w14:paraId="62071B18" w14:textId="77777777" w:rsidTr="000A419E">
        <w:trPr>
          <w:jc w:val="center"/>
        </w:trPr>
        <w:tc>
          <w:tcPr>
            <w:tcW w:w="2178" w:type="dxa"/>
            <w:shd w:val="clear" w:color="auto" w:fill="auto"/>
            <w:vAlign w:val="center"/>
          </w:tcPr>
          <w:p w14:paraId="76BE3203"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Cycloserine </w:t>
            </w:r>
          </w:p>
        </w:tc>
        <w:tc>
          <w:tcPr>
            <w:tcW w:w="6519" w:type="dxa"/>
            <w:shd w:val="clear" w:color="auto" w:fill="auto"/>
            <w:vAlign w:val="bottom"/>
          </w:tcPr>
          <w:p w14:paraId="79919B7E"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 xml:space="preserve">250 mg once daily, or 500 mg/dose three times per </w:t>
            </w:r>
            <w:proofErr w:type="spellStart"/>
            <w:r w:rsidRPr="00681907">
              <w:rPr>
                <w:rFonts w:asciiTheme="minorHAnsi" w:eastAsia="Times New Roman" w:hAnsiTheme="minorHAnsi" w:cs="Times New Roman"/>
                <w:lang w:val="en-US" w:eastAsia="zh-CN"/>
              </w:rPr>
              <w:t>week</w:t>
            </w:r>
            <w:r w:rsidRPr="00681907">
              <w:rPr>
                <w:rFonts w:asciiTheme="minorHAnsi" w:eastAsia="Times New Roman" w:hAnsiTheme="minorHAnsi" w:cs="Times New Roman"/>
                <w:vertAlign w:val="superscript"/>
                <w:lang w:val="en-US" w:eastAsia="zh-CN"/>
              </w:rPr>
              <w:t>c</w:t>
            </w:r>
            <w:proofErr w:type="spellEnd"/>
          </w:p>
        </w:tc>
      </w:tr>
      <w:tr w:rsidR="00F20AEE" w:rsidRPr="00681907" w14:paraId="1FDD6F2B" w14:textId="77777777" w:rsidTr="000A419E">
        <w:trPr>
          <w:jc w:val="center"/>
        </w:trPr>
        <w:tc>
          <w:tcPr>
            <w:tcW w:w="2178" w:type="dxa"/>
            <w:shd w:val="clear" w:color="auto" w:fill="F2F2F2"/>
            <w:vAlign w:val="center"/>
          </w:tcPr>
          <w:p w14:paraId="45A75E55"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Terizidone </w:t>
            </w:r>
          </w:p>
        </w:tc>
        <w:tc>
          <w:tcPr>
            <w:tcW w:w="6519" w:type="dxa"/>
            <w:shd w:val="clear" w:color="auto" w:fill="F2F2F2"/>
            <w:vAlign w:val="bottom"/>
          </w:tcPr>
          <w:p w14:paraId="40DAAAF6"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Recommendations not available</w:t>
            </w:r>
          </w:p>
        </w:tc>
      </w:tr>
      <w:tr w:rsidR="00F20AEE" w:rsidRPr="00681907" w14:paraId="24EF0677" w14:textId="77777777" w:rsidTr="000A419E">
        <w:trPr>
          <w:jc w:val="center"/>
        </w:trPr>
        <w:tc>
          <w:tcPr>
            <w:tcW w:w="2178" w:type="dxa"/>
            <w:shd w:val="clear" w:color="auto" w:fill="auto"/>
            <w:vAlign w:val="center"/>
          </w:tcPr>
          <w:p w14:paraId="0CFE8942"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Prothionamide </w:t>
            </w:r>
          </w:p>
        </w:tc>
        <w:tc>
          <w:tcPr>
            <w:tcW w:w="6519" w:type="dxa"/>
            <w:shd w:val="clear" w:color="auto" w:fill="auto"/>
            <w:vAlign w:val="bottom"/>
          </w:tcPr>
          <w:p w14:paraId="1BE46B24"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No adjustment necessary</w:t>
            </w:r>
          </w:p>
        </w:tc>
      </w:tr>
      <w:tr w:rsidR="00F20AEE" w:rsidRPr="00681907" w14:paraId="029B59BB" w14:textId="77777777" w:rsidTr="000A419E">
        <w:trPr>
          <w:jc w:val="center"/>
        </w:trPr>
        <w:tc>
          <w:tcPr>
            <w:tcW w:w="2178" w:type="dxa"/>
            <w:shd w:val="clear" w:color="auto" w:fill="F2F2F2"/>
            <w:vAlign w:val="center"/>
          </w:tcPr>
          <w:p w14:paraId="00D7DA87"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 xml:space="preserve">Ethionamide </w:t>
            </w:r>
          </w:p>
        </w:tc>
        <w:tc>
          <w:tcPr>
            <w:tcW w:w="6519" w:type="dxa"/>
            <w:shd w:val="clear" w:color="auto" w:fill="F2F2F2"/>
            <w:vAlign w:val="bottom"/>
          </w:tcPr>
          <w:p w14:paraId="73E7119B"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No adjustment necessary</w:t>
            </w:r>
          </w:p>
        </w:tc>
      </w:tr>
      <w:tr w:rsidR="00F20AEE" w:rsidRPr="00681907" w14:paraId="26D627E8" w14:textId="77777777" w:rsidTr="000A419E">
        <w:trPr>
          <w:jc w:val="center"/>
        </w:trPr>
        <w:tc>
          <w:tcPr>
            <w:tcW w:w="2178" w:type="dxa"/>
            <w:shd w:val="clear" w:color="auto" w:fill="auto"/>
            <w:vAlign w:val="center"/>
          </w:tcPr>
          <w:p w14:paraId="1CCE01AD" w14:textId="77777777" w:rsidR="00F20AEE" w:rsidRPr="00681907" w:rsidRDefault="00F20AEE" w:rsidP="00F20AEE">
            <w:pPr>
              <w:spacing w:after="0" w:line="240" w:lineRule="auto"/>
              <w:rPr>
                <w:rFonts w:asciiTheme="minorHAnsi" w:eastAsia="Times New Roman" w:hAnsiTheme="minorHAnsi" w:cs="Times New Roman"/>
                <w:b/>
                <w:bCs/>
                <w:lang w:val="en-US" w:eastAsia="zh-CN"/>
              </w:rPr>
            </w:pPr>
            <w:r w:rsidRPr="00681907">
              <w:rPr>
                <w:rFonts w:asciiTheme="minorHAnsi" w:eastAsia="Times New Roman" w:hAnsiTheme="minorHAnsi" w:cs="Times New Roman"/>
                <w:b/>
                <w:bCs/>
                <w:lang w:val="en-US" w:eastAsia="zh-CN"/>
              </w:rPr>
              <w:t>P-</w:t>
            </w:r>
            <w:proofErr w:type="spellStart"/>
            <w:r w:rsidRPr="00681907">
              <w:rPr>
                <w:rFonts w:asciiTheme="minorHAnsi" w:eastAsia="Times New Roman" w:hAnsiTheme="minorHAnsi" w:cs="Times New Roman"/>
                <w:b/>
                <w:bCs/>
                <w:lang w:val="en-US" w:eastAsia="zh-CN"/>
              </w:rPr>
              <w:t>aminosalicylic</w:t>
            </w:r>
            <w:proofErr w:type="spellEnd"/>
            <w:r w:rsidRPr="00681907">
              <w:rPr>
                <w:rFonts w:asciiTheme="minorHAnsi" w:eastAsia="Times New Roman" w:hAnsiTheme="minorHAnsi" w:cs="Times New Roman"/>
                <w:b/>
                <w:bCs/>
                <w:lang w:val="en-US" w:eastAsia="zh-CN"/>
              </w:rPr>
              <w:t xml:space="preserve"> </w:t>
            </w:r>
            <w:proofErr w:type="spellStart"/>
            <w:r w:rsidRPr="00681907">
              <w:rPr>
                <w:rFonts w:asciiTheme="minorHAnsi" w:eastAsia="Times New Roman" w:hAnsiTheme="minorHAnsi" w:cs="Times New Roman"/>
                <w:b/>
                <w:bCs/>
                <w:lang w:val="en-US" w:eastAsia="zh-CN"/>
              </w:rPr>
              <w:t>acid</w:t>
            </w:r>
            <w:r w:rsidRPr="00681907">
              <w:rPr>
                <w:rFonts w:asciiTheme="minorHAnsi" w:eastAsia="Times New Roman" w:hAnsiTheme="minorHAnsi" w:cs="Times New Roman"/>
                <w:b/>
                <w:bCs/>
                <w:vertAlign w:val="superscript"/>
                <w:lang w:val="en-US" w:eastAsia="zh-CN"/>
              </w:rPr>
              <w:t>e</w:t>
            </w:r>
            <w:proofErr w:type="spellEnd"/>
            <w:r w:rsidRPr="00681907">
              <w:rPr>
                <w:rFonts w:asciiTheme="minorHAnsi" w:eastAsia="Times New Roman" w:hAnsiTheme="minorHAnsi" w:cs="Times New Roman"/>
                <w:b/>
                <w:bCs/>
                <w:lang w:val="en-US" w:eastAsia="zh-CN"/>
              </w:rPr>
              <w:t xml:space="preserve"> </w:t>
            </w:r>
          </w:p>
        </w:tc>
        <w:tc>
          <w:tcPr>
            <w:tcW w:w="6519" w:type="dxa"/>
            <w:shd w:val="clear" w:color="auto" w:fill="auto"/>
            <w:vAlign w:val="bottom"/>
          </w:tcPr>
          <w:p w14:paraId="2622F9CE" w14:textId="77777777" w:rsidR="00F20AEE" w:rsidRPr="00681907" w:rsidRDefault="00F20AEE" w:rsidP="00F20AEE">
            <w:pPr>
              <w:spacing w:after="0" w:line="240" w:lineRule="auto"/>
              <w:rPr>
                <w:rFonts w:asciiTheme="minorHAnsi" w:eastAsia="Times New Roman" w:hAnsiTheme="minorHAnsi" w:cs="Times New Roman"/>
                <w:lang w:val="en-US" w:eastAsia="zh-CN"/>
              </w:rPr>
            </w:pPr>
            <w:r w:rsidRPr="00681907">
              <w:rPr>
                <w:rFonts w:asciiTheme="minorHAnsi" w:eastAsia="Times New Roman" w:hAnsiTheme="minorHAnsi" w:cs="Times New Roman"/>
                <w:lang w:val="en-US" w:eastAsia="zh-CN"/>
              </w:rPr>
              <w:t>4 grams/dose, twice daily maximum dose</w:t>
            </w:r>
            <w:r w:rsidRPr="00681907">
              <w:rPr>
                <w:rFonts w:asciiTheme="minorHAnsi" w:eastAsia="Times New Roman" w:hAnsiTheme="minorHAnsi" w:cs="Times New Roman"/>
                <w:vertAlign w:val="superscript"/>
                <w:lang w:val="en-US" w:eastAsia="zh-CN"/>
              </w:rPr>
              <w:t>d</w:t>
            </w:r>
          </w:p>
        </w:tc>
      </w:tr>
      <w:tr w:rsidR="00F20AEE" w:rsidRPr="00681907" w14:paraId="2FAE285E" w14:textId="77777777" w:rsidTr="000A419E">
        <w:trPr>
          <w:jc w:val="center"/>
        </w:trPr>
        <w:tc>
          <w:tcPr>
            <w:tcW w:w="2178" w:type="dxa"/>
            <w:shd w:val="clear" w:color="auto" w:fill="auto"/>
            <w:vAlign w:val="center"/>
          </w:tcPr>
          <w:p w14:paraId="00C5C17B" w14:textId="77777777" w:rsidR="00F20AEE" w:rsidRPr="00681907" w:rsidRDefault="00F20AEE" w:rsidP="00F20AEE">
            <w:pPr>
              <w:spacing w:after="0" w:line="240" w:lineRule="auto"/>
              <w:rPr>
                <w:rFonts w:asciiTheme="minorHAnsi" w:eastAsia="Times New Roman" w:hAnsiTheme="minorHAnsi" w:cs="Times New Roman"/>
                <w:b/>
                <w:bCs/>
                <w:color w:val="auto"/>
                <w:lang w:val="en-US" w:eastAsia="zh-CN"/>
              </w:rPr>
            </w:pPr>
            <w:r w:rsidRPr="00681907">
              <w:rPr>
                <w:rFonts w:asciiTheme="minorHAnsi" w:eastAsia="Times New Roman" w:hAnsiTheme="minorHAnsi" w:cs="Times New Roman"/>
                <w:b/>
                <w:bCs/>
                <w:color w:val="auto"/>
                <w:lang w:val="en-US" w:eastAsia="zh-CN"/>
              </w:rPr>
              <w:t>Bedaquiline</w:t>
            </w:r>
          </w:p>
        </w:tc>
        <w:tc>
          <w:tcPr>
            <w:tcW w:w="6519" w:type="dxa"/>
            <w:shd w:val="clear" w:color="auto" w:fill="auto"/>
            <w:vAlign w:val="bottom"/>
          </w:tcPr>
          <w:p w14:paraId="3D9C4920"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No dosage adjustment is required in patients with mild to moderate renal impairment (dosing not established in severe renal impairment, use with caution).</w:t>
            </w:r>
          </w:p>
        </w:tc>
      </w:tr>
      <w:tr w:rsidR="00F20AEE" w:rsidRPr="00681907" w14:paraId="75928B84" w14:textId="77777777" w:rsidTr="000A419E">
        <w:trPr>
          <w:jc w:val="center"/>
        </w:trPr>
        <w:tc>
          <w:tcPr>
            <w:tcW w:w="2178" w:type="dxa"/>
            <w:shd w:val="clear" w:color="auto" w:fill="F2F2F2" w:themeFill="background1" w:themeFillShade="F2"/>
            <w:vAlign w:val="center"/>
          </w:tcPr>
          <w:p w14:paraId="474F77FD" w14:textId="77777777" w:rsidR="00F20AEE" w:rsidRPr="00681907" w:rsidRDefault="00F20AEE" w:rsidP="00F20AEE">
            <w:pPr>
              <w:spacing w:after="0" w:line="240" w:lineRule="auto"/>
              <w:rPr>
                <w:rFonts w:asciiTheme="minorHAnsi" w:eastAsia="Times New Roman" w:hAnsiTheme="minorHAnsi" w:cs="Times New Roman"/>
                <w:b/>
                <w:bCs/>
                <w:color w:val="auto"/>
                <w:lang w:val="en-US" w:eastAsia="zh-CN"/>
              </w:rPr>
            </w:pPr>
            <w:r w:rsidRPr="00681907">
              <w:rPr>
                <w:rFonts w:asciiTheme="minorHAnsi" w:eastAsia="Times New Roman" w:hAnsiTheme="minorHAnsi" w:cs="Times New Roman"/>
                <w:b/>
                <w:bCs/>
                <w:color w:val="auto"/>
                <w:lang w:val="en-US" w:eastAsia="zh-CN"/>
              </w:rPr>
              <w:t>Delamanid</w:t>
            </w:r>
          </w:p>
        </w:tc>
        <w:tc>
          <w:tcPr>
            <w:tcW w:w="6519" w:type="dxa"/>
            <w:shd w:val="clear" w:color="auto" w:fill="F2F2F2" w:themeFill="background1" w:themeFillShade="F2"/>
            <w:vAlign w:val="bottom"/>
          </w:tcPr>
          <w:p w14:paraId="4EBAF695"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No dosage adjustment is required in patients with mild to moderate renal impairment (dosing not established in severe renal impairment, use with caution).</w:t>
            </w:r>
          </w:p>
        </w:tc>
      </w:tr>
      <w:tr w:rsidR="00F20AEE" w:rsidRPr="00681907" w14:paraId="0901D63B" w14:textId="77777777" w:rsidTr="000A419E">
        <w:trPr>
          <w:jc w:val="center"/>
        </w:trPr>
        <w:tc>
          <w:tcPr>
            <w:tcW w:w="2178" w:type="dxa"/>
            <w:shd w:val="clear" w:color="auto" w:fill="auto"/>
          </w:tcPr>
          <w:p w14:paraId="11FF3B8B" w14:textId="77777777" w:rsidR="00F20AEE" w:rsidRPr="00DE0C72" w:rsidRDefault="00F20AEE" w:rsidP="00F20AEE">
            <w:pPr>
              <w:spacing w:after="0" w:line="240" w:lineRule="auto"/>
              <w:contextualSpacing/>
              <w:rPr>
                <w:rFonts w:asciiTheme="minorHAnsi" w:eastAsia="Cambria" w:hAnsiTheme="minorHAnsi"/>
                <w:b/>
                <w:lang w:val="en-US"/>
              </w:rPr>
            </w:pPr>
            <w:r w:rsidRPr="00DE0C72">
              <w:rPr>
                <w:rFonts w:asciiTheme="minorHAnsi" w:eastAsia="Cambria" w:hAnsiTheme="minorHAnsi"/>
                <w:b/>
                <w:lang w:val="en-US"/>
              </w:rPr>
              <w:t>Linezolid</w:t>
            </w:r>
          </w:p>
        </w:tc>
        <w:tc>
          <w:tcPr>
            <w:tcW w:w="6519" w:type="dxa"/>
            <w:shd w:val="clear" w:color="auto" w:fill="auto"/>
            <w:vAlign w:val="bottom"/>
          </w:tcPr>
          <w:p w14:paraId="079C0F41"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No adjustment necessary</w:t>
            </w:r>
          </w:p>
        </w:tc>
      </w:tr>
      <w:tr w:rsidR="00F20AEE" w:rsidRPr="00681907" w14:paraId="2E37B28A" w14:textId="77777777" w:rsidTr="000A419E">
        <w:trPr>
          <w:jc w:val="center"/>
        </w:trPr>
        <w:tc>
          <w:tcPr>
            <w:tcW w:w="2178" w:type="dxa"/>
            <w:shd w:val="clear" w:color="auto" w:fill="F2F2F2"/>
          </w:tcPr>
          <w:p w14:paraId="26844FF4" w14:textId="77777777" w:rsidR="00F20AEE" w:rsidRPr="00DE0C72" w:rsidRDefault="00F20AEE" w:rsidP="00F20AEE">
            <w:pPr>
              <w:spacing w:after="0" w:line="240" w:lineRule="auto"/>
              <w:contextualSpacing/>
              <w:rPr>
                <w:rFonts w:asciiTheme="minorHAnsi" w:eastAsia="Cambria" w:hAnsiTheme="minorHAnsi"/>
                <w:b/>
                <w:lang w:val="en-US"/>
              </w:rPr>
            </w:pPr>
            <w:r w:rsidRPr="00DE0C72">
              <w:rPr>
                <w:rFonts w:asciiTheme="minorHAnsi" w:eastAsia="Cambria" w:hAnsiTheme="minorHAnsi"/>
                <w:b/>
                <w:lang w:val="en-US"/>
              </w:rPr>
              <w:t xml:space="preserve">Clofazimine </w:t>
            </w:r>
          </w:p>
        </w:tc>
        <w:tc>
          <w:tcPr>
            <w:tcW w:w="6519" w:type="dxa"/>
            <w:shd w:val="clear" w:color="auto" w:fill="F2F2F2"/>
            <w:vAlign w:val="bottom"/>
          </w:tcPr>
          <w:p w14:paraId="3CFC1829"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No adjustment necessary</w:t>
            </w:r>
          </w:p>
        </w:tc>
      </w:tr>
      <w:tr w:rsidR="00F20AEE" w:rsidRPr="00681907" w14:paraId="784921EA" w14:textId="77777777" w:rsidTr="000A419E">
        <w:trPr>
          <w:jc w:val="center"/>
        </w:trPr>
        <w:tc>
          <w:tcPr>
            <w:tcW w:w="2178" w:type="dxa"/>
            <w:shd w:val="clear" w:color="auto" w:fill="auto"/>
          </w:tcPr>
          <w:p w14:paraId="29C92336" w14:textId="77777777" w:rsidR="00F20AEE" w:rsidRPr="00DE0C72" w:rsidRDefault="00F20AEE" w:rsidP="00F20AEE">
            <w:pPr>
              <w:spacing w:after="0" w:line="240" w:lineRule="auto"/>
              <w:contextualSpacing/>
              <w:rPr>
                <w:rFonts w:asciiTheme="minorHAnsi" w:eastAsia="Cambria" w:hAnsiTheme="minorHAnsi"/>
                <w:b/>
                <w:lang w:val="en-US"/>
              </w:rPr>
            </w:pPr>
            <w:r w:rsidRPr="00DE0C72">
              <w:rPr>
                <w:rFonts w:asciiTheme="minorHAnsi" w:eastAsia="Cambria" w:hAnsiTheme="minorHAnsi"/>
                <w:b/>
                <w:lang w:val="en-US"/>
              </w:rPr>
              <w:t xml:space="preserve">Amoxicillin/ Clavulanate </w:t>
            </w:r>
          </w:p>
        </w:tc>
        <w:tc>
          <w:tcPr>
            <w:tcW w:w="6519" w:type="dxa"/>
            <w:shd w:val="clear" w:color="auto" w:fill="auto"/>
            <w:vAlign w:val="bottom"/>
          </w:tcPr>
          <w:p w14:paraId="2458A89C"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For creatinine clearance 10-30 ml/min dose 1000 mg of amoxicillin component twice daily; for creatinine clearance &lt; 10 ml/min dose 1000 mg of amoxicillin component once daily</w:t>
            </w:r>
          </w:p>
        </w:tc>
      </w:tr>
      <w:tr w:rsidR="00F20AEE" w:rsidRPr="00681907" w14:paraId="46E177D3" w14:textId="77777777" w:rsidTr="000A419E">
        <w:trPr>
          <w:jc w:val="center"/>
        </w:trPr>
        <w:tc>
          <w:tcPr>
            <w:tcW w:w="2178" w:type="dxa"/>
            <w:shd w:val="clear" w:color="auto" w:fill="F2F2F2"/>
          </w:tcPr>
          <w:p w14:paraId="28A70585" w14:textId="77777777" w:rsidR="00F20AEE" w:rsidRPr="00DE0C72" w:rsidRDefault="00F20AEE" w:rsidP="00F20AEE">
            <w:pPr>
              <w:spacing w:after="0" w:line="240" w:lineRule="auto"/>
              <w:contextualSpacing/>
              <w:rPr>
                <w:rFonts w:asciiTheme="minorHAnsi" w:eastAsia="Cambria" w:hAnsiTheme="minorHAnsi"/>
                <w:b/>
                <w:lang w:val="en-US"/>
              </w:rPr>
            </w:pPr>
            <w:r w:rsidRPr="00DE0C72">
              <w:rPr>
                <w:rFonts w:asciiTheme="minorHAnsi" w:eastAsia="Cambria" w:hAnsiTheme="minorHAnsi"/>
                <w:b/>
                <w:lang w:val="en-US"/>
              </w:rPr>
              <w:t>Imipenem/Cilastatin</w:t>
            </w:r>
          </w:p>
        </w:tc>
        <w:tc>
          <w:tcPr>
            <w:tcW w:w="6519" w:type="dxa"/>
            <w:shd w:val="clear" w:color="auto" w:fill="F2F2F2"/>
            <w:vAlign w:val="bottom"/>
          </w:tcPr>
          <w:p w14:paraId="2A8B8E5E"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For creatinine clearance 20-40 ml/min dose 500 mg every 8 hours; for creatinine clearance &lt; 20 ml/min dose 500 mg every 12 hours</w:t>
            </w:r>
          </w:p>
        </w:tc>
      </w:tr>
      <w:tr w:rsidR="00F20AEE" w:rsidRPr="00681907" w14:paraId="45724B38" w14:textId="77777777" w:rsidTr="000A419E">
        <w:trPr>
          <w:jc w:val="center"/>
        </w:trPr>
        <w:tc>
          <w:tcPr>
            <w:tcW w:w="2178" w:type="dxa"/>
            <w:shd w:val="clear" w:color="auto" w:fill="F2F2F2"/>
          </w:tcPr>
          <w:p w14:paraId="52BEC506" w14:textId="77777777" w:rsidR="00F20AEE" w:rsidRPr="00DE0C72" w:rsidRDefault="00F20AEE" w:rsidP="00F20AEE">
            <w:pPr>
              <w:spacing w:after="0" w:line="240" w:lineRule="auto"/>
              <w:contextualSpacing/>
              <w:rPr>
                <w:rFonts w:asciiTheme="minorHAnsi" w:eastAsia="Cambria" w:hAnsiTheme="minorHAnsi"/>
                <w:b/>
                <w:lang w:val="en-US"/>
              </w:rPr>
            </w:pPr>
            <w:r w:rsidRPr="00DE0C72">
              <w:rPr>
                <w:rFonts w:asciiTheme="minorHAnsi" w:eastAsia="Cambria" w:hAnsiTheme="minorHAnsi"/>
                <w:b/>
                <w:lang w:val="en-US"/>
              </w:rPr>
              <w:t>Meropenem</w:t>
            </w:r>
          </w:p>
        </w:tc>
        <w:tc>
          <w:tcPr>
            <w:tcW w:w="6519" w:type="dxa"/>
            <w:shd w:val="clear" w:color="auto" w:fill="F2F2F2"/>
            <w:vAlign w:val="bottom"/>
          </w:tcPr>
          <w:p w14:paraId="7B995C2E"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For creatinine clearance 20-40 ml/min dose 750 mg every 12 hours; for creatinine clearance &lt; 20 ml/min dose 500 mg every 12 hours</w:t>
            </w:r>
          </w:p>
        </w:tc>
      </w:tr>
      <w:tr w:rsidR="00F20AEE" w:rsidRPr="00681907" w14:paraId="1D1C3AA7" w14:textId="77777777" w:rsidTr="000A419E">
        <w:trPr>
          <w:jc w:val="center"/>
        </w:trPr>
        <w:tc>
          <w:tcPr>
            <w:tcW w:w="2178" w:type="dxa"/>
            <w:shd w:val="clear" w:color="auto" w:fill="F2F2F2"/>
          </w:tcPr>
          <w:p w14:paraId="4CBC7C95" w14:textId="77777777" w:rsidR="00F20AEE" w:rsidRPr="00DE0C72" w:rsidRDefault="00F20AEE" w:rsidP="00F20AEE">
            <w:pPr>
              <w:spacing w:after="0" w:line="240" w:lineRule="auto"/>
              <w:contextualSpacing/>
              <w:rPr>
                <w:rFonts w:asciiTheme="minorHAnsi" w:eastAsia="Cambria" w:hAnsiTheme="minorHAnsi"/>
                <w:b/>
                <w:lang w:val="en-US"/>
              </w:rPr>
            </w:pPr>
            <w:r w:rsidRPr="00DE0C72">
              <w:rPr>
                <w:rFonts w:asciiTheme="minorHAnsi" w:eastAsia="Cambria" w:hAnsiTheme="minorHAnsi"/>
                <w:b/>
                <w:lang w:val="en-US"/>
              </w:rPr>
              <w:t xml:space="preserve">High Dose </w:t>
            </w:r>
            <w:proofErr w:type="spellStart"/>
            <w:r w:rsidRPr="00DE0C72">
              <w:rPr>
                <w:rFonts w:asciiTheme="minorHAnsi" w:eastAsia="Cambria" w:hAnsiTheme="minorHAnsi"/>
                <w:b/>
                <w:lang w:val="en-US"/>
              </w:rPr>
              <w:t>Isonizazid</w:t>
            </w:r>
            <w:proofErr w:type="spellEnd"/>
          </w:p>
        </w:tc>
        <w:tc>
          <w:tcPr>
            <w:tcW w:w="6519" w:type="dxa"/>
            <w:shd w:val="clear" w:color="auto" w:fill="F2F2F2"/>
            <w:vAlign w:val="bottom"/>
          </w:tcPr>
          <w:p w14:paraId="760446C7" w14:textId="77777777" w:rsidR="00F20AEE" w:rsidRPr="00681907" w:rsidRDefault="00F20AEE" w:rsidP="00F20AEE">
            <w:pPr>
              <w:spacing w:after="0" w:line="240" w:lineRule="auto"/>
              <w:rPr>
                <w:rFonts w:asciiTheme="minorHAnsi" w:eastAsia="Times New Roman" w:hAnsiTheme="minorHAnsi" w:cs="Times New Roman"/>
                <w:color w:val="auto"/>
                <w:lang w:val="en-US" w:eastAsia="zh-CN"/>
              </w:rPr>
            </w:pPr>
            <w:r w:rsidRPr="00681907">
              <w:rPr>
                <w:rFonts w:asciiTheme="minorHAnsi" w:eastAsia="Times New Roman" w:hAnsiTheme="minorHAnsi" w:cs="Times New Roman"/>
                <w:color w:val="auto"/>
                <w:lang w:val="en-US" w:eastAsia="zh-CN"/>
              </w:rPr>
              <w:t>Recommendations not available</w:t>
            </w:r>
          </w:p>
        </w:tc>
      </w:tr>
    </w:tbl>
    <w:p w14:paraId="20B7268C" w14:textId="77777777" w:rsidR="00F20AEE" w:rsidRPr="00681907" w:rsidRDefault="00F20AEE" w:rsidP="00F20AEE">
      <w:pPr>
        <w:spacing w:after="0" w:line="240" w:lineRule="auto"/>
        <w:jc w:val="both"/>
        <w:rPr>
          <w:rFonts w:asciiTheme="minorHAnsi" w:eastAsia="Times New Roman" w:hAnsiTheme="minorHAnsi" w:cs="Times New Roman"/>
          <w:color w:val="auto"/>
          <w:lang w:val="en-US" w:eastAsia="zh-CN"/>
        </w:rPr>
      </w:pPr>
      <w:proofErr w:type="gramStart"/>
      <w:r w:rsidRPr="00DE0C72">
        <w:rPr>
          <w:rFonts w:asciiTheme="minorHAnsi" w:eastAsia="Times New Roman" w:hAnsiTheme="minorHAnsi" w:cs="Times New Roman"/>
          <w:color w:val="auto"/>
          <w:vertAlign w:val="superscript"/>
          <w:lang w:val="en-US" w:eastAsia="zh-CN"/>
        </w:rPr>
        <w:t>a</w:t>
      </w:r>
      <w:proofErr w:type="gramEnd"/>
      <w:r w:rsidRPr="00DE0C72">
        <w:rPr>
          <w:rFonts w:asciiTheme="minorHAnsi" w:eastAsia="Times New Roman" w:hAnsiTheme="minorHAnsi" w:cs="Times New Roman"/>
          <w:color w:val="auto"/>
          <w:lang w:val="en-US" w:eastAsia="zh-CN"/>
        </w:rPr>
        <w:t xml:space="preserve"> Adapted from </w:t>
      </w:r>
      <w:r w:rsidRPr="00681907">
        <w:rPr>
          <w:rFonts w:asciiTheme="minorHAnsi" w:eastAsia="Times New Roman" w:hAnsiTheme="minorHAnsi" w:cs="Times New Roman"/>
          <w:i/>
          <w:color w:val="auto"/>
          <w:lang w:val="en-US" w:eastAsia="zh-CN"/>
        </w:rPr>
        <w:t>Tuberculosis Drug Information Guide 2</w:t>
      </w:r>
      <w:r w:rsidRPr="00681907">
        <w:rPr>
          <w:rFonts w:asciiTheme="minorHAnsi" w:eastAsia="Times New Roman" w:hAnsiTheme="minorHAnsi" w:cs="Times New Roman"/>
          <w:i/>
          <w:color w:val="auto"/>
          <w:vertAlign w:val="superscript"/>
          <w:lang w:val="en-US" w:eastAsia="zh-CN"/>
        </w:rPr>
        <w:t>nd</w:t>
      </w:r>
      <w:r w:rsidRPr="00681907">
        <w:rPr>
          <w:rFonts w:asciiTheme="minorHAnsi" w:eastAsia="Times New Roman" w:hAnsiTheme="minorHAnsi" w:cs="Times New Roman"/>
          <w:i/>
          <w:color w:val="auto"/>
          <w:lang w:val="en-US" w:eastAsia="zh-CN"/>
        </w:rPr>
        <w:t xml:space="preserve"> Edition, 2012</w:t>
      </w:r>
      <w:r w:rsidRPr="00681907">
        <w:rPr>
          <w:rFonts w:asciiTheme="minorHAnsi" w:eastAsia="Times New Roman" w:hAnsiTheme="minorHAnsi" w:cs="Times New Roman"/>
          <w:color w:val="auto"/>
          <w:lang w:val="en-US" w:eastAsia="zh-CN"/>
        </w:rPr>
        <w:t xml:space="preserve"> published by the Francis J. Curry National Tuberculosis Center and California, Department of Public Health (13).</w:t>
      </w:r>
    </w:p>
    <w:p w14:paraId="2D4E7FB5" w14:textId="77777777" w:rsidR="00F20AEE" w:rsidRPr="00DE0C72" w:rsidRDefault="00F20AEE" w:rsidP="00F20AEE">
      <w:pPr>
        <w:spacing w:after="0" w:line="240" w:lineRule="auto"/>
        <w:jc w:val="both"/>
        <w:rPr>
          <w:rFonts w:asciiTheme="minorHAnsi" w:eastAsia="Times New Roman" w:hAnsiTheme="minorHAnsi" w:cs="Times New Roman"/>
          <w:color w:val="auto"/>
          <w:lang w:val="en-US" w:eastAsia="zh-CN"/>
        </w:rPr>
      </w:pPr>
      <w:r w:rsidRPr="00DE0C72">
        <w:rPr>
          <w:rFonts w:asciiTheme="minorHAnsi" w:eastAsia="Times New Roman" w:hAnsiTheme="minorHAnsi" w:cs="Times New Roman"/>
          <w:color w:val="auto"/>
          <w:vertAlign w:val="superscript"/>
          <w:lang w:val="en-US" w:eastAsia="zh-CN"/>
        </w:rPr>
        <w:t>b</w:t>
      </w:r>
      <w:r w:rsidRPr="00DE0C72">
        <w:rPr>
          <w:rFonts w:asciiTheme="minorHAnsi" w:eastAsia="Times New Roman" w:hAnsiTheme="minorHAnsi" w:cs="Times New Roman"/>
          <w:color w:val="auto"/>
          <w:lang w:val="en-US" w:eastAsia="zh-CN"/>
        </w:rPr>
        <w:t xml:space="preserve"> Caution should be used with the injectable agents in patients with renal function impairment because of the increased risk of both ototoxicity and nephrotoxicity. If on dialysis, dose after dialysis. </w:t>
      </w:r>
    </w:p>
    <w:p w14:paraId="37861B18" w14:textId="77777777" w:rsidR="00F20AEE" w:rsidRPr="00DE0C72" w:rsidRDefault="00F20AEE" w:rsidP="00F20AEE">
      <w:pPr>
        <w:spacing w:after="0" w:line="240" w:lineRule="auto"/>
        <w:jc w:val="both"/>
        <w:rPr>
          <w:rFonts w:asciiTheme="minorHAnsi" w:eastAsia="Times New Roman" w:hAnsiTheme="minorHAnsi" w:cs="Times New Roman"/>
          <w:color w:val="auto"/>
          <w:lang w:val="en-US" w:eastAsia="zh-CN"/>
        </w:rPr>
      </w:pPr>
      <w:r w:rsidRPr="00DE0C72">
        <w:rPr>
          <w:rFonts w:asciiTheme="minorHAnsi" w:eastAsia="Times New Roman" w:hAnsiTheme="minorHAnsi" w:cs="Times New Roman"/>
          <w:color w:val="auto"/>
          <w:vertAlign w:val="superscript"/>
          <w:lang w:val="en-US" w:eastAsia="zh-CN"/>
        </w:rPr>
        <w:t>c</w:t>
      </w:r>
      <w:r w:rsidRPr="00DE0C72">
        <w:rPr>
          <w:rFonts w:asciiTheme="minorHAnsi" w:eastAsia="Times New Roman" w:hAnsiTheme="minorHAnsi" w:cs="Times New Roman"/>
          <w:color w:val="auto"/>
          <w:lang w:val="en-US" w:eastAsia="zh-CN"/>
        </w:rPr>
        <w:t xml:space="preserve"> </w:t>
      </w:r>
      <w:proofErr w:type="gramStart"/>
      <w:r w:rsidRPr="00DE0C72">
        <w:rPr>
          <w:rFonts w:asciiTheme="minorHAnsi" w:eastAsia="Times New Roman" w:hAnsiTheme="minorHAnsi" w:cs="Times New Roman"/>
          <w:color w:val="auto"/>
          <w:lang w:val="en-US" w:eastAsia="zh-CN"/>
        </w:rPr>
        <w:t>The</w:t>
      </w:r>
      <w:proofErr w:type="gramEnd"/>
      <w:r w:rsidRPr="00DE0C72">
        <w:rPr>
          <w:rFonts w:asciiTheme="minorHAnsi" w:eastAsia="Times New Roman" w:hAnsiTheme="minorHAnsi" w:cs="Times New Roman"/>
          <w:color w:val="auto"/>
          <w:lang w:val="en-US" w:eastAsia="zh-CN"/>
        </w:rPr>
        <w:t xml:space="preserve"> appropriateness of 250 mg daily doses has not been established. There should be careful monitoring for evidence of neurotoxicity (if </w:t>
      </w:r>
      <w:proofErr w:type="gramStart"/>
      <w:r w:rsidRPr="00DE0C72">
        <w:rPr>
          <w:rFonts w:asciiTheme="minorHAnsi" w:eastAsia="Times New Roman" w:hAnsiTheme="minorHAnsi" w:cs="Times New Roman"/>
          <w:color w:val="auto"/>
          <w:lang w:val="en-US" w:eastAsia="zh-CN"/>
        </w:rPr>
        <w:t>possible</w:t>
      </w:r>
      <w:proofErr w:type="gramEnd"/>
      <w:r w:rsidRPr="00DE0C72">
        <w:rPr>
          <w:rFonts w:asciiTheme="minorHAnsi" w:eastAsia="Times New Roman" w:hAnsiTheme="minorHAnsi" w:cs="Times New Roman"/>
          <w:color w:val="auto"/>
          <w:lang w:val="en-US" w:eastAsia="zh-CN"/>
        </w:rPr>
        <w:t xml:space="preserve"> measure serum concentrations and adjust accordingly).</w:t>
      </w:r>
    </w:p>
    <w:p w14:paraId="2ECA477A" w14:textId="77777777" w:rsidR="00F20AEE" w:rsidRPr="00DE0C72" w:rsidRDefault="00F20AEE" w:rsidP="00F20AEE">
      <w:pPr>
        <w:spacing w:after="0" w:line="240" w:lineRule="auto"/>
        <w:jc w:val="both"/>
        <w:rPr>
          <w:rFonts w:ascii="Courier" w:eastAsia="Times" w:hAnsi="Courier" w:cs="Times New Roman"/>
          <w:color w:val="auto"/>
          <w:sz w:val="24"/>
          <w:szCs w:val="20"/>
          <w:lang w:val="en-US" w:eastAsia="zh-CN"/>
        </w:rPr>
      </w:pPr>
      <w:r w:rsidRPr="00DE0C72">
        <w:rPr>
          <w:rFonts w:asciiTheme="minorHAnsi" w:eastAsia="Times New Roman" w:hAnsiTheme="minorHAnsi" w:cs="Times New Roman"/>
          <w:color w:val="auto"/>
          <w:vertAlign w:val="superscript"/>
          <w:lang w:val="en-US" w:eastAsia="zh-CN"/>
        </w:rPr>
        <w:t>d</w:t>
      </w:r>
      <w:r w:rsidRPr="00DE0C72">
        <w:rPr>
          <w:rFonts w:asciiTheme="minorHAnsi" w:eastAsia="Times New Roman" w:hAnsiTheme="minorHAnsi" w:cs="Times New Roman"/>
          <w:color w:val="auto"/>
          <w:lang w:val="en-US" w:eastAsia="zh-CN"/>
        </w:rPr>
        <w:t xml:space="preserve"> Sodium salt formulations of PAS may result in an excessive sodium load and should be avoided in patients with renal insufficiency. Formulations of PAS that do not use the sodium salt can be used without the hazard of sodium retention and are the preferred formulation in patients with renal insufficiency.</w:t>
      </w:r>
    </w:p>
    <w:sectPr w:rsidR="00F20AEE" w:rsidRPr="00DE0C72" w:rsidSect="00006649">
      <w:headerReference w:type="default" r:id="rId11"/>
      <w:footerReference w:type="default" r:id="rId12"/>
      <w:pgSz w:w="12240" w:h="15840"/>
      <w:pgMar w:top="-1418" w:right="1440" w:bottom="851" w:left="1440"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F0A6B" w14:textId="77777777" w:rsidR="007D0213" w:rsidRDefault="007D0213">
      <w:pPr>
        <w:spacing w:after="0" w:line="240" w:lineRule="auto"/>
      </w:pPr>
      <w:r>
        <w:separator/>
      </w:r>
    </w:p>
  </w:endnote>
  <w:endnote w:type="continuationSeparator" w:id="0">
    <w:p w14:paraId="5DF56F48" w14:textId="77777777" w:rsidR="007D0213" w:rsidRDefault="007D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panose1 w:val="00000000000000000000"/>
    <w:charset w:val="80"/>
    <w:family w:val="auto"/>
    <w:notTrueType/>
    <w:pitch w:val="default"/>
    <w:sig w:usb0="00000000" w:usb1="08070000" w:usb2="00000010" w:usb3="00000000" w:csb0="00020001" w:csb1="00000000"/>
  </w:font>
  <w:font w:name="MS ??">
    <w:altName w:val="MS Mincho"/>
    <w:panose1 w:val="00000000000000000000"/>
    <w:charset w:val="80"/>
    <w:family w:val="auto"/>
    <w:notTrueType/>
    <w:pitch w:val="variable"/>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790847"/>
      <w:docPartObj>
        <w:docPartGallery w:val="Page Numbers (Bottom of Page)"/>
        <w:docPartUnique/>
      </w:docPartObj>
    </w:sdtPr>
    <w:sdtEndPr/>
    <w:sdtContent>
      <w:sdt>
        <w:sdtPr>
          <w:id w:val="-1669238322"/>
          <w:docPartObj>
            <w:docPartGallery w:val="Page Numbers (Top of Page)"/>
            <w:docPartUnique/>
          </w:docPartObj>
        </w:sdtPr>
        <w:sdtEndPr/>
        <w:sdtContent>
          <w:p w14:paraId="6896013B" w14:textId="77777777" w:rsidR="00006649" w:rsidRDefault="00006649" w:rsidP="00006649">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372F301C" w14:textId="20FD4382" w:rsidR="00D86D1D" w:rsidRDefault="00D86D1D">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886156">
              <w:rPr>
                <w:b/>
                <w:bCs/>
                <w:noProof/>
              </w:rPr>
              <w:t>1</w:t>
            </w:r>
            <w:r>
              <w:rPr>
                <w:b/>
                <w:bCs/>
                <w:sz w:val="24"/>
                <w:szCs w:val="24"/>
              </w:rPr>
              <w:fldChar w:fldCharType="end"/>
            </w:r>
            <w:r>
              <w:rPr>
                <w:lang w:val="fr-FR"/>
              </w:rPr>
              <w:t xml:space="preserve"> of </w:t>
            </w:r>
            <w:r>
              <w:rPr>
                <w:b/>
                <w:bCs/>
                <w:sz w:val="24"/>
                <w:szCs w:val="24"/>
              </w:rPr>
              <w:fldChar w:fldCharType="begin"/>
            </w:r>
            <w:r>
              <w:rPr>
                <w:b/>
                <w:bCs/>
              </w:rPr>
              <w:instrText>NUMPAGES</w:instrText>
            </w:r>
            <w:r>
              <w:rPr>
                <w:b/>
                <w:bCs/>
                <w:sz w:val="24"/>
                <w:szCs w:val="24"/>
              </w:rPr>
              <w:fldChar w:fldCharType="separate"/>
            </w:r>
            <w:r w:rsidR="00886156">
              <w:rPr>
                <w:b/>
                <w:bCs/>
                <w:noProof/>
              </w:rPr>
              <w:t>1</w:t>
            </w:r>
            <w:r>
              <w:rPr>
                <w:b/>
                <w:bCs/>
                <w:sz w:val="24"/>
                <w:szCs w:val="24"/>
              </w:rPr>
              <w:fldChar w:fldCharType="end"/>
            </w:r>
          </w:p>
        </w:sdtContent>
      </w:sdt>
    </w:sdtContent>
  </w:sdt>
  <w:p w14:paraId="5C0D6AB2" w14:textId="61141C30" w:rsidR="009701EE" w:rsidRPr="000A419E" w:rsidRDefault="009701EE">
    <w:pPr>
      <w:tabs>
        <w:tab w:val="center" w:pos="4680"/>
        <w:tab w:val="right" w:pos="9360"/>
      </w:tabs>
      <w:spacing w:after="7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F3DB0" w14:textId="77777777" w:rsidR="007D0213" w:rsidRDefault="007D0213">
      <w:pPr>
        <w:spacing w:after="0" w:line="240" w:lineRule="auto"/>
      </w:pPr>
      <w:r>
        <w:separator/>
      </w:r>
    </w:p>
  </w:footnote>
  <w:footnote w:type="continuationSeparator" w:id="0">
    <w:p w14:paraId="7E2635D0" w14:textId="77777777" w:rsidR="007D0213" w:rsidRDefault="007D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6" w:type="dxa"/>
      <w:tblInd w:w="534" w:type="dxa"/>
      <w:tblLook w:val="04A0" w:firstRow="1" w:lastRow="0" w:firstColumn="1" w:lastColumn="0" w:noHBand="0" w:noVBand="1"/>
    </w:tblPr>
    <w:tblGrid>
      <w:gridCol w:w="1559"/>
      <w:gridCol w:w="4961"/>
      <w:gridCol w:w="2976"/>
    </w:tblGrid>
    <w:tr w:rsidR="00E068EA" w:rsidRPr="001503B2" w14:paraId="54E5220A" w14:textId="77777777" w:rsidTr="009E60FF">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D48E0" w14:textId="72A6C4C1" w:rsidR="00E068EA" w:rsidRPr="003377F5" w:rsidRDefault="00E068EA" w:rsidP="002A11CB">
          <w:pPr>
            <w:spacing w:line="276" w:lineRule="auto"/>
            <w:rPr>
              <w:b/>
              <w:lang w:val="fr-FR"/>
            </w:rPr>
          </w:pPr>
          <w:r w:rsidRPr="003377F5">
            <w:rPr>
              <w:b/>
            </w:rPr>
            <w:t>SOP SP-018-CT</w:t>
          </w:r>
        </w:p>
      </w:tc>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F1AEA4" w14:textId="5F5577D0" w:rsidR="00E068EA" w:rsidRPr="00E068EA" w:rsidRDefault="00E068EA" w:rsidP="002A11CB">
          <w:pPr>
            <w:spacing w:line="276" w:lineRule="auto"/>
            <w:jc w:val="center"/>
            <w:rPr>
              <w:b/>
              <w:lang w:val="en-US"/>
            </w:rPr>
          </w:pPr>
          <w:r>
            <w:rPr>
              <w:b/>
              <w:lang w:val="en-US"/>
            </w:rPr>
            <w:t>endTB Clinical Trials - A1- Adjustments of anti-TB drugs in renal insufficiency</w:t>
          </w:r>
        </w:p>
      </w:tc>
      <w:tc>
        <w:tcPr>
          <w:tcW w:w="2976" w:type="dxa"/>
          <w:tcBorders>
            <w:top w:val="nil"/>
            <w:left w:val="single" w:sz="4" w:space="0" w:color="FFFFFF" w:themeColor="background1"/>
            <w:bottom w:val="single" w:sz="4" w:space="0" w:color="FFFFFF" w:themeColor="background1"/>
            <w:right w:val="single" w:sz="4" w:space="0" w:color="FFFFFF" w:themeColor="background1"/>
          </w:tcBorders>
        </w:tcPr>
        <w:p w14:paraId="20C58752" w14:textId="0490CEBF" w:rsidR="00E068EA" w:rsidRPr="003377F5" w:rsidRDefault="00140BCA" w:rsidP="002A11CB">
          <w:pPr>
            <w:spacing w:line="276" w:lineRule="auto"/>
            <w:ind w:left="34" w:hanging="34"/>
            <w:jc w:val="center"/>
            <w:rPr>
              <w:b/>
            </w:rPr>
          </w:pPr>
          <w:r>
            <w:rPr>
              <w:b/>
              <w:lang w:val="en-US"/>
            </w:rPr>
            <w:t xml:space="preserve">Version 1.0, </w:t>
          </w:r>
          <w:r w:rsidR="009E60FF">
            <w:rPr>
              <w:b/>
              <w:lang w:val="en-US"/>
            </w:rPr>
            <w:t xml:space="preserve">Date </w:t>
          </w:r>
          <w:r>
            <w:rPr>
              <w:b/>
              <w:lang w:val="en-US"/>
            </w:rPr>
            <w:t>23-Sep</w:t>
          </w:r>
          <w:r w:rsidR="00E068EA">
            <w:rPr>
              <w:b/>
              <w:lang w:val="en-US"/>
            </w:rPr>
            <w:t>-2019</w:t>
          </w:r>
        </w:p>
      </w:tc>
    </w:tr>
  </w:tbl>
  <w:p w14:paraId="04CA05C4" w14:textId="6C879FE6" w:rsidR="00E068EA" w:rsidRPr="0035494D" w:rsidRDefault="009E60FF" w:rsidP="00E068EA">
    <w:pPr>
      <w:tabs>
        <w:tab w:val="center" w:pos="4680"/>
        <w:tab w:val="right" w:pos="9360"/>
      </w:tabs>
      <w:spacing w:before="720" w:after="0" w:line="240" w:lineRule="auto"/>
      <w:rPr>
        <w:lang w:val="en-US"/>
      </w:rPr>
    </w:pPr>
    <w:r>
      <w:rPr>
        <w:noProof/>
      </w:rPr>
      <w:drawing>
        <wp:anchor distT="0" distB="0" distL="114300" distR="114300" simplePos="0" relativeHeight="251659776" behindDoc="0" locked="0" layoutInCell="1" allowOverlap="1" wp14:anchorId="63160BB1" wp14:editId="41C5F763">
          <wp:simplePos x="0" y="0"/>
          <wp:positionH relativeFrom="column">
            <wp:posOffset>-377132</wp:posOffset>
          </wp:positionH>
          <wp:positionV relativeFrom="paragraph">
            <wp:posOffset>-443224</wp:posOffset>
          </wp:positionV>
          <wp:extent cx="498763" cy="308147"/>
          <wp:effectExtent l="0" t="0" r="0" b="0"/>
          <wp:wrapThrough wrapText="bothSides">
            <wp:wrapPolygon edited="0">
              <wp:start x="0" y="0"/>
              <wp:lineTo x="0" y="20041"/>
              <wp:lineTo x="20637" y="20041"/>
              <wp:lineTo x="20637" y="0"/>
              <wp:lineTo x="0" y="0"/>
            </wp:wrapPolygon>
          </wp:wrapThrough>
          <wp:docPr id="106495170"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F462D76"/>
    <w:lvl w:ilvl="0">
      <w:start w:val="1"/>
      <w:numFmt w:val="lowerRoman"/>
      <w:lvlText w:val="%1."/>
      <w:lvlJc w:val="right"/>
      <w:pPr>
        <w:ind w:left="1080" w:hanging="360"/>
      </w:pPr>
      <w:rPr>
        <w:rFonts w:cs="Times New Roman"/>
      </w:rPr>
    </w:lvl>
  </w:abstractNum>
  <w:abstractNum w:abstractNumId="1" w15:restartNumberingAfterBreak="0">
    <w:nsid w:val="FFFFFF7F"/>
    <w:multiLevelType w:val="singleLevel"/>
    <w:tmpl w:val="C724578C"/>
    <w:lvl w:ilvl="0">
      <w:start w:val="1"/>
      <w:numFmt w:val="lowerLetter"/>
      <w:pStyle w:val="ListNumber3"/>
      <w:lvlText w:val="%1."/>
      <w:lvlJc w:val="left"/>
      <w:pPr>
        <w:ind w:left="720" w:hanging="360"/>
      </w:pPr>
      <w:rPr>
        <w:rFonts w:cs="Times New Roman"/>
      </w:rPr>
    </w:lvl>
  </w:abstractNum>
  <w:abstractNum w:abstractNumId="2" w15:restartNumberingAfterBreak="0">
    <w:nsid w:val="FFFFFF82"/>
    <w:multiLevelType w:val="singleLevel"/>
    <w:tmpl w:val="077EEC5A"/>
    <w:lvl w:ilvl="0">
      <w:start w:val="1"/>
      <w:numFmt w:val="bullet"/>
      <w:lvlText w:val=""/>
      <w:lvlJc w:val="left"/>
      <w:pPr>
        <w:ind w:left="1080" w:hanging="360"/>
      </w:pPr>
      <w:rPr>
        <w:rFonts w:ascii="Wingdings" w:hAnsi="Wingdings" w:hint="default"/>
      </w:rPr>
    </w:lvl>
  </w:abstractNum>
  <w:abstractNum w:abstractNumId="3" w15:restartNumberingAfterBreak="0">
    <w:nsid w:val="FFFFFF83"/>
    <w:multiLevelType w:val="singleLevel"/>
    <w:tmpl w:val="40E4C8E2"/>
    <w:lvl w:ilvl="0">
      <w:start w:val="1"/>
      <w:numFmt w:val="bullet"/>
      <w:pStyle w:val="ListBullet2"/>
      <w:lvlText w:val="o"/>
      <w:lvlJc w:val="left"/>
      <w:pPr>
        <w:ind w:left="720" w:hanging="360"/>
      </w:pPr>
      <w:rPr>
        <w:rFonts w:ascii="Courier New" w:hAnsi="Courier New" w:hint="default"/>
      </w:rPr>
    </w:lvl>
  </w:abstractNum>
  <w:abstractNum w:abstractNumId="4" w15:restartNumberingAfterBreak="0">
    <w:nsid w:val="FFFFFF88"/>
    <w:multiLevelType w:val="singleLevel"/>
    <w:tmpl w:val="3C68C578"/>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6B02CA2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552FC1"/>
    <w:multiLevelType w:val="hybridMultilevel"/>
    <w:tmpl w:val="9A5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D4C96"/>
    <w:multiLevelType w:val="hybridMultilevel"/>
    <w:tmpl w:val="81EA9468"/>
    <w:lvl w:ilvl="0" w:tplc="1E4CAFA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0F0F1C"/>
    <w:multiLevelType w:val="hybridMultilevel"/>
    <w:tmpl w:val="90A0D5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63717BE"/>
    <w:multiLevelType w:val="hybridMultilevel"/>
    <w:tmpl w:val="38905D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FD62C16"/>
    <w:multiLevelType w:val="hybridMultilevel"/>
    <w:tmpl w:val="116A4C36"/>
    <w:lvl w:ilvl="0" w:tplc="528E71A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03B54AD"/>
    <w:multiLevelType w:val="multilevel"/>
    <w:tmpl w:val="6ED8D4FA"/>
    <w:numStyleLink w:val="SOPFormat"/>
  </w:abstractNum>
  <w:abstractNum w:abstractNumId="12" w15:restartNumberingAfterBreak="0">
    <w:nsid w:val="10624285"/>
    <w:multiLevelType w:val="hybridMultilevel"/>
    <w:tmpl w:val="55D42FC6"/>
    <w:lvl w:ilvl="0" w:tplc="040C0001">
      <w:start w:val="1"/>
      <w:numFmt w:val="bullet"/>
      <w:lvlText w:val=""/>
      <w:lvlJc w:val="left"/>
      <w:pPr>
        <w:ind w:left="1440" w:hanging="360"/>
      </w:pPr>
      <w:rPr>
        <w:rFonts w:ascii="Symbol" w:hAnsi="Symbol" w:hint="default"/>
      </w:rPr>
    </w:lvl>
    <w:lvl w:ilvl="1" w:tplc="040C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D57906"/>
    <w:multiLevelType w:val="hybridMultilevel"/>
    <w:tmpl w:val="A12A728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1522D58"/>
    <w:multiLevelType w:val="hybridMultilevel"/>
    <w:tmpl w:val="4C7A6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7737E2"/>
    <w:multiLevelType w:val="multilevel"/>
    <w:tmpl w:val="186EAD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3FB490E"/>
    <w:multiLevelType w:val="multilevel"/>
    <w:tmpl w:val="E386130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7" w15:restartNumberingAfterBreak="0">
    <w:nsid w:val="168C2890"/>
    <w:multiLevelType w:val="multilevel"/>
    <w:tmpl w:val="947CCC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78D3DA3"/>
    <w:multiLevelType w:val="hybridMultilevel"/>
    <w:tmpl w:val="90F45BD0"/>
    <w:lvl w:ilvl="0" w:tplc="FC9CB9D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57652"/>
    <w:multiLevelType w:val="hybridMultilevel"/>
    <w:tmpl w:val="B1C67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CA6E06"/>
    <w:multiLevelType w:val="hybridMultilevel"/>
    <w:tmpl w:val="580EA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53643D"/>
    <w:multiLevelType w:val="hybridMultilevel"/>
    <w:tmpl w:val="96641BCE"/>
    <w:lvl w:ilvl="0" w:tplc="FC9CB9D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C6F4F"/>
    <w:multiLevelType w:val="hybridMultilevel"/>
    <w:tmpl w:val="F9FCFE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2FAB6D94"/>
    <w:multiLevelType w:val="multilevel"/>
    <w:tmpl w:val="2BA6CA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31E43FF"/>
    <w:multiLevelType w:val="multilevel"/>
    <w:tmpl w:val="90F8274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5" w15:restartNumberingAfterBreak="0">
    <w:nsid w:val="33241A1A"/>
    <w:multiLevelType w:val="hybridMultilevel"/>
    <w:tmpl w:val="2A2C41BE"/>
    <w:lvl w:ilvl="0" w:tplc="FC9CB9D8">
      <w:start w:val="1"/>
      <w:numFmt w:val="bullet"/>
      <w:lvlText w:val="-"/>
      <w:lvlJc w:val="left"/>
      <w:pPr>
        <w:ind w:left="2880" w:hanging="360"/>
      </w:pPr>
      <w:rPr>
        <w:rFonts w:ascii="Calibri" w:eastAsia="Calibri" w:hAnsi="Calibri" w:cs="Calibri"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395E0C4B"/>
    <w:multiLevelType w:val="multilevel"/>
    <w:tmpl w:val="BC70C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D797E1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11EBD"/>
    <w:multiLevelType w:val="multilevel"/>
    <w:tmpl w:val="6ED8D4FA"/>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BE01EA"/>
    <w:multiLevelType w:val="hybridMultilevel"/>
    <w:tmpl w:val="5BDCA0E2"/>
    <w:lvl w:ilvl="0" w:tplc="FC9CB9D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61DBB"/>
    <w:multiLevelType w:val="hybridMultilevel"/>
    <w:tmpl w:val="95102C40"/>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8FCAE92">
      <w:start w:val="1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10A51"/>
    <w:multiLevelType w:val="hybridMultilevel"/>
    <w:tmpl w:val="C9DA4BC6"/>
    <w:lvl w:ilvl="0" w:tplc="28FCAE92">
      <w:start w:val="12"/>
      <w:numFmt w:val="bullet"/>
      <w:lvlText w:val="-"/>
      <w:lvlJc w:val="left"/>
      <w:pPr>
        <w:ind w:left="2880" w:hanging="360"/>
      </w:pPr>
      <w:rPr>
        <w:rFonts w:ascii="Calibri" w:eastAsia="Calibr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7D95EA7"/>
    <w:multiLevelType w:val="multilevel"/>
    <w:tmpl w:val="F38CD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8B31954"/>
    <w:multiLevelType w:val="hybridMultilevel"/>
    <w:tmpl w:val="E59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62353"/>
    <w:multiLevelType w:val="multilevel"/>
    <w:tmpl w:val="D85CEEA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5" w15:restartNumberingAfterBreak="0">
    <w:nsid w:val="5C7132FB"/>
    <w:multiLevelType w:val="multilevel"/>
    <w:tmpl w:val="2AECE2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F477B81"/>
    <w:multiLevelType w:val="hybridMultilevel"/>
    <w:tmpl w:val="277ACA58"/>
    <w:lvl w:ilvl="0" w:tplc="FC9CB9D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6353FF"/>
    <w:multiLevelType w:val="hybridMultilevel"/>
    <w:tmpl w:val="46E8A75E"/>
    <w:lvl w:ilvl="0" w:tplc="28FCAE92">
      <w:start w:val="1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373797"/>
    <w:multiLevelType w:val="hybridMultilevel"/>
    <w:tmpl w:val="143ED83C"/>
    <w:lvl w:ilvl="0" w:tplc="040C0001">
      <w:start w:val="1"/>
      <w:numFmt w:val="bullet"/>
      <w:lvlText w:val=""/>
      <w:lvlJc w:val="left"/>
      <w:pPr>
        <w:ind w:left="81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18D6C39"/>
    <w:multiLevelType w:val="hybridMultilevel"/>
    <w:tmpl w:val="1A9C1F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3CD52BB"/>
    <w:multiLevelType w:val="hybridMultilevel"/>
    <w:tmpl w:val="3C76FA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4A667B8"/>
    <w:multiLevelType w:val="hybridMultilevel"/>
    <w:tmpl w:val="79FC48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61F463E"/>
    <w:multiLevelType w:val="hybridMultilevel"/>
    <w:tmpl w:val="D9704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A63A38"/>
    <w:multiLevelType w:val="hybridMultilevel"/>
    <w:tmpl w:val="5874B4F2"/>
    <w:lvl w:ilvl="0" w:tplc="040C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7F57B7"/>
    <w:multiLevelType w:val="hybridMultilevel"/>
    <w:tmpl w:val="EFF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9108F"/>
    <w:multiLevelType w:val="hybridMultilevel"/>
    <w:tmpl w:val="F11AF8F8"/>
    <w:lvl w:ilvl="0" w:tplc="040C0001">
      <w:start w:val="1"/>
      <w:numFmt w:val="bullet"/>
      <w:lvlText w:val=""/>
      <w:lvlJc w:val="left"/>
      <w:pPr>
        <w:ind w:left="2160" w:hanging="360"/>
      </w:pPr>
      <w:rPr>
        <w:rFonts w:ascii="Symbol" w:hAnsi="Symbol" w:hint="default"/>
      </w:rPr>
    </w:lvl>
    <w:lvl w:ilvl="1" w:tplc="28FCAE92">
      <w:start w:val="12"/>
      <w:numFmt w:val="bullet"/>
      <w:lvlText w:val="-"/>
      <w:lvlJc w:val="left"/>
      <w:pPr>
        <w:ind w:left="2880" w:hanging="360"/>
      </w:pPr>
      <w:rPr>
        <w:rFonts w:ascii="Calibri" w:eastAsia="Calibri"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F8B5087"/>
    <w:multiLevelType w:val="multilevel"/>
    <w:tmpl w:val="4340463E"/>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923291122">
    <w:abstractNumId w:val="35"/>
  </w:num>
  <w:num w:numId="2" w16cid:durableId="1716158181">
    <w:abstractNumId w:val="24"/>
  </w:num>
  <w:num w:numId="3" w16cid:durableId="1490251850">
    <w:abstractNumId w:val="16"/>
  </w:num>
  <w:num w:numId="4" w16cid:durableId="1512598665">
    <w:abstractNumId w:val="17"/>
  </w:num>
  <w:num w:numId="5" w16cid:durableId="1137534249">
    <w:abstractNumId w:val="46"/>
  </w:num>
  <w:num w:numId="6" w16cid:durableId="277638632">
    <w:abstractNumId w:val="15"/>
  </w:num>
  <w:num w:numId="7" w16cid:durableId="1631668353">
    <w:abstractNumId w:val="32"/>
  </w:num>
  <w:num w:numId="8" w16cid:durableId="1877428687">
    <w:abstractNumId w:val="34"/>
  </w:num>
  <w:num w:numId="9" w16cid:durableId="869297462">
    <w:abstractNumId w:val="27"/>
  </w:num>
  <w:num w:numId="10" w16cid:durableId="485055601">
    <w:abstractNumId w:val="19"/>
  </w:num>
  <w:num w:numId="11" w16cid:durableId="1843660438">
    <w:abstractNumId w:val="14"/>
  </w:num>
  <w:num w:numId="12" w16cid:durableId="1985961078">
    <w:abstractNumId w:val="20"/>
  </w:num>
  <w:num w:numId="13" w16cid:durableId="947540156">
    <w:abstractNumId w:val="40"/>
  </w:num>
  <w:num w:numId="14" w16cid:durableId="2034530453">
    <w:abstractNumId w:val="39"/>
  </w:num>
  <w:num w:numId="15" w16cid:durableId="1832670792">
    <w:abstractNumId w:val="41"/>
  </w:num>
  <w:num w:numId="16" w16cid:durableId="2064597247">
    <w:abstractNumId w:val="13"/>
  </w:num>
  <w:num w:numId="17" w16cid:durableId="2102488235">
    <w:abstractNumId w:val="2"/>
  </w:num>
  <w:num w:numId="18" w16cid:durableId="2081052631">
    <w:abstractNumId w:val="3"/>
  </w:num>
  <w:num w:numId="19" w16cid:durableId="1168058765">
    <w:abstractNumId w:val="38"/>
  </w:num>
  <w:num w:numId="20" w16cid:durableId="709493371">
    <w:abstractNumId w:val="5"/>
  </w:num>
  <w:num w:numId="21" w16cid:durableId="1650868480">
    <w:abstractNumId w:val="0"/>
  </w:num>
  <w:num w:numId="22" w16cid:durableId="648748345">
    <w:abstractNumId w:val="4"/>
  </w:num>
  <w:num w:numId="23" w16cid:durableId="999649800">
    <w:abstractNumId w:val="42"/>
  </w:num>
  <w:num w:numId="24" w16cid:durableId="2042050929">
    <w:abstractNumId w:val="9"/>
  </w:num>
  <w:num w:numId="25" w16cid:durableId="1424884848">
    <w:abstractNumId w:val="36"/>
  </w:num>
  <w:num w:numId="26" w16cid:durableId="436490877">
    <w:abstractNumId w:val="7"/>
  </w:num>
  <w:num w:numId="27" w16cid:durableId="805003877">
    <w:abstractNumId w:val="22"/>
  </w:num>
  <w:num w:numId="28" w16cid:durableId="1504473445">
    <w:abstractNumId w:val="4"/>
    <w:lvlOverride w:ilvl="0">
      <w:startOverride w:val="1"/>
    </w:lvlOverride>
  </w:num>
  <w:num w:numId="29" w16cid:durableId="1223055010">
    <w:abstractNumId w:val="8"/>
  </w:num>
  <w:num w:numId="30" w16cid:durableId="1267007978">
    <w:abstractNumId w:val="31"/>
  </w:num>
  <w:num w:numId="31" w16cid:durableId="1864710050">
    <w:abstractNumId w:val="1"/>
  </w:num>
  <w:num w:numId="32" w16cid:durableId="940182591">
    <w:abstractNumId w:val="1"/>
    <w:lvlOverride w:ilvl="0">
      <w:startOverride w:val="1"/>
    </w:lvlOverride>
  </w:num>
  <w:num w:numId="33" w16cid:durableId="1873686673">
    <w:abstractNumId w:val="37"/>
  </w:num>
  <w:num w:numId="34" w16cid:durableId="2064139656">
    <w:abstractNumId w:val="30"/>
  </w:num>
  <w:num w:numId="35" w16cid:durableId="1285308289">
    <w:abstractNumId w:val="43"/>
  </w:num>
  <w:num w:numId="36" w16cid:durableId="1353069829">
    <w:abstractNumId w:val="25"/>
  </w:num>
  <w:num w:numId="37" w16cid:durableId="412168474">
    <w:abstractNumId w:val="45"/>
  </w:num>
  <w:num w:numId="38" w16cid:durableId="771317005">
    <w:abstractNumId w:val="12"/>
  </w:num>
  <w:num w:numId="39" w16cid:durableId="914557826">
    <w:abstractNumId w:val="10"/>
  </w:num>
  <w:num w:numId="40" w16cid:durableId="1652320313">
    <w:abstractNumId w:val="28"/>
  </w:num>
  <w:num w:numId="41" w16cid:durableId="875044588">
    <w:abstractNumId w:val="11"/>
  </w:num>
  <w:num w:numId="42" w16cid:durableId="315689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4054008">
    <w:abstractNumId w:val="33"/>
  </w:num>
  <w:num w:numId="44" w16cid:durableId="502403554">
    <w:abstractNumId w:val="18"/>
  </w:num>
  <w:num w:numId="45" w16cid:durableId="1028527041">
    <w:abstractNumId w:val="29"/>
  </w:num>
  <w:num w:numId="46" w16cid:durableId="1887911510">
    <w:abstractNumId w:val="44"/>
  </w:num>
  <w:num w:numId="47" w16cid:durableId="801121925">
    <w:abstractNumId w:val="21"/>
  </w:num>
  <w:num w:numId="48" w16cid:durableId="1577091049">
    <w:abstractNumId w:val="23"/>
  </w:num>
  <w:num w:numId="49" w16cid:durableId="141429811">
    <w:abstractNumId w:val="6"/>
  </w:num>
  <w:num w:numId="50" w16cid:durableId="849952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it-IT" w:vendorID="64" w:dllVersion="4096" w:nlCheck="1" w:checkStyle="0"/>
  <w:proofState w:spelling="clean" w:grammar="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42D"/>
    <w:rsid w:val="00003E81"/>
    <w:rsid w:val="00006649"/>
    <w:rsid w:val="00011684"/>
    <w:rsid w:val="00015625"/>
    <w:rsid w:val="00020846"/>
    <w:rsid w:val="0002171E"/>
    <w:rsid w:val="000230D9"/>
    <w:rsid w:val="000239C3"/>
    <w:rsid w:val="00024FF0"/>
    <w:rsid w:val="00031CF2"/>
    <w:rsid w:val="0003797C"/>
    <w:rsid w:val="00043C68"/>
    <w:rsid w:val="00047576"/>
    <w:rsid w:val="00060525"/>
    <w:rsid w:val="000628CD"/>
    <w:rsid w:val="00062CCB"/>
    <w:rsid w:val="00063B90"/>
    <w:rsid w:val="00084AE2"/>
    <w:rsid w:val="00092A19"/>
    <w:rsid w:val="0009422A"/>
    <w:rsid w:val="00094605"/>
    <w:rsid w:val="00095504"/>
    <w:rsid w:val="000A0C9B"/>
    <w:rsid w:val="000A419E"/>
    <w:rsid w:val="000A7971"/>
    <w:rsid w:val="000C3A9B"/>
    <w:rsid w:val="000C416C"/>
    <w:rsid w:val="000D0170"/>
    <w:rsid w:val="000D0C4C"/>
    <w:rsid w:val="000D3027"/>
    <w:rsid w:val="000E0D7E"/>
    <w:rsid w:val="000E11F0"/>
    <w:rsid w:val="000E3B2C"/>
    <w:rsid w:val="00122819"/>
    <w:rsid w:val="00135D38"/>
    <w:rsid w:val="001376A0"/>
    <w:rsid w:val="00140BCA"/>
    <w:rsid w:val="00161F20"/>
    <w:rsid w:val="001642E0"/>
    <w:rsid w:val="001659EF"/>
    <w:rsid w:val="00167CB8"/>
    <w:rsid w:val="00167D58"/>
    <w:rsid w:val="00170F7B"/>
    <w:rsid w:val="0017260C"/>
    <w:rsid w:val="00172AE5"/>
    <w:rsid w:val="00180B8D"/>
    <w:rsid w:val="001816ED"/>
    <w:rsid w:val="0019090A"/>
    <w:rsid w:val="001B1C50"/>
    <w:rsid w:val="001C7916"/>
    <w:rsid w:val="001F2137"/>
    <w:rsid w:val="001F21D6"/>
    <w:rsid w:val="0020723C"/>
    <w:rsid w:val="00207D23"/>
    <w:rsid w:val="00225DB0"/>
    <w:rsid w:val="0023394F"/>
    <w:rsid w:val="00241CE6"/>
    <w:rsid w:val="00246E09"/>
    <w:rsid w:val="00247647"/>
    <w:rsid w:val="0025323B"/>
    <w:rsid w:val="002563F7"/>
    <w:rsid w:val="00261D6A"/>
    <w:rsid w:val="0028004E"/>
    <w:rsid w:val="00284F1A"/>
    <w:rsid w:val="0029307B"/>
    <w:rsid w:val="002961B3"/>
    <w:rsid w:val="002971A5"/>
    <w:rsid w:val="002A123E"/>
    <w:rsid w:val="002A59D6"/>
    <w:rsid w:val="002A5DA1"/>
    <w:rsid w:val="002A711F"/>
    <w:rsid w:val="002B1022"/>
    <w:rsid w:val="002B30FE"/>
    <w:rsid w:val="002B482E"/>
    <w:rsid w:val="002C2D8B"/>
    <w:rsid w:val="002D54BA"/>
    <w:rsid w:val="002D6CE0"/>
    <w:rsid w:val="002E37AF"/>
    <w:rsid w:val="002E4867"/>
    <w:rsid w:val="002E5983"/>
    <w:rsid w:val="002F1DAC"/>
    <w:rsid w:val="002F2218"/>
    <w:rsid w:val="002F3FE4"/>
    <w:rsid w:val="00307334"/>
    <w:rsid w:val="00311122"/>
    <w:rsid w:val="003123B8"/>
    <w:rsid w:val="00314FAF"/>
    <w:rsid w:val="00322BC4"/>
    <w:rsid w:val="0033061D"/>
    <w:rsid w:val="00343050"/>
    <w:rsid w:val="0035494D"/>
    <w:rsid w:val="003551F3"/>
    <w:rsid w:val="00357C02"/>
    <w:rsid w:val="00361F38"/>
    <w:rsid w:val="00374B60"/>
    <w:rsid w:val="00385889"/>
    <w:rsid w:val="00396643"/>
    <w:rsid w:val="003A4317"/>
    <w:rsid w:val="003B065C"/>
    <w:rsid w:val="003B092C"/>
    <w:rsid w:val="003C717D"/>
    <w:rsid w:val="003D240C"/>
    <w:rsid w:val="003F1AEB"/>
    <w:rsid w:val="003F4D06"/>
    <w:rsid w:val="00407392"/>
    <w:rsid w:val="0041044C"/>
    <w:rsid w:val="00413B21"/>
    <w:rsid w:val="00413FF4"/>
    <w:rsid w:val="00421ED6"/>
    <w:rsid w:val="004230EC"/>
    <w:rsid w:val="00423914"/>
    <w:rsid w:val="00423ABA"/>
    <w:rsid w:val="004241FD"/>
    <w:rsid w:val="00427E2A"/>
    <w:rsid w:val="00441102"/>
    <w:rsid w:val="0044414F"/>
    <w:rsid w:val="00447D1D"/>
    <w:rsid w:val="00451F6A"/>
    <w:rsid w:val="0045570F"/>
    <w:rsid w:val="00466185"/>
    <w:rsid w:val="0046734F"/>
    <w:rsid w:val="00480B7F"/>
    <w:rsid w:val="00483D80"/>
    <w:rsid w:val="00486ACC"/>
    <w:rsid w:val="004921F2"/>
    <w:rsid w:val="004A0813"/>
    <w:rsid w:val="004A34D5"/>
    <w:rsid w:val="004A7861"/>
    <w:rsid w:val="004B0DB4"/>
    <w:rsid w:val="004B37EC"/>
    <w:rsid w:val="004B3FB6"/>
    <w:rsid w:val="004B7844"/>
    <w:rsid w:val="004C1D23"/>
    <w:rsid w:val="004C2FB6"/>
    <w:rsid w:val="004D2134"/>
    <w:rsid w:val="004D5C9A"/>
    <w:rsid w:val="004F5AF6"/>
    <w:rsid w:val="005037CE"/>
    <w:rsid w:val="00504282"/>
    <w:rsid w:val="005141C1"/>
    <w:rsid w:val="00520B63"/>
    <w:rsid w:val="0052234E"/>
    <w:rsid w:val="00525ECE"/>
    <w:rsid w:val="00543582"/>
    <w:rsid w:val="005476D8"/>
    <w:rsid w:val="00551C71"/>
    <w:rsid w:val="0056797E"/>
    <w:rsid w:val="00573282"/>
    <w:rsid w:val="00573EE9"/>
    <w:rsid w:val="00577F49"/>
    <w:rsid w:val="0058633E"/>
    <w:rsid w:val="00591CE4"/>
    <w:rsid w:val="005B4AEE"/>
    <w:rsid w:val="005C059E"/>
    <w:rsid w:val="005C4C83"/>
    <w:rsid w:val="005C6BB4"/>
    <w:rsid w:val="005D16AB"/>
    <w:rsid w:val="005D3109"/>
    <w:rsid w:val="005D431D"/>
    <w:rsid w:val="005D5259"/>
    <w:rsid w:val="005D747F"/>
    <w:rsid w:val="005E1A95"/>
    <w:rsid w:val="005E2A42"/>
    <w:rsid w:val="005E3747"/>
    <w:rsid w:val="005E7B34"/>
    <w:rsid w:val="005F39EB"/>
    <w:rsid w:val="005F3E82"/>
    <w:rsid w:val="005F560A"/>
    <w:rsid w:val="00600C63"/>
    <w:rsid w:val="00607C06"/>
    <w:rsid w:val="00617A63"/>
    <w:rsid w:val="00627AC8"/>
    <w:rsid w:val="006338D7"/>
    <w:rsid w:val="00641FFF"/>
    <w:rsid w:val="006511F3"/>
    <w:rsid w:val="00652B64"/>
    <w:rsid w:val="006652ED"/>
    <w:rsid w:val="00681907"/>
    <w:rsid w:val="00691B36"/>
    <w:rsid w:val="006A411B"/>
    <w:rsid w:val="006C019D"/>
    <w:rsid w:val="006C35F2"/>
    <w:rsid w:val="006D2D59"/>
    <w:rsid w:val="006D6CC1"/>
    <w:rsid w:val="006D76E8"/>
    <w:rsid w:val="006E78FB"/>
    <w:rsid w:val="006F2461"/>
    <w:rsid w:val="006F54D9"/>
    <w:rsid w:val="00706126"/>
    <w:rsid w:val="00717F2A"/>
    <w:rsid w:val="0072638A"/>
    <w:rsid w:val="00732449"/>
    <w:rsid w:val="00736F2E"/>
    <w:rsid w:val="00747BCB"/>
    <w:rsid w:val="00752D85"/>
    <w:rsid w:val="00760862"/>
    <w:rsid w:val="00760DF5"/>
    <w:rsid w:val="0076142D"/>
    <w:rsid w:val="00761B3B"/>
    <w:rsid w:val="00785FDD"/>
    <w:rsid w:val="007907A3"/>
    <w:rsid w:val="007974EF"/>
    <w:rsid w:val="007A106C"/>
    <w:rsid w:val="007A5A4F"/>
    <w:rsid w:val="007A7AB8"/>
    <w:rsid w:val="007B0931"/>
    <w:rsid w:val="007B35BD"/>
    <w:rsid w:val="007B56BF"/>
    <w:rsid w:val="007D0213"/>
    <w:rsid w:val="007E0DD3"/>
    <w:rsid w:val="00800E0A"/>
    <w:rsid w:val="008033B2"/>
    <w:rsid w:val="00806B42"/>
    <w:rsid w:val="00815252"/>
    <w:rsid w:val="00822275"/>
    <w:rsid w:val="008318F4"/>
    <w:rsid w:val="00834846"/>
    <w:rsid w:val="008570E7"/>
    <w:rsid w:val="00866358"/>
    <w:rsid w:val="008737C5"/>
    <w:rsid w:val="0087598B"/>
    <w:rsid w:val="00886156"/>
    <w:rsid w:val="00897E4D"/>
    <w:rsid w:val="008B1426"/>
    <w:rsid w:val="008C1972"/>
    <w:rsid w:val="008C2E97"/>
    <w:rsid w:val="008C577B"/>
    <w:rsid w:val="008D3276"/>
    <w:rsid w:val="008F3873"/>
    <w:rsid w:val="0090144A"/>
    <w:rsid w:val="0090687A"/>
    <w:rsid w:val="00917959"/>
    <w:rsid w:val="00921C51"/>
    <w:rsid w:val="00926747"/>
    <w:rsid w:val="0092736A"/>
    <w:rsid w:val="00953C65"/>
    <w:rsid w:val="0096146C"/>
    <w:rsid w:val="009635E5"/>
    <w:rsid w:val="009701EE"/>
    <w:rsid w:val="009769FE"/>
    <w:rsid w:val="009806CF"/>
    <w:rsid w:val="00981061"/>
    <w:rsid w:val="00981650"/>
    <w:rsid w:val="009A22FD"/>
    <w:rsid w:val="009A2F9C"/>
    <w:rsid w:val="009A43C2"/>
    <w:rsid w:val="009B1269"/>
    <w:rsid w:val="009B6B26"/>
    <w:rsid w:val="009C2DD1"/>
    <w:rsid w:val="009E04FF"/>
    <w:rsid w:val="009E60FF"/>
    <w:rsid w:val="009F174F"/>
    <w:rsid w:val="009F1C95"/>
    <w:rsid w:val="009F1F02"/>
    <w:rsid w:val="009F48CC"/>
    <w:rsid w:val="009F5067"/>
    <w:rsid w:val="00A05572"/>
    <w:rsid w:val="00A05EDB"/>
    <w:rsid w:val="00A07997"/>
    <w:rsid w:val="00A10DB9"/>
    <w:rsid w:val="00A16CE4"/>
    <w:rsid w:val="00A258DA"/>
    <w:rsid w:val="00A26A87"/>
    <w:rsid w:val="00A27911"/>
    <w:rsid w:val="00A45989"/>
    <w:rsid w:val="00A47A5C"/>
    <w:rsid w:val="00A50FD7"/>
    <w:rsid w:val="00A51F23"/>
    <w:rsid w:val="00A5496E"/>
    <w:rsid w:val="00A60A1A"/>
    <w:rsid w:val="00A61A50"/>
    <w:rsid w:val="00A7052A"/>
    <w:rsid w:val="00A72B85"/>
    <w:rsid w:val="00A773DF"/>
    <w:rsid w:val="00A8558D"/>
    <w:rsid w:val="00A86474"/>
    <w:rsid w:val="00A9134C"/>
    <w:rsid w:val="00A97C80"/>
    <w:rsid w:val="00AA7B80"/>
    <w:rsid w:val="00AB5426"/>
    <w:rsid w:val="00AC3BAC"/>
    <w:rsid w:val="00AC3F46"/>
    <w:rsid w:val="00AC4C94"/>
    <w:rsid w:val="00AD20A6"/>
    <w:rsid w:val="00AD2803"/>
    <w:rsid w:val="00AD361D"/>
    <w:rsid w:val="00AD5E7C"/>
    <w:rsid w:val="00AD69AF"/>
    <w:rsid w:val="00AD6DB1"/>
    <w:rsid w:val="00AE6F32"/>
    <w:rsid w:val="00AF0157"/>
    <w:rsid w:val="00AF4BE2"/>
    <w:rsid w:val="00AF52A4"/>
    <w:rsid w:val="00B0782D"/>
    <w:rsid w:val="00B10966"/>
    <w:rsid w:val="00B31864"/>
    <w:rsid w:val="00B414B1"/>
    <w:rsid w:val="00B60E75"/>
    <w:rsid w:val="00B70C69"/>
    <w:rsid w:val="00B8072E"/>
    <w:rsid w:val="00BA0BA2"/>
    <w:rsid w:val="00BB015E"/>
    <w:rsid w:val="00BB6651"/>
    <w:rsid w:val="00BC4F70"/>
    <w:rsid w:val="00BC6E68"/>
    <w:rsid w:val="00BC76BB"/>
    <w:rsid w:val="00BD08E5"/>
    <w:rsid w:val="00BE2C8A"/>
    <w:rsid w:val="00BE2FF4"/>
    <w:rsid w:val="00BE4F64"/>
    <w:rsid w:val="00BF6BA9"/>
    <w:rsid w:val="00BF7E53"/>
    <w:rsid w:val="00C042B9"/>
    <w:rsid w:val="00C0509A"/>
    <w:rsid w:val="00C12949"/>
    <w:rsid w:val="00C12F24"/>
    <w:rsid w:val="00C338A5"/>
    <w:rsid w:val="00C40F27"/>
    <w:rsid w:val="00C41B76"/>
    <w:rsid w:val="00C50988"/>
    <w:rsid w:val="00C512BC"/>
    <w:rsid w:val="00C54036"/>
    <w:rsid w:val="00C609FB"/>
    <w:rsid w:val="00C729F0"/>
    <w:rsid w:val="00C85219"/>
    <w:rsid w:val="00C90586"/>
    <w:rsid w:val="00C909E2"/>
    <w:rsid w:val="00C93C60"/>
    <w:rsid w:val="00C93E96"/>
    <w:rsid w:val="00C974AC"/>
    <w:rsid w:val="00CA3A68"/>
    <w:rsid w:val="00CA7E9C"/>
    <w:rsid w:val="00CB302D"/>
    <w:rsid w:val="00CB4FEA"/>
    <w:rsid w:val="00CB52B3"/>
    <w:rsid w:val="00CC6DBB"/>
    <w:rsid w:val="00CD3F75"/>
    <w:rsid w:val="00CD7A52"/>
    <w:rsid w:val="00CE137D"/>
    <w:rsid w:val="00CE436E"/>
    <w:rsid w:val="00CE6108"/>
    <w:rsid w:val="00CE73A6"/>
    <w:rsid w:val="00CF286A"/>
    <w:rsid w:val="00CF4E0F"/>
    <w:rsid w:val="00D01A24"/>
    <w:rsid w:val="00D15C8B"/>
    <w:rsid w:val="00D23408"/>
    <w:rsid w:val="00D43C0D"/>
    <w:rsid w:val="00D4672D"/>
    <w:rsid w:val="00D503F4"/>
    <w:rsid w:val="00D52524"/>
    <w:rsid w:val="00D55B99"/>
    <w:rsid w:val="00D67536"/>
    <w:rsid w:val="00D7797A"/>
    <w:rsid w:val="00D82BA8"/>
    <w:rsid w:val="00D84B10"/>
    <w:rsid w:val="00D86D1D"/>
    <w:rsid w:val="00D9710A"/>
    <w:rsid w:val="00D978C4"/>
    <w:rsid w:val="00DC7F38"/>
    <w:rsid w:val="00DD6FCD"/>
    <w:rsid w:val="00DE0C72"/>
    <w:rsid w:val="00DE70C4"/>
    <w:rsid w:val="00DF0A21"/>
    <w:rsid w:val="00DF5325"/>
    <w:rsid w:val="00DF698B"/>
    <w:rsid w:val="00DF6D97"/>
    <w:rsid w:val="00E01911"/>
    <w:rsid w:val="00E068EA"/>
    <w:rsid w:val="00E10819"/>
    <w:rsid w:val="00E212C4"/>
    <w:rsid w:val="00E30E55"/>
    <w:rsid w:val="00E31B9D"/>
    <w:rsid w:val="00E33CF3"/>
    <w:rsid w:val="00E362F8"/>
    <w:rsid w:val="00E371A8"/>
    <w:rsid w:val="00E4187C"/>
    <w:rsid w:val="00E46E8F"/>
    <w:rsid w:val="00E4704E"/>
    <w:rsid w:val="00E53C1B"/>
    <w:rsid w:val="00E54635"/>
    <w:rsid w:val="00E66B76"/>
    <w:rsid w:val="00E72B05"/>
    <w:rsid w:val="00E73175"/>
    <w:rsid w:val="00E74CAA"/>
    <w:rsid w:val="00E75E95"/>
    <w:rsid w:val="00E81E1A"/>
    <w:rsid w:val="00E84E1E"/>
    <w:rsid w:val="00E871FC"/>
    <w:rsid w:val="00E91DD9"/>
    <w:rsid w:val="00EA17E2"/>
    <w:rsid w:val="00EA2746"/>
    <w:rsid w:val="00EB3424"/>
    <w:rsid w:val="00EC6129"/>
    <w:rsid w:val="00ED292D"/>
    <w:rsid w:val="00EE0679"/>
    <w:rsid w:val="00EE7FA8"/>
    <w:rsid w:val="00EF3127"/>
    <w:rsid w:val="00EF66D5"/>
    <w:rsid w:val="00F02416"/>
    <w:rsid w:val="00F2061B"/>
    <w:rsid w:val="00F20AEE"/>
    <w:rsid w:val="00F259AC"/>
    <w:rsid w:val="00F27692"/>
    <w:rsid w:val="00F3103F"/>
    <w:rsid w:val="00F438F7"/>
    <w:rsid w:val="00F47FA8"/>
    <w:rsid w:val="00F50320"/>
    <w:rsid w:val="00F510B6"/>
    <w:rsid w:val="00F55F73"/>
    <w:rsid w:val="00F629CC"/>
    <w:rsid w:val="00F644B7"/>
    <w:rsid w:val="00F648F3"/>
    <w:rsid w:val="00F65EA5"/>
    <w:rsid w:val="00F716B7"/>
    <w:rsid w:val="00F825E7"/>
    <w:rsid w:val="00F83DD1"/>
    <w:rsid w:val="00F84127"/>
    <w:rsid w:val="00FA3215"/>
    <w:rsid w:val="00FA4B89"/>
    <w:rsid w:val="00FB0508"/>
    <w:rsid w:val="00FC7B98"/>
    <w:rsid w:val="00FD5659"/>
    <w:rsid w:val="00FE0BAA"/>
    <w:rsid w:val="00FE0DAD"/>
    <w:rsid w:val="00FE2BA4"/>
    <w:rsid w:val="00FE37A7"/>
    <w:rsid w:val="00FE3800"/>
    <w:rsid w:val="00FE427B"/>
    <w:rsid w:val="00FE4B54"/>
    <w:rsid w:val="00FE6E6A"/>
    <w:rsid w:val="00FF02F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60E574"/>
  <w15:docId w15:val="{CE0D029F-5579-4346-AB6B-22C4621C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A5A4F"/>
    <w:pPr>
      <w:keepNext/>
      <w:keepLines/>
      <w:numPr>
        <w:numId w:val="41"/>
      </w:numPr>
      <w:spacing w:before="120" w:after="120" w:line="240" w:lineRule="auto"/>
      <w:jc w:val="center"/>
      <w:outlineLvl w:val="0"/>
    </w:pPr>
    <w:rPr>
      <w:b/>
      <w:sz w:val="36"/>
      <w:szCs w:val="24"/>
    </w:rPr>
  </w:style>
  <w:style w:type="paragraph" w:styleId="Heading2">
    <w:name w:val="heading 2"/>
    <w:basedOn w:val="Normal"/>
    <w:next w:val="Normal"/>
    <w:rsid w:val="007A5A4F"/>
    <w:pPr>
      <w:keepNext/>
      <w:keepLines/>
      <w:numPr>
        <w:ilvl w:val="1"/>
        <w:numId w:val="41"/>
      </w:numPr>
      <w:spacing w:before="360" w:after="80"/>
      <w:contextualSpacing/>
      <w:outlineLvl w:val="1"/>
    </w:pPr>
    <w:rPr>
      <w:b/>
      <w:sz w:val="24"/>
      <w:szCs w:val="36"/>
    </w:rPr>
  </w:style>
  <w:style w:type="paragraph" w:styleId="Heading3">
    <w:name w:val="heading 3"/>
    <w:basedOn w:val="Normal"/>
    <w:next w:val="Normal"/>
    <w:rsid w:val="007A5A4F"/>
    <w:pPr>
      <w:keepNext/>
      <w:keepLines/>
      <w:numPr>
        <w:ilvl w:val="2"/>
        <w:numId w:val="41"/>
      </w:numPr>
      <w:spacing w:before="120" w:after="80"/>
      <w:ind w:left="1224" w:hanging="504"/>
      <w:contextualSpacing/>
      <w:outlineLvl w:val="2"/>
    </w:pPr>
    <w:rPr>
      <w:b/>
      <w:i/>
      <w:sz w:val="24"/>
      <w:szCs w:val="28"/>
    </w:rPr>
  </w:style>
  <w:style w:type="paragraph" w:styleId="Heading4">
    <w:name w:val="heading 4"/>
    <w:basedOn w:val="Normal"/>
    <w:next w:val="Normal"/>
    <w:rsid w:val="007A5A4F"/>
    <w:pPr>
      <w:keepNext/>
      <w:keepLines/>
      <w:numPr>
        <w:ilvl w:val="3"/>
        <w:numId w:val="41"/>
      </w:numPr>
      <w:spacing w:before="200" w:after="0"/>
      <w:ind w:left="1800" w:hanging="720"/>
      <w:contextualSpacing/>
      <w:outlineLvl w:val="3"/>
    </w:pPr>
    <w:rPr>
      <w:i/>
      <w:sz w:val="24"/>
      <w:szCs w:val="24"/>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1"/>
    <w:pPr>
      <w:spacing w:after="0" w:line="240" w:lineRule="auto"/>
    </w:pPr>
    <w:tblPr>
      <w:tblStyleRowBandSize w:val="1"/>
      <w:tblStyleColBandSize w:val="1"/>
      <w:tblCellMar>
        <w:left w:w="115" w:type="dxa"/>
        <w:right w:w="115" w:type="dxa"/>
      </w:tblCellMar>
    </w:tblPr>
  </w:style>
  <w:style w:type="table" w:customStyle="1" w:styleId="9">
    <w:name w:val="9"/>
    <w:basedOn w:val="TableNormal1"/>
    <w:pPr>
      <w:contextualSpacing/>
    </w:pPr>
    <w:tblPr>
      <w:tblStyleRowBandSize w:val="1"/>
      <w:tblStyleColBandSize w:val="1"/>
      <w:tblCellMar>
        <w:left w:w="115" w:type="dxa"/>
        <w:right w:w="115" w:type="dxa"/>
      </w:tblCellMar>
    </w:tblPr>
  </w:style>
  <w:style w:type="table" w:customStyle="1" w:styleId="8">
    <w:name w:val="8"/>
    <w:basedOn w:val="TableNormal1"/>
    <w:pPr>
      <w:contextualSpacing/>
    </w:pPr>
    <w:tblPr>
      <w:tblStyleRowBandSize w:val="1"/>
      <w:tblStyleColBandSize w:val="1"/>
      <w:tblCellMar>
        <w:left w:w="115" w:type="dxa"/>
        <w:right w:w="115" w:type="dxa"/>
      </w:tblCellMar>
    </w:tblPr>
  </w:style>
  <w:style w:type="table" w:customStyle="1" w:styleId="7">
    <w:name w:val="7"/>
    <w:basedOn w:val="TableNormal1"/>
    <w:pPr>
      <w:spacing w:after="0" w:line="240" w:lineRule="auto"/>
    </w:pPr>
    <w:tblPr>
      <w:tblStyleRowBandSize w:val="1"/>
      <w:tblStyleColBandSize w:val="1"/>
      <w:tblCellMar>
        <w:left w:w="115" w:type="dxa"/>
        <w:right w:w="115" w:type="dxa"/>
      </w:tblCellMar>
    </w:tblPr>
  </w:style>
  <w:style w:type="table" w:customStyle="1" w:styleId="6">
    <w:name w:val="6"/>
    <w:basedOn w:val="TableNormal1"/>
    <w:pPr>
      <w:spacing w:after="0" w:line="240" w:lineRule="auto"/>
    </w:pPr>
    <w:tblPr>
      <w:tblStyleRowBandSize w:val="1"/>
      <w:tblStyleColBandSize w:val="1"/>
      <w:tblCellMar>
        <w:left w:w="115" w:type="dxa"/>
        <w:right w:w="115" w:type="dxa"/>
      </w:tblCellMar>
    </w:tblPr>
  </w:style>
  <w:style w:type="table" w:customStyle="1" w:styleId="5">
    <w:name w:val="5"/>
    <w:basedOn w:val="TableNormal1"/>
    <w:pPr>
      <w:contextualSpacing/>
    </w:pPr>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
    <w:name w:val="1"/>
    <w:basedOn w:val="TableNormal1"/>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D97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C4"/>
    <w:rPr>
      <w:rFonts w:ascii="Segoe UI" w:hAnsi="Segoe UI" w:cs="Segoe UI"/>
      <w:sz w:val="18"/>
      <w:szCs w:val="18"/>
    </w:rPr>
  </w:style>
  <w:style w:type="paragraph" w:styleId="Header">
    <w:name w:val="header"/>
    <w:basedOn w:val="Normal"/>
    <w:link w:val="HeaderChar"/>
    <w:uiPriority w:val="99"/>
    <w:unhideWhenUsed/>
    <w:rsid w:val="003549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494D"/>
  </w:style>
  <w:style w:type="paragraph" w:styleId="Footer">
    <w:name w:val="footer"/>
    <w:basedOn w:val="Normal"/>
    <w:link w:val="FooterChar"/>
    <w:uiPriority w:val="99"/>
    <w:unhideWhenUsed/>
    <w:rsid w:val="003549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494D"/>
  </w:style>
  <w:style w:type="paragraph" w:styleId="ListParagraph">
    <w:name w:val="List Paragraph"/>
    <w:basedOn w:val="Normal"/>
    <w:uiPriority w:val="34"/>
    <w:qFormat/>
    <w:rsid w:val="0028004E"/>
    <w:pPr>
      <w:ind w:left="720"/>
      <w:contextualSpacing/>
    </w:pPr>
  </w:style>
  <w:style w:type="paragraph" w:styleId="ListBullet2">
    <w:name w:val="List Bullet 2"/>
    <w:basedOn w:val="Normal"/>
    <w:uiPriority w:val="99"/>
    <w:rsid w:val="00A07997"/>
    <w:pPr>
      <w:numPr>
        <w:numId w:val="18"/>
      </w:numPr>
      <w:spacing w:before="120" w:after="120" w:line="240" w:lineRule="auto"/>
      <w:jc w:val="both"/>
    </w:pPr>
    <w:rPr>
      <w:rFonts w:ascii="Cambria" w:eastAsia="MS Mincho" w:hAnsi="Cambria" w:cs="Times New Roman"/>
      <w:color w:val="auto"/>
      <w:lang w:val="en-US" w:eastAsia="en-US"/>
    </w:rPr>
  </w:style>
  <w:style w:type="character" w:styleId="IntenseEmphasis">
    <w:name w:val="Intense Emphasis"/>
    <w:basedOn w:val="DefaultParagraphFont"/>
    <w:uiPriority w:val="99"/>
    <w:qFormat/>
    <w:rsid w:val="00A50FD7"/>
    <w:rPr>
      <w:rFonts w:cs="Times New Roman"/>
      <w:b/>
      <w:bCs/>
      <w:i/>
      <w:iCs/>
      <w:color w:val="4F81BD"/>
    </w:rPr>
  </w:style>
  <w:style w:type="paragraph" w:styleId="ListBullet">
    <w:name w:val="List Bullet"/>
    <w:basedOn w:val="Normal"/>
    <w:uiPriority w:val="99"/>
    <w:unhideWhenUsed/>
    <w:rsid w:val="009F5067"/>
    <w:pPr>
      <w:numPr>
        <w:numId w:val="20"/>
      </w:numPr>
      <w:contextualSpacing/>
    </w:pPr>
  </w:style>
  <w:style w:type="paragraph" w:customStyle="1" w:styleId="Normal1">
    <w:name w:val="Normal1"/>
    <w:uiPriority w:val="99"/>
    <w:rsid w:val="00760DF5"/>
    <w:pPr>
      <w:widowControl w:val="0"/>
      <w:spacing w:before="20" w:after="20" w:line="240" w:lineRule="auto"/>
    </w:pPr>
    <w:rPr>
      <w:rFonts w:ascii="Cambria" w:eastAsia="MS Mincho" w:hAnsi="Cambria" w:cs="Times New Roman"/>
      <w:color w:val="auto"/>
      <w:sz w:val="20"/>
      <w:lang w:val="en-US" w:eastAsia="en-US"/>
    </w:rPr>
  </w:style>
  <w:style w:type="paragraph" w:styleId="CommentSubject">
    <w:name w:val="annotation subject"/>
    <w:basedOn w:val="CommentText"/>
    <w:next w:val="CommentText"/>
    <w:link w:val="CommentSubjectChar"/>
    <w:uiPriority w:val="99"/>
    <w:semiHidden/>
    <w:unhideWhenUsed/>
    <w:rsid w:val="00953C65"/>
    <w:rPr>
      <w:b/>
      <w:bCs/>
    </w:rPr>
  </w:style>
  <w:style w:type="character" w:customStyle="1" w:styleId="CommentSubjectChar">
    <w:name w:val="Comment Subject Char"/>
    <w:basedOn w:val="CommentTextChar"/>
    <w:link w:val="CommentSubject"/>
    <w:uiPriority w:val="99"/>
    <w:semiHidden/>
    <w:rsid w:val="00953C65"/>
    <w:rPr>
      <w:b/>
      <w:bCs/>
      <w:sz w:val="20"/>
      <w:szCs w:val="20"/>
    </w:rPr>
  </w:style>
  <w:style w:type="table" w:customStyle="1" w:styleId="Style20">
    <w:name w:val="Style20"/>
    <w:uiPriority w:val="99"/>
    <w:rsid w:val="00C90586"/>
    <w:pPr>
      <w:spacing w:after="0" w:line="240" w:lineRule="auto"/>
    </w:pPr>
    <w:rPr>
      <w:rFonts w:ascii="Cambria" w:eastAsia="MS Mincho" w:hAnsi="Cambria" w:cs="Times New Roman"/>
      <w:color w:val="auto"/>
      <w:sz w:val="20"/>
      <w:szCs w:val="20"/>
      <w:lang w:val="fr-FR" w:eastAsia="fr-FR"/>
    </w:rPr>
    <w:tblPr>
      <w:tblStyleRowBandSize w:val="1"/>
      <w:tblStyleColBandSize w:val="1"/>
      <w:tblInd w:w="0" w:type="dxa"/>
      <w:tblCellMar>
        <w:top w:w="0" w:type="dxa"/>
        <w:left w:w="115" w:type="dxa"/>
        <w:bottom w:w="0" w:type="dxa"/>
        <w:right w:w="115" w:type="dxa"/>
      </w:tblCellMar>
    </w:tblPr>
  </w:style>
  <w:style w:type="paragraph" w:styleId="ListNumber2">
    <w:name w:val="List Number 2"/>
    <w:basedOn w:val="Normal"/>
    <w:uiPriority w:val="99"/>
    <w:rsid w:val="00C90586"/>
    <w:pPr>
      <w:spacing w:before="120" w:after="120" w:line="240" w:lineRule="auto"/>
      <w:ind w:left="720" w:hanging="360"/>
      <w:jc w:val="both"/>
    </w:pPr>
    <w:rPr>
      <w:rFonts w:ascii="Cambria" w:eastAsia="MS Mincho" w:hAnsi="Cambria" w:cs="Times New Roman"/>
      <w:color w:val="auto"/>
      <w:lang w:val="en-US" w:eastAsia="en-US"/>
    </w:rPr>
  </w:style>
  <w:style w:type="paragraph" w:styleId="ListNumber">
    <w:name w:val="List Number"/>
    <w:basedOn w:val="Normal"/>
    <w:uiPriority w:val="99"/>
    <w:unhideWhenUsed/>
    <w:rsid w:val="00A72B85"/>
    <w:pPr>
      <w:numPr>
        <w:numId w:val="22"/>
      </w:numPr>
      <w:contextualSpacing/>
    </w:pPr>
  </w:style>
  <w:style w:type="paragraph" w:styleId="ListBullet3">
    <w:name w:val="List Bullet 3"/>
    <w:basedOn w:val="Normal"/>
    <w:uiPriority w:val="99"/>
    <w:rsid w:val="00167D58"/>
    <w:pPr>
      <w:spacing w:before="120" w:after="120" w:line="240" w:lineRule="auto"/>
      <w:ind w:left="1080" w:hanging="360"/>
      <w:jc w:val="both"/>
    </w:pPr>
    <w:rPr>
      <w:rFonts w:ascii="Cambria" w:eastAsia="MS Mincho" w:hAnsi="Cambria" w:cs="Times New Roman"/>
      <w:color w:val="auto"/>
      <w:lang w:val="en-US" w:eastAsia="en-US"/>
    </w:rPr>
  </w:style>
  <w:style w:type="paragraph" w:styleId="ListNumber3">
    <w:name w:val="List Number 3"/>
    <w:basedOn w:val="Normal"/>
    <w:uiPriority w:val="99"/>
    <w:rsid w:val="00E66B76"/>
    <w:pPr>
      <w:numPr>
        <w:numId w:val="31"/>
      </w:numPr>
      <w:spacing w:before="120" w:after="120" w:line="240" w:lineRule="auto"/>
      <w:ind w:left="1080"/>
      <w:contextualSpacing/>
      <w:jc w:val="both"/>
    </w:pPr>
    <w:rPr>
      <w:rFonts w:ascii="Cambria" w:eastAsia="MS Mincho" w:hAnsi="Cambria" w:cs="Times New Roman"/>
      <w:color w:val="auto"/>
      <w:lang w:val="en-US" w:eastAsia="en-US"/>
    </w:rPr>
  </w:style>
  <w:style w:type="paragraph" w:styleId="Caption">
    <w:name w:val="caption"/>
    <w:basedOn w:val="Normal"/>
    <w:next w:val="Normal"/>
    <w:uiPriority w:val="99"/>
    <w:qFormat/>
    <w:rsid w:val="00F84127"/>
    <w:pPr>
      <w:spacing w:before="240" w:after="120" w:line="240" w:lineRule="auto"/>
    </w:pPr>
    <w:rPr>
      <w:rFonts w:ascii="Cambria" w:eastAsia="MS Mincho" w:hAnsi="Cambria" w:cs="Times New Roman"/>
      <w:b/>
      <w:bCs/>
      <w:i/>
      <w:color w:val="auto"/>
      <w:lang w:val="en-US" w:eastAsia="en-US"/>
    </w:rPr>
  </w:style>
  <w:style w:type="paragraph" w:customStyle="1" w:styleId="Default">
    <w:name w:val="Default"/>
    <w:rsid w:val="00A27911"/>
    <w:pPr>
      <w:overflowPunct w:val="0"/>
      <w:autoSpaceDE w:val="0"/>
      <w:autoSpaceDN w:val="0"/>
      <w:adjustRightInd w:val="0"/>
      <w:spacing w:after="0" w:line="240" w:lineRule="auto"/>
      <w:textAlignment w:val="baseline"/>
    </w:pPr>
    <w:rPr>
      <w:rFonts w:ascii="TimesNewRoman" w:eastAsia="MS ??" w:hAnsi="TimesNewRoman" w:cs="TimesNewRoman"/>
      <w:color w:val="auto"/>
      <w:sz w:val="24"/>
      <w:szCs w:val="24"/>
      <w:lang w:val="en-US" w:eastAsia="en-US"/>
    </w:rPr>
  </w:style>
  <w:style w:type="paragraph" w:customStyle="1" w:styleId="BodyText24">
    <w:name w:val="Body Text 24"/>
    <w:basedOn w:val="Default"/>
    <w:next w:val="Default"/>
    <w:rsid w:val="00A27911"/>
  </w:style>
  <w:style w:type="paragraph" w:styleId="NormalWeb">
    <w:name w:val="Normal (Web)"/>
    <w:basedOn w:val="Normal"/>
    <w:uiPriority w:val="99"/>
    <w:semiHidden/>
    <w:unhideWhenUsed/>
    <w:rsid w:val="0002084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basedOn w:val="DefaultParagraphFont"/>
    <w:rsid w:val="00C12F24"/>
  </w:style>
  <w:style w:type="numbering" w:customStyle="1" w:styleId="SOPFormat">
    <w:name w:val="SOP Format"/>
    <w:basedOn w:val="NoList"/>
    <w:uiPriority w:val="99"/>
    <w:rsid w:val="007A5A4F"/>
    <w:pPr>
      <w:numPr>
        <w:numId w:val="40"/>
      </w:numPr>
    </w:pPr>
  </w:style>
  <w:style w:type="paragraph" w:styleId="Revision">
    <w:name w:val="Revision"/>
    <w:hidden/>
    <w:uiPriority w:val="99"/>
    <w:semiHidden/>
    <w:rsid w:val="001659EF"/>
    <w:pPr>
      <w:spacing w:after="0" w:line="240" w:lineRule="auto"/>
    </w:pPr>
  </w:style>
  <w:style w:type="character" w:styleId="Hyperlink">
    <w:name w:val="Hyperlink"/>
    <w:basedOn w:val="DefaultParagraphFont"/>
    <w:uiPriority w:val="99"/>
    <w:unhideWhenUsed/>
    <w:rsid w:val="009701EE"/>
    <w:rPr>
      <w:color w:val="0563C1" w:themeColor="hyperlink"/>
      <w:u w:val="single"/>
    </w:rPr>
  </w:style>
  <w:style w:type="character" w:styleId="FollowedHyperlink">
    <w:name w:val="FollowedHyperlink"/>
    <w:basedOn w:val="DefaultParagraphFont"/>
    <w:uiPriority w:val="99"/>
    <w:semiHidden/>
    <w:unhideWhenUsed/>
    <w:rsid w:val="00FA4B89"/>
    <w:rPr>
      <w:color w:val="954F72" w:themeColor="followedHyperlink"/>
      <w:u w:val="single"/>
    </w:rPr>
  </w:style>
  <w:style w:type="table" w:styleId="TableGrid">
    <w:name w:val="Table Grid"/>
    <w:basedOn w:val="TableNormal"/>
    <w:uiPriority w:val="59"/>
    <w:unhideWhenUsed/>
    <w:rsid w:val="001F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0255">
      <w:bodyDiv w:val="1"/>
      <w:marLeft w:val="0"/>
      <w:marRight w:val="0"/>
      <w:marTop w:val="0"/>
      <w:marBottom w:val="0"/>
      <w:divBdr>
        <w:top w:val="none" w:sz="0" w:space="0" w:color="auto"/>
        <w:left w:val="none" w:sz="0" w:space="0" w:color="auto"/>
        <w:bottom w:val="none" w:sz="0" w:space="0" w:color="auto"/>
        <w:right w:val="none" w:sz="0" w:space="0" w:color="auto"/>
      </w:divBdr>
    </w:div>
    <w:div w:id="1099372801">
      <w:bodyDiv w:val="1"/>
      <w:marLeft w:val="0"/>
      <w:marRight w:val="0"/>
      <w:marTop w:val="0"/>
      <w:marBottom w:val="0"/>
      <w:divBdr>
        <w:top w:val="none" w:sz="0" w:space="0" w:color="auto"/>
        <w:left w:val="none" w:sz="0" w:space="0" w:color="auto"/>
        <w:bottom w:val="none" w:sz="0" w:space="0" w:color="auto"/>
        <w:right w:val="none" w:sz="0" w:space="0" w:color="auto"/>
      </w:divBdr>
    </w:div>
    <w:div w:id="1407847384">
      <w:bodyDiv w:val="1"/>
      <w:marLeft w:val="0"/>
      <w:marRight w:val="0"/>
      <w:marTop w:val="0"/>
      <w:marBottom w:val="0"/>
      <w:divBdr>
        <w:top w:val="none" w:sz="0" w:space="0" w:color="auto"/>
        <w:left w:val="none" w:sz="0" w:space="0" w:color="auto"/>
        <w:bottom w:val="none" w:sz="0" w:space="0" w:color="auto"/>
        <w:right w:val="none" w:sz="0" w:space="0" w:color="auto"/>
      </w:divBdr>
    </w:div>
    <w:div w:id="185541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5BBCD-26C0-447C-9BB8-C7622686DAC0}">
  <ds:schemaRefs>
    <ds:schemaRef ds:uri="http://purl.org/dc/terms/"/>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57d60e0b-bbcc-4e8c-ae17-1bc07bf7b2a6"/>
    <ds:schemaRef ds:uri="http://purl.org/dc/elements/1.1/"/>
    <ds:schemaRef ds:uri="http://schemas.microsoft.com/office/2006/metadata/properties"/>
    <ds:schemaRef ds:uri="d1dc8e9d-c2d7-4f1e-a8b8-6d152e0fdc8f"/>
    <ds:schemaRef ds:uri="http://www.w3.org/XML/1998/namespace"/>
    <ds:schemaRef ds:uri="http://purl.org/dc/dcmitype/"/>
  </ds:schemaRefs>
</ds:datastoreItem>
</file>

<file path=customXml/itemProps2.xml><?xml version="1.0" encoding="utf-8"?>
<ds:datastoreItem xmlns:ds="http://schemas.openxmlformats.org/officeDocument/2006/customXml" ds:itemID="{4617764C-46ED-4701-9490-ECF9B92151D4}">
  <ds:schemaRefs>
    <ds:schemaRef ds:uri="http://schemas.openxmlformats.org/officeDocument/2006/bibliography"/>
  </ds:schemaRefs>
</ds:datastoreItem>
</file>

<file path=customXml/itemProps3.xml><?xml version="1.0" encoding="utf-8"?>
<ds:datastoreItem xmlns:ds="http://schemas.openxmlformats.org/officeDocument/2006/customXml" ds:itemID="{E8793B80-BF4D-47CB-9079-E67FD400BBFE}">
  <ds:schemaRefs>
    <ds:schemaRef ds:uri="http://schemas.microsoft.com/sharepoint/v3/contenttype/forms"/>
  </ds:schemaRefs>
</ds:datastoreItem>
</file>

<file path=customXml/itemProps4.xml><?xml version="1.0" encoding="utf-8"?>
<ds:datastoreItem xmlns:ds="http://schemas.openxmlformats.org/officeDocument/2006/customXml" ds:itemID="{D9047CA9-1029-48DB-BE77-94596E51540C}"/>
</file>

<file path=docProps/app.xml><?xml version="1.0" encoding="utf-8"?>
<Properties xmlns="http://schemas.openxmlformats.org/officeDocument/2006/extended-properties" xmlns:vt="http://schemas.openxmlformats.org/officeDocument/2006/docPropsVTypes">
  <Template>Normal.dotm</Template>
  <TotalTime>27</TotalTime>
  <Pages>1</Pages>
  <Words>425</Words>
  <Characters>2425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GUGLIELMETTI</dc:creator>
  <cp:lastModifiedBy>Marhaba Chaudhry</cp:lastModifiedBy>
  <cp:revision>17</cp:revision>
  <dcterms:created xsi:type="dcterms:W3CDTF">2018-11-16T13:17:00Z</dcterms:created>
  <dcterms:modified xsi:type="dcterms:W3CDTF">2024-09-02T14:42:00Z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1020500</vt:r8>
  </property>
  <property fmtid="{D5CDD505-2E9C-101B-9397-08002B2CF9AE}" pid="10" name="SharedWithUsers">
    <vt:lpwstr/>
  </property>
  <property fmtid="{D5CDD505-2E9C-101B-9397-08002B2CF9AE}" pid="11" name="endTBClinicalTrial">
    <vt:lpwstr>endTB</vt:lpwstr>
  </property>
  <property fmtid="{D5CDD505-2E9C-101B-9397-08002B2CF9AE}" pid="12" name="endTBCountry">
    <vt:lpwstr>Central team</vt:lpwstr>
  </property>
  <property fmtid="{D5CDD505-2E9C-101B-9397-08002B2CF9AE}" pid="13" name="endTBStatusDocument">
    <vt:lpwstr>Working</vt:lpwstr>
  </property>
  <property fmtid="{D5CDD505-2E9C-101B-9397-08002B2CF9AE}" pid="14" name="_ExtendedDescription">
    <vt:lpwstr/>
  </property>
  <property fmtid="{D5CDD505-2E9C-101B-9397-08002B2CF9AE}" pid="15" name="ie6fc752e8314f23b9add3aacdf734e2">
    <vt:lpwstr>N/A|603d074b-cb2d-4568-af2a-4cd630184ab0</vt:lpwstr>
  </property>
  <property fmtid="{D5CDD505-2E9C-101B-9397-08002B2CF9AE}" pid="16" name="b133059517bd4b6ba2826fe941cfd2cb">
    <vt:lpwstr>N/A|7a4f8743-7bab-4f6a-8a0d-b24596741886</vt:lpwstr>
  </property>
  <property fmtid="{D5CDD505-2E9C-101B-9397-08002B2CF9AE}" pid="17" name="TriggerFlowInfo">
    <vt:lpwstr/>
  </property>
  <property fmtid="{D5CDD505-2E9C-101B-9397-08002B2CF9AE}" pid="18" name="MediaServiceImageTags">
    <vt:lpwstr/>
  </property>
</Properties>
</file>