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79D1A" w14:textId="20B5CA52" w:rsidR="001503B2" w:rsidRPr="00B26E2A" w:rsidRDefault="001503B2" w:rsidP="001503B2">
      <w:pPr>
        <w:spacing w:line="276" w:lineRule="auto"/>
        <w:jc w:val="center"/>
        <w:rPr>
          <w:rFonts w:ascii="Calibri" w:eastAsia="Calibri" w:hAnsi="Calibri" w:cs="Calibri"/>
          <w:b/>
          <w:bCs/>
          <w:color w:val="000000" w:themeColor="text1"/>
          <w:sz w:val="28"/>
          <w:szCs w:val="28"/>
          <w:u w:val="single"/>
        </w:rPr>
      </w:pPr>
      <w:r w:rsidRPr="762F7827">
        <w:rPr>
          <w:rFonts w:ascii="Calibri" w:eastAsia="Calibri" w:hAnsi="Calibri" w:cs="Calibri"/>
          <w:b/>
          <w:bCs/>
          <w:color w:val="000000" w:themeColor="text1"/>
          <w:sz w:val="28"/>
          <w:szCs w:val="28"/>
          <w:u w:val="single"/>
        </w:rPr>
        <w:t xml:space="preserve">Appendix 2. Clinical </w:t>
      </w:r>
      <w:r w:rsidR="00697C94">
        <w:rPr>
          <w:rFonts w:ascii="Calibri" w:eastAsia="Calibri" w:hAnsi="Calibri" w:cs="Calibri"/>
          <w:b/>
          <w:bCs/>
          <w:color w:val="000000" w:themeColor="text1"/>
          <w:sz w:val="28"/>
          <w:szCs w:val="28"/>
          <w:u w:val="single"/>
        </w:rPr>
        <w:t>M</w:t>
      </w:r>
      <w:r w:rsidRPr="762F7827">
        <w:rPr>
          <w:rFonts w:ascii="Calibri" w:eastAsia="Calibri" w:hAnsi="Calibri" w:cs="Calibri"/>
          <w:b/>
          <w:bCs/>
          <w:color w:val="000000" w:themeColor="text1"/>
          <w:sz w:val="28"/>
          <w:szCs w:val="28"/>
          <w:u w:val="single"/>
        </w:rPr>
        <w:t xml:space="preserve">anifestation, </w:t>
      </w:r>
      <w:r w:rsidR="00697C94">
        <w:rPr>
          <w:rFonts w:ascii="Calibri" w:eastAsia="Calibri" w:hAnsi="Calibri" w:cs="Calibri"/>
          <w:b/>
          <w:bCs/>
          <w:color w:val="000000" w:themeColor="text1"/>
          <w:sz w:val="28"/>
          <w:szCs w:val="28"/>
          <w:u w:val="single"/>
        </w:rPr>
        <w:t>P</w:t>
      </w:r>
      <w:r w:rsidRPr="762F7827">
        <w:rPr>
          <w:rFonts w:ascii="Calibri" w:eastAsia="Calibri" w:hAnsi="Calibri" w:cs="Calibri"/>
          <w:b/>
          <w:bCs/>
          <w:color w:val="000000" w:themeColor="text1"/>
          <w:sz w:val="28"/>
          <w:szCs w:val="28"/>
          <w:u w:val="single"/>
        </w:rPr>
        <w:t xml:space="preserve">revention, and </w:t>
      </w:r>
      <w:r w:rsidR="00697C94">
        <w:rPr>
          <w:rFonts w:ascii="Calibri" w:eastAsia="Calibri" w:hAnsi="Calibri" w:cs="Calibri"/>
          <w:b/>
          <w:bCs/>
          <w:color w:val="000000" w:themeColor="text1"/>
          <w:sz w:val="28"/>
          <w:szCs w:val="28"/>
          <w:u w:val="single"/>
        </w:rPr>
        <w:t>D</w:t>
      </w:r>
      <w:r w:rsidRPr="762F7827">
        <w:rPr>
          <w:rFonts w:ascii="Calibri" w:eastAsia="Calibri" w:hAnsi="Calibri" w:cs="Calibri"/>
          <w:b/>
          <w:bCs/>
          <w:color w:val="000000" w:themeColor="text1"/>
          <w:sz w:val="28"/>
          <w:szCs w:val="28"/>
          <w:u w:val="single"/>
        </w:rPr>
        <w:t xml:space="preserve">iagnosis of </w:t>
      </w:r>
      <w:r w:rsidR="00697C94">
        <w:rPr>
          <w:rFonts w:ascii="Calibri" w:eastAsia="Calibri" w:hAnsi="Calibri" w:cs="Calibri"/>
          <w:b/>
          <w:bCs/>
          <w:color w:val="000000" w:themeColor="text1"/>
          <w:sz w:val="28"/>
          <w:szCs w:val="28"/>
          <w:u w:val="single"/>
        </w:rPr>
        <w:t>D</w:t>
      </w:r>
      <w:r w:rsidR="00B26E2A" w:rsidRPr="00B26E2A">
        <w:rPr>
          <w:rFonts w:ascii="Calibri" w:eastAsia="Calibri" w:hAnsi="Calibri" w:cs="Calibri"/>
          <w:b/>
          <w:bCs/>
          <w:color w:val="000000" w:themeColor="text1"/>
          <w:sz w:val="28"/>
          <w:szCs w:val="28"/>
          <w:u w:val="single"/>
        </w:rPr>
        <w:t xml:space="preserve">eep </w:t>
      </w:r>
      <w:r w:rsidR="00697C94">
        <w:rPr>
          <w:rFonts w:ascii="Calibri" w:eastAsia="Calibri" w:hAnsi="Calibri" w:cs="Calibri"/>
          <w:b/>
          <w:bCs/>
          <w:color w:val="000000" w:themeColor="text1"/>
          <w:sz w:val="28"/>
          <w:szCs w:val="28"/>
          <w:u w:val="single"/>
        </w:rPr>
        <w:t>V</w:t>
      </w:r>
      <w:r w:rsidR="00B26E2A" w:rsidRPr="00B26E2A">
        <w:rPr>
          <w:rFonts w:ascii="Calibri" w:eastAsia="Calibri" w:hAnsi="Calibri" w:cs="Calibri"/>
          <w:b/>
          <w:bCs/>
          <w:color w:val="000000" w:themeColor="text1"/>
          <w:sz w:val="28"/>
          <w:szCs w:val="28"/>
          <w:u w:val="single"/>
        </w:rPr>
        <w:t xml:space="preserve">enous </w:t>
      </w:r>
      <w:r w:rsidR="00697C94">
        <w:rPr>
          <w:rFonts w:ascii="Calibri" w:eastAsia="Calibri" w:hAnsi="Calibri" w:cs="Calibri"/>
          <w:b/>
          <w:bCs/>
          <w:color w:val="000000" w:themeColor="text1"/>
          <w:sz w:val="28"/>
          <w:szCs w:val="28"/>
          <w:u w:val="single"/>
        </w:rPr>
        <w:t>T</w:t>
      </w:r>
      <w:r w:rsidR="00B26E2A" w:rsidRPr="00B26E2A">
        <w:rPr>
          <w:rFonts w:ascii="Calibri" w:eastAsia="Calibri" w:hAnsi="Calibri" w:cs="Calibri"/>
          <w:b/>
          <w:bCs/>
          <w:color w:val="000000" w:themeColor="text1"/>
          <w:sz w:val="28"/>
          <w:szCs w:val="28"/>
          <w:u w:val="single"/>
        </w:rPr>
        <w:t>hrombosis</w:t>
      </w:r>
      <w:r w:rsidR="00697C94">
        <w:rPr>
          <w:rFonts w:ascii="Calibri" w:eastAsia="Calibri" w:hAnsi="Calibri" w:cs="Calibri"/>
          <w:b/>
          <w:bCs/>
          <w:color w:val="000000" w:themeColor="text1"/>
          <w:sz w:val="28"/>
          <w:szCs w:val="28"/>
          <w:u w:val="single"/>
        </w:rPr>
        <w:t xml:space="preserve"> (DVT)</w:t>
      </w:r>
      <w:r w:rsidR="00B26E2A" w:rsidRPr="00B26E2A">
        <w:rPr>
          <w:rFonts w:ascii="Calibri" w:eastAsia="Calibri" w:hAnsi="Calibri" w:cs="Calibri"/>
          <w:b/>
          <w:bCs/>
          <w:color w:val="000000" w:themeColor="text1"/>
          <w:sz w:val="28"/>
          <w:szCs w:val="28"/>
          <w:u w:val="single"/>
        </w:rPr>
        <w:t xml:space="preserve"> </w:t>
      </w:r>
      <w:r w:rsidRPr="762F7827">
        <w:rPr>
          <w:rFonts w:ascii="Calibri" w:eastAsia="Calibri" w:hAnsi="Calibri" w:cs="Calibri"/>
          <w:b/>
          <w:bCs/>
          <w:color w:val="000000" w:themeColor="text1"/>
          <w:sz w:val="28"/>
          <w:szCs w:val="28"/>
          <w:u w:val="single"/>
        </w:rPr>
        <w:t>/</w:t>
      </w:r>
      <w:r w:rsidR="00B26E2A" w:rsidRPr="00B26E2A">
        <w:rPr>
          <w:rFonts w:ascii="Calibri" w:eastAsia="Calibri" w:hAnsi="Calibri" w:cs="Calibri"/>
          <w:b/>
          <w:bCs/>
          <w:color w:val="000000" w:themeColor="text1"/>
          <w:sz w:val="28"/>
          <w:szCs w:val="28"/>
          <w:u w:val="single"/>
        </w:rPr>
        <w:t xml:space="preserve"> </w:t>
      </w:r>
      <w:r w:rsidR="00697C94">
        <w:rPr>
          <w:rFonts w:ascii="Calibri" w:eastAsia="Calibri" w:hAnsi="Calibri" w:cs="Calibri"/>
          <w:b/>
          <w:bCs/>
          <w:color w:val="000000" w:themeColor="text1"/>
          <w:sz w:val="28"/>
          <w:szCs w:val="28"/>
          <w:u w:val="single"/>
        </w:rPr>
        <w:t>P</w:t>
      </w:r>
      <w:r w:rsidR="00B26E2A" w:rsidRPr="00B26E2A">
        <w:rPr>
          <w:rFonts w:ascii="Calibri" w:eastAsia="Calibri" w:hAnsi="Calibri" w:cs="Calibri"/>
          <w:b/>
          <w:bCs/>
          <w:color w:val="000000" w:themeColor="text1"/>
          <w:sz w:val="28"/>
          <w:szCs w:val="28"/>
          <w:u w:val="single"/>
        </w:rPr>
        <w:t xml:space="preserve">ulmonary </w:t>
      </w:r>
      <w:r w:rsidR="00697C94">
        <w:rPr>
          <w:rFonts w:ascii="Calibri" w:eastAsia="Calibri" w:hAnsi="Calibri" w:cs="Calibri"/>
          <w:b/>
          <w:bCs/>
          <w:color w:val="000000" w:themeColor="text1"/>
          <w:sz w:val="28"/>
          <w:szCs w:val="28"/>
          <w:u w:val="single"/>
        </w:rPr>
        <w:t>E</w:t>
      </w:r>
      <w:r w:rsidR="00B26E2A" w:rsidRPr="00B26E2A">
        <w:rPr>
          <w:rFonts w:ascii="Calibri" w:eastAsia="Calibri" w:hAnsi="Calibri" w:cs="Calibri"/>
          <w:b/>
          <w:bCs/>
          <w:color w:val="000000" w:themeColor="text1"/>
          <w:sz w:val="28"/>
          <w:szCs w:val="28"/>
          <w:u w:val="single"/>
        </w:rPr>
        <w:t xml:space="preserve">mbolism </w:t>
      </w:r>
      <w:r w:rsidR="00697C94">
        <w:rPr>
          <w:rFonts w:ascii="Calibri" w:eastAsia="Calibri" w:hAnsi="Calibri" w:cs="Calibri"/>
          <w:b/>
          <w:bCs/>
          <w:color w:val="000000" w:themeColor="text1"/>
          <w:sz w:val="28"/>
          <w:szCs w:val="28"/>
          <w:u w:val="single"/>
        </w:rPr>
        <w:t>(</w:t>
      </w:r>
      <w:r w:rsidRPr="762F7827">
        <w:rPr>
          <w:rFonts w:ascii="Calibri" w:eastAsia="Calibri" w:hAnsi="Calibri" w:cs="Calibri"/>
          <w:b/>
          <w:bCs/>
          <w:color w:val="000000" w:themeColor="text1"/>
          <w:sz w:val="28"/>
          <w:szCs w:val="28"/>
          <w:u w:val="single"/>
        </w:rPr>
        <w:t>PE</w:t>
      </w:r>
      <w:r w:rsidR="00697C94">
        <w:rPr>
          <w:rFonts w:ascii="Calibri" w:eastAsia="Calibri" w:hAnsi="Calibri" w:cs="Calibri"/>
          <w:b/>
          <w:bCs/>
          <w:color w:val="000000" w:themeColor="text1"/>
          <w:sz w:val="28"/>
          <w:szCs w:val="28"/>
          <w:u w:val="single"/>
        </w:rPr>
        <w:t>)</w:t>
      </w:r>
    </w:p>
    <w:p w14:paraId="445454B9" w14:textId="7F4A368A" w:rsidR="762F7827" w:rsidRDefault="762F7827" w:rsidP="762F7827">
      <w:pPr>
        <w:spacing w:line="276" w:lineRule="auto"/>
        <w:jc w:val="both"/>
      </w:pPr>
      <w:r w:rsidRPr="762F7827">
        <w:rPr>
          <w:rFonts w:ascii="Calibri" w:eastAsia="Calibri" w:hAnsi="Calibri" w:cs="Calibri"/>
          <w:b/>
          <w:bCs/>
          <w:color w:val="000000" w:themeColor="text1"/>
        </w:rPr>
        <w:t>1. Clinical manifestation of deep venous thrombosis (DVT) and pulmonary embolism (PE):</w:t>
      </w:r>
    </w:p>
    <w:p w14:paraId="20191E11" w14:textId="7D592E4F" w:rsidR="762F7827" w:rsidRDefault="762F7827" w:rsidP="762F7827">
      <w:pPr>
        <w:pStyle w:val="ListParagraph"/>
        <w:numPr>
          <w:ilvl w:val="0"/>
          <w:numId w:val="2"/>
        </w:numPr>
      </w:pPr>
      <w:r w:rsidRPr="762F7827">
        <w:rPr>
          <w:rFonts w:ascii="Calibri" w:eastAsia="Calibri" w:hAnsi="Calibri" w:cs="Calibri"/>
        </w:rPr>
        <w:t>DVT is a disorder characterized by acute or chronic thrombus (blood clot) formation in deep veins anywhere in the body.</w:t>
      </w:r>
    </w:p>
    <w:p w14:paraId="271D18DF" w14:textId="7ADCC619" w:rsidR="762F7827" w:rsidRDefault="762F7827" w:rsidP="762F7827">
      <w:pPr>
        <w:pStyle w:val="ListParagraph"/>
        <w:numPr>
          <w:ilvl w:val="1"/>
          <w:numId w:val="2"/>
        </w:numPr>
      </w:pPr>
      <w:r w:rsidRPr="762F7827">
        <w:rPr>
          <w:rFonts w:ascii="Calibri" w:eastAsia="Calibri" w:hAnsi="Calibri" w:cs="Calibri"/>
        </w:rPr>
        <w:t>Classic risk factors for DVT are described by Virchow’s triad: [1] alterations in blood flow such as venous stasis; [2] vascular endothelial injury such as surgery or crush injury; and [3] alterations in the constituents of the blood such as inherited or acquired hypercoagulable states.</w:t>
      </w:r>
    </w:p>
    <w:p w14:paraId="14D2EC17" w14:textId="5C0C3F6E" w:rsidR="762F7827" w:rsidRDefault="762F7827" w:rsidP="762F7827">
      <w:pPr>
        <w:pStyle w:val="ListParagraph"/>
        <w:numPr>
          <w:ilvl w:val="1"/>
          <w:numId w:val="2"/>
        </w:numPr>
      </w:pPr>
      <w:r w:rsidRPr="762F7827">
        <w:rPr>
          <w:rFonts w:ascii="Calibri" w:eastAsia="Calibri" w:hAnsi="Calibri" w:cs="Calibri"/>
        </w:rPr>
        <w:t>Common risk factors for DVT include immobility, recent surgery, and acquired hypercoagulability from sepsis, infection, hormone therapy, or malignancy.</w:t>
      </w:r>
    </w:p>
    <w:p w14:paraId="749EDA99" w14:textId="0E33F04E" w:rsidR="762F7827" w:rsidRDefault="762F7827" w:rsidP="762F7827">
      <w:pPr>
        <w:pStyle w:val="ListParagraph"/>
        <w:numPr>
          <w:ilvl w:val="1"/>
          <w:numId w:val="2"/>
        </w:numPr>
      </w:pPr>
      <w:r w:rsidRPr="762F7827">
        <w:rPr>
          <w:rFonts w:ascii="Calibri" w:eastAsia="Calibri" w:hAnsi="Calibri" w:cs="Calibri"/>
        </w:rPr>
        <w:t>Acute DVTs, DVTs in larger caliber veins, and intracardiac thrombi are at higher risk for embolization. Embolization to the venae cavae, right heart, and pulmonary arteries can lead to PE.</w:t>
      </w:r>
    </w:p>
    <w:p w14:paraId="59CF49AF" w14:textId="5FE26CC8" w:rsidR="762F7827" w:rsidRDefault="762F7827" w:rsidP="762F7827">
      <w:pPr>
        <w:pStyle w:val="ListParagraph"/>
        <w:numPr>
          <w:ilvl w:val="0"/>
          <w:numId w:val="2"/>
        </w:numPr>
      </w:pPr>
      <w:r w:rsidRPr="762F7827">
        <w:rPr>
          <w:rFonts w:ascii="Calibri" w:eastAsia="Calibri" w:hAnsi="Calibri" w:cs="Calibri"/>
        </w:rPr>
        <w:t>PE is a disorder characterized by embolization of thrombus (blood clot) from the right heart circulation into either or both pulmonary arteries.</w:t>
      </w:r>
    </w:p>
    <w:p w14:paraId="4B988167" w14:textId="5A1FFB9B" w:rsidR="762F7827" w:rsidRDefault="762F7827" w:rsidP="762F7827">
      <w:pPr>
        <w:pStyle w:val="ListParagraph"/>
        <w:numPr>
          <w:ilvl w:val="1"/>
          <w:numId w:val="2"/>
        </w:numPr>
        <w:spacing w:line="276" w:lineRule="auto"/>
        <w:jc w:val="both"/>
      </w:pPr>
      <w:r w:rsidRPr="0076443B">
        <w:rPr>
          <w:rFonts w:ascii="Calibri" w:eastAsia="Calibri" w:hAnsi="Calibri" w:cs="Calibri"/>
        </w:rPr>
        <w:t>Potential complications of PE include pulmonary infarction, acute hypoxia, right heart failure, arrhythmia, or sudden death.</w:t>
      </w:r>
      <w:r w:rsidRPr="0076443B">
        <w:rPr>
          <w:rFonts w:ascii="Calibri" w:eastAsia="Calibri" w:hAnsi="Calibri" w:cs="Calibri"/>
          <w:color w:val="000000" w:themeColor="text1"/>
        </w:rPr>
        <w:t xml:space="preserve"> </w:t>
      </w:r>
    </w:p>
    <w:p w14:paraId="277BC490" w14:textId="34CC7141" w:rsidR="762F7827" w:rsidRDefault="762F7827" w:rsidP="762F7827">
      <w:pPr>
        <w:spacing w:line="276" w:lineRule="auto"/>
        <w:jc w:val="both"/>
      </w:pPr>
      <w:r w:rsidRPr="762F7827">
        <w:rPr>
          <w:rFonts w:ascii="Calibri" w:eastAsia="Calibri" w:hAnsi="Calibri" w:cs="Calibri"/>
          <w:b/>
          <w:bCs/>
          <w:color w:val="000000" w:themeColor="text1"/>
        </w:rPr>
        <w:t>2. Prevention of DVT:</w:t>
      </w:r>
    </w:p>
    <w:p w14:paraId="544AAEA7" w14:textId="7E8769D4" w:rsidR="762F7827" w:rsidRDefault="762F7827" w:rsidP="762F7827">
      <w:pPr>
        <w:pStyle w:val="ListParagraph"/>
        <w:numPr>
          <w:ilvl w:val="0"/>
          <w:numId w:val="2"/>
        </w:numPr>
      </w:pPr>
      <w:r w:rsidRPr="762F7827">
        <w:rPr>
          <w:rFonts w:ascii="Calibri" w:eastAsia="Calibri" w:hAnsi="Calibri" w:cs="Calibri"/>
        </w:rPr>
        <w:t xml:space="preserve">Immobilization and venous stasis may be common in severely ill MDR-TB patients who have difficulty walking and spend most of the day in bed. These patients have a greater risk for DVT and should be given mechanical DVT prophylaxis with graduate </w:t>
      </w:r>
      <w:r w:rsidRPr="762F7827">
        <w:rPr>
          <w:rFonts w:ascii="Calibri" w:eastAsia="Calibri" w:hAnsi="Calibri" w:cs="Calibri"/>
          <w:b/>
          <w:bCs/>
        </w:rPr>
        <w:t>compression stockings</w:t>
      </w:r>
      <w:r w:rsidRPr="762F7827">
        <w:rPr>
          <w:rFonts w:ascii="Calibri" w:eastAsia="Calibri" w:hAnsi="Calibri" w:cs="Calibri"/>
        </w:rPr>
        <w:t xml:space="preserve"> to prevent DVT. </w:t>
      </w:r>
      <w:r w:rsidRPr="762F7827">
        <w:rPr>
          <w:rFonts w:ascii="Calibri" w:eastAsia="Calibri" w:hAnsi="Calibri" w:cs="Calibri"/>
          <w:b/>
          <w:bCs/>
        </w:rPr>
        <w:t>Compression stockings</w:t>
      </w:r>
      <w:r w:rsidRPr="762F7827">
        <w:rPr>
          <w:rFonts w:ascii="Calibri" w:eastAsia="Calibri" w:hAnsi="Calibri" w:cs="Calibri"/>
        </w:rPr>
        <w:t xml:space="preserve"> (at least knee-high, or thigh-high in higher risk patients) should be worn especially while the patient is in bed. If available, </w:t>
      </w:r>
      <w:r w:rsidRPr="762F7827">
        <w:rPr>
          <w:rFonts w:ascii="Calibri" w:eastAsia="Calibri" w:hAnsi="Calibri" w:cs="Calibri"/>
          <w:b/>
          <w:bCs/>
        </w:rPr>
        <w:t>sequential compression devices</w:t>
      </w:r>
      <w:r w:rsidRPr="762F7827">
        <w:rPr>
          <w:rFonts w:ascii="Calibri" w:eastAsia="Calibri" w:hAnsi="Calibri" w:cs="Calibri"/>
        </w:rPr>
        <w:t xml:space="preserve"> may be used in addition to </w:t>
      </w:r>
      <w:r w:rsidRPr="762F7827">
        <w:rPr>
          <w:rFonts w:ascii="Calibri" w:eastAsia="Calibri" w:hAnsi="Calibri" w:cs="Calibri"/>
          <w:b/>
          <w:bCs/>
        </w:rPr>
        <w:t>compression stockings</w:t>
      </w:r>
      <w:r w:rsidRPr="762F7827">
        <w:rPr>
          <w:rFonts w:ascii="Calibri" w:eastAsia="Calibri" w:hAnsi="Calibri" w:cs="Calibri"/>
        </w:rPr>
        <w:t xml:space="preserve"> while the patient is in bed.</w:t>
      </w:r>
    </w:p>
    <w:p w14:paraId="27AB2583" w14:textId="281784BF" w:rsidR="762F7827" w:rsidRDefault="762F7827" w:rsidP="762F7827">
      <w:pPr>
        <w:pStyle w:val="ListParagraph"/>
        <w:numPr>
          <w:ilvl w:val="0"/>
          <w:numId w:val="2"/>
        </w:numPr>
      </w:pPr>
      <w:r w:rsidRPr="762F7827">
        <w:rPr>
          <w:rFonts w:ascii="Calibri" w:eastAsia="Calibri" w:hAnsi="Calibri" w:cs="Calibri"/>
        </w:rPr>
        <w:t xml:space="preserve">Medical DVT prophylaxis with </w:t>
      </w:r>
      <w:r w:rsidRPr="762F7827">
        <w:rPr>
          <w:rFonts w:ascii="Calibri" w:eastAsia="Calibri" w:hAnsi="Calibri" w:cs="Calibri"/>
          <w:b/>
          <w:bCs/>
        </w:rPr>
        <w:t>enoxaparin (also known as low molecular weight heparin or LMWH)</w:t>
      </w:r>
      <w:r w:rsidRPr="762F7827">
        <w:rPr>
          <w:rFonts w:ascii="Calibri" w:eastAsia="Calibri" w:hAnsi="Calibri" w:cs="Calibri"/>
        </w:rPr>
        <w:t xml:space="preserve"> or </w:t>
      </w:r>
      <w:r w:rsidRPr="762F7827">
        <w:rPr>
          <w:rFonts w:ascii="Calibri" w:eastAsia="Calibri" w:hAnsi="Calibri" w:cs="Calibri"/>
          <w:b/>
          <w:bCs/>
        </w:rPr>
        <w:t xml:space="preserve">subcutaneous heparin </w:t>
      </w:r>
      <w:r w:rsidRPr="762F7827">
        <w:rPr>
          <w:rFonts w:ascii="Calibri" w:eastAsia="Calibri" w:hAnsi="Calibri" w:cs="Calibri"/>
        </w:rPr>
        <w:t xml:space="preserve">may be indicated in some patients. Clinicians must weigh the risk of GI bleeding against the benefit of prophylactic anticoagulants. Prophylactic doses of </w:t>
      </w:r>
      <w:r w:rsidRPr="762F7827">
        <w:rPr>
          <w:rFonts w:ascii="Calibri" w:eastAsia="Calibri" w:hAnsi="Calibri" w:cs="Calibri"/>
          <w:b/>
          <w:bCs/>
        </w:rPr>
        <w:t>enoxaparin</w:t>
      </w:r>
      <w:r w:rsidRPr="762F7827">
        <w:rPr>
          <w:rFonts w:ascii="Calibri" w:eastAsia="Calibri" w:hAnsi="Calibri" w:cs="Calibri"/>
        </w:rPr>
        <w:t xml:space="preserve"> or </w:t>
      </w:r>
      <w:r w:rsidRPr="762F7827">
        <w:rPr>
          <w:rFonts w:ascii="Calibri" w:eastAsia="Calibri" w:hAnsi="Calibri" w:cs="Calibri"/>
          <w:b/>
          <w:bCs/>
        </w:rPr>
        <w:t xml:space="preserve">subcutaneous heparin </w:t>
      </w:r>
      <w:r w:rsidRPr="762F7827">
        <w:rPr>
          <w:rFonts w:ascii="Calibri" w:eastAsia="Calibri" w:hAnsi="Calibri" w:cs="Calibri"/>
        </w:rPr>
        <w:t>are shown in the table below.</w:t>
      </w:r>
    </w:p>
    <w:p w14:paraId="2F93F29E" w14:textId="21AD594C" w:rsidR="762F7827" w:rsidRDefault="762F7827" w:rsidP="762F7827">
      <w:pPr>
        <w:spacing w:line="276" w:lineRule="auto"/>
      </w:pPr>
      <w:r w:rsidRPr="762F7827">
        <w:rPr>
          <w:rFonts w:ascii="Calibri" w:eastAsia="Calibri" w:hAnsi="Calibri" w:cs="Calibri"/>
          <w:b/>
          <w:bCs/>
          <w:color w:val="000000" w:themeColor="text1"/>
        </w:rPr>
        <w:t xml:space="preserve">Prophylactic dosing of subcutaneous heparin and enoxaparin for the </w:t>
      </w:r>
      <w:r w:rsidRPr="762F7827">
        <w:rPr>
          <w:rFonts w:ascii="Calibri" w:eastAsia="Calibri" w:hAnsi="Calibri" w:cs="Calibri"/>
          <w:b/>
          <w:bCs/>
          <w:i/>
          <w:iCs/>
          <w:color w:val="000000" w:themeColor="text1"/>
        </w:rPr>
        <w:t>prevention</w:t>
      </w:r>
      <w:r w:rsidRPr="762F7827">
        <w:rPr>
          <w:rFonts w:ascii="Calibri" w:eastAsia="Calibri" w:hAnsi="Calibri" w:cs="Calibri"/>
          <w:b/>
          <w:bCs/>
          <w:color w:val="000000" w:themeColor="text1"/>
        </w:rPr>
        <w:t xml:space="preserve"> of DVT/PE</w:t>
      </w:r>
    </w:p>
    <w:tbl>
      <w:tblPr>
        <w:tblStyle w:val="TableGrid"/>
        <w:tblW w:w="0" w:type="auto"/>
        <w:tblLayout w:type="fixed"/>
        <w:tblLook w:val="04A0" w:firstRow="1" w:lastRow="0" w:firstColumn="1" w:lastColumn="0" w:noHBand="0" w:noVBand="1"/>
      </w:tblPr>
      <w:tblGrid>
        <w:gridCol w:w="3120"/>
        <w:gridCol w:w="1666"/>
        <w:gridCol w:w="4574"/>
      </w:tblGrid>
      <w:tr w:rsidR="762F7827" w14:paraId="58D79269" w14:textId="77777777" w:rsidTr="00EA3FB5">
        <w:tc>
          <w:tcPr>
            <w:tcW w:w="3120" w:type="dxa"/>
          </w:tcPr>
          <w:p w14:paraId="2402E8CE" w14:textId="5D625B4F" w:rsidR="762F7827" w:rsidRDefault="762F7827">
            <w:r w:rsidRPr="762F7827">
              <w:rPr>
                <w:rFonts w:ascii="Calibri" w:eastAsia="Calibri" w:hAnsi="Calibri" w:cs="Calibri"/>
                <w:b/>
                <w:bCs/>
                <w:color w:val="FFFFFF" w:themeColor="background1"/>
              </w:rPr>
              <w:t>Agent</w:t>
            </w:r>
          </w:p>
        </w:tc>
        <w:tc>
          <w:tcPr>
            <w:tcW w:w="1666" w:type="dxa"/>
          </w:tcPr>
          <w:p w14:paraId="6466351B" w14:textId="5051A21D" w:rsidR="762F7827" w:rsidRDefault="762F7827">
            <w:r w:rsidRPr="762F7827">
              <w:rPr>
                <w:rFonts w:ascii="Calibri" w:eastAsia="Calibri" w:hAnsi="Calibri" w:cs="Calibri"/>
                <w:b/>
                <w:bCs/>
                <w:color w:val="FFFFFF" w:themeColor="background1"/>
              </w:rPr>
              <w:t>Route</w:t>
            </w:r>
          </w:p>
        </w:tc>
        <w:tc>
          <w:tcPr>
            <w:tcW w:w="4574" w:type="dxa"/>
          </w:tcPr>
          <w:p w14:paraId="1BDA770A" w14:textId="68820234" w:rsidR="762F7827" w:rsidRDefault="762F7827">
            <w:r w:rsidRPr="762F7827">
              <w:rPr>
                <w:rFonts w:ascii="Calibri" w:eastAsia="Calibri" w:hAnsi="Calibri" w:cs="Calibri"/>
                <w:b/>
                <w:bCs/>
                <w:color w:val="FFFFFF" w:themeColor="background1"/>
              </w:rPr>
              <w:t>Dose</w:t>
            </w:r>
          </w:p>
        </w:tc>
      </w:tr>
      <w:tr w:rsidR="762F7827" w14:paraId="4F4D886C" w14:textId="77777777" w:rsidTr="00EA3FB5">
        <w:tc>
          <w:tcPr>
            <w:tcW w:w="3120" w:type="dxa"/>
          </w:tcPr>
          <w:p w14:paraId="19C96200" w14:textId="11730F30" w:rsidR="762F7827" w:rsidRDefault="762F7827">
            <w:r w:rsidRPr="762F7827">
              <w:rPr>
                <w:rFonts w:ascii="Calibri" w:eastAsia="Calibri" w:hAnsi="Calibri" w:cs="Calibri"/>
                <w:color w:val="000000" w:themeColor="text1"/>
              </w:rPr>
              <w:t>Enoxaparin</w:t>
            </w:r>
          </w:p>
          <w:p w14:paraId="38187731" w14:textId="40381DA7" w:rsidR="762F7827" w:rsidRDefault="762F7827">
            <w:r w:rsidRPr="762F7827">
              <w:rPr>
                <w:rFonts w:ascii="Calibri" w:eastAsia="Calibri" w:hAnsi="Calibri" w:cs="Calibri"/>
                <w:color w:val="000000" w:themeColor="text1"/>
              </w:rPr>
              <w:t>(low molecular weight heparin, LMWH)</w:t>
            </w:r>
          </w:p>
        </w:tc>
        <w:tc>
          <w:tcPr>
            <w:tcW w:w="1666" w:type="dxa"/>
          </w:tcPr>
          <w:p w14:paraId="4ED1D2C6" w14:textId="442215EB" w:rsidR="762F7827" w:rsidRDefault="762F7827">
            <w:r w:rsidRPr="762F7827">
              <w:rPr>
                <w:rFonts w:ascii="Calibri" w:eastAsia="Calibri" w:hAnsi="Calibri" w:cs="Calibri"/>
                <w:color w:val="000000" w:themeColor="text1"/>
              </w:rPr>
              <w:t>Subcutaneous</w:t>
            </w:r>
          </w:p>
        </w:tc>
        <w:tc>
          <w:tcPr>
            <w:tcW w:w="4574" w:type="dxa"/>
          </w:tcPr>
          <w:p w14:paraId="36B7A207" w14:textId="742F600A" w:rsidR="762F7827" w:rsidRDefault="762F7827">
            <w:r w:rsidRPr="762F7827">
              <w:rPr>
                <w:rFonts w:ascii="Calibri" w:eastAsia="Calibri" w:hAnsi="Calibri" w:cs="Calibri"/>
                <w:color w:val="000000" w:themeColor="text1"/>
              </w:rPr>
              <w:t>40 mg once daily</w:t>
            </w:r>
            <w:r>
              <w:br/>
            </w:r>
            <w:r w:rsidRPr="762F7827">
              <w:rPr>
                <w:rFonts w:ascii="Calibri" w:eastAsia="Calibri" w:hAnsi="Calibri" w:cs="Calibri"/>
                <w:color w:val="000000" w:themeColor="text1"/>
              </w:rPr>
              <w:t xml:space="preserve"> (Dose at 30 mg once daily if mild renal insufficiency; contraindicated in renal failure;</w:t>
            </w:r>
          </w:p>
          <w:p w14:paraId="2C40C4D6" w14:textId="2D782693" w:rsidR="762F7827" w:rsidRDefault="762F7827">
            <w:r w:rsidRPr="762F7827">
              <w:rPr>
                <w:rFonts w:ascii="Calibri" w:eastAsia="Calibri" w:hAnsi="Calibri" w:cs="Calibri"/>
                <w:color w:val="000000" w:themeColor="text1"/>
              </w:rPr>
              <w:t>avoid in patients with hepatic impairment)</w:t>
            </w:r>
          </w:p>
        </w:tc>
      </w:tr>
      <w:tr w:rsidR="762F7827" w14:paraId="421342AB" w14:textId="77777777" w:rsidTr="00EA3FB5">
        <w:tc>
          <w:tcPr>
            <w:tcW w:w="3120" w:type="dxa"/>
          </w:tcPr>
          <w:p w14:paraId="3911ABCC" w14:textId="68711C1D" w:rsidR="762F7827" w:rsidRDefault="762F7827">
            <w:r w:rsidRPr="762F7827">
              <w:rPr>
                <w:rFonts w:ascii="Calibri" w:eastAsia="Calibri" w:hAnsi="Calibri" w:cs="Calibri"/>
                <w:color w:val="000000" w:themeColor="text1"/>
              </w:rPr>
              <w:t>Heparin</w:t>
            </w:r>
          </w:p>
        </w:tc>
        <w:tc>
          <w:tcPr>
            <w:tcW w:w="1666" w:type="dxa"/>
          </w:tcPr>
          <w:p w14:paraId="1858F3CA" w14:textId="2A57B52C" w:rsidR="762F7827" w:rsidRDefault="762F7827">
            <w:r w:rsidRPr="762F7827">
              <w:rPr>
                <w:rFonts w:ascii="Calibri" w:eastAsia="Calibri" w:hAnsi="Calibri" w:cs="Calibri"/>
                <w:color w:val="000000" w:themeColor="text1"/>
              </w:rPr>
              <w:t>Subcutaneous</w:t>
            </w:r>
          </w:p>
        </w:tc>
        <w:tc>
          <w:tcPr>
            <w:tcW w:w="4574" w:type="dxa"/>
          </w:tcPr>
          <w:p w14:paraId="2470A38A" w14:textId="3E3E8DAA" w:rsidR="762F7827" w:rsidRDefault="762F7827">
            <w:r w:rsidRPr="762F7827">
              <w:rPr>
                <w:rFonts w:ascii="Calibri" w:eastAsia="Calibri" w:hAnsi="Calibri" w:cs="Calibri"/>
                <w:color w:val="000000" w:themeColor="text1"/>
              </w:rPr>
              <w:t>5,000 units every 8 hours</w:t>
            </w:r>
            <w:r>
              <w:br/>
            </w:r>
            <w:r w:rsidRPr="762F7827">
              <w:rPr>
                <w:rFonts w:ascii="Calibri" w:eastAsia="Calibri" w:hAnsi="Calibri" w:cs="Calibri"/>
                <w:color w:val="000000" w:themeColor="text1"/>
              </w:rPr>
              <w:t xml:space="preserve"> (No dosage adjustment necessary for renal or hepatic impairment)</w:t>
            </w:r>
          </w:p>
        </w:tc>
      </w:tr>
    </w:tbl>
    <w:p w14:paraId="1FBAC178" w14:textId="2B32B0A3" w:rsidR="762F7827" w:rsidRDefault="762F7827" w:rsidP="00EA3FB5">
      <w:pPr>
        <w:spacing w:line="276" w:lineRule="auto"/>
      </w:pPr>
      <w:r w:rsidRPr="762F7827">
        <w:rPr>
          <w:rFonts w:ascii="Calibri" w:eastAsia="Calibri" w:hAnsi="Calibri" w:cs="Calibri"/>
          <w:color w:val="000000" w:themeColor="text1"/>
        </w:rPr>
        <w:lastRenderedPageBreak/>
        <w:t xml:space="preserve"> </w:t>
      </w:r>
      <w:r w:rsidRPr="762F7827">
        <w:rPr>
          <w:rFonts w:ascii="Calibri" w:eastAsia="Calibri" w:hAnsi="Calibri" w:cs="Calibri"/>
          <w:b/>
          <w:bCs/>
          <w:color w:val="000000" w:themeColor="text1"/>
        </w:rPr>
        <w:t>3. Diagnosis of DVT:</w:t>
      </w:r>
    </w:p>
    <w:p w14:paraId="635CBB00" w14:textId="1C917516" w:rsidR="762F7827" w:rsidRDefault="762F7827" w:rsidP="762F7827">
      <w:pPr>
        <w:pStyle w:val="ListParagraph"/>
        <w:numPr>
          <w:ilvl w:val="0"/>
          <w:numId w:val="2"/>
        </w:numPr>
      </w:pPr>
      <w:r w:rsidRPr="762F7827">
        <w:rPr>
          <w:rFonts w:ascii="Calibri" w:eastAsia="Calibri" w:hAnsi="Calibri" w:cs="Calibri"/>
        </w:rPr>
        <w:t>The clinical presentation of DVT includes swelling, pain, tenderness, and/or heaviness of a leg or arm, dilated superficial veins, and bluish discoloration of the skin. Signs and symptoms can be subtle or masked by a larger body habitus or preexisting edema.</w:t>
      </w:r>
    </w:p>
    <w:p w14:paraId="7729988C" w14:textId="217E4E87" w:rsidR="0076443B" w:rsidRPr="00EA3FB5" w:rsidRDefault="762F7827" w:rsidP="00EA3FB5">
      <w:pPr>
        <w:pStyle w:val="ListParagraph"/>
        <w:numPr>
          <w:ilvl w:val="0"/>
          <w:numId w:val="2"/>
        </w:numPr>
      </w:pPr>
      <w:r w:rsidRPr="762F7827">
        <w:rPr>
          <w:rFonts w:ascii="Calibri" w:eastAsia="Calibri" w:hAnsi="Calibri" w:cs="Calibri"/>
        </w:rPr>
        <w:t xml:space="preserve">Diagnosis of DVT generally requires a </w:t>
      </w:r>
      <w:r w:rsidRPr="762F7827">
        <w:rPr>
          <w:rFonts w:ascii="Calibri" w:eastAsia="Calibri" w:hAnsi="Calibri" w:cs="Calibri"/>
          <w:b/>
          <w:bCs/>
        </w:rPr>
        <w:t>doppler ultrasound</w:t>
      </w:r>
      <w:r w:rsidRPr="762F7827">
        <w:rPr>
          <w:rFonts w:ascii="Calibri" w:eastAsia="Calibri" w:hAnsi="Calibri" w:cs="Calibri"/>
        </w:rPr>
        <w:t xml:space="preserve">, the gold standard. If the patient's symptoms strongly suggest a DVT, but the ultrasound is negative, you can consider repeating a </w:t>
      </w:r>
      <w:r w:rsidRPr="762F7827">
        <w:rPr>
          <w:rFonts w:ascii="Calibri" w:eastAsia="Calibri" w:hAnsi="Calibri" w:cs="Calibri"/>
          <w:b/>
          <w:bCs/>
        </w:rPr>
        <w:t xml:space="preserve">full extremity doppler ultrasound </w:t>
      </w:r>
      <w:r w:rsidRPr="762F7827">
        <w:rPr>
          <w:rFonts w:ascii="Calibri" w:eastAsia="Calibri" w:hAnsi="Calibri" w:cs="Calibri"/>
        </w:rPr>
        <w:t>and/or</w:t>
      </w:r>
      <w:r w:rsidRPr="762F7827">
        <w:rPr>
          <w:rFonts w:ascii="Calibri" w:eastAsia="Calibri" w:hAnsi="Calibri" w:cs="Calibri"/>
          <w:b/>
          <w:bCs/>
        </w:rPr>
        <w:t xml:space="preserve"> central vein doppler ultrasound</w:t>
      </w:r>
      <w:r w:rsidRPr="762F7827">
        <w:rPr>
          <w:rFonts w:ascii="Calibri" w:eastAsia="Calibri" w:hAnsi="Calibri" w:cs="Calibri"/>
        </w:rPr>
        <w:t xml:space="preserve"> targeting the central chest veins or the inferior vena cava as indicated to look for thrombus missed on the initial scan, or repeating the ultrasound several days later.</w:t>
      </w:r>
    </w:p>
    <w:p w14:paraId="2BBE7250" w14:textId="1EB6A232" w:rsidR="762F7827" w:rsidRDefault="762F7827" w:rsidP="762F7827">
      <w:pPr>
        <w:spacing w:line="276" w:lineRule="auto"/>
        <w:jc w:val="both"/>
      </w:pPr>
      <w:r w:rsidRPr="762F7827">
        <w:rPr>
          <w:rFonts w:ascii="Calibri" w:eastAsia="Calibri" w:hAnsi="Calibri" w:cs="Calibri"/>
          <w:b/>
          <w:bCs/>
          <w:color w:val="000000" w:themeColor="text1"/>
        </w:rPr>
        <w:t>4. Diagnosis of PE:</w:t>
      </w:r>
    </w:p>
    <w:p w14:paraId="3B80C730" w14:textId="17D3D115" w:rsidR="762F7827" w:rsidRDefault="762F7827" w:rsidP="762F7827">
      <w:pPr>
        <w:pStyle w:val="ListParagraph"/>
        <w:numPr>
          <w:ilvl w:val="0"/>
          <w:numId w:val="1"/>
        </w:numPr>
      </w:pPr>
      <w:r w:rsidRPr="762F7827">
        <w:rPr>
          <w:rFonts w:ascii="Calibri" w:eastAsia="Calibri" w:hAnsi="Calibri" w:cs="Calibri"/>
        </w:rPr>
        <w:t xml:space="preserve">The clinical presentation of PE includes hypoxia, sinus tachycardia or other tachyarrhythmia, and right heart strain on ECG on echocardiogram. Definitive diagnosis requires a </w:t>
      </w:r>
      <w:r w:rsidRPr="762F7827">
        <w:rPr>
          <w:rFonts w:ascii="Calibri" w:eastAsia="Calibri" w:hAnsi="Calibri" w:cs="Calibri"/>
          <w:b/>
          <w:bCs/>
        </w:rPr>
        <w:t>CT Pulmonary Angiogram</w:t>
      </w:r>
      <w:r w:rsidRPr="762F7827">
        <w:rPr>
          <w:rFonts w:ascii="Calibri" w:eastAsia="Calibri" w:hAnsi="Calibri" w:cs="Calibri"/>
        </w:rPr>
        <w:t>. A noncontrast CT Chest will not diagnose PE, it must use IV contrast and be protocoled to look specifically for PE to be diagnostic. Use caution in patients with or at risk for acute kidney injury before ordering a CT Pulmonary Angiogram. For these patients, consider prehydration with isotonic saline (0.9% NaCl) and avoid nephrotoxins. For patients on metformin, stop metformin 48 hours before and restart 48 hours after the CT is obtained to avoid inducing lactic acidosis.</w:t>
      </w:r>
    </w:p>
    <w:p w14:paraId="0AFC3E08" w14:textId="159B2FA3" w:rsidR="762F7827" w:rsidRDefault="762F7827" w:rsidP="762F7827"/>
    <w:sectPr w:rsidR="762F7827" w:rsidSect="00EA3FB5">
      <w:headerReference w:type="default" r:id="rId10"/>
      <w:footerReference w:type="default" r:id="rId11"/>
      <w:pgSz w:w="12240" w:h="15840"/>
      <w:pgMar w:top="867" w:right="1440" w:bottom="1440" w:left="1440" w:header="568" w:footer="3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1B32" w14:textId="77777777" w:rsidR="004601C4" w:rsidRDefault="004601C4" w:rsidP="001503B2">
      <w:pPr>
        <w:spacing w:after="0" w:line="240" w:lineRule="auto"/>
      </w:pPr>
      <w:r>
        <w:separator/>
      </w:r>
    </w:p>
  </w:endnote>
  <w:endnote w:type="continuationSeparator" w:id="0">
    <w:p w14:paraId="6CE5806E" w14:textId="77777777" w:rsidR="004601C4" w:rsidRDefault="004601C4" w:rsidP="0015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D86F" w14:textId="77777777" w:rsidR="00EA3FB5" w:rsidRDefault="00EA3FB5" w:rsidP="00EA3FB5">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4E896E71" w14:textId="77777777" w:rsidR="00EA3FB5" w:rsidRDefault="00EA3FB5">
    <w:pPr>
      <w:pStyle w:val="Footer"/>
      <w:jc w:val="center"/>
    </w:pPr>
  </w:p>
  <w:sdt>
    <w:sdtPr>
      <w:id w:val="-802308905"/>
      <w:docPartObj>
        <w:docPartGallery w:val="Page Numbers (Bottom of Page)"/>
        <w:docPartUnique/>
      </w:docPartObj>
    </w:sdtPr>
    <w:sdtContent>
      <w:sdt>
        <w:sdtPr>
          <w:id w:val="1728636285"/>
          <w:docPartObj>
            <w:docPartGallery w:val="Page Numbers (Top of Page)"/>
            <w:docPartUnique/>
          </w:docPartObj>
        </w:sdtPr>
        <w:sdtContent>
          <w:p w14:paraId="16E4E07D" w14:textId="3CDB9254" w:rsidR="00EA3FB5" w:rsidRDefault="00EA3F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BA96D3" w14:textId="77777777" w:rsidR="00EA3FB5" w:rsidRDefault="00EA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FCCA" w14:textId="77777777" w:rsidR="004601C4" w:rsidRDefault="004601C4" w:rsidP="001503B2">
      <w:pPr>
        <w:spacing w:after="0" w:line="240" w:lineRule="auto"/>
      </w:pPr>
      <w:r>
        <w:separator/>
      </w:r>
    </w:p>
  </w:footnote>
  <w:footnote w:type="continuationSeparator" w:id="0">
    <w:p w14:paraId="58C21834" w14:textId="77777777" w:rsidR="004601C4" w:rsidRDefault="004601C4" w:rsidP="0015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tblInd w:w="-176" w:type="dxa"/>
      <w:tblLook w:val="04A0" w:firstRow="1" w:lastRow="0" w:firstColumn="1" w:lastColumn="0" w:noHBand="0" w:noVBand="1"/>
    </w:tblPr>
    <w:tblGrid>
      <w:gridCol w:w="1560"/>
      <w:gridCol w:w="6095"/>
      <w:gridCol w:w="2977"/>
    </w:tblGrid>
    <w:tr w:rsidR="001503B2" w:rsidRPr="001503B2" w14:paraId="6016E499" w14:textId="77777777" w:rsidTr="00704DB0">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1F306F" w14:textId="6A80BA6B" w:rsidR="001503B2" w:rsidRPr="003377F5" w:rsidRDefault="001503B2" w:rsidP="00704DB0">
          <w:pPr>
            <w:spacing w:line="276" w:lineRule="auto"/>
            <w:rPr>
              <w:b/>
              <w:lang w:val="fr-FR"/>
            </w:rPr>
          </w:pPr>
          <w:r w:rsidRPr="003377F5">
            <w:rPr>
              <w:b/>
            </w:rPr>
            <w:t>SOP SP-018-CT</w:t>
          </w:r>
        </w:p>
      </w:tc>
      <w:tc>
        <w:tcPr>
          <w:tcW w:w="6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91E62B" w14:textId="52C6ED26" w:rsidR="001503B2" w:rsidRPr="00B26E2A" w:rsidRDefault="001503B2" w:rsidP="00704DB0">
          <w:pPr>
            <w:spacing w:line="276" w:lineRule="auto"/>
            <w:jc w:val="center"/>
            <w:rPr>
              <w:b/>
            </w:rPr>
          </w:pPr>
          <w:r w:rsidRPr="00B26E2A">
            <w:rPr>
              <w:b/>
            </w:rPr>
            <w:t xml:space="preserve">endTB Clinical Trials - A2- Clinical manifestation, prevention, and diagnosis of </w:t>
          </w:r>
          <w:r w:rsidR="00B26E2A" w:rsidRPr="00B26E2A">
            <w:rPr>
              <w:b/>
            </w:rPr>
            <w:t>deep venous thrombosis</w:t>
          </w:r>
          <w:r w:rsidRPr="00B26E2A">
            <w:rPr>
              <w:b/>
            </w:rPr>
            <w:t>/</w:t>
          </w:r>
          <w:r w:rsidR="00B26E2A" w:rsidRPr="00B26E2A">
            <w:rPr>
              <w:b/>
            </w:rPr>
            <w:t xml:space="preserve"> pulmonary embolism</w:t>
          </w:r>
        </w:p>
      </w:tc>
      <w:tc>
        <w:tcPr>
          <w:tcW w:w="297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2937E347" w14:textId="1F1D36B1" w:rsidR="001503B2" w:rsidRPr="003377F5" w:rsidRDefault="00C150BC" w:rsidP="00704DB0">
          <w:pPr>
            <w:spacing w:line="276" w:lineRule="auto"/>
            <w:ind w:left="34" w:hanging="34"/>
            <w:jc w:val="right"/>
            <w:rPr>
              <w:b/>
            </w:rPr>
          </w:pPr>
          <w:r>
            <w:rPr>
              <w:b/>
            </w:rPr>
            <w:t>Version 1</w:t>
          </w:r>
          <w:r w:rsidR="003377F5" w:rsidRPr="003377F5">
            <w:rPr>
              <w:b/>
            </w:rPr>
            <w:t xml:space="preserve">.0, </w:t>
          </w:r>
          <w:r w:rsidR="00704DB0">
            <w:rPr>
              <w:b/>
            </w:rPr>
            <w:t xml:space="preserve">Date </w:t>
          </w:r>
          <w:r w:rsidR="0076443B">
            <w:rPr>
              <w:b/>
            </w:rPr>
            <w:t>23</w:t>
          </w:r>
          <w:r w:rsidR="001503B2" w:rsidRPr="003377F5">
            <w:rPr>
              <w:b/>
            </w:rPr>
            <w:t>-</w:t>
          </w:r>
          <w:r w:rsidR="0076443B">
            <w:rPr>
              <w:b/>
            </w:rPr>
            <w:t>Sep</w:t>
          </w:r>
          <w:r w:rsidR="001503B2" w:rsidRPr="003377F5">
            <w:rPr>
              <w:b/>
            </w:rPr>
            <w:t>-2019</w:t>
          </w:r>
        </w:p>
      </w:tc>
    </w:tr>
  </w:tbl>
  <w:p w14:paraId="569E56ED" w14:textId="677C9AFF" w:rsidR="001503B2" w:rsidRPr="001503B2" w:rsidRDefault="00704DB0" w:rsidP="001503B2">
    <w:pPr>
      <w:spacing w:line="276" w:lineRule="auto"/>
      <w:jc w:val="center"/>
    </w:pPr>
    <w:r>
      <w:rPr>
        <w:noProof/>
      </w:rPr>
      <w:drawing>
        <wp:anchor distT="0" distB="0" distL="114300" distR="114300" simplePos="0" relativeHeight="251659776" behindDoc="0" locked="0" layoutInCell="1" allowOverlap="1" wp14:anchorId="3A11006A" wp14:editId="612D9144">
          <wp:simplePos x="0" y="0"/>
          <wp:positionH relativeFrom="column">
            <wp:posOffset>-675467</wp:posOffset>
          </wp:positionH>
          <wp:positionV relativeFrom="paragraph">
            <wp:posOffset>-360045</wp:posOffset>
          </wp:positionV>
          <wp:extent cx="498763" cy="308147"/>
          <wp:effectExtent l="0" t="0" r="0" b="0"/>
          <wp:wrapThrough wrapText="bothSides">
            <wp:wrapPolygon edited="0">
              <wp:start x="0" y="0"/>
              <wp:lineTo x="0" y="20041"/>
              <wp:lineTo x="20637" y="20041"/>
              <wp:lineTo x="20637" y="0"/>
              <wp:lineTo x="0" y="0"/>
            </wp:wrapPolygon>
          </wp:wrapThrough>
          <wp:docPr id="1420029459"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405F9"/>
    <w:multiLevelType w:val="hybridMultilevel"/>
    <w:tmpl w:val="C0E0D85E"/>
    <w:lvl w:ilvl="0" w:tplc="514415CA">
      <w:start w:val="1"/>
      <w:numFmt w:val="bullet"/>
      <w:lvlText w:val=""/>
      <w:lvlJc w:val="left"/>
      <w:pPr>
        <w:ind w:left="720" w:hanging="360"/>
      </w:pPr>
      <w:rPr>
        <w:rFonts w:ascii="Symbol" w:hAnsi="Symbol" w:hint="default"/>
      </w:rPr>
    </w:lvl>
    <w:lvl w:ilvl="1" w:tplc="3C308B3C">
      <w:start w:val="1"/>
      <w:numFmt w:val="bullet"/>
      <w:lvlText w:val=""/>
      <w:lvlJc w:val="left"/>
      <w:pPr>
        <w:ind w:left="1440" w:hanging="360"/>
      </w:pPr>
      <w:rPr>
        <w:rFonts w:ascii="Symbol" w:hAnsi="Symbol" w:hint="default"/>
      </w:rPr>
    </w:lvl>
    <w:lvl w:ilvl="2" w:tplc="0D1EBD76">
      <w:start w:val="1"/>
      <w:numFmt w:val="bullet"/>
      <w:lvlText w:val=""/>
      <w:lvlJc w:val="left"/>
      <w:pPr>
        <w:ind w:left="2160" w:hanging="360"/>
      </w:pPr>
      <w:rPr>
        <w:rFonts w:ascii="Wingdings" w:hAnsi="Wingdings" w:hint="default"/>
      </w:rPr>
    </w:lvl>
    <w:lvl w:ilvl="3" w:tplc="F9DAD014">
      <w:start w:val="1"/>
      <w:numFmt w:val="bullet"/>
      <w:lvlText w:val=""/>
      <w:lvlJc w:val="left"/>
      <w:pPr>
        <w:ind w:left="2880" w:hanging="360"/>
      </w:pPr>
      <w:rPr>
        <w:rFonts w:ascii="Symbol" w:hAnsi="Symbol" w:hint="default"/>
      </w:rPr>
    </w:lvl>
    <w:lvl w:ilvl="4" w:tplc="4A0069C2">
      <w:start w:val="1"/>
      <w:numFmt w:val="bullet"/>
      <w:lvlText w:val="o"/>
      <w:lvlJc w:val="left"/>
      <w:pPr>
        <w:ind w:left="3600" w:hanging="360"/>
      </w:pPr>
      <w:rPr>
        <w:rFonts w:ascii="Courier New" w:hAnsi="Courier New" w:hint="default"/>
      </w:rPr>
    </w:lvl>
    <w:lvl w:ilvl="5" w:tplc="D19034E2">
      <w:start w:val="1"/>
      <w:numFmt w:val="bullet"/>
      <w:lvlText w:val=""/>
      <w:lvlJc w:val="left"/>
      <w:pPr>
        <w:ind w:left="4320" w:hanging="360"/>
      </w:pPr>
      <w:rPr>
        <w:rFonts w:ascii="Wingdings" w:hAnsi="Wingdings" w:hint="default"/>
      </w:rPr>
    </w:lvl>
    <w:lvl w:ilvl="6" w:tplc="451807F8">
      <w:start w:val="1"/>
      <w:numFmt w:val="bullet"/>
      <w:lvlText w:val=""/>
      <w:lvlJc w:val="left"/>
      <w:pPr>
        <w:ind w:left="5040" w:hanging="360"/>
      </w:pPr>
      <w:rPr>
        <w:rFonts w:ascii="Symbol" w:hAnsi="Symbol" w:hint="default"/>
      </w:rPr>
    </w:lvl>
    <w:lvl w:ilvl="7" w:tplc="21F4DFD2">
      <w:start w:val="1"/>
      <w:numFmt w:val="bullet"/>
      <w:lvlText w:val="o"/>
      <w:lvlJc w:val="left"/>
      <w:pPr>
        <w:ind w:left="5760" w:hanging="360"/>
      </w:pPr>
      <w:rPr>
        <w:rFonts w:ascii="Courier New" w:hAnsi="Courier New" w:hint="default"/>
      </w:rPr>
    </w:lvl>
    <w:lvl w:ilvl="8" w:tplc="22EE5D96">
      <w:start w:val="1"/>
      <w:numFmt w:val="bullet"/>
      <w:lvlText w:val=""/>
      <w:lvlJc w:val="left"/>
      <w:pPr>
        <w:ind w:left="6480" w:hanging="360"/>
      </w:pPr>
      <w:rPr>
        <w:rFonts w:ascii="Wingdings" w:hAnsi="Wingdings" w:hint="default"/>
      </w:rPr>
    </w:lvl>
  </w:abstractNum>
  <w:abstractNum w:abstractNumId="1" w15:restartNumberingAfterBreak="0">
    <w:nsid w:val="79AE6C1F"/>
    <w:multiLevelType w:val="hybridMultilevel"/>
    <w:tmpl w:val="75FE2970"/>
    <w:lvl w:ilvl="0" w:tplc="129C500E">
      <w:start w:val="1"/>
      <w:numFmt w:val="bullet"/>
      <w:lvlText w:val=""/>
      <w:lvlJc w:val="left"/>
      <w:pPr>
        <w:ind w:left="720" w:hanging="360"/>
      </w:pPr>
      <w:rPr>
        <w:rFonts w:ascii="Symbol" w:hAnsi="Symbol" w:hint="default"/>
      </w:rPr>
    </w:lvl>
    <w:lvl w:ilvl="1" w:tplc="AE86FBDC">
      <w:start w:val="1"/>
      <w:numFmt w:val="bullet"/>
      <w:lvlText w:val="o"/>
      <w:lvlJc w:val="left"/>
      <w:pPr>
        <w:ind w:left="1440" w:hanging="360"/>
      </w:pPr>
      <w:rPr>
        <w:rFonts w:ascii="Courier New" w:hAnsi="Courier New" w:hint="default"/>
      </w:rPr>
    </w:lvl>
    <w:lvl w:ilvl="2" w:tplc="CF1265D4">
      <w:start w:val="1"/>
      <w:numFmt w:val="bullet"/>
      <w:lvlText w:val=""/>
      <w:lvlJc w:val="left"/>
      <w:pPr>
        <w:ind w:left="2160" w:hanging="360"/>
      </w:pPr>
      <w:rPr>
        <w:rFonts w:ascii="Wingdings" w:hAnsi="Wingdings" w:hint="default"/>
      </w:rPr>
    </w:lvl>
    <w:lvl w:ilvl="3" w:tplc="E4D431BC">
      <w:start w:val="1"/>
      <w:numFmt w:val="bullet"/>
      <w:lvlText w:val=""/>
      <w:lvlJc w:val="left"/>
      <w:pPr>
        <w:ind w:left="2880" w:hanging="360"/>
      </w:pPr>
      <w:rPr>
        <w:rFonts w:ascii="Symbol" w:hAnsi="Symbol" w:hint="default"/>
      </w:rPr>
    </w:lvl>
    <w:lvl w:ilvl="4" w:tplc="7D98CF0C">
      <w:start w:val="1"/>
      <w:numFmt w:val="bullet"/>
      <w:lvlText w:val="o"/>
      <w:lvlJc w:val="left"/>
      <w:pPr>
        <w:ind w:left="3600" w:hanging="360"/>
      </w:pPr>
      <w:rPr>
        <w:rFonts w:ascii="Courier New" w:hAnsi="Courier New" w:hint="default"/>
      </w:rPr>
    </w:lvl>
    <w:lvl w:ilvl="5" w:tplc="83B2B41E">
      <w:start w:val="1"/>
      <w:numFmt w:val="bullet"/>
      <w:lvlText w:val=""/>
      <w:lvlJc w:val="left"/>
      <w:pPr>
        <w:ind w:left="4320" w:hanging="360"/>
      </w:pPr>
      <w:rPr>
        <w:rFonts w:ascii="Wingdings" w:hAnsi="Wingdings" w:hint="default"/>
      </w:rPr>
    </w:lvl>
    <w:lvl w:ilvl="6" w:tplc="73C24820">
      <w:start w:val="1"/>
      <w:numFmt w:val="bullet"/>
      <w:lvlText w:val=""/>
      <w:lvlJc w:val="left"/>
      <w:pPr>
        <w:ind w:left="5040" w:hanging="360"/>
      </w:pPr>
      <w:rPr>
        <w:rFonts w:ascii="Symbol" w:hAnsi="Symbol" w:hint="default"/>
      </w:rPr>
    </w:lvl>
    <w:lvl w:ilvl="7" w:tplc="86062314">
      <w:start w:val="1"/>
      <w:numFmt w:val="bullet"/>
      <w:lvlText w:val="o"/>
      <w:lvlJc w:val="left"/>
      <w:pPr>
        <w:ind w:left="5760" w:hanging="360"/>
      </w:pPr>
      <w:rPr>
        <w:rFonts w:ascii="Courier New" w:hAnsi="Courier New" w:hint="default"/>
      </w:rPr>
    </w:lvl>
    <w:lvl w:ilvl="8" w:tplc="FC365D90">
      <w:start w:val="1"/>
      <w:numFmt w:val="bullet"/>
      <w:lvlText w:val=""/>
      <w:lvlJc w:val="left"/>
      <w:pPr>
        <w:ind w:left="6480" w:hanging="360"/>
      </w:pPr>
      <w:rPr>
        <w:rFonts w:ascii="Wingdings" w:hAnsi="Wingdings" w:hint="default"/>
      </w:rPr>
    </w:lvl>
  </w:abstractNum>
  <w:num w:numId="1" w16cid:durableId="1445423401">
    <w:abstractNumId w:val="1"/>
  </w:num>
  <w:num w:numId="2" w16cid:durableId="166346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09AE70"/>
    <w:rsid w:val="001503B2"/>
    <w:rsid w:val="003377F5"/>
    <w:rsid w:val="004601C4"/>
    <w:rsid w:val="00697C94"/>
    <w:rsid w:val="00704DB0"/>
    <w:rsid w:val="0076443B"/>
    <w:rsid w:val="00B26E2A"/>
    <w:rsid w:val="00C150BC"/>
    <w:rsid w:val="00C338A5"/>
    <w:rsid w:val="00D80D4A"/>
    <w:rsid w:val="00EA3FB5"/>
    <w:rsid w:val="7309AE70"/>
    <w:rsid w:val="762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9AE70"/>
  <w15:docId w15:val="{9F557C1D-D257-4432-8C67-4CA286E5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503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03B2"/>
  </w:style>
  <w:style w:type="paragraph" w:styleId="Footer">
    <w:name w:val="footer"/>
    <w:basedOn w:val="Normal"/>
    <w:link w:val="FooterChar"/>
    <w:uiPriority w:val="99"/>
    <w:unhideWhenUsed/>
    <w:rsid w:val="001503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03B2"/>
  </w:style>
  <w:style w:type="character" w:styleId="Hyperlink">
    <w:name w:val="Hyperlink"/>
    <w:basedOn w:val="DefaultParagraphFont"/>
    <w:uiPriority w:val="99"/>
    <w:unhideWhenUsed/>
    <w:rsid w:val="00EA3F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EDF03-768F-4ACD-96BF-D7606C814095}">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0c1abfa-485b-41c9-a329-38772ca1fd48"/>
    <ds:schemaRef ds:uri="57d60e0b-bbcc-4e8c-ae17-1bc07bf7b2a6"/>
    <ds:schemaRef ds:uri="d1dc8e9d-c2d7-4f1e-a8b8-6d152e0fdc8f"/>
    <ds:schemaRef ds:uri="http://www.w3.org/XML/1998/namespace"/>
    <ds:schemaRef ds:uri="http://purl.org/dc/dcmitype/"/>
  </ds:schemaRefs>
</ds:datastoreItem>
</file>

<file path=customXml/itemProps2.xml><?xml version="1.0" encoding="utf-8"?>
<ds:datastoreItem xmlns:ds="http://schemas.openxmlformats.org/officeDocument/2006/customXml" ds:itemID="{DF05A6D4-393F-4F73-8CD8-66FF21F48A41}">
  <ds:schemaRefs>
    <ds:schemaRef ds:uri="http://schemas.microsoft.com/sharepoint/v3/contenttype/forms"/>
  </ds:schemaRefs>
</ds:datastoreItem>
</file>

<file path=customXml/itemProps3.xml><?xml version="1.0" encoding="utf-8"?>
<ds:datastoreItem xmlns:ds="http://schemas.openxmlformats.org/officeDocument/2006/customXml" ds:itemID="{8B76D047-E473-46B8-94F6-6F6681811E0F}"/>
</file>

<file path=docProps/app.xml><?xml version="1.0" encoding="utf-8"?>
<Properties xmlns="http://schemas.openxmlformats.org/officeDocument/2006/extended-properties" xmlns:vt="http://schemas.openxmlformats.org/officeDocument/2006/docPropsVTypes">
  <Template>Normal.dotm</Template>
  <TotalTime>14</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PICHON</dc:creator>
  <cp:keywords/>
  <dc:description/>
  <cp:lastModifiedBy>Marhaba Chaudhry</cp:lastModifiedBy>
  <cp:revision>9</cp:revision>
  <dcterms:created xsi:type="dcterms:W3CDTF">2019-06-17T16:00:00Z</dcterms:created>
  <dcterms:modified xsi:type="dcterms:W3CDTF">2024-09-02T14:40:00Z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8;#N/A|603d074b-cb2d-4568-af2a-4cd630184ab0</vt:lpwstr>
  </property>
  <property fmtid="{D5CDD505-2E9C-101B-9397-08002B2CF9AE}" pid="4" name="endTBStructureCountries">
    <vt:lpwstr>6;#N/A|7a4f8743-7bab-4f6a-8a0d-b24596741886</vt:lpwstr>
  </property>
  <property fmtid="{D5CDD505-2E9C-101B-9397-08002B2CF9AE}" pid="5" name="Order">
    <vt:r8>1405400</vt:r8>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endTBClinicalTrial">
    <vt:lpwstr>endTB</vt:lpwstr>
  </property>
  <property fmtid="{D5CDD505-2E9C-101B-9397-08002B2CF9AE}" pid="12" name="endTBCountry">
    <vt:lpwstr>Central team</vt:lpwstr>
  </property>
  <property fmtid="{D5CDD505-2E9C-101B-9397-08002B2CF9AE}" pid="13" name="endTBStatusDocument">
    <vt:lpwstr>Final</vt:lpwstr>
  </property>
  <property fmtid="{D5CDD505-2E9C-101B-9397-08002B2CF9AE}" pid="14" name="_ExtendedDescription">
    <vt:lpwstr/>
  </property>
  <property fmtid="{D5CDD505-2E9C-101B-9397-08002B2CF9AE}" pid="15" name="ie6fc752e8314f23b9add3aacdf734e2">
    <vt:lpwstr>N/A|603d074b-cb2d-4568-af2a-4cd630184ab0</vt:lpwstr>
  </property>
  <property fmtid="{D5CDD505-2E9C-101B-9397-08002B2CF9AE}" pid="16" name="b133059517bd4b6ba2826fe941cfd2cb">
    <vt:lpwstr>N/A|7a4f8743-7bab-4f6a-8a0d-b24596741886</vt:lpwstr>
  </property>
  <property fmtid="{D5CDD505-2E9C-101B-9397-08002B2CF9AE}" pid="17" name="TriggerFlowInfo">
    <vt:lpwstr/>
  </property>
  <property fmtid="{D5CDD505-2E9C-101B-9397-08002B2CF9AE}" pid="18" name="MediaServiceImageTags">
    <vt:lpwstr/>
  </property>
</Properties>
</file>