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EF8A2C" w14:textId="08E2F401" w:rsidR="001659EF" w:rsidRPr="00681907" w:rsidRDefault="001659EF" w:rsidP="00372E20">
      <w:pPr>
        <w:pStyle w:val="Heading1"/>
        <w:numPr>
          <w:ilvl w:val="0"/>
          <w:numId w:val="0"/>
        </w:numPr>
        <w:ind w:left="360"/>
        <w:rPr>
          <w:lang w:val="en-US"/>
        </w:rPr>
      </w:pPr>
      <w:bookmarkStart w:id="0" w:name="_Toc166238334"/>
      <w:r w:rsidRPr="00681907">
        <w:rPr>
          <w:lang w:val="en-US"/>
        </w:rPr>
        <w:t>Standard Operating Procedures for</w:t>
      </w:r>
      <w:r w:rsidR="00AD20A6">
        <w:rPr>
          <w:lang w:val="en-US"/>
        </w:rPr>
        <w:br/>
      </w:r>
      <w:r w:rsidRPr="00681907">
        <w:rPr>
          <w:lang w:val="en-US"/>
        </w:rPr>
        <w:t>Management of Specific Adverse Events</w:t>
      </w:r>
      <w:bookmarkEnd w:id="0"/>
    </w:p>
    <w:p w14:paraId="193808F9" w14:textId="77777777" w:rsidR="0076142D" w:rsidRPr="00681907" w:rsidRDefault="0076142D" w:rsidP="00462589">
      <w:pPr>
        <w:keepNext/>
        <w:keepLines/>
        <w:spacing w:after="0" w:line="240" w:lineRule="auto"/>
        <w:jc w:val="both"/>
        <w:rPr>
          <w:lang w:val="en-US"/>
        </w:rPr>
      </w:pPr>
    </w:p>
    <w:tbl>
      <w:tblPr>
        <w:tblStyle w:val="1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8"/>
        <w:gridCol w:w="3258"/>
      </w:tblGrid>
      <w:tr w:rsidR="0076142D" w:rsidRPr="00681907" w14:paraId="28F3628D" w14:textId="77777777" w:rsidTr="0AEC924E">
        <w:tc>
          <w:tcPr>
            <w:tcW w:w="6318" w:type="dxa"/>
            <w:shd w:val="clear" w:color="auto" w:fill="F2F2F2" w:themeFill="background1" w:themeFillShade="F2"/>
          </w:tcPr>
          <w:p w14:paraId="15BCFAFF" w14:textId="288A408D" w:rsidR="0076142D" w:rsidRPr="00DE0C72" w:rsidRDefault="00396643" w:rsidP="00F1254D">
            <w:pPr>
              <w:keepNext/>
              <w:keepLines/>
              <w:jc w:val="both"/>
              <w:rPr>
                <w:lang w:val="en-US"/>
              </w:rPr>
            </w:pPr>
            <w:bookmarkStart w:id="1" w:name="h.gjdgxs" w:colFirst="0" w:colLast="0"/>
            <w:bookmarkEnd w:id="1"/>
            <w:r w:rsidRPr="00DE0C72">
              <w:rPr>
                <w:b/>
                <w:sz w:val="24"/>
                <w:szCs w:val="24"/>
                <w:lang w:val="en-US"/>
              </w:rPr>
              <w:t>SOP Number</w:t>
            </w:r>
            <w:r w:rsidRPr="00DE0C72">
              <w:rPr>
                <w:sz w:val="24"/>
                <w:szCs w:val="24"/>
                <w:lang w:val="en-US"/>
              </w:rPr>
              <w:t xml:space="preserve">: </w:t>
            </w:r>
            <w:r w:rsidR="0052234E" w:rsidRPr="00DE0C72">
              <w:rPr>
                <w:sz w:val="24"/>
                <w:szCs w:val="24"/>
                <w:lang w:val="en-US"/>
              </w:rPr>
              <w:t>SP-0</w:t>
            </w:r>
            <w:r w:rsidR="00504282" w:rsidRPr="00DE0C72">
              <w:rPr>
                <w:sz w:val="24"/>
                <w:szCs w:val="24"/>
                <w:lang w:val="en-US"/>
              </w:rPr>
              <w:t>1</w:t>
            </w:r>
            <w:r w:rsidR="0052234E" w:rsidRPr="00DE0C72">
              <w:rPr>
                <w:sz w:val="24"/>
                <w:szCs w:val="24"/>
                <w:lang w:val="en-US"/>
              </w:rPr>
              <w:t>8</w:t>
            </w:r>
            <w:r w:rsidR="008318F4" w:rsidRPr="00DE0C72">
              <w:rPr>
                <w:sz w:val="24"/>
                <w:szCs w:val="24"/>
                <w:lang w:val="en-US"/>
              </w:rPr>
              <w:t>-CT</w:t>
            </w:r>
          </w:p>
        </w:tc>
        <w:tc>
          <w:tcPr>
            <w:tcW w:w="3258" w:type="dxa"/>
            <w:shd w:val="clear" w:color="auto" w:fill="F2F2F2" w:themeFill="background1" w:themeFillShade="F2"/>
          </w:tcPr>
          <w:p w14:paraId="0DF5C781" w14:textId="5762C407" w:rsidR="0076142D" w:rsidRPr="00DE0C72" w:rsidRDefault="00396643">
            <w:pPr>
              <w:keepNext/>
              <w:keepLines/>
              <w:jc w:val="both"/>
              <w:rPr>
                <w:lang w:val="en-US"/>
              </w:rPr>
            </w:pPr>
            <w:r w:rsidRPr="0AEC924E">
              <w:rPr>
                <w:b/>
                <w:bCs/>
                <w:sz w:val="24"/>
                <w:szCs w:val="24"/>
                <w:lang w:val="en-US"/>
              </w:rPr>
              <w:t>Effective Date</w:t>
            </w:r>
            <w:r w:rsidRPr="0AEC924E">
              <w:rPr>
                <w:sz w:val="24"/>
                <w:szCs w:val="24"/>
                <w:lang w:val="en-US"/>
              </w:rPr>
              <w:t>:</w:t>
            </w:r>
            <w:r w:rsidR="00520B63" w:rsidRPr="0AEC924E">
              <w:rPr>
                <w:sz w:val="24"/>
                <w:szCs w:val="24"/>
                <w:lang w:val="en-US"/>
              </w:rPr>
              <w:t xml:space="preserve"> </w:t>
            </w:r>
            <w:r w:rsidR="6E71EA6A" w:rsidRPr="0AEC924E">
              <w:rPr>
                <w:sz w:val="24"/>
                <w:szCs w:val="24"/>
                <w:lang w:val="en-US"/>
              </w:rPr>
              <w:t>21-Jun-2023</w:t>
            </w:r>
          </w:p>
        </w:tc>
      </w:tr>
      <w:tr w:rsidR="00063B90" w:rsidRPr="00F050A7" w14:paraId="056DB068" w14:textId="77777777" w:rsidTr="0AEC924E">
        <w:tc>
          <w:tcPr>
            <w:tcW w:w="9576" w:type="dxa"/>
            <w:gridSpan w:val="2"/>
            <w:shd w:val="clear" w:color="auto" w:fill="F2F2F2" w:themeFill="background1" w:themeFillShade="F2"/>
          </w:tcPr>
          <w:p w14:paraId="34F711AC" w14:textId="07683E41" w:rsidR="00063B90" w:rsidRPr="00DE0C72" w:rsidRDefault="00063B90" w:rsidP="0AEC924E">
            <w:pPr>
              <w:keepNext/>
              <w:keepLines/>
              <w:jc w:val="both"/>
              <w:rPr>
                <w:b/>
                <w:bCs/>
                <w:sz w:val="24"/>
                <w:szCs w:val="24"/>
                <w:lang w:val="en-US"/>
              </w:rPr>
            </w:pPr>
            <w:r w:rsidRPr="0AEC924E">
              <w:rPr>
                <w:b/>
                <w:bCs/>
                <w:sz w:val="24"/>
                <w:szCs w:val="24"/>
                <w:lang w:val="en-US"/>
              </w:rPr>
              <w:t>Version Number and Date</w:t>
            </w:r>
            <w:r w:rsidRPr="0AEC924E">
              <w:rPr>
                <w:sz w:val="24"/>
                <w:szCs w:val="24"/>
                <w:lang w:val="en-US"/>
              </w:rPr>
              <w:t>:</w:t>
            </w:r>
            <w:r w:rsidR="000A7971" w:rsidRPr="0AEC924E">
              <w:rPr>
                <w:sz w:val="24"/>
                <w:szCs w:val="24"/>
                <w:lang w:val="en-US"/>
              </w:rPr>
              <w:t xml:space="preserve"> </w:t>
            </w:r>
            <w:r w:rsidR="00F13BDA" w:rsidRPr="0AEC924E">
              <w:rPr>
                <w:sz w:val="24"/>
                <w:szCs w:val="24"/>
                <w:lang w:val="en-US"/>
              </w:rPr>
              <w:t>3</w:t>
            </w:r>
            <w:r w:rsidR="000A7971" w:rsidRPr="0AEC924E">
              <w:rPr>
                <w:sz w:val="24"/>
                <w:szCs w:val="24"/>
                <w:lang w:val="en-US"/>
              </w:rPr>
              <w:t>.</w:t>
            </w:r>
            <w:r w:rsidR="00402A0B" w:rsidRPr="0AEC924E">
              <w:rPr>
                <w:sz w:val="24"/>
                <w:szCs w:val="24"/>
                <w:lang w:val="en-US"/>
              </w:rPr>
              <w:t xml:space="preserve">2 </w:t>
            </w:r>
            <w:r w:rsidR="000A7971" w:rsidRPr="0AEC924E">
              <w:rPr>
                <w:sz w:val="24"/>
                <w:szCs w:val="24"/>
                <w:lang w:val="en-US"/>
              </w:rPr>
              <w:t xml:space="preserve">Date </w:t>
            </w:r>
            <w:r w:rsidR="71F89077" w:rsidRPr="0AEC924E">
              <w:rPr>
                <w:sz w:val="24"/>
                <w:szCs w:val="24"/>
                <w:lang w:val="en-US"/>
              </w:rPr>
              <w:t>20</w:t>
            </w:r>
            <w:r w:rsidR="00E10A5A" w:rsidRPr="0AEC924E">
              <w:rPr>
                <w:sz w:val="24"/>
                <w:szCs w:val="24"/>
                <w:lang w:val="en-US"/>
              </w:rPr>
              <w:t>-</w:t>
            </w:r>
            <w:r w:rsidR="23F924E1" w:rsidRPr="0AEC924E">
              <w:rPr>
                <w:sz w:val="24"/>
                <w:szCs w:val="24"/>
                <w:lang w:val="en-US"/>
              </w:rPr>
              <w:t>Jun</w:t>
            </w:r>
            <w:r w:rsidR="0E7DFFAC" w:rsidRPr="0AEC924E">
              <w:rPr>
                <w:sz w:val="24"/>
                <w:szCs w:val="24"/>
                <w:lang w:val="en-US"/>
              </w:rPr>
              <w:t>-20</w:t>
            </w:r>
            <w:r w:rsidR="0026105F" w:rsidRPr="0AEC924E">
              <w:rPr>
                <w:sz w:val="24"/>
                <w:szCs w:val="24"/>
                <w:lang w:val="en-US"/>
              </w:rPr>
              <w:t>2</w:t>
            </w:r>
            <w:r w:rsidR="00402A0B" w:rsidRPr="0AEC924E">
              <w:rPr>
                <w:sz w:val="24"/>
                <w:szCs w:val="24"/>
                <w:lang w:val="en-US"/>
              </w:rPr>
              <w:t>3</w:t>
            </w:r>
          </w:p>
        </w:tc>
      </w:tr>
    </w:tbl>
    <w:p w14:paraId="756E21B4" w14:textId="77777777" w:rsidR="0076142D" w:rsidRPr="00DE0C72" w:rsidRDefault="0076142D" w:rsidP="00462589">
      <w:pPr>
        <w:keepNext/>
        <w:keepLines/>
        <w:spacing w:after="0" w:line="240" w:lineRule="auto"/>
        <w:jc w:val="both"/>
        <w:rPr>
          <w:lang w:val="en-US"/>
        </w:rPr>
      </w:pPr>
    </w:p>
    <w:p w14:paraId="6D1667BC" w14:textId="77777777" w:rsidR="003D0EA6" w:rsidRDefault="003D0EA6" w:rsidP="00462589">
      <w:pPr>
        <w:keepNext/>
        <w:keepLines/>
        <w:spacing w:after="0" w:line="240" w:lineRule="auto"/>
        <w:jc w:val="both"/>
        <w:rPr>
          <w:lang w:val="en-US"/>
        </w:rPr>
      </w:pPr>
    </w:p>
    <w:p w14:paraId="7736ECEA" w14:textId="77777777" w:rsidR="00D11F4B" w:rsidRDefault="00D11F4B" w:rsidP="00462589">
      <w:pPr>
        <w:keepNext/>
        <w:keepLines/>
        <w:spacing w:after="0" w:line="240" w:lineRule="auto"/>
        <w:jc w:val="both"/>
        <w:rPr>
          <w:lang w:val="en-US"/>
        </w:rPr>
      </w:pPr>
    </w:p>
    <w:p w14:paraId="78586336" w14:textId="77777777" w:rsidR="003D0EA6" w:rsidRDefault="003D0EA6" w:rsidP="00462589">
      <w:pPr>
        <w:keepNext/>
        <w:keepLines/>
        <w:spacing w:after="0" w:line="240" w:lineRule="auto"/>
        <w:jc w:val="both"/>
        <w:rPr>
          <w:lang w:val="en-US"/>
        </w:rPr>
      </w:pPr>
    </w:p>
    <w:sdt>
      <w:sdtPr>
        <w:rPr>
          <w:rFonts w:ascii="Calibri" w:eastAsia="Calibri" w:hAnsi="Calibri" w:cs="Calibri"/>
          <w:color w:val="000000"/>
          <w:sz w:val="22"/>
          <w:szCs w:val="22"/>
          <w:lang w:val="it-IT" w:eastAsia="it-IT"/>
        </w:rPr>
        <w:id w:val="1987585093"/>
        <w:docPartObj>
          <w:docPartGallery w:val="Table of Contents"/>
          <w:docPartUnique/>
        </w:docPartObj>
      </w:sdtPr>
      <w:sdtEndPr>
        <w:rPr>
          <w:b/>
          <w:bCs/>
          <w:noProof/>
        </w:rPr>
      </w:sdtEndPr>
      <w:sdtContent>
        <w:p w14:paraId="2ADB4F42" w14:textId="525CF33C" w:rsidR="003D0EA6" w:rsidRDefault="003D0EA6" w:rsidP="003D0EA6">
          <w:pPr>
            <w:pStyle w:val="TOCHeading"/>
          </w:pPr>
          <w:r w:rsidRPr="003D0EA6">
            <w:rPr>
              <w:b/>
              <w:bCs/>
              <w:color w:val="auto"/>
              <w:sz w:val="24"/>
              <w:szCs w:val="24"/>
            </w:rPr>
            <w:t>Table of contents</w:t>
          </w:r>
          <w:r>
            <w:fldChar w:fldCharType="begin"/>
          </w:r>
          <w:r>
            <w:instrText xml:space="preserve"> TOC \o "1-3" \h \z \u </w:instrText>
          </w:r>
          <w:r>
            <w:fldChar w:fldCharType="separate"/>
          </w:r>
        </w:p>
        <w:p w14:paraId="3A7C4DD3" w14:textId="0BD0B77A" w:rsidR="003D0EA6" w:rsidRDefault="00220FFA">
          <w:pPr>
            <w:pStyle w:val="TOC2"/>
            <w:tabs>
              <w:tab w:val="left" w:pos="660"/>
              <w:tab w:val="right" w:leader="dot" w:pos="9350"/>
            </w:tabs>
            <w:rPr>
              <w:noProof/>
            </w:rPr>
          </w:pPr>
          <w:hyperlink w:anchor="_Toc166238336" w:history="1">
            <w:r w:rsidR="003D0EA6" w:rsidRPr="0044739A">
              <w:rPr>
                <w:rStyle w:val="Hyperlink"/>
                <w:noProof/>
                <w:lang w:val="en-US"/>
              </w:rPr>
              <w:t>1.</w:t>
            </w:r>
            <w:r w:rsidR="003D0EA6">
              <w:rPr>
                <w:noProof/>
              </w:rPr>
              <w:tab/>
            </w:r>
            <w:r w:rsidR="003D0EA6" w:rsidRPr="0044739A">
              <w:rPr>
                <w:rStyle w:val="Hyperlink"/>
                <w:noProof/>
                <w:lang w:val="en-US"/>
              </w:rPr>
              <w:t>PURPOSE</w:t>
            </w:r>
            <w:r w:rsidR="003D0EA6">
              <w:rPr>
                <w:noProof/>
                <w:webHidden/>
              </w:rPr>
              <w:tab/>
            </w:r>
            <w:r w:rsidR="003D0EA6">
              <w:rPr>
                <w:noProof/>
                <w:webHidden/>
              </w:rPr>
              <w:fldChar w:fldCharType="begin"/>
            </w:r>
            <w:r w:rsidR="003D0EA6">
              <w:rPr>
                <w:noProof/>
                <w:webHidden/>
              </w:rPr>
              <w:instrText xml:space="preserve"> PAGEREF _Toc166238336 \h </w:instrText>
            </w:r>
            <w:r w:rsidR="003D0EA6">
              <w:rPr>
                <w:noProof/>
                <w:webHidden/>
              </w:rPr>
            </w:r>
            <w:r w:rsidR="003D0EA6">
              <w:rPr>
                <w:noProof/>
                <w:webHidden/>
              </w:rPr>
              <w:fldChar w:fldCharType="separate"/>
            </w:r>
            <w:r w:rsidR="003D0EA6">
              <w:rPr>
                <w:noProof/>
                <w:webHidden/>
              </w:rPr>
              <w:t>2</w:t>
            </w:r>
            <w:r w:rsidR="003D0EA6">
              <w:rPr>
                <w:noProof/>
                <w:webHidden/>
              </w:rPr>
              <w:fldChar w:fldCharType="end"/>
            </w:r>
          </w:hyperlink>
        </w:p>
        <w:p w14:paraId="4DC26FFE" w14:textId="4052E497" w:rsidR="003D0EA6" w:rsidRDefault="00220FFA">
          <w:pPr>
            <w:pStyle w:val="TOC2"/>
            <w:tabs>
              <w:tab w:val="left" w:pos="660"/>
              <w:tab w:val="right" w:leader="dot" w:pos="9350"/>
            </w:tabs>
            <w:rPr>
              <w:noProof/>
            </w:rPr>
          </w:pPr>
          <w:hyperlink w:anchor="_Toc166238337" w:history="1">
            <w:r w:rsidR="003D0EA6" w:rsidRPr="0044739A">
              <w:rPr>
                <w:rStyle w:val="Hyperlink"/>
                <w:noProof/>
                <w:lang w:val="en-US"/>
              </w:rPr>
              <w:t>2.</w:t>
            </w:r>
            <w:r w:rsidR="003D0EA6">
              <w:rPr>
                <w:noProof/>
              </w:rPr>
              <w:tab/>
            </w:r>
            <w:r w:rsidR="003D0EA6" w:rsidRPr="0044739A">
              <w:rPr>
                <w:rStyle w:val="Hyperlink"/>
                <w:noProof/>
                <w:lang w:val="en-US"/>
              </w:rPr>
              <w:t>SCOPE</w:t>
            </w:r>
            <w:r w:rsidR="003D0EA6">
              <w:rPr>
                <w:noProof/>
                <w:webHidden/>
              </w:rPr>
              <w:tab/>
            </w:r>
            <w:r w:rsidR="003D0EA6">
              <w:rPr>
                <w:noProof/>
                <w:webHidden/>
              </w:rPr>
              <w:fldChar w:fldCharType="begin"/>
            </w:r>
            <w:r w:rsidR="003D0EA6">
              <w:rPr>
                <w:noProof/>
                <w:webHidden/>
              </w:rPr>
              <w:instrText xml:space="preserve"> PAGEREF _Toc166238337 \h </w:instrText>
            </w:r>
            <w:r w:rsidR="003D0EA6">
              <w:rPr>
                <w:noProof/>
                <w:webHidden/>
              </w:rPr>
            </w:r>
            <w:r w:rsidR="003D0EA6">
              <w:rPr>
                <w:noProof/>
                <w:webHidden/>
              </w:rPr>
              <w:fldChar w:fldCharType="separate"/>
            </w:r>
            <w:r w:rsidR="003D0EA6">
              <w:rPr>
                <w:noProof/>
                <w:webHidden/>
              </w:rPr>
              <w:t>3</w:t>
            </w:r>
            <w:r w:rsidR="003D0EA6">
              <w:rPr>
                <w:noProof/>
                <w:webHidden/>
              </w:rPr>
              <w:fldChar w:fldCharType="end"/>
            </w:r>
          </w:hyperlink>
        </w:p>
        <w:p w14:paraId="374F4308" w14:textId="761EB751" w:rsidR="003D0EA6" w:rsidRDefault="00220FFA">
          <w:pPr>
            <w:pStyle w:val="TOC2"/>
            <w:tabs>
              <w:tab w:val="left" w:pos="660"/>
              <w:tab w:val="right" w:leader="dot" w:pos="9350"/>
            </w:tabs>
            <w:rPr>
              <w:noProof/>
            </w:rPr>
          </w:pPr>
          <w:hyperlink w:anchor="_Toc166238338" w:history="1">
            <w:r w:rsidR="003D0EA6" w:rsidRPr="0044739A">
              <w:rPr>
                <w:rStyle w:val="Hyperlink"/>
                <w:noProof/>
                <w:lang w:val="en-US"/>
              </w:rPr>
              <w:t>3.</w:t>
            </w:r>
            <w:r w:rsidR="003D0EA6">
              <w:rPr>
                <w:noProof/>
              </w:rPr>
              <w:tab/>
            </w:r>
            <w:r w:rsidR="003D0EA6" w:rsidRPr="0044739A">
              <w:rPr>
                <w:rStyle w:val="Hyperlink"/>
                <w:noProof/>
                <w:lang w:val="en-US"/>
              </w:rPr>
              <w:t>RESPONSIBLE FUNCTIONS</w:t>
            </w:r>
            <w:r w:rsidR="003D0EA6">
              <w:rPr>
                <w:noProof/>
                <w:webHidden/>
              </w:rPr>
              <w:tab/>
            </w:r>
            <w:r w:rsidR="003D0EA6">
              <w:rPr>
                <w:noProof/>
                <w:webHidden/>
              </w:rPr>
              <w:fldChar w:fldCharType="begin"/>
            </w:r>
            <w:r w:rsidR="003D0EA6">
              <w:rPr>
                <w:noProof/>
                <w:webHidden/>
              </w:rPr>
              <w:instrText xml:space="preserve"> PAGEREF _Toc166238338 \h </w:instrText>
            </w:r>
            <w:r w:rsidR="003D0EA6">
              <w:rPr>
                <w:noProof/>
                <w:webHidden/>
              </w:rPr>
            </w:r>
            <w:r w:rsidR="003D0EA6">
              <w:rPr>
                <w:noProof/>
                <w:webHidden/>
              </w:rPr>
              <w:fldChar w:fldCharType="separate"/>
            </w:r>
            <w:r w:rsidR="003D0EA6">
              <w:rPr>
                <w:noProof/>
                <w:webHidden/>
              </w:rPr>
              <w:t>3</w:t>
            </w:r>
            <w:r w:rsidR="003D0EA6">
              <w:rPr>
                <w:noProof/>
                <w:webHidden/>
              </w:rPr>
              <w:fldChar w:fldCharType="end"/>
            </w:r>
          </w:hyperlink>
        </w:p>
        <w:p w14:paraId="76CB68FD" w14:textId="1C6EAAAC" w:rsidR="003D0EA6" w:rsidRDefault="00220FFA">
          <w:pPr>
            <w:pStyle w:val="TOC2"/>
            <w:tabs>
              <w:tab w:val="left" w:pos="660"/>
              <w:tab w:val="right" w:leader="dot" w:pos="9350"/>
            </w:tabs>
            <w:rPr>
              <w:noProof/>
            </w:rPr>
          </w:pPr>
          <w:hyperlink w:anchor="_Toc166238339" w:history="1">
            <w:r w:rsidR="003D0EA6" w:rsidRPr="0044739A">
              <w:rPr>
                <w:rStyle w:val="Hyperlink"/>
                <w:noProof/>
                <w:lang w:val="en-US"/>
              </w:rPr>
              <w:t>4.</w:t>
            </w:r>
            <w:r w:rsidR="003D0EA6">
              <w:rPr>
                <w:noProof/>
              </w:rPr>
              <w:tab/>
            </w:r>
            <w:r w:rsidR="003D0EA6" w:rsidRPr="0044739A">
              <w:rPr>
                <w:rStyle w:val="Hyperlink"/>
                <w:noProof/>
                <w:lang w:val="en-US"/>
              </w:rPr>
              <w:t>DEFINITIONS and ABBREVIATIONS</w:t>
            </w:r>
            <w:r w:rsidR="003D0EA6">
              <w:rPr>
                <w:noProof/>
                <w:webHidden/>
              </w:rPr>
              <w:tab/>
            </w:r>
            <w:r w:rsidR="003D0EA6">
              <w:rPr>
                <w:noProof/>
                <w:webHidden/>
              </w:rPr>
              <w:fldChar w:fldCharType="begin"/>
            </w:r>
            <w:r w:rsidR="003D0EA6">
              <w:rPr>
                <w:noProof/>
                <w:webHidden/>
              </w:rPr>
              <w:instrText xml:space="preserve"> PAGEREF _Toc166238339 \h </w:instrText>
            </w:r>
            <w:r w:rsidR="003D0EA6">
              <w:rPr>
                <w:noProof/>
                <w:webHidden/>
              </w:rPr>
            </w:r>
            <w:r w:rsidR="003D0EA6">
              <w:rPr>
                <w:noProof/>
                <w:webHidden/>
              </w:rPr>
              <w:fldChar w:fldCharType="separate"/>
            </w:r>
            <w:r w:rsidR="003D0EA6">
              <w:rPr>
                <w:noProof/>
                <w:webHidden/>
              </w:rPr>
              <w:t>3</w:t>
            </w:r>
            <w:r w:rsidR="003D0EA6">
              <w:rPr>
                <w:noProof/>
                <w:webHidden/>
              </w:rPr>
              <w:fldChar w:fldCharType="end"/>
            </w:r>
          </w:hyperlink>
        </w:p>
        <w:p w14:paraId="74879F01" w14:textId="34F737F2" w:rsidR="003D0EA6" w:rsidRDefault="00220FFA">
          <w:pPr>
            <w:pStyle w:val="TOC2"/>
            <w:tabs>
              <w:tab w:val="left" w:pos="660"/>
              <w:tab w:val="right" w:leader="dot" w:pos="9350"/>
            </w:tabs>
            <w:rPr>
              <w:noProof/>
            </w:rPr>
          </w:pPr>
          <w:hyperlink w:anchor="_Toc166238340" w:history="1">
            <w:r w:rsidR="003D0EA6" w:rsidRPr="0044739A">
              <w:rPr>
                <w:rStyle w:val="Hyperlink"/>
                <w:noProof/>
                <w:lang w:val="en-US"/>
              </w:rPr>
              <w:t>5.</w:t>
            </w:r>
            <w:r w:rsidR="003D0EA6">
              <w:rPr>
                <w:noProof/>
              </w:rPr>
              <w:tab/>
            </w:r>
            <w:r w:rsidR="003D0EA6" w:rsidRPr="0044739A">
              <w:rPr>
                <w:rStyle w:val="Hyperlink"/>
                <w:noProof/>
                <w:lang w:val="en-US"/>
              </w:rPr>
              <w:t>PROCEDURE</w:t>
            </w:r>
            <w:r w:rsidR="003D0EA6">
              <w:rPr>
                <w:noProof/>
                <w:webHidden/>
              </w:rPr>
              <w:tab/>
            </w:r>
            <w:r w:rsidR="003D0EA6">
              <w:rPr>
                <w:noProof/>
                <w:webHidden/>
              </w:rPr>
              <w:fldChar w:fldCharType="begin"/>
            </w:r>
            <w:r w:rsidR="003D0EA6">
              <w:rPr>
                <w:noProof/>
                <w:webHidden/>
              </w:rPr>
              <w:instrText xml:space="preserve"> PAGEREF _Toc166238340 \h </w:instrText>
            </w:r>
            <w:r w:rsidR="003D0EA6">
              <w:rPr>
                <w:noProof/>
                <w:webHidden/>
              </w:rPr>
            </w:r>
            <w:r w:rsidR="003D0EA6">
              <w:rPr>
                <w:noProof/>
                <w:webHidden/>
              </w:rPr>
              <w:fldChar w:fldCharType="separate"/>
            </w:r>
            <w:r w:rsidR="003D0EA6">
              <w:rPr>
                <w:noProof/>
                <w:webHidden/>
              </w:rPr>
              <w:t>4</w:t>
            </w:r>
            <w:r w:rsidR="003D0EA6">
              <w:rPr>
                <w:noProof/>
                <w:webHidden/>
              </w:rPr>
              <w:fldChar w:fldCharType="end"/>
            </w:r>
          </w:hyperlink>
        </w:p>
        <w:p w14:paraId="11EBD530" w14:textId="0D1118E3" w:rsidR="003D0EA6" w:rsidRDefault="00220FFA">
          <w:pPr>
            <w:pStyle w:val="TOC3"/>
            <w:tabs>
              <w:tab w:val="left" w:pos="1100"/>
              <w:tab w:val="right" w:leader="dot" w:pos="9350"/>
            </w:tabs>
            <w:rPr>
              <w:noProof/>
            </w:rPr>
          </w:pPr>
          <w:hyperlink w:anchor="_Toc166238341" w:history="1">
            <w:r w:rsidR="003D0EA6" w:rsidRPr="0044739A">
              <w:rPr>
                <w:rStyle w:val="Hyperlink"/>
                <w:noProof/>
                <w:lang w:val="en-US"/>
              </w:rPr>
              <w:t>5.1</w:t>
            </w:r>
            <w:r w:rsidR="003D0EA6">
              <w:rPr>
                <w:noProof/>
              </w:rPr>
              <w:tab/>
            </w:r>
            <w:r w:rsidR="003D0EA6" w:rsidRPr="0044739A">
              <w:rPr>
                <w:rStyle w:val="Hyperlink"/>
                <w:noProof/>
                <w:lang w:val="en-US"/>
              </w:rPr>
              <w:t>AE diagnosis and severity assessment</w:t>
            </w:r>
            <w:r w:rsidR="003D0EA6">
              <w:rPr>
                <w:noProof/>
                <w:webHidden/>
              </w:rPr>
              <w:tab/>
            </w:r>
            <w:r w:rsidR="003D0EA6">
              <w:rPr>
                <w:noProof/>
                <w:webHidden/>
              </w:rPr>
              <w:fldChar w:fldCharType="begin"/>
            </w:r>
            <w:r w:rsidR="003D0EA6">
              <w:rPr>
                <w:noProof/>
                <w:webHidden/>
              </w:rPr>
              <w:instrText xml:space="preserve"> PAGEREF _Toc166238341 \h </w:instrText>
            </w:r>
            <w:r w:rsidR="003D0EA6">
              <w:rPr>
                <w:noProof/>
                <w:webHidden/>
              </w:rPr>
            </w:r>
            <w:r w:rsidR="003D0EA6">
              <w:rPr>
                <w:noProof/>
                <w:webHidden/>
              </w:rPr>
              <w:fldChar w:fldCharType="separate"/>
            </w:r>
            <w:r w:rsidR="003D0EA6">
              <w:rPr>
                <w:noProof/>
                <w:webHidden/>
              </w:rPr>
              <w:t>4</w:t>
            </w:r>
            <w:r w:rsidR="003D0EA6">
              <w:rPr>
                <w:noProof/>
                <w:webHidden/>
              </w:rPr>
              <w:fldChar w:fldCharType="end"/>
            </w:r>
          </w:hyperlink>
        </w:p>
        <w:p w14:paraId="1F5E549A" w14:textId="0C9DB67C" w:rsidR="003D0EA6" w:rsidRDefault="00220FFA">
          <w:pPr>
            <w:pStyle w:val="TOC3"/>
            <w:tabs>
              <w:tab w:val="left" w:pos="1100"/>
              <w:tab w:val="right" w:leader="dot" w:pos="9350"/>
            </w:tabs>
            <w:rPr>
              <w:noProof/>
            </w:rPr>
          </w:pPr>
          <w:hyperlink w:anchor="_Toc166238342" w:history="1">
            <w:r w:rsidR="003D0EA6" w:rsidRPr="0044739A">
              <w:rPr>
                <w:rStyle w:val="Hyperlink"/>
                <w:noProof/>
                <w:lang w:val="en-US"/>
              </w:rPr>
              <w:t>5.2</w:t>
            </w:r>
            <w:r w:rsidR="003D0EA6">
              <w:rPr>
                <w:noProof/>
              </w:rPr>
              <w:tab/>
            </w:r>
            <w:r w:rsidR="003D0EA6" w:rsidRPr="0044739A">
              <w:rPr>
                <w:rStyle w:val="Hyperlink"/>
                <w:noProof/>
                <w:lang w:val="en-US"/>
              </w:rPr>
              <w:t>Management of the specific AE</w:t>
            </w:r>
            <w:r w:rsidR="003D0EA6">
              <w:rPr>
                <w:noProof/>
                <w:webHidden/>
              </w:rPr>
              <w:tab/>
            </w:r>
            <w:r w:rsidR="003D0EA6">
              <w:rPr>
                <w:noProof/>
                <w:webHidden/>
              </w:rPr>
              <w:fldChar w:fldCharType="begin"/>
            </w:r>
            <w:r w:rsidR="003D0EA6">
              <w:rPr>
                <w:noProof/>
                <w:webHidden/>
              </w:rPr>
              <w:instrText xml:space="preserve"> PAGEREF _Toc166238342 \h </w:instrText>
            </w:r>
            <w:r w:rsidR="003D0EA6">
              <w:rPr>
                <w:noProof/>
                <w:webHidden/>
              </w:rPr>
            </w:r>
            <w:r w:rsidR="003D0EA6">
              <w:rPr>
                <w:noProof/>
                <w:webHidden/>
              </w:rPr>
              <w:fldChar w:fldCharType="separate"/>
            </w:r>
            <w:r w:rsidR="003D0EA6">
              <w:rPr>
                <w:noProof/>
                <w:webHidden/>
              </w:rPr>
              <w:t>4</w:t>
            </w:r>
            <w:r w:rsidR="003D0EA6">
              <w:rPr>
                <w:noProof/>
                <w:webHidden/>
              </w:rPr>
              <w:fldChar w:fldCharType="end"/>
            </w:r>
          </w:hyperlink>
        </w:p>
        <w:p w14:paraId="00E05A56" w14:textId="45F306E9" w:rsidR="003D0EA6" w:rsidRDefault="00220FFA">
          <w:pPr>
            <w:pStyle w:val="TOC3"/>
            <w:tabs>
              <w:tab w:val="left" w:pos="1100"/>
              <w:tab w:val="right" w:leader="dot" w:pos="9350"/>
            </w:tabs>
            <w:rPr>
              <w:noProof/>
            </w:rPr>
          </w:pPr>
          <w:hyperlink w:anchor="_Toc166238343" w:history="1">
            <w:r w:rsidR="003D0EA6" w:rsidRPr="0044739A">
              <w:rPr>
                <w:rStyle w:val="Hyperlink"/>
                <w:noProof/>
                <w:lang w:val="en-US"/>
              </w:rPr>
              <w:t>5.3</w:t>
            </w:r>
            <w:r w:rsidR="003D0EA6">
              <w:rPr>
                <w:noProof/>
              </w:rPr>
              <w:tab/>
            </w:r>
            <w:r w:rsidR="003D0EA6" w:rsidRPr="0044739A">
              <w:rPr>
                <w:rStyle w:val="Hyperlink"/>
                <w:noProof/>
                <w:lang w:val="en-US"/>
              </w:rPr>
              <w:t>Management of complicated AE</w:t>
            </w:r>
            <w:r w:rsidR="003D0EA6">
              <w:rPr>
                <w:noProof/>
                <w:webHidden/>
              </w:rPr>
              <w:tab/>
            </w:r>
            <w:r w:rsidR="003D0EA6">
              <w:rPr>
                <w:noProof/>
                <w:webHidden/>
              </w:rPr>
              <w:fldChar w:fldCharType="begin"/>
            </w:r>
            <w:r w:rsidR="003D0EA6">
              <w:rPr>
                <w:noProof/>
                <w:webHidden/>
              </w:rPr>
              <w:instrText xml:space="preserve"> PAGEREF _Toc166238343 \h </w:instrText>
            </w:r>
            <w:r w:rsidR="003D0EA6">
              <w:rPr>
                <w:noProof/>
                <w:webHidden/>
              </w:rPr>
            </w:r>
            <w:r w:rsidR="003D0EA6">
              <w:rPr>
                <w:noProof/>
                <w:webHidden/>
              </w:rPr>
              <w:fldChar w:fldCharType="separate"/>
            </w:r>
            <w:r w:rsidR="003D0EA6">
              <w:rPr>
                <w:noProof/>
                <w:webHidden/>
              </w:rPr>
              <w:t>17</w:t>
            </w:r>
            <w:r w:rsidR="003D0EA6">
              <w:rPr>
                <w:noProof/>
                <w:webHidden/>
              </w:rPr>
              <w:fldChar w:fldCharType="end"/>
            </w:r>
          </w:hyperlink>
        </w:p>
        <w:p w14:paraId="39F6462C" w14:textId="31636753" w:rsidR="003D0EA6" w:rsidRDefault="00220FFA">
          <w:pPr>
            <w:pStyle w:val="TOC3"/>
            <w:tabs>
              <w:tab w:val="left" w:pos="1100"/>
              <w:tab w:val="right" w:leader="dot" w:pos="9350"/>
            </w:tabs>
            <w:rPr>
              <w:noProof/>
            </w:rPr>
          </w:pPr>
          <w:hyperlink w:anchor="_Toc166238344" w:history="1">
            <w:r w:rsidR="003D0EA6" w:rsidRPr="0044739A">
              <w:rPr>
                <w:rStyle w:val="Hyperlink"/>
                <w:noProof/>
                <w:lang w:val="en-US"/>
              </w:rPr>
              <w:t>5.4</w:t>
            </w:r>
            <w:r w:rsidR="003D0EA6">
              <w:rPr>
                <w:noProof/>
              </w:rPr>
              <w:tab/>
            </w:r>
            <w:r w:rsidR="003D0EA6" w:rsidRPr="0044739A">
              <w:rPr>
                <w:rStyle w:val="Hyperlink"/>
                <w:noProof/>
                <w:lang w:val="en-US"/>
              </w:rPr>
              <w:t>Recording of AEs and AEs management</w:t>
            </w:r>
            <w:r w:rsidR="003D0EA6">
              <w:rPr>
                <w:noProof/>
                <w:webHidden/>
              </w:rPr>
              <w:tab/>
            </w:r>
            <w:r w:rsidR="003D0EA6">
              <w:rPr>
                <w:noProof/>
                <w:webHidden/>
              </w:rPr>
              <w:fldChar w:fldCharType="begin"/>
            </w:r>
            <w:r w:rsidR="003D0EA6">
              <w:rPr>
                <w:noProof/>
                <w:webHidden/>
              </w:rPr>
              <w:instrText xml:space="preserve"> PAGEREF _Toc166238344 \h </w:instrText>
            </w:r>
            <w:r w:rsidR="003D0EA6">
              <w:rPr>
                <w:noProof/>
                <w:webHidden/>
              </w:rPr>
            </w:r>
            <w:r w:rsidR="003D0EA6">
              <w:rPr>
                <w:noProof/>
                <w:webHidden/>
              </w:rPr>
              <w:fldChar w:fldCharType="separate"/>
            </w:r>
            <w:r w:rsidR="003D0EA6">
              <w:rPr>
                <w:noProof/>
                <w:webHidden/>
              </w:rPr>
              <w:t>17</w:t>
            </w:r>
            <w:r w:rsidR="003D0EA6">
              <w:rPr>
                <w:noProof/>
                <w:webHidden/>
              </w:rPr>
              <w:fldChar w:fldCharType="end"/>
            </w:r>
          </w:hyperlink>
        </w:p>
        <w:p w14:paraId="37EED0EA" w14:textId="05A370B7" w:rsidR="003D0EA6" w:rsidRDefault="00220FFA">
          <w:pPr>
            <w:pStyle w:val="TOC2"/>
            <w:tabs>
              <w:tab w:val="left" w:pos="660"/>
              <w:tab w:val="right" w:leader="dot" w:pos="9350"/>
            </w:tabs>
            <w:rPr>
              <w:noProof/>
            </w:rPr>
          </w:pPr>
          <w:hyperlink w:anchor="_Toc166238345" w:history="1">
            <w:r w:rsidR="003D0EA6" w:rsidRPr="0044739A">
              <w:rPr>
                <w:rStyle w:val="Hyperlink"/>
                <w:noProof/>
                <w:lang w:val="en-US"/>
              </w:rPr>
              <w:t>6.</w:t>
            </w:r>
            <w:r w:rsidR="003D0EA6">
              <w:rPr>
                <w:noProof/>
              </w:rPr>
              <w:tab/>
            </w:r>
            <w:r w:rsidR="003D0EA6" w:rsidRPr="0044739A">
              <w:rPr>
                <w:rStyle w:val="Hyperlink"/>
                <w:noProof/>
                <w:lang w:val="en-US"/>
              </w:rPr>
              <w:t>REFERENCES</w:t>
            </w:r>
            <w:r w:rsidR="003D0EA6">
              <w:rPr>
                <w:noProof/>
                <w:webHidden/>
              </w:rPr>
              <w:tab/>
            </w:r>
            <w:r w:rsidR="003D0EA6">
              <w:rPr>
                <w:noProof/>
                <w:webHidden/>
              </w:rPr>
              <w:fldChar w:fldCharType="begin"/>
            </w:r>
            <w:r w:rsidR="003D0EA6">
              <w:rPr>
                <w:noProof/>
                <w:webHidden/>
              </w:rPr>
              <w:instrText xml:space="preserve"> PAGEREF _Toc166238345 \h </w:instrText>
            </w:r>
            <w:r w:rsidR="003D0EA6">
              <w:rPr>
                <w:noProof/>
                <w:webHidden/>
              </w:rPr>
            </w:r>
            <w:r w:rsidR="003D0EA6">
              <w:rPr>
                <w:noProof/>
                <w:webHidden/>
              </w:rPr>
              <w:fldChar w:fldCharType="separate"/>
            </w:r>
            <w:r w:rsidR="003D0EA6">
              <w:rPr>
                <w:noProof/>
                <w:webHidden/>
              </w:rPr>
              <w:t>17</w:t>
            </w:r>
            <w:r w:rsidR="003D0EA6">
              <w:rPr>
                <w:noProof/>
                <w:webHidden/>
              </w:rPr>
              <w:fldChar w:fldCharType="end"/>
            </w:r>
          </w:hyperlink>
        </w:p>
        <w:p w14:paraId="5FD17886" w14:textId="3B20044F" w:rsidR="003D0EA6" w:rsidRDefault="00220FFA">
          <w:pPr>
            <w:pStyle w:val="TOC2"/>
            <w:tabs>
              <w:tab w:val="left" w:pos="660"/>
              <w:tab w:val="right" w:leader="dot" w:pos="9350"/>
            </w:tabs>
            <w:rPr>
              <w:noProof/>
            </w:rPr>
          </w:pPr>
          <w:hyperlink w:anchor="_Toc166238346" w:history="1">
            <w:r w:rsidR="003D0EA6" w:rsidRPr="0044739A">
              <w:rPr>
                <w:rStyle w:val="Hyperlink"/>
                <w:noProof/>
                <w:lang w:val="en-US"/>
              </w:rPr>
              <w:t>7.</w:t>
            </w:r>
            <w:r w:rsidR="003D0EA6">
              <w:rPr>
                <w:noProof/>
              </w:rPr>
              <w:tab/>
            </w:r>
            <w:r w:rsidR="003D0EA6" w:rsidRPr="0044739A">
              <w:rPr>
                <w:rStyle w:val="Hyperlink"/>
                <w:noProof/>
                <w:lang w:val="en-US"/>
              </w:rPr>
              <w:t>SUPPORTING DOCUMENTS</w:t>
            </w:r>
            <w:r w:rsidR="003D0EA6">
              <w:rPr>
                <w:noProof/>
                <w:webHidden/>
              </w:rPr>
              <w:tab/>
            </w:r>
            <w:r w:rsidR="003D0EA6">
              <w:rPr>
                <w:noProof/>
                <w:webHidden/>
              </w:rPr>
              <w:fldChar w:fldCharType="begin"/>
            </w:r>
            <w:r w:rsidR="003D0EA6">
              <w:rPr>
                <w:noProof/>
                <w:webHidden/>
              </w:rPr>
              <w:instrText xml:space="preserve"> PAGEREF _Toc166238346 \h </w:instrText>
            </w:r>
            <w:r w:rsidR="003D0EA6">
              <w:rPr>
                <w:noProof/>
                <w:webHidden/>
              </w:rPr>
            </w:r>
            <w:r w:rsidR="003D0EA6">
              <w:rPr>
                <w:noProof/>
                <w:webHidden/>
              </w:rPr>
              <w:fldChar w:fldCharType="separate"/>
            </w:r>
            <w:r w:rsidR="003D0EA6">
              <w:rPr>
                <w:noProof/>
                <w:webHidden/>
              </w:rPr>
              <w:t>17</w:t>
            </w:r>
            <w:r w:rsidR="003D0EA6">
              <w:rPr>
                <w:noProof/>
                <w:webHidden/>
              </w:rPr>
              <w:fldChar w:fldCharType="end"/>
            </w:r>
          </w:hyperlink>
        </w:p>
        <w:p w14:paraId="02098C84" w14:textId="6988FD7D" w:rsidR="003D0EA6" w:rsidRDefault="00220FFA">
          <w:pPr>
            <w:pStyle w:val="TOC2"/>
            <w:tabs>
              <w:tab w:val="left" w:pos="660"/>
              <w:tab w:val="right" w:leader="dot" w:pos="9350"/>
            </w:tabs>
            <w:rPr>
              <w:noProof/>
            </w:rPr>
          </w:pPr>
          <w:hyperlink w:anchor="_Toc166238347" w:history="1">
            <w:r w:rsidR="003D0EA6" w:rsidRPr="0044739A">
              <w:rPr>
                <w:rStyle w:val="Hyperlink"/>
                <w:noProof/>
                <w:lang w:val="en-US"/>
              </w:rPr>
              <w:t>8.</w:t>
            </w:r>
            <w:r w:rsidR="003D0EA6">
              <w:rPr>
                <w:noProof/>
              </w:rPr>
              <w:tab/>
            </w:r>
            <w:r w:rsidR="003D0EA6" w:rsidRPr="0044739A">
              <w:rPr>
                <w:rStyle w:val="Hyperlink"/>
                <w:noProof/>
                <w:lang w:val="en-US"/>
              </w:rPr>
              <w:t>APPENDIX</w:t>
            </w:r>
            <w:r w:rsidR="003D0EA6">
              <w:rPr>
                <w:noProof/>
                <w:webHidden/>
              </w:rPr>
              <w:tab/>
            </w:r>
            <w:r w:rsidR="003D0EA6">
              <w:rPr>
                <w:noProof/>
                <w:webHidden/>
              </w:rPr>
              <w:fldChar w:fldCharType="begin"/>
            </w:r>
            <w:r w:rsidR="003D0EA6">
              <w:rPr>
                <w:noProof/>
                <w:webHidden/>
              </w:rPr>
              <w:instrText xml:space="preserve"> PAGEREF _Toc166238347 \h </w:instrText>
            </w:r>
            <w:r w:rsidR="003D0EA6">
              <w:rPr>
                <w:noProof/>
                <w:webHidden/>
              </w:rPr>
            </w:r>
            <w:r w:rsidR="003D0EA6">
              <w:rPr>
                <w:noProof/>
                <w:webHidden/>
              </w:rPr>
              <w:fldChar w:fldCharType="separate"/>
            </w:r>
            <w:r w:rsidR="003D0EA6">
              <w:rPr>
                <w:noProof/>
                <w:webHidden/>
              </w:rPr>
              <w:t>18</w:t>
            </w:r>
            <w:r w:rsidR="003D0EA6">
              <w:rPr>
                <w:noProof/>
                <w:webHidden/>
              </w:rPr>
              <w:fldChar w:fldCharType="end"/>
            </w:r>
          </w:hyperlink>
        </w:p>
        <w:p w14:paraId="36AE4D66" w14:textId="1BBE0DF1" w:rsidR="003D0EA6" w:rsidRDefault="003D0EA6" w:rsidP="003D0EA6">
          <w:pPr>
            <w:rPr>
              <w:b/>
              <w:bCs/>
              <w:noProof/>
            </w:rPr>
          </w:pPr>
          <w:r>
            <w:rPr>
              <w:b/>
              <w:bCs/>
              <w:noProof/>
            </w:rPr>
            <w:fldChar w:fldCharType="end"/>
          </w:r>
        </w:p>
      </w:sdtContent>
    </w:sdt>
    <w:p w14:paraId="056DDC74" w14:textId="77777777" w:rsidR="00D11F4B" w:rsidRPr="00D11F4B" w:rsidRDefault="00D11F4B" w:rsidP="00D11F4B"/>
    <w:p w14:paraId="6D0C3105" w14:textId="77777777" w:rsidR="00D11F4B" w:rsidRPr="00D11F4B" w:rsidRDefault="00D11F4B" w:rsidP="00D11F4B"/>
    <w:p w14:paraId="23CAF2EA" w14:textId="77777777" w:rsidR="00D11F4B" w:rsidRPr="00D11F4B" w:rsidRDefault="00D11F4B" w:rsidP="00D11F4B"/>
    <w:p w14:paraId="13848F54" w14:textId="77777777" w:rsidR="00D11F4B" w:rsidRPr="00D11F4B" w:rsidRDefault="00D11F4B" w:rsidP="00D11F4B"/>
    <w:p w14:paraId="17807B32" w14:textId="51EED3CB" w:rsidR="00D11F4B" w:rsidRPr="00D11F4B" w:rsidRDefault="00D11F4B" w:rsidP="00D11F4B">
      <w:pPr>
        <w:tabs>
          <w:tab w:val="left" w:pos="3195"/>
        </w:tabs>
      </w:pPr>
      <w:r>
        <w:tab/>
      </w:r>
    </w:p>
    <w:p w14:paraId="2884CA00" w14:textId="77777777" w:rsidR="00CB302D" w:rsidRPr="00681907" w:rsidRDefault="00CB302D" w:rsidP="00F1254D">
      <w:pPr>
        <w:pStyle w:val="Heading1"/>
        <w:numPr>
          <w:ilvl w:val="0"/>
          <w:numId w:val="0"/>
        </w:numPr>
        <w:ind w:left="360"/>
        <w:rPr>
          <w:lang w:val="en-US"/>
        </w:rPr>
      </w:pPr>
      <w:bookmarkStart w:id="2" w:name="_Toc166238335"/>
      <w:r w:rsidRPr="00681907">
        <w:rPr>
          <w:lang w:val="en-US"/>
        </w:rPr>
        <w:lastRenderedPageBreak/>
        <w:t>Standard Operating Procedures for</w:t>
      </w:r>
      <w:r>
        <w:rPr>
          <w:lang w:val="en-US"/>
        </w:rPr>
        <w:br/>
      </w:r>
      <w:r w:rsidRPr="00681907">
        <w:rPr>
          <w:lang w:val="en-US"/>
        </w:rPr>
        <w:t>Management of Specific Adverse Events</w:t>
      </w:r>
      <w:bookmarkEnd w:id="2"/>
    </w:p>
    <w:p w14:paraId="00375332" w14:textId="69A67F68" w:rsidR="0076142D" w:rsidRPr="00DE0C72" w:rsidRDefault="00396643" w:rsidP="005C13B2">
      <w:pPr>
        <w:pStyle w:val="Heading2"/>
        <w:jc w:val="both"/>
        <w:rPr>
          <w:lang w:val="en-US"/>
        </w:rPr>
      </w:pPr>
      <w:bookmarkStart w:id="3" w:name="_Toc166238336"/>
      <w:r w:rsidRPr="00DE0C72">
        <w:rPr>
          <w:lang w:val="en-US"/>
        </w:rPr>
        <w:t>PURPOSE</w:t>
      </w:r>
      <w:bookmarkEnd w:id="3"/>
      <w:r w:rsidRPr="00DE0C72">
        <w:rPr>
          <w:lang w:val="en-US"/>
        </w:rPr>
        <w:t xml:space="preserve"> </w:t>
      </w:r>
    </w:p>
    <w:tbl>
      <w:tblPr>
        <w:tblStyle w:val="7"/>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6142D" w:rsidRPr="00F050A7" w14:paraId="5F6A54EB" w14:textId="77777777" w:rsidTr="00462589">
        <w:trPr>
          <w:trHeight w:val="608"/>
        </w:trPr>
        <w:tc>
          <w:tcPr>
            <w:tcW w:w="9576" w:type="dxa"/>
          </w:tcPr>
          <w:p w14:paraId="657F4AED" w14:textId="22199637" w:rsidR="0076142D" w:rsidRPr="00681907" w:rsidRDefault="00B41D88" w:rsidP="00F1254D">
            <w:pPr>
              <w:shd w:val="clear" w:color="auto" w:fill="F8F8F8"/>
              <w:rPr>
                <w:lang w:val="en-US"/>
              </w:rPr>
            </w:pPr>
            <w:r w:rsidRPr="00B41D88">
              <w:rPr>
                <w:lang w:val="en-US"/>
              </w:rPr>
              <w:t>This standard operating procedure (SOP) is a guideline for the clinical management of the clinical management of specific adverse events during treatment.</w:t>
            </w:r>
          </w:p>
        </w:tc>
      </w:tr>
    </w:tbl>
    <w:p w14:paraId="0D48960A" w14:textId="3C3C7276" w:rsidR="0076142D" w:rsidRPr="00681907" w:rsidRDefault="0076142D" w:rsidP="005C13B2">
      <w:pPr>
        <w:keepNext/>
        <w:keepLines/>
        <w:spacing w:after="120"/>
        <w:jc w:val="both"/>
        <w:rPr>
          <w:lang w:val="en-US"/>
        </w:rPr>
      </w:pPr>
    </w:p>
    <w:p w14:paraId="34B0A8DE" w14:textId="3372B444" w:rsidR="0076142D" w:rsidRPr="00DE0C72" w:rsidRDefault="00396643" w:rsidP="005C13B2">
      <w:pPr>
        <w:pStyle w:val="Heading2"/>
        <w:spacing w:before="0" w:after="120"/>
        <w:contextualSpacing w:val="0"/>
        <w:jc w:val="both"/>
        <w:rPr>
          <w:lang w:val="en-US"/>
        </w:rPr>
      </w:pPr>
      <w:bookmarkStart w:id="4" w:name="_Toc166238337"/>
      <w:r w:rsidRPr="00DE0C72">
        <w:rPr>
          <w:lang w:val="en-US"/>
        </w:rPr>
        <w:t>SCOPE</w:t>
      </w:r>
      <w:bookmarkEnd w:id="4"/>
    </w:p>
    <w:tbl>
      <w:tblPr>
        <w:tblStyle w:val="6"/>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6142D" w:rsidRPr="00F050A7" w14:paraId="74F3C7E2" w14:textId="77777777">
        <w:tc>
          <w:tcPr>
            <w:tcW w:w="9576" w:type="dxa"/>
          </w:tcPr>
          <w:p w14:paraId="1D4292C1" w14:textId="77777777" w:rsidR="00BA12C0" w:rsidRPr="00BA12C0" w:rsidRDefault="00BA12C0" w:rsidP="005C13B2">
            <w:pPr>
              <w:keepNext/>
              <w:keepLines/>
              <w:spacing w:line="276" w:lineRule="auto"/>
              <w:jc w:val="both"/>
              <w:rPr>
                <w:sz w:val="6"/>
                <w:lang w:val="en-US"/>
              </w:rPr>
            </w:pPr>
          </w:p>
          <w:p w14:paraId="784B1F11" w14:textId="22D28144" w:rsidR="0076142D" w:rsidRPr="00681907" w:rsidRDefault="00396643" w:rsidP="005C13B2">
            <w:pPr>
              <w:keepNext/>
              <w:keepLines/>
              <w:spacing w:line="276" w:lineRule="auto"/>
              <w:jc w:val="both"/>
              <w:rPr>
                <w:lang w:val="en-US"/>
              </w:rPr>
            </w:pPr>
            <w:r w:rsidRPr="00681907">
              <w:rPr>
                <w:lang w:val="en-US"/>
              </w:rPr>
              <w:t>This SOP is developed for trained healthcare workers</w:t>
            </w:r>
            <w:r w:rsidR="00FE2BA4" w:rsidRPr="00681907">
              <w:rPr>
                <w:lang w:val="en-US"/>
              </w:rPr>
              <w:t xml:space="preserve"> who are managing the treatment of </w:t>
            </w:r>
            <w:r w:rsidRPr="00681907">
              <w:rPr>
                <w:lang w:val="en-US"/>
              </w:rPr>
              <w:t>participants of the endTB clinical trial</w:t>
            </w:r>
            <w:r w:rsidR="009701EE">
              <w:rPr>
                <w:lang w:val="en-US"/>
              </w:rPr>
              <w:t>s</w:t>
            </w:r>
            <w:r w:rsidRPr="00681907">
              <w:rPr>
                <w:lang w:val="en-US"/>
              </w:rPr>
              <w:t>.</w:t>
            </w:r>
          </w:p>
        </w:tc>
      </w:tr>
    </w:tbl>
    <w:p w14:paraId="47481AEB" w14:textId="189FAD5D" w:rsidR="0076142D" w:rsidRPr="00681907" w:rsidRDefault="0076142D" w:rsidP="00462589">
      <w:pPr>
        <w:keepNext/>
        <w:keepLines/>
        <w:spacing w:after="120" w:line="240" w:lineRule="auto"/>
        <w:jc w:val="both"/>
        <w:rPr>
          <w:lang w:val="en-US"/>
        </w:rPr>
      </w:pPr>
    </w:p>
    <w:p w14:paraId="343D7FEA" w14:textId="527A555E" w:rsidR="0076142D" w:rsidRPr="00DE0C72" w:rsidRDefault="00396643" w:rsidP="00462589">
      <w:pPr>
        <w:pStyle w:val="Heading2"/>
        <w:spacing w:before="0" w:after="120" w:line="240" w:lineRule="auto"/>
        <w:jc w:val="both"/>
        <w:rPr>
          <w:lang w:val="en-US"/>
        </w:rPr>
      </w:pPr>
      <w:bookmarkStart w:id="5" w:name="_Toc166238338"/>
      <w:r w:rsidRPr="00DE0C72">
        <w:rPr>
          <w:lang w:val="en-US"/>
        </w:rPr>
        <w:t>RESPONSIBLE FUNCTIONS</w:t>
      </w:r>
      <w:bookmarkEnd w:id="5"/>
    </w:p>
    <w:tbl>
      <w:tblPr>
        <w:tblStyle w:val="5"/>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0"/>
        <w:gridCol w:w="7246"/>
      </w:tblGrid>
      <w:tr w:rsidR="0076142D" w:rsidRPr="00681907" w14:paraId="064732BD" w14:textId="77777777" w:rsidTr="00E10A5A">
        <w:trPr>
          <w:trHeight w:val="60"/>
        </w:trPr>
        <w:tc>
          <w:tcPr>
            <w:tcW w:w="2330" w:type="dxa"/>
            <w:shd w:val="clear" w:color="auto" w:fill="F2F2F2" w:themeFill="background1" w:themeFillShade="F2"/>
          </w:tcPr>
          <w:p w14:paraId="366105FB" w14:textId="77777777" w:rsidR="0076142D" w:rsidRPr="00DE0C72" w:rsidRDefault="00396643" w:rsidP="00462589">
            <w:pPr>
              <w:keepNext/>
              <w:keepLines/>
              <w:spacing w:before="80" w:after="80" w:line="240" w:lineRule="auto"/>
              <w:contextualSpacing w:val="0"/>
              <w:jc w:val="both"/>
              <w:rPr>
                <w:lang w:val="en-US"/>
              </w:rPr>
            </w:pPr>
            <w:r w:rsidRPr="00DE0C72">
              <w:rPr>
                <w:b/>
                <w:lang w:val="en-US"/>
              </w:rPr>
              <w:t>Function</w:t>
            </w:r>
          </w:p>
        </w:tc>
        <w:tc>
          <w:tcPr>
            <w:tcW w:w="7246" w:type="dxa"/>
            <w:shd w:val="clear" w:color="auto" w:fill="F2F2F2" w:themeFill="background1" w:themeFillShade="F2"/>
            <w:vAlign w:val="center"/>
          </w:tcPr>
          <w:p w14:paraId="432F3D15" w14:textId="77777777" w:rsidR="0076142D" w:rsidRPr="00DE0C72" w:rsidRDefault="00396643" w:rsidP="00462589">
            <w:pPr>
              <w:keepNext/>
              <w:keepLines/>
              <w:spacing w:before="80" w:after="80" w:line="240" w:lineRule="auto"/>
              <w:contextualSpacing w:val="0"/>
              <w:jc w:val="both"/>
              <w:rPr>
                <w:lang w:val="en-US"/>
              </w:rPr>
            </w:pPr>
            <w:r w:rsidRPr="00DE0C72">
              <w:rPr>
                <w:b/>
                <w:lang w:val="en-US"/>
              </w:rPr>
              <w:t>Activities</w:t>
            </w:r>
          </w:p>
        </w:tc>
      </w:tr>
      <w:tr w:rsidR="0078773D" w:rsidRPr="00F050A7" w14:paraId="6C59962C" w14:textId="77777777" w:rsidTr="00E10A5A">
        <w:trPr>
          <w:trHeight w:val="792"/>
        </w:trPr>
        <w:tc>
          <w:tcPr>
            <w:tcW w:w="2330" w:type="dxa"/>
            <w:shd w:val="clear" w:color="auto" w:fill="FFFFFF" w:themeFill="background1"/>
          </w:tcPr>
          <w:p w14:paraId="721CD043" w14:textId="11ECECB4" w:rsidR="0078773D" w:rsidRDefault="0078773D" w:rsidP="00462589">
            <w:pPr>
              <w:keepNext/>
              <w:keepLines/>
              <w:spacing w:before="80" w:after="80" w:line="240" w:lineRule="auto"/>
              <w:rPr>
                <w:b/>
                <w:lang w:val="en-US"/>
              </w:rPr>
            </w:pPr>
            <w:r w:rsidRPr="00DE0C72">
              <w:rPr>
                <w:b/>
                <w:lang w:val="en-US"/>
              </w:rPr>
              <w:t xml:space="preserve">Site </w:t>
            </w:r>
            <w:r w:rsidR="005C13B2">
              <w:rPr>
                <w:b/>
                <w:lang w:val="en-US"/>
              </w:rPr>
              <w:t>P</w:t>
            </w:r>
            <w:r w:rsidRPr="00DE0C72">
              <w:rPr>
                <w:b/>
                <w:lang w:val="en-US"/>
              </w:rPr>
              <w:t xml:space="preserve">rincipal </w:t>
            </w:r>
            <w:r w:rsidR="005C13B2">
              <w:rPr>
                <w:b/>
                <w:lang w:val="en-US"/>
              </w:rPr>
              <w:t>I</w:t>
            </w:r>
            <w:r w:rsidRPr="00DE0C72">
              <w:rPr>
                <w:b/>
                <w:lang w:val="en-US"/>
              </w:rPr>
              <w:t>nvestigator (</w:t>
            </w:r>
            <w:r>
              <w:rPr>
                <w:b/>
                <w:lang w:val="en-US"/>
              </w:rPr>
              <w:t>S</w:t>
            </w:r>
            <w:r w:rsidRPr="00DE0C72">
              <w:rPr>
                <w:b/>
                <w:lang w:val="en-US"/>
              </w:rPr>
              <w:t>ite</w:t>
            </w:r>
            <w:r>
              <w:rPr>
                <w:b/>
                <w:lang w:val="en-US"/>
              </w:rPr>
              <w:t xml:space="preserve"> </w:t>
            </w:r>
            <w:r w:rsidRPr="00DE0C72">
              <w:rPr>
                <w:b/>
                <w:lang w:val="en-US"/>
              </w:rPr>
              <w:t>PI)</w:t>
            </w:r>
          </w:p>
        </w:tc>
        <w:tc>
          <w:tcPr>
            <w:tcW w:w="7246" w:type="dxa"/>
            <w:shd w:val="clear" w:color="auto" w:fill="FFFFFF" w:themeFill="background1"/>
            <w:vAlign w:val="center"/>
          </w:tcPr>
          <w:p w14:paraId="099D5C6C" w14:textId="0FCDF2E1" w:rsidR="0078773D" w:rsidRPr="00681907" w:rsidRDefault="0078773D" w:rsidP="00F1254D">
            <w:pPr>
              <w:pStyle w:val="ListParagraph"/>
              <w:keepNext/>
              <w:keepLines/>
              <w:numPr>
                <w:ilvl w:val="0"/>
                <w:numId w:val="2"/>
              </w:numPr>
              <w:spacing w:before="80" w:after="80"/>
              <w:jc w:val="both"/>
              <w:rPr>
                <w:lang w:val="en-US"/>
              </w:rPr>
            </w:pPr>
            <w:r w:rsidRPr="12B18B63">
              <w:rPr>
                <w:rFonts w:asciiTheme="minorHAnsi" w:hAnsiTheme="minorHAnsi" w:cs="Arial"/>
                <w:lang w:val="en-US"/>
              </w:rPr>
              <w:t>Support</w:t>
            </w:r>
            <w:r w:rsidR="12B18B63" w:rsidRPr="12B18B63">
              <w:rPr>
                <w:rFonts w:asciiTheme="minorHAnsi" w:hAnsiTheme="minorHAnsi" w:cs="Arial"/>
                <w:lang w:val="en-US"/>
              </w:rPr>
              <w:t>s</w:t>
            </w:r>
            <w:r w:rsidRPr="12B18B63">
              <w:rPr>
                <w:rFonts w:asciiTheme="minorHAnsi" w:hAnsiTheme="minorHAnsi" w:cs="Arial"/>
                <w:lang w:val="en-US"/>
              </w:rPr>
              <w:t xml:space="preserve"> the delegated site Co Investigator in managing the AE and ensure that adverse events are managed and recorded according to the study protocol </w:t>
            </w:r>
          </w:p>
          <w:p w14:paraId="566E9BBD" w14:textId="1886FF0F" w:rsidR="0078773D" w:rsidRPr="00681907" w:rsidRDefault="0078773D">
            <w:pPr>
              <w:pStyle w:val="ListParagraph"/>
              <w:keepNext/>
              <w:keepLines/>
              <w:numPr>
                <w:ilvl w:val="0"/>
                <w:numId w:val="2"/>
              </w:numPr>
              <w:spacing w:before="80" w:after="80"/>
              <w:jc w:val="both"/>
              <w:rPr>
                <w:lang w:val="en-US"/>
              </w:rPr>
            </w:pPr>
            <w:r w:rsidRPr="00681907">
              <w:rPr>
                <w:lang w:val="en-US"/>
              </w:rPr>
              <w:t>Communicates with the Clinical Advisory Committee for difficult or doubtful cases</w:t>
            </w:r>
          </w:p>
        </w:tc>
      </w:tr>
      <w:tr w:rsidR="0076142D" w:rsidRPr="00F050A7" w14:paraId="4BEDB1DF" w14:textId="77777777" w:rsidTr="00462589">
        <w:trPr>
          <w:trHeight w:val="3076"/>
        </w:trPr>
        <w:tc>
          <w:tcPr>
            <w:tcW w:w="2330" w:type="dxa"/>
            <w:shd w:val="clear" w:color="auto" w:fill="FFFFFF" w:themeFill="background1"/>
          </w:tcPr>
          <w:p w14:paraId="7472238C" w14:textId="5EB2E21D" w:rsidR="0076142D" w:rsidRPr="0021292E" w:rsidRDefault="00441102" w:rsidP="00462589">
            <w:pPr>
              <w:keepNext/>
              <w:keepLines/>
              <w:spacing w:before="80" w:after="80" w:line="240" w:lineRule="auto"/>
              <w:contextualSpacing w:val="0"/>
              <w:rPr>
                <w:b/>
                <w:lang w:val="en-US"/>
              </w:rPr>
            </w:pPr>
            <w:r w:rsidRPr="00DE0C72">
              <w:rPr>
                <w:b/>
                <w:lang w:val="en-US"/>
              </w:rPr>
              <w:t xml:space="preserve">Site </w:t>
            </w:r>
            <w:r w:rsidR="005C13B2">
              <w:rPr>
                <w:b/>
                <w:lang w:val="en-US"/>
              </w:rPr>
              <w:t>P</w:t>
            </w:r>
            <w:r w:rsidR="00ED12D6">
              <w:rPr>
                <w:b/>
                <w:lang w:val="en-US"/>
              </w:rPr>
              <w:t xml:space="preserve">rincipal </w:t>
            </w:r>
            <w:r w:rsidR="005C13B2">
              <w:rPr>
                <w:b/>
                <w:lang w:val="en-US"/>
              </w:rPr>
              <w:t>I</w:t>
            </w:r>
            <w:r w:rsidR="00ED12D6">
              <w:rPr>
                <w:b/>
                <w:lang w:val="en-US"/>
              </w:rPr>
              <w:t>nvestigator (</w:t>
            </w:r>
            <w:r w:rsidR="009E2301">
              <w:rPr>
                <w:b/>
                <w:lang w:val="en-US"/>
              </w:rPr>
              <w:t>S</w:t>
            </w:r>
            <w:r w:rsidR="00ED12D6">
              <w:rPr>
                <w:b/>
                <w:lang w:val="en-US"/>
              </w:rPr>
              <w:t xml:space="preserve">ite </w:t>
            </w:r>
            <w:r w:rsidR="00767869">
              <w:rPr>
                <w:b/>
                <w:lang w:val="en-US"/>
              </w:rPr>
              <w:t xml:space="preserve">PI) </w:t>
            </w:r>
            <w:r w:rsidR="0078773D">
              <w:rPr>
                <w:b/>
                <w:lang w:val="en-US"/>
              </w:rPr>
              <w:t>and/</w:t>
            </w:r>
            <w:r w:rsidR="00767869">
              <w:rPr>
                <w:b/>
                <w:lang w:val="en-US"/>
              </w:rPr>
              <w:t xml:space="preserve">or </w:t>
            </w:r>
            <w:r w:rsidR="0078773D">
              <w:rPr>
                <w:b/>
                <w:lang w:val="en-US"/>
              </w:rPr>
              <w:t xml:space="preserve">delegated </w:t>
            </w:r>
            <w:r w:rsidR="00767869">
              <w:rPr>
                <w:b/>
                <w:lang w:val="en-US"/>
              </w:rPr>
              <w:t xml:space="preserve">Site </w:t>
            </w:r>
            <w:r w:rsidR="005C13B2">
              <w:rPr>
                <w:b/>
                <w:lang w:val="en-US"/>
              </w:rPr>
              <w:t>C</w:t>
            </w:r>
            <w:r w:rsidRPr="00DE0C72">
              <w:rPr>
                <w:b/>
                <w:lang w:val="en-US"/>
              </w:rPr>
              <w:t>o</w:t>
            </w:r>
            <w:r w:rsidR="005C13B2">
              <w:rPr>
                <w:b/>
                <w:lang w:val="en-US"/>
              </w:rPr>
              <w:t xml:space="preserve"> I</w:t>
            </w:r>
            <w:r w:rsidRPr="00DE0C72">
              <w:rPr>
                <w:b/>
                <w:lang w:val="en-US"/>
              </w:rPr>
              <w:t>nvestigator</w:t>
            </w:r>
            <w:r w:rsidR="00A37956">
              <w:rPr>
                <w:b/>
                <w:lang w:val="en-US"/>
              </w:rPr>
              <w:t xml:space="preserve"> </w:t>
            </w:r>
            <w:r w:rsidR="00A37956" w:rsidRPr="00DE0C72">
              <w:rPr>
                <w:b/>
                <w:lang w:val="en-US"/>
              </w:rPr>
              <w:t>(</w:t>
            </w:r>
            <w:r w:rsidR="00A37956">
              <w:rPr>
                <w:b/>
                <w:lang w:val="en-US"/>
              </w:rPr>
              <w:t>S</w:t>
            </w:r>
            <w:r w:rsidR="00ED12D6">
              <w:rPr>
                <w:b/>
                <w:lang w:val="en-US"/>
              </w:rPr>
              <w:t xml:space="preserve">ite </w:t>
            </w:r>
            <w:r w:rsidR="00A37956" w:rsidRPr="00DE0C72">
              <w:rPr>
                <w:b/>
                <w:lang w:val="en-US"/>
              </w:rPr>
              <w:t>CI)</w:t>
            </w:r>
            <w:r w:rsidR="00A37956" w:rsidRPr="00DE0C72">
              <w:rPr>
                <w:lang w:val="en-US"/>
              </w:rPr>
              <w:t xml:space="preserve"> </w:t>
            </w:r>
            <w:r w:rsidR="00A37956">
              <w:rPr>
                <w:b/>
                <w:lang w:val="en-US"/>
              </w:rPr>
              <w:t xml:space="preserve"> </w:t>
            </w:r>
          </w:p>
        </w:tc>
        <w:tc>
          <w:tcPr>
            <w:tcW w:w="7246" w:type="dxa"/>
            <w:shd w:val="clear" w:color="auto" w:fill="FFFFFF" w:themeFill="background1"/>
            <w:vAlign w:val="center"/>
          </w:tcPr>
          <w:p w14:paraId="10E1ED17" w14:textId="1CB9ED35" w:rsidR="0076142D" w:rsidRPr="00681907" w:rsidRDefault="00FE2BA4" w:rsidP="00F1254D">
            <w:pPr>
              <w:pStyle w:val="ListParagraph"/>
              <w:keepNext/>
              <w:keepLines/>
              <w:numPr>
                <w:ilvl w:val="0"/>
                <w:numId w:val="2"/>
              </w:numPr>
              <w:spacing w:before="80" w:after="80"/>
              <w:jc w:val="both"/>
              <w:rPr>
                <w:lang w:val="en-US"/>
              </w:rPr>
            </w:pPr>
            <w:r w:rsidRPr="00681907">
              <w:rPr>
                <w:lang w:val="en-US"/>
              </w:rPr>
              <w:t xml:space="preserve">Makes the diagnosis of an adverse event </w:t>
            </w:r>
            <w:r w:rsidR="00641FFF" w:rsidRPr="00681907">
              <w:rPr>
                <w:lang w:val="en-US"/>
              </w:rPr>
              <w:t xml:space="preserve">(AE) </w:t>
            </w:r>
            <w:r w:rsidRPr="00681907">
              <w:rPr>
                <w:lang w:val="en-US"/>
              </w:rPr>
              <w:t xml:space="preserve">and assesses its </w:t>
            </w:r>
            <w:r w:rsidR="00241CE6" w:rsidRPr="00681907">
              <w:rPr>
                <w:lang w:val="en-US"/>
              </w:rPr>
              <w:t>severity</w:t>
            </w:r>
            <w:r w:rsidR="00076783">
              <w:rPr>
                <w:lang w:val="en-US"/>
              </w:rPr>
              <w:t xml:space="preserve"> and </w:t>
            </w:r>
            <w:r w:rsidR="00CD2C4B">
              <w:rPr>
                <w:lang w:val="en-US"/>
              </w:rPr>
              <w:t>the</w:t>
            </w:r>
            <w:r w:rsidR="00076783">
              <w:rPr>
                <w:lang w:val="en-US"/>
              </w:rPr>
              <w:t xml:space="preserve"> </w:t>
            </w:r>
            <w:r w:rsidR="00CD2C4B">
              <w:rPr>
                <w:lang w:val="en-US"/>
              </w:rPr>
              <w:t>relation</w:t>
            </w:r>
          </w:p>
          <w:p w14:paraId="148AF75E" w14:textId="74F63C0B" w:rsidR="00641FFF" w:rsidRPr="00681907" w:rsidRDefault="00641FFF">
            <w:pPr>
              <w:pStyle w:val="ListParagraph"/>
              <w:keepNext/>
              <w:keepLines/>
              <w:numPr>
                <w:ilvl w:val="0"/>
                <w:numId w:val="2"/>
              </w:numPr>
              <w:spacing w:before="80" w:after="80"/>
              <w:jc w:val="both"/>
              <w:rPr>
                <w:lang w:val="en-US"/>
              </w:rPr>
            </w:pPr>
            <w:r w:rsidRPr="00681907">
              <w:rPr>
                <w:lang w:val="en-US"/>
              </w:rPr>
              <w:t xml:space="preserve">Grades the AE according to the </w:t>
            </w:r>
            <w:r w:rsidR="009662C5">
              <w:rPr>
                <w:lang w:val="en-US"/>
              </w:rPr>
              <w:t xml:space="preserve">MSF </w:t>
            </w:r>
            <w:r w:rsidRPr="00681907">
              <w:rPr>
                <w:lang w:val="en-US"/>
              </w:rPr>
              <w:t xml:space="preserve">severity </w:t>
            </w:r>
            <w:r w:rsidR="009662C5">
              <w:rPr>
                <w:lang w:val="en-US"/>
              </w:rPr>
              <w:t xml:space="preserve">grading </w:t>
            </w:r>
            <w:r w:rsidRPr="00681907">
              <w:rPr>
                <w:lang w:val="en-US"/>
              </w:rPr>
              <w:t>scale</w:t>
            </w:r>
          </w:p>
          <w:p w14:paraId="53E6615D" w14:textId="1DB4A35F" w:rsidR="00241CE6" w:rsidRPr="00681907" w:rsidRDefault="002F1DAC">
            <w:pPr>
              <w:pStyle w:val="ListParagraph"/>
              <w:keepNext/>
              <w:keepLines/>
              <w:numPr>
                <w:ilvl w:val="0"/>
                <w:numId w:val="2"/>
              </w:numPr>
              <w:spacing w:before="80" w:after="80"/>
              <w:jc w:val="both"/>
              <w:rPr>
                <w:lang w:val="en-US"/>
              </w:rPr>
            </w:pPr>
            <w:r w:rsidRPr="00681907">
              <w:rPr>
                <w:lang w:val="en-US"/>
              </w:rPr>
              <w:t>Manages</w:t>
            </w:r>
            <w:r w:rsidR="00A47A5C" w:rsidRPr="00681907">
              <w:rPr>
                <w:lang w:val="en-US"/>
              </w:rPr>
              <w:t xml:space="preserve"> the</w:t>
            </w:r>
            <w:r w:rsidR="00241CE6" w:rsidRPr="00681907">
              <w:rPr>
                <w:lang w:val="en-US"/>
              </w:rPr>
              <w:t xml:space="preserve"> specific </w:t>
            </w:r>
            <w:r w:rsidR="00641FFF" w:rsidRPr="00681907">
              <w:rPr>
                <w:lang w:val="en-US"/>
              </w:rPr>
              <w:t>AE</w:t>
            </w:r>
          </w:p>
          <w:p w14:paraId="6D74E584" w14:textId="5C3BA690" w:rsidR="00641FFF" w:rsidRPr="00681907" w:rsidRDefault="00641FFF">
            <w:pPr>
              <w:pStyle w:val="ListParagraph"/>
              <w:keepNext/>
              <w:keepLines/>
              <w:numPr>
                <w:ilvl w:val="0"/>
                <w:numId w:val="2"/>
              </w:numPr>
              <w:spacing w:before="80" w:after="80"/>
              <w:jc w:val="both"/>
              <w:rPr>
                <w:lang w:val="en-US"/>
              </w:rPr>
            </w:pPr>
            <w:r w:rsidRPr="00681907">
              <w:rPr>
                <w:lang w:val="en-US"/>
              </w:rPr>
              <w:t>Records the AE, its grading, its evolution and outcome in the source document</w:t>
            </w:r>
            <w:r w:rsidR="00FA4B89">
              <w:rPr>
                <w:lang w:val="en-US"/>
              </w:rPr>
              <w:t>s</w:t>
            </w:r>
          </w:p>
          <w:p w14:paraId="5FD84B60" w14:textId="0FE8B996" w:rsidR="00573EE9" w:rsidRPr="009701EE" w:rsidRDefault="00641FFF" w:rsidP="00227A9F">
            <w:pPr>
              <w:pStyle w:val="ListParagraph"/>
              <w:keepNext/>
              <w:keepLines/>
              <w:numPr>
                <w:ilvl w:val="0"/>
                <w:numId w:val="2"/>
              </w:numPr>
              <w:autoSpaceDE w:val="0"/>
              <w:autoSpaceDN w:val="0"/>
              <w:adjustRightInd w:val="0"/>
              <w:spacing w:before="80" w:after="0"/>
              <w:jc w:val="both"/>
              <w:rPr>
                <w:rFonts w:asciiTheme="minorHAnsi" w:hAnsiTheme="minorHAnsi" w:cs="Cambria"/>
                <w:lang w:val="en-US"/>
              </w:rPr>
            </w:pPr>
            <w:r w:rsidRPr="009701EE">
              <w:rPr>
                <w:rFonts w:asciiTheme="minorHAnsi" w:hAnsiTheme="minorHAnsi"/>
                <w:lang w:val="en-US"/>
              </w:rPr>
              <w:t>Records the possible treatment changes and ancillary treatment in the source document</w:t>
            </w:r>
            <w:r w:rsidR="00FA4B89">
              <w:rPr>
                <w:rFonts w:asciiTheme="minorHAnsi" w:hAnsiTheme="minorHAnsi"/>
                <w:lang w:val="en-US"/>
              </w:rPr>
              <w:t>s</w:t>
            </w:r>
            <w:r w:rsidR="005D431D" w:rsidRPr="009701EE">
              <w:rPr>
                <w:rFonts w:asciiTheme="minorHAnsi" w:hAnsiTheme="minorHAnsi"/>
                <w:lang w:val="en-US"/>
              </w:rPr>
              <w:t xml:space="preserve"> </w:t>
            </w:r>
          </w:p>
          <w:p w14:paraId="59CA961D" w14:textId="676889E0" w:rsidR="00573EE9" w:rsidRPr="00681907" w:rsidRDefault="00573EE9" w:rsidP="00227A9F">
            <w:pPr>
              <w:pStyle w:val="ListParagraph"/>
              <w:keepNext/>
              <w:keepLines/>
              <w:numPr>
                <w:ilvl w:val="0"/>
                <w:numId w:val="2"/>
              </w:numPr>
              <w:autoSpaceDE w:val="0"/>
              <w:autoSpaceDN w:val="0"/>
              <w:adjustRightInd w:val="0"/>
              <w:spacing w:before="80" w:after="0"/>
              <w:jc w:val="both"/>
              <w:rPr>
                <w:lang w:val="en-US"/>
              </w:rPr>
            </w:pPr>
            <w:r w:rsidRPr="009701EE">
              <w:rPr>
                <w:rFonts w:asciiTheme="minorHAnsi" w:hAnsiTheme="minorHAnsi" w:cs="Cambria-Bold"/>
                <w:bCs/>
                <w:lang w:val="en-US"/>
              </w:rPr>
              <w:t xml:space="preserve">Immediately reports </w:t>
            </w:r>
            <w:r w:rsidRPr="009701EE">
              <w:rPr>
                <w:rFonts w:asciiTheme="minorHAnsi" w:hAnsiTheme="minorHAnsi" w:cs="Cambria"/>
                <w:lang w:val="en-US"/>
              </w:rPr>
              <w:t xml:space="preserve">(within 24 hours of awareness) </w:t>
            </w:r>
            <w:r>
              <w:rPr>
                <w:rFonts w:asciiTheme="minorHAnsi" w:hAnsiTheme="minorHAnsi" w:cs="Cambria"/>
                <w:lang w:val="en-US"/>
              </w:rPr>
              <w:t xml:space="preserve">any </w:t>
            </w:r>
            <w:r w:rsidRPr="009701EE">
              <w:rPr>
                <w:rFonts w:asciiTheme="minorHAnsi" w:hAnsiTheme="minorHAnsi" w:cs="Cambria"/>
                <w:lang w:val="en-US"/>
              </w:rPr>
              <w:t>SAE to the pharmacovigilance (PV) unit</w:t>
            </w:r>
            <w:r w:rsidR="00607A58">
              <w:rPr>
                <w:rFonts w:asciiTheme="minorHAnsi" w:hAnsiTheme="minorHAnsi" w:cs="Cambria"/>
                <w:lang w:val="en-US"/>
              </w:rPr>
              <w:t xml:space="preserve"> and local authorities as per requirements </w:t>
            </w:r>
            <w:r w:rsidR="00742315">
              <w:rPr>
                <w:rFonts w:asciiTheme="minorHAnsi" w:hAnsiTheme="minorHAnsi" w:cs="Cambria"/>
                <w:lang w:val="en-US"/>
              </w:rPr>
              <w:t xml:space="preserve">(see </w:t>
            </w:r>
            <w:r w:rsidR="002B44B9">
              <w:rPr>
                <w:rFonts w:asciiTheme="minorHAnsi" w:hAnsiTheme="minorHAnsi" w:cs="Cambria"/>
                <w:lang w:val="en-US"/>
              </w:rPr>
              <w:t>PV-TB-D22 Safety reporting guideline)</w:t>
            </w:r>
          </w:p>
        </w:tc>
      </w:tr>
      <w:tr w:rsidR="0076142D" w:rsidRPr="00F050A7" w14:paraId="24B2F19B" w14:textId="77777777" w:rsidTr="00E10A5A">
        <w:tc>
          <w:tcPr>
            <w:tcW w:w="2330" w:type="dxa"/>
            <w:shd w:val="clear" w:color="auto" w:fill="FFFFFF" w:themeFill="background1"/>
          </w:tcPr>
          <w:p w14:paraId="78CDA1F5" w14:textId="41226AC4" w:rsidR="0076142D" w:rsidRPr="00DE0C72" w:rsidRDefault="00241CE6" w:rsidP="00462589">
            <w:pPr>
              <w:keepNext/>
              <w:keepLines/>
              <w:spacing w:before="80" w:after="80" w:line="240" w:lineRule="auto"/>
              <w:contextualSpacing w:val="0"/>
              <w:jc w:val="both"/>
              <w:rPr>
                <w:b/>
                <w:lang w:val="en-US"/>
              </w:rPr>
            </w:pPr>
            <w:r w:rsidRPr="00DE0C72">
              <w:rPr>
                <w:b/>
                <w:lang w:val="en-US"/>
              </w:rPr>
              <w:t>Clinical Advisory Committee</w:t>
            </w:r>
            <w:r w:rsidR="00441102" w:rsidRPr="00DE0C72">
              <w:rPr>
                <w:b/>
                <w:lang w:val="en-US"/>
              </w:rPr>
              <w:t xml:space="preserve"> (CAC)</w:t>
            </w:r>
          </w:p>
        </w:tc>
        <w:tc>
          <w:tcPr>
            <w:tcW w:w="7246" w:type="dxa"/>
            <w:shd w:val="clear" w:color="auto" w:fill="FFFFFF" w:themeFill="background1"/>
            <w:vAlign w:val="center"/>
          </w:tcPr>
          <w:p w14:paraId="03CB2E11" w14:textId="60192EB9" w:rsidR="0076142D" w:rsidRPr="00681907" w:rsidRDefault="002F1DAC" w:rsidP="00F1254D">
            <w:pPr>
              <w:pStyle w:val="ListParagraph"/>
              <w:keepNext/>
              <w:keepLines/>
              <w:numPr>
                <w:ilvl w:val="0"/>
                <w:numId w:val="3"/>
              </w:numPr>
              <w:spacing w:before="80" w:after="80"/>
              <w:jc w:val="both"/>
              <w:rPr>
                <w:lang w:val="en-US"/>
              </w:rPr>
            </w:pPr>
            <w:r w:rsidRPr="00681907">
              <w:rPr>
                <w:lang w:val="en-US"/>
              </w:rPr>
              <w:t>Provides advice regarding doubtful cases to clinical staff</w:t>
            </w:r>
            <w:r w:rsidR="00441102" w:rsidRPr="00681907">
              <w:rPr>
                <w:lang w:val="en-US"/>
              </w:rPr>
              <w:t xml:space="preserve"> using the SOP for communication with the CAC</w:t>
            </w:r>
          </w:p>
        </w:tc>
      </w:tr>
    </w:tbl>
    <w:p w14:paraId="44FB946F" w14:textId="77777777" w:rsidR="007A5A4F" w:rsidRPr="00681907" w:rsidRDefault="007A5A4F" w:rsidP="00462589">
      <w:pPr>
        <w:keepNext/>
        <w:keepLines/>
        <w:spacing w:after="120" w:line="240" w:lineRule="auto"/>
        <w:jc w:val="both"/>
        <w:rPr>
          <w:lang w:val="en-US"/>
        </w:rPr>
      </w:pPr>
    </w:p>
    <w:p w14:paraId="51D5E870" w14:textId="77777777" w:rsidR="009701EE" w:rsidRDefault="009701EE" w:rsidP="00462589">
      <w:pPr>
        <w:spacing w:line="240" w:lineRule="auto"/>
        <w:rPr>
          <w:b/>
          <w:sz w:val="24"/>
          <w:szCs w:val="36"/>
          <w:lang w:val="en-US"/>
        </w:rPr>
      </w:pPr>
      <w:r>
        <w:rPr>
          <w:lang w:val="en-US"/>
        </w:rPr>
        <w:br w:type="page"/>
      </w:r>
    </w:p>
    <w:p w14:paraId="36210876" w14:textId="588718F9" w:rsidR="0076142D" w:rsidRPr="00681907" w:rsidRDefault="00396643" w:rsidP="00462589">
      <w:pPr>
        <w:pStyle w:val="Heading2"/>
        <w:spacing w:before="0" w:after="120" w:line="240" w:lineRule="auto"/>
        <w:jc w:val="both"/>
        <w:rPr>
          <w:lang w:val="en-US"/>
        </w:rPr>
      </w:pPr>
      <w:bookmarkStart w:id="6" w:name="_Toc166238339"/>
      <w:r w:rsidRPr="00681907">
        <w:rPr>
          <w:lang w:val="en-US"/>
        </w:rPr>
        <w:lastRenderedPageBreak/>
        <w:t>DEFINITIONS and ABBREVIATIONS</w:t>
      </w:r>
      <w:bookmarkEnd w:id="6"/>
    </w:p>
    <w:p w14:paraId="7546B45A" w14:textId="77777777" w:rsidR="001659EF" w:rsidRPr="00DE0C72" w:rsidRDefault="001659EF" w:rsidP="00F1254D">
      <w:pPr>
        <w:pStyle w:val="ListBullet"/>
        <w:keepNext/>
        <w:keepLines/>
        <w:numPr>
          <w:ilvl w:val="0"/>
          <w:numId w:val="0"/>
        </w:numPr>
        <w:spacing w:before="60" w:after="120" w:line="240" w:lineRule="auto"/>
        <w:contextualSpacing w:val="0"/>
        <w:jc w:val="both"/>
        <w:rPr>
          <w:lang w:val="en-US"/>
        </w:rPr>
      </w:pPr>
      <w:r w:rsidRPr="00DE0C72">
        <w:rPr>
          <w:b/>
          <w:lang w:val="en-US"/>
        </w:rPr>
        <w:t>Acute kidney injury:</w:t>
      </w:r>
      <w:r w:rsidRPr="00DE0C72">
        <w:rPr>
          <w:lang w:val="en-US"/>
        </w:rPr>
        <w:t xml:space="preserve"> Acute kidney injury is characterized by the acute loss of renal function.</w:t>
      </w:r>
    </w:p>
    <w:p w14:paraId="038673CF" w14:textId="639A249B" w:rsidR="00520B63" w:rsidRPr="00681907" w:rsidRDefault="00241CE6">
      <w:pPr>
        <w:keepNext/>
        <w:keepLines/>
        <w:spacing w:before="60" w:after="120" w:line="240" w:lineRule="auto"/>
        <w:jc w:val="both"/>
        <w:rPr>
          <w:lang w:val="en-US"/>
        </w:rPr>
      </w:pPr>
      <w:r w:rsidRPr="00681907">
        <w:rPr>
          <w:b/>
          <w:lang w:val="en-US"/>
        </w:rPr>
        <w:t>Adverse event</w:t>
      </w:r>
      <w:r w:rsidR="00A47A5C" w:rsidRPr="00681907">
        <w:rPr>
          <w:b/>
          <w:lang w:val="en-US"/>
        </w:rPr>
        <w:t xml:space="preserve"> (AE)</w:t>
      </w:r>
      <w:r w:rsidRPr="00681907">
        <w:rPr>
          <w:b/>
          <w:lang w:val="en-US"/>
        </w:rPr>
        <w:t>:</w:t>
      </w:r>
      <w:r w:rsidR="00520B63" w:rsidRPr="00681907">
        <w:rPr>
          <w:b/>
          <w:lang w:val="en-US"/>
        </w:rPr>
        <w:t xml:space="preserve"> </w:t>
      </w:r>
      <w:r w:rsidRPr="00681907">
        <w:rPr>
          <w:lang w:val="en-US"/>
        </w:rPr>
        <w:t xml:space="preserve">An </w:t>
      </w:r>
      <w:r w:rsidR="00A47A5C" w:rsidRPr="00681907">
        <w:rPr>
          <w:lang w:val="en-US"/>
        </w:rPr>
        <w:t>AE</w:t>
      </w:r>
      <w:r w:rsidRPr="00681907">
        <w:rPr>
          <w:lang w:val="en-US"/>
        </w:rPr>
        <w:t xml:space="preserve"> is any untoward medical occurrence in a patient or clinical investigation subject after administration of an investigational drug. It does not necessarily have a causal relationship with the study treatment.</w:t>
      </w:r>
    </w:p>
    <w:p w14:paraId="1CBE8384" w14:textId="77777777" w:rsidR="001659EF" w:rsidRPr="00681907" w:rsidRDefault="001659EF" w:rsidP="00462589">
      <w:pPr>
        <w:keepNext/>
        <w:keepLines/>
        <w:spacing w:before="60" w:after="120" w:line="240" w:lineRule="auto"/>
        <w:jc w:val="both"/>
        <w:rPr>
          <w:lang w:val="en-US"/>
        </w:rPr>
      </w:pPr>
      <w:r w:rsidRPr="00681907">
        <w:rPr>
          <w:b/>
          <w:lang w:val="en-US"/>
        </w:rPr>
        <w:t>Allergic reaction:</w:t>
      </w:r>
      <w:r w:rsidRPr="00681907">
        <w:rPr>
          <w:lang w:val="en-US"/>
        </w:rPr>
        <w:t xml:space="preserve"> A disorder characterized by an adverse local or general response from exposure to an allergen. Worst stage 'anaphylaxis' is characterized by an acute inflammatory reaction resulting from the release of histamine and histamine-like substances from mast cells, causing a hypersensitivity immune response. Clinically, it presents with breathing difficulty, dizziness, hypotension, cyanosis and loss of consciousness and may lead to death.</w:t>
      </w:r>
    </w:p>
    <w:p w14:paraId="2BC482B7" w14:textId="46F80020" w:rsidR="004D3525" w:rsidRPr="005C13B2" w:rsidRDefault="004D3525">
      <w:pPr>
        <w:keepNext/>
        <w:keepLines/>
        <w:spacing w:before="60" w:after="120" w:line="240" w:lineRule="auto"/>
        <w:jc w:val="both"/>
        <w:rPr>
          <w:bCs/>
          <w:i/>
          <w:iCs/>
          <w:lang w:val="en-GB"/>
        </w:rPr>
      </w:pPr>
      <w:r>
        <w:rPr>
          <w:b/>
          <w:lang w:val="en-US"/>
        </w:rPr>
        <w:t>Arrhythmia:</w:t>
      </w:r>
      <w:r>
        <w:rPr>
          <w:bCs/>
          <w:lang w:val="en-US"/>
        </w:rPr>
        <w:t xml:space="preserve"> </w:t>
      </w:r>
      <w:r w:rsidR="004B708F" w:rsidRPr="004B708F">
        <w:rPr>
          <w:bCs/>
          <w:lang w:val="en-US"/>
        </w:rPr>
        <w:t>An arrhythmia is a</w:t>
      </w:r>
      <w:r w:rsidR="0089204E">
        <w:rPr>
          <w:bCs/>
          <w:lang w:val="en-US"/>
        </w:rPr>
        <w:t>n irregularity in</w:t>
      </w:r>
      <w:r w:rsidR="004B708F" w:rsidRPr="004B708F">
        <w:rPr>
          <w:bCs/>
          <w:lang w:val="en-US"/>
        </w:rPr>
        <w:t xml:space="preserve"> the rate or rhythm of </w:t>
      </w:r>
      <w:r w:rsidR="00A008F9">
        <w:rPr>
          <w:bCs/>
          <w:lang w:val="en-US"/>
        </w:rPr>
        <w:t>the</w:t>
      </w:r>
      <w:r w:rsidR="004B708F" w:rsidRPr="004B708F">
        <w:rPr>
          <w:bCs/>
          <w:lang w:val="en-US"/>
        </w:rPr>
        <w:t xml:space="preserve"> heartbeat. It means </w:t>
      </w:r>
      <w:r w:rsidR="0089204E">
        <w:rPr>
          <w:bCs/>
          <w:lang w:val="en-US"/>
        </w:rPr>
        <w:t>the</w:t>
      </w:r>
      <w:r w:rsidR="004B708F" w:rsidRPr="004B708F">
        <w:rPr>
          <w:bCs/>
          <w:lang w:val="en-US"/>
        </w:rPr>
        <w:t xml:space="preserve"> heart beats too quickly, too slowly, or with an irregular pattern</w:t>
      </w:r>
      <w:r w:rsidR="00872746">
        <w:rPr>
          <w:bCs/>
          <w:lang w:val="en-GB"/>
        </w:rPr>
        <w:t>. It is identified by an abnormal ECG, with or without accompanying signs and symptoms.</w:t>
      </w:r>
    </w:p>
    <w:p w14:paraId="0759220E" w14:textId="1CB01FE6" w:rsidR="001659EF" w:rsidRDefault="001659EF" w:rsidP="00462589">
      <w:pPr>
        <w:keepNext/>
        <w:keepLines/>
        <w:spacing w:before="60" w:after="120" w:line="240" w:lineRule="auto"/>
        <w:jc w:val="both"/>
        <w:rPr>
          <w:rFonts w:asciiTheme="minorHAnsi" w:hAnsiTheme="minorHAnsi"/>
          <w:lang w:val="en-US"/>
        </w:rPr>
      </w:pPr>
      <w:r w:rsidRPr="00681907">
        <w:rPr>
          <w:b/>
          <w:lang w:val="en-US"/>
        </w:rPr>
        <w:t xml:space="preserve">Clinical Advisory Committee (CAC): </w:t>
      </w:r>
      <w:r w:rsidRPr="00DE0C72">
        <w:rPr>
          <w:rFonts w:asciiTheme="minorHAnsi" w:hAnsiTheme="minorHAnsi"/>
          <w:highlight w:val="white"/>
          <w:lang w:val="en-US"/>
        </w:rPr>
        <w:t>The CAC is composed of both internal and external clinical experts representing various disciplines and specialties. It serves as an advisory body to endTB site investigators by providing consultation regarding subject eligibility, case management, medical monitoring, and permanent treatment discontinuation.</w:t>
      </w:r>
    </w:p>
    <w:p w14:paraId="365CDC84" w14:textId="18BB4EFA" w:rsidR="00051B32" w:rsidRPr="00681907" w:rsidRDefault="00051B32" w:rsidP="00462589">
      <w:pPr>
        <w:keepNext/>
        <w:keepLines/>
        <w:spacing w:before="60" w:after="120" w:line="240" w:lineRule="auto"/>
        <w:jc w:val="both"/>
        <w:rPr>
          <w:lang w:val="en-US"/>
        </w:rPr>
      </w:pPr>
      <w:r w:rsidRPr="00383212">
        <w:rPr>
          <w:b/>
          <w:lang w:val="en-US"/>
        </w:rPr>
        <w:t>D</w:t>
      </w:r>
      <w:r>
        <w:rPr>
          <w:b/>
          <w:lang w:val="en-US"/>
        </w:rPr>
        <w:t>eep venous thrombosis (D</w:t>
      </w:r>
      <w:r w:rsidRPr="00383212">
        <w:rPr>
          <w:b/>
          <w:lang w:val="en-US"/>
        </w:rPr>
        <w:t>VT</w:t>
      </w:r>
      <w:r>
        <w:rPr>
          <w:b/>
          <w:lang w:val="en-US"/>
        </w:rPr>
        <w:t>)</w:t>
      </w:r>
      <w:r w:rsidRPr="00383212">
        <w:rPr>
          <w:b/>
          <w:lang w:val="en-US"/>
        </w:rPr>
        <w:t>:</w:t>
      </w:r>
      <w:r>
        <w:rPr>
          <w:lang w:val="en-US"/>
        </w:rPr>
        <w:t xml:space="preserve"> A disorder characterized by acute or chronic thrombus (blood clot) formation in deep veins anywhere in the body.</w:t>
      </w:r>
    </w:p>
    <w:p w14:paraId="56EB823C" w14:textId="77777777" w:rsidR="001659EF" w:rsidRPr="00DE0C72" w:rsidRDefault="001659EF" w:rsidP="00F1254D">
      <w:pPr>
        <w:keepNext/>
        <w:keepLines/>
        <w:spacing w:before="60" w:after="120" w:line="240" w:lineRule="auto"/>
        <w:jc w:val="both"/>
        <w:rPr>
          <w:lang w:val="en-US"/>
        </w:rPr>
      </w:pPr>
      <w:r w:rsidRPr="00DE0C72">
        <w:rPr>
          <w:b/>
          <w:lang w:val="en-US"/>
        </w:rPr>
        <w:t>Hearing impairment:</w:t>
      </w:r>
      <w:r w:rsidRPr="00DE0C72">
        <w:rPr>
          <w:lang w:val="en-US"/>
        </w:rPr>
        <w:t xml:space="preserve"> Hearing impairment is a disorder characterized by partial or complete loss of the ability to detect or understand sounds resulting from damage to ear structures.</w:t>
      </w:r>
    </w:p>
    <w:p w14:paraId="6F3503B9" w14:textId="14E27D39" w:rsidR="001659EF" w:rsidRPr="00DE0C72" w:rsidRDefault="001659EF">
      <w:pPr>
        <w:keepNext/>
        <w:keepLines/>
        <w:spacing w:before="60" w:after="120" w:line="240" w:lineRule="auto"/>
        <w:jc w:val="both"/>
        <w:rPr>
          <w:lang w:val="en-US"/>
        </w:rPr>
      </w:pPr>
      <w:r w:rsidRPr="00DE0C72">
        <w:rPr>
          <w:b/>
          <w:lang w:val="en-US"/>
        </w:rPr>
        <w:t xml:space="preserve">Hepatitis: </w:t>
      </w:r>
      <w:r w:rsidRPr="00DE0C72">
        <w:rPr>
          <w:lang w:val="en-US"/>
        </w:rPr>
        <w:t xml:space="preserve">Hepatitis is characterized by the elevation of liver function </w:t>
      </w:r>
      <w:r w:rsidRPr="00311EEC">
        <w:rPr>
          <w:lang w:val="en-US"/>
        </w:rPr>
        <w:t>tests</w:t>
      </w:r>
      <w:r w:rsidRPr="00DE0C72">
        <w:rPr>
          <w:lang w:val="en-US"/>
        </w:rPr>
        <w:t>, with or without accompanying signs and symptoms of hepatic impairment.</w:t>
      </w:r>
    </w:p>
    <w:p w14:paraId="305971AD" w14:textId="77777777" w:rsidR="001659EF" w:rsidRPr="00DE0C72" w:rsidRDefault="001659EF">
      <w:pPr>
        <w:keepNext/>
        <w:keepLines/>
        <w:spacing w:before="60" w:after="120" w:line="240" w:lineRule="auto"/>
        <w:jc w:val="both"/>
        <w:rPr>
          <w:lang w:val="en-US"/>
        </w:rPr>
      </w:pPr>
      <w:r w:rsidRPr="00DE0C72">
        <w:rPr>
          <w:b/>
          <w:lang w:val="en-US"/>
        </w:rPr>
        <w:t>Hypocalcemia:</w:t>
      </w:r>
      <w:r w:rsidRPr="00DE0C72">
        <w:rPr>
          <w:lang w:val="en-US"/>
        </w:rPr>
        <w:t xml:space="preserve"> A disorder characterized by laboratory test results that indicate a low concentration of calcium (corrected for albumin) in the blood.</w:t>
      </w:r>
    </w:p>
    <w:p w14:paraId="19064C0E" w14:textId="20A111A3" w:rsidR="001659EF" w:rsidRPr="00DE0C72" w:rsidRDefault="001659EF">
      <w:pPr>
        <w:keepNext/>
        <w:keepLines/>
        <w:spacing w:before="60" w:after="120" w:line="240" w:lineRule="auto"/>
        <w:jc w:val="both"/>
        <w:rPr>
          <w:lang w:val="en-US"/>
        </w:rPr>
      </w:pPr>
      <w:r w:rsidRPr="00DE0C72">
        <w:rPr>
          <w:b/>
          <w:lang w:val="en-US"/>
        </w:rPr>
        <w:t>Hypokalemia:</w:t>
      </w:r>
      <w:r w:rsidRPr="00DE0C72">
        <w:rPr>
          <w:lang w:val="en-US"/>
        </w:rPr>
        <w:t xml:space="preserve"> Hypokalemia is defined by blood </w:t>
      </w:r>
      <w:r w:rsidR="00897E4D" w:rsidRPr="00DE0C72">
        <w:rPr>
          <w:lang w:val="en-US"/>
        </w:rPr>
        <w:t>p</w:t>
      </w:r>
      <w:r w:rsidRPr="00DE0C72">
        <w:rPr>
          <w:lang w:val="en-US"/>
        </w:rPr>
        <w:t>otassium levels below 3.4 mEq/L, with or without accompanying signs and symptoms.</w:t>
      </w:r>
    </w:p>
    <w:p w14:paraId="13576F2E" w14:textId="77777777" w:rsidR="00897E4D" w:rsidRPr="00DE0C72" w:rsidRDefault="006C35F2">
      <w:pPr>
        <w:keepNext/>
        <w:keepLines/>
        <w:spacing w:before="60" w:after="120" w:line="240" w:lineRule="auto"/>
        <w:jc w:val="both"/>
        <w:rPr>
          <w:lang w:val="en-US"/>
        </w:rPr>
      </w:pPr>
      <w:r w:rsidRPr="00DE0C72">
        <w:rPr>
          <w:b/>
          <w:lang w:val="en-US"/>
        </w:rPr>
        <w:t>Hypomagnesemia</w:t>
      </w:r>
      <w:r w:rsidRPr="00DE0C72">
        <w:rPr>
          <w:lang w:val="en-US"/>
        </w:rPr>
        <w:t xml:space="preserve">: </w:t>
      </w:r>
      <w:r w:rsidR="005C059E" w:rsidRPr="00DE0C72">
        <w:rPr>
          <w:lang w:val="en-US"/>
        </w:rPr>
        <w:t>A disorder characterized by laboratory test results that indicate a low concentration of magnesium in the blood.</w:t>
      </w:r>
    </w:p>
    <w:p w14:paraId="62B77FAF" w14:textId="5739F161" w:rsidR="001659EF" w:rsidRDefault="001659EF">
      <w:pPr>
        <w:keepNext/>
        <w:keepLines/>
        <w:spacing w:before="60" w:after="120" w:line="240" w:lineRule="auto"/>
        <w:jc w:val="both"/>
        <w:rPr>
          <w:lang w:val="en-US"/>
        </w:rPr>
      </w:pPr>
      <w:r w:rsidRPr="00DE0C72">
        <w:rPr>
          <w:b/>
          <w:lang w:val="en-US"/>
        </w:rPr>
        <w:t>Hypothyroidism</w:t>
      </w:r>
      <w:r w:rsidRPr="00DE0C72">
        <w:rPr>
          <w:lang w:val="en-US"/>
        </w:rPr>
        <w:t xml:space="preserve">: Hypothyroidism is diagnosed by the presence of </w:t>
      </w:r>
      <w:r w:rsidRPr="00681907">
        <w:rPr>
          <w:lang w:val="en-US"/>
        </w:rPr>
        <w:t>signs or symptoms associated with the deficit of thyroid hormones, or by serum level of TSH greater than 10.0 mU/L.</w:t>
      </w:r>
    </w:p>
    <w:p w14:paraId="64EE0415" w14:textId="4E31AFB0" w:rsidR="001D51C7" w:rsidRPr="00DE0C72" w:rsidRDefault="001D51C7">
      <w:pPr>
        <w:keepNext/>
        <w:keepLines/>
        <w:spacing w:before="60" w:after="120" w:line="240" w:lineRule="auto"/>
        <w:jc w:val="both"/>
        <w:rPr>
          <w:lang w:val="en-US"/>
        </w:rPr>
      </w:pPr>
      <w:r w:rsidRPr="00383212">
        <w:rPr>
          <w:b/>
          <w:lang w:val="en-US"/>
        </w:rPr>
        <w:t>International normalized ratio (INR):</w:t>
      </w:r>
      <w:r>
        <w:rPr>
          <w:lang w:val="en-US"/>
        </w:rPr>
        <w:t xml:space="preserve"> A measure of blood coagulation potential (specifically, the extrinsic pathway of coagulation) used to titrate dosing of warfarin.</w:t>
      </w:r>
    </w:p>
    <w:p w14:paraId="0AA7D9D5" w14:textId="5130398E" w:rsidR="001659EF" w:rsidRPr="00681907" w:rsidRDefault="001659EF">
      <w:pPr>
        <w:keepNext/>
        <w:keepLines/>
        <w:spacing w:before="60" w:after="120" w:line="240" w:lineRule="auto"/>
        <w:jc w:val="both"/>
        <w:rPr>
          <w:lang w:val="en-US"/>
        </w:rPr>
      </w:pPr>
      <w:r w:rsidRPr="00681907">
        <w:rPr>
          <w:b/>
          <w:lang w:val="en-US"/>
        </w:rPr>
        <w:t>Myelosuppression:</w:t>
      </w:r>
      <w:r w:rsidRPr="00681907">
        <w:rPr>
          <w:lang w:val="en-US"/>
        </w:rPr>
        <w:t xml:space="preserve">  Myelosuppression is</w:t>
      </w:r>
      <w:r w:rsidR="00897E4D" w:rsidRPr="00681907">
        <w:rPr>
          <w:lang w:val="en-US"/>
        </w:rPr>
        <w:t xml:space="preserve"> </w:t>
      </w:r>
      <w:r w:rsidRPr="00681907">
        <w:rPr>
          <w:lang w:val="en-US"/>
        </w:rPr>
        <w:t>defined by any of the following: anemia,</w:t>
      </w:r>
      <w:r w:rsidRPr="00DE0C72">
        <w:rPr>
          <w:lang w:val="en-US"/>
        </w:rPr>
        <w:t xml:space="preserve"> thrombocytopenia, </w:t>
      </w:r>
      <w:r w:rsidR="00897E4D" w:rsidRPr="00DE0C72">
        <w:rPr>
          <w:lang w:val="en-US"/>
        </w:rPr>
        <w:t>or</w:t>
      </w:r>
      <w:r w:rsidRPr="00681907">
        <w:rPr>
          <w:lang w:val="en-US"/>
        </w:rPr>
        <w:t xml:space="preserve"> neutropenia.</w:t>
      </w:r>
    </w:p>
    <w:p w14:paraId="51D2E3D5" w14:textId="59C66606" w:rsidR="001659EF" w:rsidRDefault="001659EF">
      <w:pPr>
        <w:keepNext/>
        <w:keepLines/>
        <w:spacing w:before="60" w:after="120" w:line="240" w:lineRule="auto"/>
        <w:jc w:val="both"/>
        <w:rPr>
          <w:lang w:val="en-US"/>
        </w:rPr>
      </w:pPr>
      <w:r w:rsidRPr="00681907">
        <w:rPr>
          <w:b/>
          <w:lang w:val="en-US"/>
        </w:rPr>
        <w:t>Optic neuritis</w:t>
      </w:r>
      <w:r w:rsidRPr="00681907">
        <w:rPr>
          <w:lang w:val="en-US"/>
        </w:rPr>
        <w:t>: Optic neuritis defines the inflammation of the optic nerve eventually resulting in permanent vision loss.</w:t>
      </w:r>
    </w:p>
    <w:p w14:paraId="2B44DB5C" w14:textId="5EF09C23" w:rsidR="00BF7534" w:rsidRPr="00681907" w:rsidRDefault="00BF7534">
      <w:pPr>
        <w:keepNext/>
        <w:keepLines/>
        <w:spacing w:before="60" w:after="120" w:line="240" w:lineRule="auto"/>
        <w:jc w:val="both"/>
        <w:rPr>
          <w:lang w:val="en-US"/>
        </w:rPr>
      </w:pPr>
      <w:r w:rsidRPr="00383212">
        <w:rPr>
          <w:b/>
          <w:lang w:val="en-US"/>
        </w:rPr>
        <w:t>Partial thromboplastin time (PTT):</w:t>
      </w:r>
      <w:r>
        <w:rPr>
          <w:lang w:val="en-US"/>
        </w:rPr>
        <w:t xml:space="preserve"> A measure of blood coagulation potential (specifically, the intrinsic pathway of coagulation) used to titrate dosing of heparin IV drip.</w:t>
      </w:r>
    </w:p>
    <w:p w14:paraId="10F4159D" w14:textId="0E7AC562" w:rsidR="00520B63" w:rsidRDefault="00A07997">
      <w:pPr>
        <w:keepNext/>
        <w:keepLines/>
        <w:spacing w:before="60" w:after="120" w:line="240" w:lineRule="auto"/>
        <w:jc w:val="both"/>
        <w:rPr>
          <w:lang w:val="en-US"/>
        </w:rPr>
      </w:pPr>
      <w:r w:rsidRPr="00681907">
        <w:rPr>
          <w:b/>
          <w:lang w:val="en-US"/>
        </w:rPr>
        <w:lastRenderedPageBreak/>
        <w:t>Peripheral neuropathy</w:t>
      </w:r>
      <w:r w:rsidR="0041044C" w:rsidRPr="00681907">
        <w:rPr>
          <w:b/>
          <w:lang w:val="en-US"/>
        </w:rPr>
        <w:t>:</w:t>
      </w:r>
      <w:r w:rsidR="00520B63" w:rsidRPr="00681907">
        <w:rPr>
          <w:lang w:val="en-US"/>
        </w:rPr>
        <w:t xml:space="preserve"> </w:t>
      </w:r>
      <w:r w:rsidR="00FE3800" w:rsidRPr="00681907">
        <w:rPr>
          <w:lang w:val="en-US"/>
        </w:rPr>
        <w:t>Peripheral neuropathy defines</w:t>
      </w:r>
      <w:r w:rsidR="00E72B05" w:rsidRPr="00681907">
        <w:rPr>
          <w:lang w:val="en-US"/>
        </w:rPr>
        <w:t xml:space="preserve"> the</w:t>
      </w:r>
      <w:r w:rsidR="00FE3800" w:rsidRPr="00681907">
        <w:rPr>
          <w:lang w:val="en-US"/>
        </w:rPr>
        <w:t xml:space="preserve"> impairment</w:t>
      </w:r>
      <w:r w:rsidR="00E72B05" w:rsidRPr="00DE0C72">
        <w:rPr>
          <w:lang w:val="en-US"/>
        </w:rPr>
        <w:t xml:space="preserve"> </w:t>
      </w:r>
      <w:r w:rsidR="00FE3800" w:rsidRPr="00681907">
        <w:rPr>
          <w:lang w:val="en-US"/>
        </w:rPr>
        <w:t>of</w:t>
      </w:r>
      <w:r w:rsidR="00E72B05" w:rsidRPr="00681907">
        <w:rPr>
          <w:lang w:val="en-US"/>
        </w:rPr>
        <w:t xml:space="preserve"> the nerves of the peripheral nervous system.</w:t>
      </w:r>
    </w:p>
    <w:p w14:paraId="32EC31EB" w14:textId="1FD9188F" w:rsidR="00BF7534" w:rsidRPr="00681907" w:rsidRDefault="00BF7534">
      <w:pPr>
        <w:keepNext/>
        <w:keepLines/>
        <w:spacing w:before="60" w:after="120" w:line="240" w:lineRule="auto"/>
        <w:jc w:val="both"/>
        <w:rPr>
          <w:lang w:val="en-US"/>
        </w:rPr>
      </w:pPr>
      <w:r w:rsidRPr="00383212">
        <w:rPr>
          <w:b/>
          <w:lang w:val="en-US"/>
        </w:rPr>
        <w:t>Pulmonary embolism (PE):</w:t>
      </w:r>
      <w:r>
        <w:rPr>
          <w:lang w:val="en-US"/>
        </w:rPr>
        <w:t xml:space="preserve"> A disorder characterized by embolization of thrombus (blood clot) from the right heart circulation into either or both pulmonary arteries, potentially leading to distal pulmonary infarction, acute hypoxia, right heart failure, arrhythmia, or sudden death.</w:t>
      </w:r>
    </w:p>
    <w:p w14:paraId="57B3FB40" w14:textId="5A938FEC" w:rsidR="001659EF" w:rsidRPr="00681907" w:rsidRDefault="009F5067">
      <w:pPr>
        <w:keepNext/>
        <w:keepLines/>
        <w:spacing w:before="60" w:after="120" w:line="240" w:lineRule="auto"/>
        <w:jc w:val="both"/>
        <w:rPr>
          <w:b/>
          <w:lang w:val="en-US"/>
        </w:rPr>
      </w:pPr>
      <w:r w:rsidRPr="00681907">
        <w:rPr>
          <w:b/>
          <w:lang w:val="en-US"/>
        </w:rPr>
        <w:t>QT interval prolongation:</w:t>
      </w:r>
      <w:r w:rsidR="00084AE2" w:rsidRPr="00681907">
        <w:rPr>
          <w:lang w:val="en-US"/>
        </w:rPr>
        <w:t xml:space="preserve"> QT interval prolongation is</w:t>
      </w:r>
      <w:r w:rsidR="00CE436E" w:rsidRPr="00681907">
        <w:rPr>
          <w:lang w:val="en-US"/>
        </w:rPr>
        <w:t xml:space="preserve"> </w:t>
      </w:r>
      <w:r w:rsidR="00084AE2" w:rsidRPr="00681907">
        <w:rPr>
          <w:lang w:val="en-US"/>
        </w:rPr>
        <w:t xml:space="preserve">defined by increased values of the </w:t>
      </w:r>
      <w:r w:rsidR="00FE3800" w:rsidRPr="00681907">
        <w:rPr>
          <w:lang w:val="en-US"/>
        </w:rPr>
        <w:t xml:space="preserve">corrected </w:t>
      </w:r>
      <w:r w:rsidR="00084AE2" w:rsidRPr="00681907">
        <w:rPr>
          <w:lang w:val="en-US"/>
        </w:rPr>
        <w:t>QT interval</w:t>
      </w:r>
      <w:r w:rsidR="00FE3800" w:rsidRPr="00681907">
        <w:rPr>
          <w:lang w:val="en-US"/>
        </w:rPr>
        <w:t>.</w:t>
      </w:r>
      <w:r w:rsidR="00084AE2" w:rsidRPr="00681907">
        <w:rPr>
          <w:lang w:val="en-US"/>
        </w:rPr>
        <w:t xml:space="preserve"> </w:t>
      </w:r>
      <w:r w:rsidR="00FE3800" w:rsidRPr="00681907">
        <w:rPr>
          <w:lang w:val="en-US"/>
        </w:rPr>
        <w:t xml:space="preserve">QT interval is corrected </w:t>
      </w:r>
      <w:r w:rsidR="00084AE2" w:rsidRPr="00681907">
        <w:rPr>
          <w:lang w:val="en-US"/>
        </w:rPr>
        <w:t>according t</w:t>
      </w:r>
      <w:r w:rsidR="00FE3800" w:rsidRPr="00681907">
        <w:rPr>
          <w:lang w:val="en-US"/>
        </w:rPr>
        <w:t>o the Fridericia formula.</w:t>
      </w:r>
      <w:r w:rsidR="001659EF" w:rsidRPr="00681907">
        <w:rPr>
          <w:b/>
          <w:lang w:val="en-US"/>
        </w:rPr>
        <w:t xml:space="preserve"> </w:t>
      </w:r>
    </w:p>
    <w:p w14:paraId="22553FE5" w14:textId="0139F890" w:rsidR="00A86474" w:rsidRDefault="001659EF">
      <w:pPr>
        <w:keepNext/>
        <w:keepLines/>
        <w:spacing w:before="60" w:after="120" w:line="240" w:lineRule="auto"/>
        <w:jc w:val="both"/>
        <w:rPr>
          <w:lang w:val="en-US"/>
        </w:rPr>
      </w:pPr>
      <w:r w:rsidRPr="00681907">
        <w:rPr>
          <w:b/>
          <w:lang w:val="en-US"/>
        </w:rPr>
        <w:t xml:space="preserve">Severity of AE: </w:t>
      </w:r>
      <w:r w:rsidRPr="00681907">
        <w:rPr>
          <w:lang w:val="en-US"/>
        </w:rPr>
        <w:t xml:space="preserve">The severity of any AE is classified from Grade 1 (mild) to Grade 4 (life-threatening) according to MSF severity </w:t>
      </w:r>
      <w:r w:rsidR="009662C5">
        <w:rPr>
          <w:lang w:val="en-US"/>
        </w:rPr>
        <w:t xml:space="preserve">grading </w:t>
      </w:r>
      <w:r w:rsidRPr="00681907">
        <w:rPr>
          <w:lang w:val="en-US"/>
        </w:rPr>
        <w:t>scale.</w:t>
      </w:r>
    </w:p>
    <w:p w14:paraId="39526D96" w14:textId="77777777" w:rsidR="00A05405" w:rsidRDefault="00A05405">
      <w:pPr>
        <w:keepNext/>
        <w:keepLines/>
        <w:spacing w:before="60" w:after="120" w:line="240" w:lineRule="auto"/>
        <w:jc w:val="both"/>
        <w:rPr>
          <w:b/>
          <w:sz w:val="24"/>
          <w:szCs w:val="36"/>
          <w:lang w:val="en-US"/>
        </w:rPr>
      </w:pPr>
    </w:p>
    <w:p w14:paraId="2C4E77AD" w14:textId="7DC39F14" w:rsidR="0076142D" w:rsidRPr="00681907" w:rsidRDefault="00396643" w:rsidP="00462589">
      <w:pPr>
        <w:pStyle w:val="Heading2"/>
        <w:spacing w:before="0" w:after="120" w:line="240" w:lineRule="auto"/>
        <w:jc w:val="both"/>
        <w:rPr>
          <w:lang w:val="en-US"/>
        </w:rPr>
      </w:pPr>
      <w:bookmarkStart w:id="7" w:name="_Toc166238340"/>
      <w:r w:rsidRPr="00681907">
        <w:rPr>
          <w:lang w:val="en-US"/>
        </w:rPr>
        <w:t>PROCEDURE</w:t>
      </w:r>
      <w:bookmarkEnd w:id="7"/>
    </w:p>
    <w:p w14:paraId="5951F566" w14:textId="54BAB9B3" w:rsidR="0076142D" w:rsidRPr="00681907" w:rsidRDefault="00A47A5C" w:rsidP="00462589">
      <w:pPr>
        <w:pStyle w:val="Heading3"/>
        <w:spacing w:after="120" w:line="240" w:lineRule="auto"/>
        <w:jc w:val="both"/>
        <w:rPr>
          <w:lang w:val="en-US"/>
        </w:rPr>
      </w:pPr>
      <w:bookmarkStart w:id="8" w:name="_Toc166238341"/>
      <w:r w:rsidRPr="00681907">
        <w:rPr>
          <w:lang w:val="en-US"/>
        </w:rPr>
        <w:t>AE diagnosis and severity assessment</w:t>
      </w:r>
      <w:bookmarkEnd w:id="8"/>
    </w:p>
    <w:p w14:paraId="2C20F3AC" w14:textId="55181D3B" w:rsidR="00A47A5C" w:rsidRPr="00681907" w:rsidRDefault="006643F7" w:rsidP="00462589">
      <w:pPr>
        <w:keepNext/>
        <w:keepLines/>
        <w:spacing w:after="120" w:line="240" w:lineRule="auto"/>
        <w:jc w:val="both"/>
        <w:rPr>
          <w:lang w:val="en-US"/>
        </w:rPr>
      </w:pPr>
      <w:r>
        <w:rPr>
          <w:lang w:val="en-US"/>
        </w:rPr>
        <w:t>S</w:t>
      </w:r>
      <w:r w:rsidR="000239C3" w:rsidRPr="00DE0C72">
        <w:rPr>
          <w:lang w:val="en-US"/>
        </w:rPr>
        <w:t>ite</w:t>
      </w:r>
      <w:r w:rsidR="00ED12D6">
        <w:rPr>
          <w:lang w:val="en-US"/>
        </w:rPr>
        <w:t xml:space="preserve"> </w:t>
      </w:r>
      <w:r w:rsidR="00767869">
        <w:rPr>
          <w:lang w:val="en-US"/>
        </w:rPr>
        <w:t xml:space="preserve">PI </w:t>
      </w:r>
      <w:r>
        <w:rPr>
          <w:lang w:val="en-US"/>
        </w:rPr>
        <w:t>or Site</w:t>
      </w:r>
      <w:r w:rsidR="00ED12D6">
        <w:rPr>
          <w:lang w:val="en-US"/>
        </w:rPr>
        <w:t xml:space="preserve"> </w:t>
      </w:r>
      <w:r w:rsidR="00767869">
        <w:rPr>
          <w:lang w:val="en-US"/>
        </w:rPr>
        <w:t>CI</w:t>
      </w:r>
      <w:r w:rsidR="00E31B9D" w:rsidRPr="00681907">
        <w:rPr>
          <w:lang w:val="en-US"/>
        </w:rPr>
        <w:t xml:space="preserve">, according to </w:t>
      </w:r>
      <w:r w:rsidR="000239C3" w:rsidRPr="00681907">
        <w:rPr>
          <w:lang w:val="en-US"/>
        </w:rPr>
        <w:t>their</w:t>
      </w:r>
      <w:r w:rsidR="00E31B9D" w:rsidRPr="00681907">
        <w:rPr>
          <w:lang w:val="en-US"/>
        </w:rPr>
        <w:t xml:space="preserve"> clinical judgement</w:t>
      </w:r>
      <w:r w:rsidR="00441102" w:rsidRPr="00681907">
        <w:rPr>
          <w:lang w:val="en-US"/>
        </w:rPr>
        <w:t>, test results</w:t>
      </w:r>
      <w:r w:rsidR="000239C3" w:rsidRPr="00681907">
        <w:rPr>
          <w:lang w:val="en-US"/>
        </w:rPr>
        <w:t>,</w:t>
      </w:r>
      <w:r w:rsidR="00E31B9D" w:rsidRPr="00681907">
        <w:rPr>
          <w:lang w:val="en-US"/>
        </w:rPr>
        <w:t xml:space="preserve"> and available guidance (see </w:t>
      </w:r>
      <w:r w:rsidR="009662C5">
        <w:rPr>
          <w:lang w:val="en-US"/>
        </w:rPr>
        <w:t>Supporting Documents</w:t>
      </w:r>
      <w:r w:rsidR="00E31B9D" w:rsidRPr="00681907">
        <w:rPr>
          <w:lang w:val="en-US"/>
        </w:rPr>
        <w:t>)</w:t>
      </w:r>
      <w:r w:rsidR="00591CE4" w:rsidRPr="00681907">
        <w:rPr>
          <w:lang w:val="en-US"/>
        </w:rPr>
        <w:t>:</w:t>
      </w:r>
    </w:p>
    <w:p w14:paraId="384023D2" w14:textId="682A651D" w:rsidR="0076142D" w:rsidRPr="00681907" w:rsidRDefault="00E31B9D" w:rsidP="00F1254D">
      <w:pPr>
        <w:pStyle w:val="ListParagraph"/>
        <w:keepNext/>
        <w:keepLines/>
        <w:numPr>
          <w:ilvl w:val="0"/>
          <w:numId w:val="1"/>
        </w:numPr>
        <w:jc w:val="both"/>
        <w:rPr>
          <w:lang w:val="en-US"/>
        </w:rPr>
      </w:pPr>
      <w:r w:rsidRPr="00681907">
        <w:rPr>
          <w:lang w:val="en-US"/>
        </w:rPr>
        <w:t>Establishes the diagnosis of a specific AE</w:t>
      </w:r>
      <w:r w:rsidR="00591CE4" w:rsidRPr="00681907">
        <w:rPr>
          <w:lang w:val="en-US"/>
        </w:rPr>
        <w:t>;</w:t>
      </w:r>
    </w:p>
    <w:p w14:paraId="121F7C4A" w14:textId="444B79AB" w:rsidR="000F2FF9" w:rsidRPr="006A7800" w:rsidRDefault="00E31B9D">
      <w:pPr>
        <w:pStyle w:val="ListParagraph"/>
        <w:keepNext/>
        <w:keepLines/>
        <w:numPr>
          <w:ilvl w:val="0"/>
          <w:numId w:val="1"/>
        </w:numPr>
        <w:jc w:val="both"/>
        <w:rPr>
          <w:lang w:val="en-US"/>
        </w:rPr>
      </w:pPr>
      <w:r w:rsidRPr="006A7800">
        <w:rPr>
          <w:lang w:val="en-US"/>
        </w:rPr>
        <w:t>Defines the severity of the AE</w:t>
      </w:r>
      <w:r w:rsidR="00441102" w:rsidRPr="00720DEE">
        <w:rPr>
          <w:lang w:val="en-US"/>
        </w:rPr>
        <w:t xml:space="preserve"> </w:t>
      </w:r>
      <w:r w:rsidR="006A7800" w:rsidRPr="00720DEE">
        <w:rPr>
          <w:lang w:val="en-US"/>
        </w:rPr>
        <w:t xml:space="preserve">as described in </w:t>
      </w:r>
      <w:r w:rsidR="00470CF1">
        <w:rPr>
          <w:lang w:val="en-US"/>
        </w:rPr>
        <w:t xml:space="preserve">the </w:t>
      </w:r>
      <w:r w:rsidR="006A7800" w:rsidRPr="00720DEE">
        <w:rPr>
          <w:lang w:val="en-US"/>
        </w:rPr>
        <w:t xml:space="preserve">SOP PV-001-CT Safety data collection and reporting at trial </w:t>
      </w:r>
    </w:p>
    <w:p w14:paraId="47DF8EE3" w14:textId="4B5E9021" w:rsidR="00A47A5C" w:rsidRPr="00681907" w:rsidRDefault="00A47A5C" w:rsidP="00462589">
      <w:pPr>
        <w:pStyle w:val="Heading3"/>
        <w:spacing w:after="120" w:line="240" w:lineRule="auto"/>
        <w:contextualSpacing w:val="0"/>
        <w:jc w:val="both"/>
        <w:rPr>
          <w:lang w:val="en-US"/>
        </w:rPr>
      </w:pPr>
      <w:bookmarkStart w:id="9" w:name="_Toc166238342"/>
      <w:r w:rsidRPr="00681907">
        <w:rPr>
          <w:lang w:val="en-US"/>
        </w:rPr>
        <w:t>Management of the specific AE</w:t>
      </w:r>
      <w:bookmarkEnd w:id="9"/>
    </w:p>
    <w:p w14:paraId="776E6B7E" w14:textId="13962227" w:rsidR="00641FFF" w:rsidRPr="00681907" w:rsidRDefault="00641FFF" w:rsidP="00462589">
      <w:pPr>
        <w:keepNext/>
        <w:keepLines/>
        <w:spacing w:after="120" w:line="240" w:lineRule="auto"/>
        <w:contextualSpacing/>
        <w:jc w:val="both"/>
        <w:rPr>
          <w:lang w:val="en-US"/>
        </w:rPr>
      </w:pPr>
      <w:r w:rsidRPr="00681907">
        <w:rPr>
          <w:lang w:val="en-US"/>
        </w:rPr>
        <w:t xml:space="preserve">Material: </w:t>
      </w:r>
    </w:p>
    <w:p w14:paraId="6B089CA0" w14:textId="1B82A318" w:rsidR="00641FFF" w:rsidRPr="00DE0C72" w:rsidRDefault="00641FFF" w:rsidP="00227A9F">
      <w:pPr>
        <w:pStyle w:val="ListParagraph"/>
        <w:keepNext/>
        <w:keepLines/>
        <w:numPr>
          <w:ilvl w:val="0"/>
          <w:numId w:val="19"/>
        </w:numPr>
        <w:spacing w:after="120"/>
        <w:jc w:val="both"/>
        <w:rPr>
          <w:rFonts w:asciiTheme="minorHAnsi" w:hAnsiTheme="minorHAnsi"/>
          <w:lang w:val="en-US"/>
        </w:rPr>
      </w:pPr>
      <w:r w:rsidRPr="00DE0C72">
        <w:rPr>
          <w:rFonts w:asciiTheme="minorHAnsi" w:hAnsiTheme="minorHAnsi"/>
          <w:lang w:val="en-US"/>
        </w:rPr>
        <w:t>Source document</w:t>
      </w:r>
      <w:r w:rsidR="00FA4B89">
        <w:rPr>
          <w:rFonts w:asciiTheme="minorHAnsi" w:hAnsiTheme="minorHAnsi"/>
          <w:lang w:val="en-US"/>
        </w:rPr>
        <w:t xml:space="preserve">s (including any AE log/worksheet </w:t>
      </w:r>
      <w:r w:rsidR="00CB302D">
        <w:rPr>
          <w:rFonts w:asciiTheme="minorHAnsi" w:hAnsiTheme="minorHAnsi"/>
          <w:lang w:val="en-US"/>
        </w:rPr>
        <w:t>used at</w:t>
      </w:r>
      <w:r w:rsidR="00FA4B89">
        <w:rPr>
          <w:rFonts w:asciiTheme="minorHAnsi" w:hAnsiTheme="minorHAnsi"/>
          <w:lang w:val="en-US"/>
        </w:rPr>
        <w:t xml:space="preserve"> site</w:t>
      </w:r>
      <w:r w:rsidR="00CB302D">
        <w:rPr>
          <w:rFonts w:asciiTheme="minorHAnsi" w:hAnsiTheme="minorHAnsi"/>
          <w:lang w:val="en-US"/>
        </w:rPr>
        <w:t xml:space="preserve"> level</w:t>
      </w:r>
      <w:r w:rsidR="00FA4B89">
        <w:rPr>
          <w:rFonts w:asciiTheme="minorHAnsi" w:hAnsiTheme="minorHAnsi"/>
          <w:lang w:val="en-US"/>
        </w:rPr>
        <w:t>)</w:t>
      </w:r>
    </w:p>
    <w:p w14:paraId="01F630DC" w14:textId="08B74448" w:rsidR="00641FFF" w:rsidRPr="00DE0C72" w:rsidRDefault="00641FFF" w:rsidP="00227A9F">
      <w:pPr>
        <w:pStyle w:val="ListParagraph"/>
        <w:keepNext/>
        <w:keepLines/>
        <w:numPr>
          <w:ilvl w:val="0"/>
          <w:numId w:val="19"/>
        </w:numPr>
        <w:spacing w:after="120"/>
        <w:jc w:val="both"/>
        <w:rPr>
          <w:rFonts w:asciiTheme="minorHAnsi" w:hAnsiTheme="minorHAnsi"/>
          <w:lang w:val="en-US"/>
        </w:rPr>
      </w:pPr>
      <w:r w:rsidRPr="00DE0C72">
        <w:rPr>
          <w:rFonts w:asciiTheme="minorHAnsi" w:hAnsiTheme="minorHAnsi"/>
          <w:lang w:val="en-US"/>
        </w:rPr>
        <w:t xml:space="preserve">MSF </w:t>
      </w:r>
      <w:r w:rsidR="00897E4D" w:rsidRPr="00DE0C72">
        <w:rPr>
          <w:rFonts w:asciiTheme="minorHAnsi" w:hAnsiTheme="minorHAnsi"/>
          <w:lang w:val="en-US"/>
        </w:rPr>
        <w:t>s</w:t>
      </w:r>
      <w:r w:rsidRPr="00DE0C72">
        <w:rPr>
          <w:rFonts w:asciiTheme="minorHAnsi" w:hAnsiTheme="minorHAnsi"/>
          <w:lang w:val="en-US"/>
        </w:rPr>
        <w:t xml:space="preserve">everity </w:t>
      </w:r>
      <w:r w:rsidR="009662C5">
        <w:rPr>
          <w:rFonts w:asciiTheme="minorHAnsi" w:hAnsiTheme="minorHAnsi"/>
          <w:lang w:val="en-US"/>
        </w:rPr>
        <w:t xml:space="preserve">grading </w:t>
      </w:r>
      <w:r w:rsidRPr="00DE0C72">
        <w:rPr>
          <w:rFonts w:asciiTheme="minorHAnsi" w:hAnsiTheme="minorHAnsi"/>
          <w:lang w:val="en-US"/>
        </w:rPr>
        <w:t>scale</w:t>
      </w:r>
    </w:p>
    <w:p w14:paraId="446D9ED6" w14:textId="5B0BA0DB" w:rsidR="00641FFF" w:rsidRPr="00DE0C72" w:rsidRDefault="00CB302D" w:rsidP="00227A9F">
      <w:pPr>
        <w:pStyle w:val="ListParagraph"/>
        <w:keepNext/>
        <w:keepLines/>
        <w:numPr>
          <w:ilvl w:val="0"/>
          <w:numId w:val="19"/>
        </w:numPr>
        <w:spacing w:after="120"/>
        <w:jc w:val="both"/>
        <w:rPr>
          <w:rFonts w:asciiTheme="minorHAnsi" w:hAnsiTheme="minorHAnsi"/>
          <w:lang w:val="en-US"/>
        </w:rPr>
      </w:pPr>
      <w:r>
        <w:rPr>
          <w:rFonts w:asciiTheme="minorHAnsi" w:hAnsiTheme="minorHAnsi"/>
          <w:lang w:val="en-US"/>
        </w:rPr>
        <w:t>Case report form</w:t>
      </w:r>
    </w:p>
    <w:p w14:paraId="18891A2F" w14:textId="5C6592CB" w:rsidR="00A97C80" w:rsidRDefault="00525ECE" w:rsidP="00227A9F">
      <w:pPr>
        <w:pStyle w:val="ListParagraph"/>
        <w:keepNext/>
        <w:keepLines/>
        <w:numPr>
          <w:ilvl w:val="0"/>
          <w:numId w:val="19"/>
        </w:numPr>
        <w:spacing w:after="120"/>
        <w:jc w:val="both"/>
        <w:rPr>
          <w:rFonts w:asciiTheme="minorHAnsi" w:hAnsiTheme="minorHAnsi"/>
          <w:lang w:val="en-US"/>
        </w:rPr>
      </w:pPr>
      <w:r w:rsidRPr="00DE0C72">
        <w:rPr>
          <w:rFonts w:asciiTheme="minorHAnsi" w:hAnsiTheme="minorHAnsi"/>
          <w:lang w:val="en-US"/>
        </w:rPr>
        <w:t>Reference guidelines</w:t>
      </w:r>
    </w:p>
    <w:p w14:paraId="07C7AEA9" w14:textId="77777777" w:rsidR="000F2FF9" w:rsidRPr="000F2FF9" w:rsidRDefault="000F2FF9" w:rsidP="00227A9F">
      <w:pPr>
        <w:pStyle w:val="ListParagraph"/>
        <w:keepNext/>
        <w:keepLines/>
        <w:spacing w:after="120"/>
        <w:ind w:left="360"/>
        <w:jc w:val="both"/>
        <w:rPr>
          <w:rFonts w:asciiTheme="minorHAnsi" w:hAnsiTheme="minorHAnsi"/>
          <w:lang w:val="en-US"/>
        </w:rPr>
      </w:pPr>
    </w:p>
    <w:p w14:paraId="5465B0FA" w14:textId="2B33E13E" w:rsidR="006D2D59" w:rsidRPr="00681907" w:rsidRDefault="006D2D59" w:rsidP="00462589">
      <w:pPr>
        <w:pStyle w:val="Heading4"/>
        <w:spacing w:before="0" w:after="120" w:line="240" w:lineRule="auto"/>
        <w:jc w:val="both"/>
        <w:rPr>
          <w:lang w:val="en-US"/>
        </w:rPr>
      </w:pPr>
      <w:r w:rsidRPr="00681907">
        <w:rPr>
          <w:lang w:val="en-US"/>
        </w:rPr>
        <w:t>Management of peripheral neuropathy</w:t>
      </w:r>
      <w:r w:rsidR="009E04FF" w:rsidRPr="00681907">
        <w:rPr>
          <w:lang w:val="en-US"/>
        </w:rPr>
        <w:t xml:space="preserve"> </w:t>
      </w:r>
    </w:p>
    <w:p w14:paraId="2B30C6E9" w14:textId="1194DE61" w:rsidR="003B065C" w:rsidRPr="00DE0C72" w:rsidRDefault="003B065C" w:rsidP="00BF0A52">
      <w:pPr>
        <w:keepNext/>
        <w:keepLines/>
        <w:jc w:val="both"/>
        <w:rPr>
          <w:b/>
          <w:lang w:val="en-US"/>
        </w:rPr>
      </w:pPr>
      <w:r w:rsidRPr="00681907">
        <w:rPr>
          <w:b/>
          <w:i/>
          <w:lang w:val="en-US"/>
        </w:rPr>
        <w:t xml:space="preserve">Suspected anti-TB drugs (from most likely to less likely responsible): </w:t>
      </w:r>
      <w:r w:rsidRPr="00DE0C72">
        <w:rPr>
          <w:b/>
          <w:lang w:val="en-US"/>
        </w:rPr>
        <w:t>Lzd,</w:t>
      </w:r>
      <w:r w:rsidR="00681907">
        <w:rPr>
          <w:b/>
          <w:lang w:val="en-US"/>
        </w:rPr>
        <w:t xml:space="preserve"> H,</w:t>
      </w:r>
      <w:r w:rsidRPr="00DE0C72">
        <w:rPr>
          <w:b/>
          <w:lang w:val="en-US"/>
        </w:rPr>
        <w:t xml:space="preserve"> Cs</w:t>
      </w:r>
      <w:r w:rsidR="00681907">
        <w:rPr>
          <w:b/>
          <w:lang w:val="en-US"/>
        </w:rPr>
        <w:t>/T</w:t>
      </w:r>
      <w:r w:rsidR="00180B8D">
        <w:rPr>
          <w:b/>
          <w:lang w:val="en-US"/>
        </w:rPr>
        <w:t>r</w:t>
      </w:r>
      <w:r w:rsidR="00681907">
        <w:rPr>
          <w:b/>
          <w:lang w:val="en-US"/>
        </w:rPr>
        <w:t>d</w:t>
      </w:r>
      <w:r w:rsidRPr="00DE0C72">
        <w:rPr>
          <w:b/>
          <w:lang w:val="en-US"/>
        </w:rPr>
        <w:t>, Km, Cm, FQ,</w:t>
      </w:r>
      <w:r w:rsidR="00357C02" w:rsidRPr="00DE0C72">
        <w:rPr>
          <w:b/>
          <w:lang w:val="en-US"/>
        </w:rPr>
        <w:t xml:space="preserve"> </w:t>
      </w:r>
      <w:r w:rsidRPr="00DE0C72">
        <w:rPr>
          <w:b/>
          <w:lang w:val="en-US"/>
        </w:rPr>
        <w:t>Pto/Eto, E</w:t>
      </w:r>
    </w:p>
    <w:p w14:paraId="4C7DA33A" w14:textId="7F9BD0E9" w:rsidR="00BF6BA9" w:rsidRPr="00DE0C72" w:rsidRDefault="00BF6BA9" w:rsidP="00462589">
      <w:pPr>
        <w:keepNext/>
        <w:keepLines/>
        <w:spacing w:line="240" w:lineRule="auto"/>
        <w:jc w:val="both"/>
        <w:rPr>
          <w:b/>
          <w:lang w:val="en-US"/>
        </w:rPr>
      </w:pPr>
      <w:r w:rsidRPr="00DE0C72">
        <w:rPr>
          <w:b/>
          <w:lang w:val="en-US"/>
        </w:rPr>
        <w:t xml:space="preserve">Possible other causes: d4T, ddI </w:t>
      </w:r>
    </w:p>
    <w:p w14:paraId="2BD49F90" w14:textId="307C7F1B" w:rsidR="006D2D59" w:rsidRPr="00681907" w:rsidRDefault="00ED12D6" w:rsidP="00F1254D">
      <w:pPr>
        <w:keepNext/>
        <w:keepLines/>
        <w:spacing w:after="0" w:line="240" w:lineRule="auto"/>
        <w:jc w:val="both"/>
        <w:rPr>
          <w:lang w:val="en-US"/>
        </w:rPr>
      </w:pPr>
      <w:r>
        <w:rPr>
          <w:b/>
          <w:i/>
          <w:lang w:val="en-US"/>
        </w:rPr>
        <w:t xml:space="preserve">Site </w:t>
      </w:r>
      <w:r w:rsidR="00767869">
        <w:rPr>
          <w:b/>
          <w:i/>
          <w:lang w:val="en-US"/>
        </w:rPr>
        <w:t xml:space="preserve">PI or </w:t>
      </w:r>
      <w:r w:rsidR="003B065C" w:rsidRPr="00681907">
        <w:rPr>
          <w:b/>
          <w:i/>
          <w:lang w:val="en-US"/>
        </w:rPr>
        <w:t>Site</w:t>
      </w:r>
      <w:r>
        <w:rPr>
          <w:b/>
          <w:i/>
          <w:lang w:val="en-US"/>
        </w:rPr>
        <w:t xml:space="preserve"> </w:t>
      </w:r>
      <w:r w:rsidR="00573EE9">
        <w:rPr>
          <w:b/>
          <w:i/>
          <w:lang w:val="en-US"/>
        </w:rPr>
        <w:t xml:space="preserve">CI </w:t>
      </w:r>
      <w:r w:rsidR="006D2D59" w:rsidRPr="00681907">
        <w:rPr>
          <w:lang w:val="en-US"/>
        </w:rPr>
        <w:t>manage</w:t>
      </w:r>
      <w:r w:rsidR="005476D8" w:rsidRPr="00681907">
        <w:rPr>
          <w:lang w:val="en-US"/>
        </w:rPr>
        <w:t>s</w:t>
      </w:r>
      <w:r w:rsidR="006D2D59" w:rsidRPr="00681907">
        <w:rPr>
          <w:lang w:val="en-US"/>
        </w:rPr>
        <w:t xml:space="preserve"> this AE according to its severity</w:t>
      </w:r>
      <w:r w:rsidR="00F629CC" w:rsidRPr="00681907">
        <w:rPr>
          <w:lang w:val="en-US"/>
        </w:rPr>
        <w:t xml:space="preserve"> </w:t>
      </w:r>
      <w:r w:rsidR="00F629CC" w:rsidRPr="00681907">
        <w:rPr>
          <w:b/>
          <w:i/>
          <w:lang w:val="en-US"/>
        </w:rPr>
        <w:t>(see SOP</w:t>
      </w:r>
      <w:r w:rsidR="0072638A">
        <w:rPr>
          <w:b/>
          <w:i/>
          <w:lang w:val="en-US"/>
        </w:rPr>
        <w:t xml:space="preserve"> SP-002-ET on</w:t>
      </w:r>
      <w:r w:rsidR="00F629CC" w:rsidRPr="00681907">
        <w:rPr>
          <w:b/>
          <w:i/>
          <w:lang w:val="en-US"/>
        </w:rPr>
        <w:t xml:space="preserve"> Brief Peripheral Neuropathy Screening)</w:t>
      </w:r>
      <w:r w:rsidR="007907A3">
        <w:rPr>
          <w:b/>
          <w:i/>
          <w:lang w:val="en-US"/>
        </w:rPr>
        <w:t>.</w:t>
      </w:r>
      <w:r w:rsidR="00F648F3">
        <w:rPr>
          <w:b/>
          <w:i/>
          <w:lang w:val="en-US"/>
        </w:rPr>
        <w:t xml:space="preserve"> </w:t>
      </w:r>
      <w:r w:rsidR="00F648F3">
        <w:rPr>
          <w:lang w:val="en-US"/>
        </w:rPr>
        <w:t xml:space="preserve">According to the </w:t>
      </w:r>
      <w:r w:rsidR="009662C5">
        <w:rPr>
          <w:lang w:val="en-US"/>
        </w:rPr>
        <w:t>MSF s</w:t>
      </w:r>
      <w:r w:rsidR="00F648F3">
        <w:rPr>
          <w:lang w:val="en-US"/>
        </w:rPr>
        <w:t xml:space="preserve">everity </w:t>
      </w:r>
      <w:r w:rsidR="009662C5">
        <w:rPr>
          <w:lang w:val="en-US"/>
        </w:rPr>
        <w:t>grading s</w:t>
      </w:r>
      <w:r w:rsidR="00F648F3">
        <w:rPr>
          <w:lang w:val="en-US"/>
        </w:rPr>
        <w:t>cale, p</w:t>
      </w:r>
      <w:r w:rsidR="00F648F3" w:rsidRPr="009701EE">
        <w:rPr>
          <w:lang w:val="en-US"/>
        </w:rPr>
        <w:t>eripheral neuropathy</w:t>
      </w:r>
      <w:r w:rsidR="00F648F3">
        <w:rPr>
          <w:b/>
          <w:i/>
          <w:lang w:val="en-US"/>
        </w:rPr>
        <w:t xml:space="preserve"> </w:t>
      </w:r>
      <w:r w:rsidR="00F648F3">
        <w:rPr>
          <w:lang w:val="en-US"/>
        </w:rPr>
        <w:t>can lead to two different AEs: paresthesia and neuro-sensory disorders.</w:t>
      </w:r>
      <w:r w:rsidR="007907A3">
        <w:rPr>
          <w:b/>
          <w:i/>
          <w:lang w:val="en-US"/>
        </w:rPr>
        <w:t xml:space="preserve"> </w:t>
      </w:r>
      <w:r w:rsidR="00F648F3" w:rsidRPr="009701EE">
        <w:rPr>
          <w:lang w:val="en-US"/>
        </w:rPr>
        <w:t>The</w:t>
      </w:r>
      <w:r w:rsidR="00F648F3">
        <w:rPr>
          <w:rFonts w:asciiTheme="minorHAnsi" w:hAnsiTheme="minorHAnsi"/>
          <w:lang w:val="en-US"/>
        </w:rPr>
        <w:t xml:space="preserve"> clinical m</w:t>
      </w:r>
      <w:r w:rsidR="007907A3" w:rsidRPr="00681907">
        <w:rPr>
          <w:rFonts w:asciiTheme="minorHAnsi" w:hAnsiTheme="minorHAnsi"/>
          <w:lang w:val="en-US"/>
        </w:rPr>
        <w:t>anagement is based on the severity of paresthesia. Neuro-sensory disorders should be declared as AE</w:t>
      </w:r>
      <w:r w:rsidR="00135D38">
        <w:rPr>
          <w:rFonts w:asciiTheme="minorHAnsi" w:hAnsiTheme="minorHAnsi"/>
          <w:lang w:val="en-US"/>
        </w:rPr>
        <w:t>s</w:t>
      </w:r>
      <w:r w:rsidR="007907A3" w:rsidRPr="00681907">
        <w:rPr>
          <w:rFonts w:asciiTheme="minorHAnsi" w:hAnsiTheme="minorHAnsi"/>
          <w:lang w:val="en-US"/>
        </w:rPr>
        <w:t xml:space="preserve"> but should not be taken into account for the clinical management of the patient</w:t>
      </w:r>
      <w:r w:rsidR="00AE6F32">
        <w:rPr>
          <w:lang w:val="en-US"/>
        </w:rPr>
        <w:t>.</w:t>
      </w:r>
    </w:p>
    <w:p w14:paraId="1FDDFC93" w14:textId="70E031B3" w:rsidR="0046734F" w:rsidRPr="0046734F" w:rsidRDefault="006D2D59">
      <w:pPr>
        <w:pStyle w:val="ListParagraph"/>
        <w:keepNext/>
        <w:keepLines/>
        <w:numPr>
          <w:ilvl w:val="0"/>
          <w:numId w:val="4"/>
        </w:numPr>
        <w:jc w:val="both"/>
        <w:rPr>
          <w:b/>
          <w:lang w:val="en-US"/>
        </w:rPr>
      </w:pPr>
      <w:r w:rsidRPr="00681907">
        <w:rPr>
          <w:b/>
          <w:lang w:val="en-US"/>
        </w:rPr>
        <w:lastRenderedPageBreak/>
        <w:t>Grade 1:</w:t>
      </w:r>
      <w:r w:rsidR="0020723C" w:rsidRPr="00681907">
        <w:rPr>
          <w:b/>
          <w:lang w:val="en-US"/>
        </w:rPr>
        <w:t xml:space="preserve"> </w:t>
      </w:r>
      <w:r w:rsidR="0020723C" w:rsidRPr="00681907">
        <w:rPr>
          <w:lang w:val="en-US"/>
        </w:rPr>
        <w:t>continue the current treatment and</w:t>
      </w:r>
      <w:r w:rsidRPr="00681907">
        <w:rPr>
          <w:lang w:val="en-US"/>
        </w:rPr>
        <w:t xml:space="preserve"> </w:t>
      </w:r>
      <w:r w:rsidR="00D503F4" w:rsidRPr="00681907">
        <w:rPr>
          <w:lang w:val="en-US"/>
        </w:rPr>
        <w:t>see the patient back in a week</w:t>
      </w:r>
      <w:r w:rsidR="00063B90" w:rsidRPr="00681907">
        <w:rPr>
          <w:lang w:val="en-US"/>
        </w:rPr>
        <w:t xml:space="preserve">. If the AE is resolved, </w:t>
      </w:r>
      <w:r w:rsidR="0020723C" w:rsidRPr="00681907">
        <w:rPr>
          <w:lang w:val="en-US"/>
        </w:rPr>
        <w:t>continue the current treatment.</w:t>
      </w:r>
      <w:r w:rsidR="00063B90" w:rsidRPr="00681907">
        <w:rPr>
          <w:lang w:val="en-US"/>
        </w:rPr>
        <w:t xml:space="preserve"> If the AE is still present,</w:t>
      </w:r>
      <w:r w:rsidR="0020723C" w:rsidRPr="00681907">
        <w:rPr>
          <w:lang w:val="en-US"/>
        </w:rPr>
        <w:t xml:space="preserve"> stop</w:t>
      </w:r>
      <w:r w:rsidR="00681907">
        <w:rPr>
          <w:lang w:val="en-US"/>
        </w:rPr>
        <w:t xml:space="preserve"> high-dose isoniazid,</w:t>
      </w:r>
      <w:r w:rsidR="0020723C" w:rsidRPr="00681907">
        <w:rPr>
          <w:lang w:val="en-US"/>
        </w:rPr>
        <w:t xml:space="preserve"> cycloserine</w:t>
      </w:r>
      <w:r w:rsidR="00681907">
        <w:rPr>
          <w:lang w:val="en-US"/>
        </w:rPr>
        <w:t>/terizidone,</w:t>
      </w:r>
      <w:r w:rsidR="0020723C" w:rsidRPr="00681907">
        <w:rPr>
          <w:lang w:val="en-US"/>
        </w:rPr>
        <w:t xml:space="preserve"> and linezolid, if currently administered.</w:t>
      </w:r>
      <w:r w:rsidR="00D503F4" w:rsidRPr="00681907">
        <w:rPr>
          <w:lang w:val="en-US"/>
        </w:rPr>
        <w:t xml:space="preserve"> </w:t>
      </w:r>
      <w:r w:rsidR="00A07997" w:rsidRPr="00DE0C72">
        <w:rPr>
          <w:lang w:val="en-US"/>
        </w:rPr>
        <w:t xml:space="preserve">If symptoms improve, consider restarting these drugs. Consider restarting </w:t>
      </w:r>
      <w:r w:rsidR="002A5DA1" w:rsidRPr="00681907">
        <w:rPr>
          <w:lang w:val="en-US"/>
        </w:rPr>
        <w:t>linezolid</w:t>
      </w:r>
      <w:r w:rsidR="002A5DA1" w:rsidRPr="00DE0C72">
        <w:rPr>
          <w:lang w:val="en-US"/>
        </w:rPr>
        <w:t xml:space="preserve"> </w:t>
      </w:r>
      <w:r w:rsidR="00A07997" w:rsidRPr="00DE0C72">
        <w:rPr>
          <w:lang w:val="en-US"/>
        </w:rPr>
        <w:t>at a lower dose</w:t>
      </w:r>
      <w:r w:rsidR="00180B8D">
        <w:rPr>
          <w:lang w:val="en-US"/>
        </w:rPr>
        <w:t xml:space="preserve">; the reduced dose of linezolid is defined by balanced </w:t>
      </w:r>
      <w:r w:rsidR="00F259AC">
        <w:rPr>
          <w:lang w:val="en-US"/>
        </w:rPr>
        <w:t>randomization</w:t>
      </w:r>
      <w:r w:rsidR="00CF286A">
        <w:rPr>
          <w:lang w:val="en-US"/>
        </w:rPr>
        <w:t xml:space="preserve"> for </w:t>
      </w:r>
      <w:r w:rsidR="00E101BA">
        <w:rPr>
          <w:lang w:val="en-US"/>
        </w:rPr>
        <w:t>linezolid-containing</w:t>
      </w:r>
      <w:r w:rsidR="00CF286A">
        <w:rPr>
          <w:lang w:val="en-US"/>
        </w:rPr>
        <w:t xml:space="preserve"> </w:t>
      </w:r>
      <w:r w:rsidR="007974EF">
        <w:rPr>
          <w:lang w:val="en-US"/>
        </w:rPr>
        <w:t xml:space="preserve">experimental </w:t>
      </w:r>
      <w:r w:rsidR="00CF286A">
        <w:rPr>
          <w:lang w:val="en-US"/>
        </w:rPr>
        <w:t>arms</w:t>
      </w:r>
      <w:r w:rsidR="007974EF">
        <w:rPr>
          <w:lang w:val="en-US"/>
        </w:rPr>
        <w:t>.</w:t>
      </w:r>
      <w:r w:rsidR="0046734F">
        <w:rPr>
          <w:lang w:val="en-US"/>
        </w:rPr>
        <w:t xml:space="preserve"> </w:t>
      </w:r>
      <w:r w:rsidR="0046734F" w:rsidRPr="009701EE">
        <w:rPr>
          <w:lang w:val="en-US"/>
        </w:rPr>
        <w:t xml:space="preserve">If </w:t>
      </w:r>
      <w:r w:rsidR="0033061D">
        <w:rPr>
          <w:lang w:val="en-US"/>
        </w:rPr>
        <w:t>cycloserine</w:t>
      </w:r>
      <w:r w:rsidR="0046734F" w:rsidRPr="009701EE">
        <w:rPr>
          <w:lang w:val="en-US"/>
        </w:rPr>
        <w:t>/</w:t>
      </w:r>
      <w:r w:rsidR="0033061D">
        <w:rPr>
          <w:lang w:val="en-US"/>
        </w:rPr>
        <w:t>terizidone</w:t>
      </w:r>
      <w:r w:rsidR="0046734F" w:rsidRPr="009701EE">
        <w:rPr>
          <w:lang w:val="en-US"/>
        </w:rPr>
        <w:t xml:space="preserve"> or high-dose </w:t>
      </w:r>
      <w:r w:rsidR="0033061D">
        <w:rPr>
          <w:lang w:val="en-US"/>
        </w:rPr>
        <w:t>isoniazid</w:t>
      </w:r>
      <w:r w:rsidR="0046734F" w:rsidRPr="009701EE">
        <w:rPr>
          <w:lang w:val="en-US"/>
        </w:rPr>
        <w:t xml:space="preserve"> are not essential to the regimen, consider suspending these drugs.</w:t>
      </w:r>
    </w:p>
    <w:p w14:paraId="0EA5AA61" w14:textId="7FC19416" w:rsidR="00885D3C" w:rsidRPr="00885D3C" w:rsidRDefault="00A07997" w:rsidP="00E038BB">
      <w:pPr>
        <w:pStyle w:val="ListParagraph"/>
        <w:keepNext/>
        <w:keepLines/>
        <w:numPr>
          <w:ilvl w:val="0"/>
          <w:numId w:val="4"/>
        </w:numPr>
        <w:jc w:val="both"/>
        <w:rPr>
          <w:b/>
          <w:lang w:val="en-US"/>
        </w:rPr>
      </w:pPr>
      <w:r w:rsidRPr="00681907">
        <w:rPr>
          <w:b/>
          <w:lang w:val="en-US"/>
        </w:rPr>
        <w:t>Grade 2</w:t>
      </w:r>
      <w:r w:rsidR="00885D3C">
        <w:rPr>
          <w:b/>
          <w:lang w:val="en-US"/>
        </w:rPr>
        <w:t xml:space="preserve">: </w:t>
      </w:r>
      <w:r w:rsidR="00885D3C" w:rsidRPr="00681907">
        <w:rPr>
          <w:lang w:val="en-US"/>
        </w:rPr>
        <w:t xml:space="preserve">If currently administered, stop </w:t>
      </w:r>
      <w:r w:rsidR="00885D3C">
        <w:rPr>
          <w:lang w:val="en-US"/>
        </w:rPr>
        <w:t>high-dose isoniazid,</w:t>
      </w:r>
      <w:r w:rsidR="00885D3C" w:rsidRPr="00681907">
        <w:rPr>
          <w:lang w:val="en-US"/>
        </w:rPr>
        <w:t xml:space="preserve"> cycloserine</w:t>
      </w:r>
      <w:r w:rsidR="00885D3C">
        <w:rPr>
          <w:lang w:val="en-US"/>
        </w:rPr>
        <w:t>/terizidone, and linezolid</w:t>
      </w:r>
      <w:r w:rsidR="00885D3C" w:rsidRPr="00681907">
        <w:rPr>
          <w:lang w:val="en-US"/>
        </w:rPr>
        <w:t>.</w:t>
      </w:r>
      <w:r w:rsidR="00885D3C" w:rsidRPr="00DE0C72">
        <w:rPr>
          <w:lang w:val="en-US"/>
        </w:rPr>
        <w:t xml:space="preserve"> </w:t>
      </w:r>
    </w:p>
    <w:p w14:paraId="412267EC" w14:textId="2F92DFD9" w:rsidR="00885D3C" w:rsidRPr="00885D3C" w:rsidRDefault="00885D3C" w:rsidP="00462589">
      <w:pPr>
        <w:pStyle w:val="ListParagraph"/>
        <w:keepNext/>
        <w:keepLines/>
        <w:numPr>
          <w:ilvl w:val="0"/>
          <w:numId w:val="31"/>
        </w:numPr>
        <w:jc w:val="both"/>
        <w:rPr>
          <w:b/>
          <w:lang w:val="en-US"/>
        </w:rPr>
      </w:pPr>
      <w:r>
        <w:rPr>
          <w:lang w:val="en-US"/>
        </w:rPr>
        <w:t>For</w:t>
      </w:r>
      <w:r w:rsidRPr="0093293E">
        <w:rPr>
          <w:lang w:val="en-US"/>
        </w:rPr>
        <w:t xml:space="preserve"> </w:t>
      </w:r>
      <w:r>
        <w:rPr>
          <w:lang w:val="en-US"/>
        </w:rPr>
        <w:t>cycloserine</w:t>
      </w:r>
      <w:r w:rsidRPr="0093293E">
        <w:rPr>
          <w:lang w:val="en-US"/>
        </w:rPr>
        <w:t>/</w:t>
      </w:r>
      <w:r>
        <w:rPr>
          <w:lang w:val="en-US"/>
        </w:rPr>
        <w:t>terizidone</w:t>
      </w:r>
      <w:r w:rsidRPr="0093293E">
        <w:rPr>
          <w:lang w:val="en-US"/>
        </w:rPr>
        <w:t xml:space="preserve"> or high-dose </w:t>
      </w:r>
      <w:r>
        <w:rPr>
          <w:lang w:val="en-US"/>
        </w:rPr>
        <w:t xml:space="preserve">isoniazid: </w:t>
      </w:r>
      <w:r w:rsidRPr="00885D3C">
        <w:rPr>
          <w:lang w:val="en-US"/>
        </w:rPr>
        <w:t xml:space="preserve">If symptoms resolve, consider restarting high-dose isoniazid, </w:t>
      </w:r>
      <w:r>
        <w:rPr>
          <w:lang w:val="en-US"/>
        </w:rPr>
        <w:t xml:space="preserve">and </w:t>
      </w:r>
      <w:r w:rsidRPr="00885D3C">
        <w:rPr>
          <w:lang w:val="en-US"/>
        </w:rPr>
        <w:t>cycloserine/terizidone.</w:t>
      </w:r>
      <w:r>
        <w:rPr>
          <w:lang w:val="en-US"/>
        </w:rPr>
        <w:t xml:space="preserve"> If these drugs </w:t>
      </w:r>
      <w:r w:rsidRPr="0093293E">
        <w:rPr>
          <w:lang w:val="en-US"/>
        </w:rPr>
        <w:t xml:space="preserve">are not essential to the regimen, consider suspending </w:t>
      </w:r>
      <w:r>
        <w:rPr>
          <w:lang w:val="en-US"/>
        </w:rPr>
        <w:t>them</w:t>
      </w:r>
      <w:r w:rsidRPr="0093293E">
        <w:rPr>
          <w:lang w:val="en-US"/>
        </w:rPr>
        <w:t>.</w:t>
      </w:r>
      <w:r w:rsidR="009147E6">
        <w:rPr>
          <w:lang w:val="en-US"/>
        </w:rPr>
        <w:t xml:space="preserve"> If they are essential, consider </w:t>
      </w:r>
      <w:r w:rsidR="00C008AC">
        <w:rPr>
          <w:lang w:val="en-US"/>
        </w:rPr>
        <w:t>replacing them with a different agent.</w:t>
      </w:r>
    </w:p>
    <w:p w14:paraId="157BD2A2" w14:textId="5D9A0241" w:rsidR="00885D3C" w:rsidRPr="00681907" w:rsidRDefault="001271EF" w:rsidP="00462589">
      <w:pPr>
        <w:pStyle w:val="ListParagraph"/>
        <w:keepNext/>
        <w:keepLines/>
        <w:numPr>
          <w:ilvl w:val="0"/>
          <w:numId w:val="31"/>
        </w:numPr>
        <w:jc w:val="both"/>
        <w:rPr>
          <w:b/>
          <w:lang w:val="en-US"/>
        </w:rPr>
      </w:pPr>
      <w:r>
        <w:rPr>
          <w:lang w:val="en-US"/>
        </w:rPr>
        <w:t>For linezolid: i</w:t>
      </w:r>
      <w:r w:rsidRPr="00885D3C">
        <w:rPr>
          <w:lang w:val="en-US"/>
        </w:rPr>
        <w:t>f symptoms resolve or improve (i.e. symptoms return to Grade 1), consider restarting linezolid at lower dose.</w:t>
      </w:r>
      <w:r>
        <w:rPr>
          <w:lang w:val="en-US"/>
        </w:rPr>
        <w:t xml:space="preserve"> If moderate discomfort persists, consider permanently stopping linezolid.</w:t>
      </w:r>
    </w:p>
    <w:p w14:paraId="73278999" w14:textId="478D3314" w:rsidR="00A07997" w:rsidRPr="00681907" w:rsidRDefault="00885D3C" w:rsidP="00F1254D">
      <w:pPr>
        <w:pStyle w:val="ListParagraph"/>
        <w:keepNext/>
        <w:keepLines/>
        <w:numPr>
          <w:ilvl w:val="0"/>
          <w:numId w:val="4"/>
        </w:numPr>
        <w:jc w:val="both"/>
        <w:rPr>
          <w:b/>
          <w:lang w:val="en-US"/>
        </w:rPr>
      </w:pPr>
      <w:r>
        <w:rPr>
          <w:b/>
          <w:lang w:val="en-US"/>
        </w:rPr>
        <w:t xml:space="preserve">Grade </w:t>
      </w:r>
      <w:r w:rsidR="00A07997" w:rsidRPr="00681907">
        <w:rPr>
          <w:b/>
          <w:lang w:val="en-US"/>
        </w:rPr>
        <w:t xml:space="preserve">3: </w:t>
      </w:r>
      <w:r w:rsidR="00A07997" w:rsidRPr="00681907">
        <w:rPr>
          <w:lang w:val="en-US"/>
        </w:rPr>
        <w:t xml:space="preserve">If currently administered, stop </w:t>
      </w:r>
      <w:r w:rsidR="00681907">
        <w:rPr>
          <w:lang w:val="en-US"/>
        </w:rPr>
        <w:t>high-dose isoniazid,</w:t>
      </w:r>
      <w:r w:rsidR="00681907" w:rsidRPr="00681907">
        <w:rPr>
          <w:lang w:val="en-US"/>
        </w:rPr>
        <w:t xml:space="preserve"> </w:t>
      </w:r>
      <w:r w:rsidR="00A07997" w:rsidRPr="00681907">
        <w:rPr>
          <w:lang w:val="en-US"/>
        </w:rPr>
        <w:t>cycloserine</w:t>
      </w:r>
      <w:r w:rsidR="00681907">
        <w:rPr>
          <w:lang w:val="en-US"/>
        </w:rPr>
        <w:t>/terizidone, and linezolid</w:t>
      </w:r>
      <w:r w:rsidR="00A07997" w:rsidRPr="00681907">
        <w:rPr>
          <w:lang w:val="en-US"/>
        </w:rPr>
        <w:t>.</w:t>
      </w:r>
      <w:r w:rsidR="00A07997" w:rsidRPr="00DE0C72">
        <w:rPr>
          <w:lang w:val="en-US"/>
        </w:rPr>
        <w:t xml:space="preserve"> If symptoms </w:t>
      </w:r>
      <w:r w:rsidR="005476D8" w:rsidRPr="00DE0C72">
        <w:rPr>
          <w:lang w:val="en-US"/>
        </w:rPr>
        <w:t>resolve</w:t>
      </w:r>
      <w:r w:rsidR="00A07997" w:rsidRPr="00DE0C72">
        <w:rPr>
          <w:lang w:val="en-US"/>
        </w:rPr>
        <w:t xml:space="preserve">, </w:t>
      </w:r>
      <w:r w:rsidR="00A07997" w:rsidRPr="00681907">
        <w:rPr>
          <w:lang w:val="en-US"/>
        </w:rPr>
        <w:t>consider restarting</w:t>
      </w:r>
      <w:r w:rsidR="0046734F">
        <w:rPr>
          <w:lang w:val="en-US"/>
        </w:rPr>
        <w:t xml:space="preserve"> high-dose</w:t>
      </w:r>
      <w:r w:rsidR="00681907">
        <w:rPr>
          <w:lang w:val="en-US"/>
        </w:rPr>
        <w:t xml:space="preserve"> isoniazid and</w:t>
      </w:r>
      <w:r w:rsidR="00A07997" w:rsidRPr="00681907">
        <w:rPr>
          <w:lang w:val="en-US"/>
        </w:rPr>
        <w:t xml:space="preserve"> cycloserine</w:t>
      </w:r>
      <w:r w:rsidR="00681907">
        <w:rPr>
          <w:lang w:val="en-US"/>
        </w:rPr>
        <w:t>/terizidone</w:t>
      </w:r>
      <w:r w:rsidR="005476D8" w:rsidRPr="00681907">
        <w:rPr>
          <w:lang w:val="en-US"/>
        </w:rPr>
        <w:t>. Linezolid should not be restarted.</w:t>
      </w:r>
      <w:r w:rsidR="00180B8D">
        <w:rPr>
          <w:lang w:val="en-US"/>
        </w:rPr>
        <w:t xml:space="preserve"> </w:t>
      </w:r>
      <w:r w:rsidR="00180B8D" w:rsidRPr="0093293E">
        <w:rPr>
          <w:lang w:val="en-US"/>
        </w:rPr>
        <w:t xml:space="preserve">If </w:t>
      </w:r>
      <w:r w:rsidR="004A34D5">
        <w:rPr>
          <w:lang w:val="en-US"/>
        </w:rPr>
        <w:t>cycloserine</w:t>
      </w:r>
      <w:r w:rsidR="00180B8D" w:rsidRPr="0093293E">
        <w:rPr>
          <w:lang w:val="en-US"/>
        </w:rPr>
        <w:t>/</w:t>
      </w:r>
      <w:r w:rsidR="004A34D5">
        <w:rPr>
          <w:lang w:val="en-US"/>
        </w:rPr>
        <w:t>terizidone</w:t>
      </w:r>
      <w:r w:rsidR="00180B8D" w:rsidRPr="0093293E">
        <w:rPr>
          <w:lang w:val="en-US"/>
        </w:rPr>
        <w:t xml:space="preserve"> or high-dose </w:t>
      </w:r>
      <w:r w:rsidR="004A34D5">
        <w:rPr>
          <w:lang w:val="en-US"/>
        </w:rPr>
        <w:t>isoniazid</w:t>
      </w:r>
      <w:r w:rsidR="00180B8D" w:rsidRPr="0093293E">
        <w:rPr>
          <w:lang w:val="en-US"/>
        </w:rPr>
        <w:t xml:space="preserve"> are not essential to the regimen, consider suspending these drugs.</w:t>
      </w:r>
    </w:p>
    <w:p w14:paraId="61A5FD3E" w14:textId="2D177E49" w:rsidR="000D3027" w:rsidRPr="00DE0C72" w:rsidRDefault="000D3027" w:rsidP="00E038BB">
      <w:pPr>
        <w:pStyle w:val="ListParagraph"/>
        <w:keepNext/>
        <w:keepLines/>
        <w:numPr>
          <w:ilvl w:val="0"/>
          <w:numId w:val="15"/>
        </w:numPr>
        <w:ind w:left="720"/>
        <w:jc w:val="both"/>
        <w:rPr>
          <w:lang w:val="en-US"/>
        </w:rPr>
      </w:pPr>
      <w:r w:rsidRPr="00681907">
        <w:rPr>
          <w:b/>
          <w:lang w:val="en-US"/>
        </w:rPr>
        <w:t xml:space="preserve">Grade 4: </w:t>
      </w:r>
      <w:r w:rsidRPr="00681907">
        <w:rPr>
          <w:lang w:val="en-US"/>
        </w:rPr>
        <w:t>If currently administered, permanently stop</w:t>
      </w:r>
      <w:r w:rsidR="00681907" w:rsidRPr="00681907">
        <w:rPr>
          <w:lang w:val="en-US"/>
        </w:rPr>
        <w:t xml:space="preserve"> </w:t>
      </w:r>
      <w:r w:rsidR="00681907">
        <w:rPr>
          <w:lang w:val="en-US"/>
        </w:rPr>
        <w:t>high-dose isoniazid</w:t>
      </w:r>
      <w:r w:rsidR="00E46E8F">
        <w:rPr>
          <w:lang w:val="en-US"/>
        </w:rPr>
        <w:t>,</w:t>
      </w:r>
      <w:r w:rsidRPr="00681907">
        <w:rPr>
          <w:lang w:val="en-US"/>
        </w:rPr>
        <w:t xml:space="preserve"> cycloserine</w:t>
      </w:r>
      <w:r w:rsidR="00E46E8F">
        <w:rPr>
          <w:lang w:val="en-US"/>
        </w:rPr>
        <w:t>/terizidone</w:t>
      </w:r>
      <w:r w:rsidRPr="00681907">
        <w:rPr>
          <w:lang w:val="en-US"/>
        </w:rPr>
        <w:t xml:space="preserve"> and linezolid</w:t>
      </w:r>
      <w:r w:rsidR="00600C63" w:rsidRPr="00681907">
        <w:rPr>
          <w:lang w:val="en-US"/>
        </w:rPr>
        <w:t>,</w:t>
      </w:r>
      <w:r w:rsidRPr="00681907">
        <w:rPr>
          <w:lang w:val="en-US"/>
        </w:rPr>
        <w:t xml:space="preserve"> </w:t>
      </w:r>
      <w:r w:rsidRPr="00DE0C72">
        <w:rPr>
          <w:lang w:val="en-US"/>
        </w:rPr>
        <w:t>and add additional anti-TB drugs to reinforce the regimen.</w:t>
      </w:r>
    </w:p>
    <w:p w14:paraId="0B6DA071" w14:textId="4398F279" w:rsidR="000D0170" w:rsidRPr="00681907" w:rsidRDefault="00A07997" w:rsidP="00462589">
      <w:pPr>
        <w:keepNext/>
        <w:keepLines/>
        <w:spacing w:line="240" w:lineRule="auto"/>
        <w:ind w:left="720"/>
        <w:jc w:val="both"/>
        <w:rPr>
          <w:lang w:val="en-US"/>
        </w:rPr>
      </w:pPr>
      <w:r w:rsidRPr="00681907">
        <w:rPr>
          <w:lang w:val="en-US"/>
        </w:rPr>
        <w:t>In all patients experiencing peripheral neuropathy</w:t>
      </w:r>
      <w:r w:rsidR="005141C1" w:rsidRPr="00681907">
        <w:rPr>
          <w:lang w:val="en-US"/>
        </w:rPr>
        <w:t>:</w:t>
      </w:r>
    </w:p>
    <w:p w14:paraId="7AA60750" w14:textId="1AD9CF51" w:rsidR="000D0170" w:rsidRPr="00681907" w:rsidRDefault="00573282" w:rsidP="00462589">
      <w:pPr>
        <w:pStyle w:val="ListParagraph"/>
        <w:keepNext/>
        <w:keepLines/>
        <w:numPr>
          <w:ilvl w:val="0"/>
          <w:numId w:val="11"/>
        </w:numPr>
        <w:ind w:left="1080"/>
        <w:jc w:val="both"/>
        <w:rPr>
          <w:rFonts w:asciiTheme="minorHAnsi" w:hAnsiTheme="minorHAnsi"/>
          <w:lang w:val="en-US"/>
        </w:rPr>
      </w:pPr>
      <w:r w:rsidRPr="00681907">
        <w:rPr>
          <w:rFonts w:asciiTheme="minorHAnsi" w:hAnsiTheme="minorHAnsi"/>
          <w:lang w:val="en-US"/>
        </w:rPr>
        <w:t xml:space="preserve">provide </w:t>
      </w:r>
      <w:r w:rsidR="009D7A05">
        <w:rPr>
          <w:rFonts w:asciiTheme="minorHAnsi" w:hAnsiTheme="minorHAnsi"/>
          <w:lang w:val="en-US"/>
        </w:rPr>
        <w:t>p</w:t>
      </w:r>
      <w:r w:rsidR="00A07997" w:rsidRPr="00681907">
        <w:rPr>
          <w:rFonts w:asciiTheme="minorHAnsi" w:hAnsiTheme="minorHAnsi"/>
          <w:lang w:val="en-US"/>
        </w:rPr>
        <w:t xml:space="preserve">yridoxine treatment </w:t>
      </w:r>
      <w:r w:rsidR="005476D8" w:rsidRPr="00681907">
        <w:rPr>
          <w:rFonts w:asciiTheme="minorHAnsi" w:hAnsiTheme="minorHAnsi"/>
          <w:lang w:val="en-US"/>
        </w:rPr>
        <w:t>at 100</w:t>
      </w:r>
      <w:r w:rsidRPr="00681907">
        <w:rPr>
          <w:rFonts w:asciiTheme="minorHAnsi" w:hAnsiTheme="minorHAnsi"/>
          <w:lang w:val="en-US"/>
        </w:rPr>
        <w:t xml:space="preserve"> </w:t>
      </w:r>
      <w:r w:rsidR="005476D8" w:rsidRPr="00681907">
        <w:rPr>
          <w:rFonts w:asciiTheme="minorHAnsi" w:hAnsiTheme="minorHAnsi"/>
          <w:lang w:val="en-US"/>
        </w:rPr>
        <w:t>to 200 mg/day until symptoms resolve</w:t>
      </w:r>
      <w:r w:rsidR="00AD2803" w:rsidRPr="00681907">
        <w:rPr>
          <w:rFonts w:asciiTheme="minorHAnsi" w:hAnsiTheme="minorHAnsi"/>
          <w:lang w:val="en-US"/>
        </w:rPr>
        <w:t>;</w:t>
      </w:r>
    </w:p>
    <w:p w14:paraId="5DEF91E6" w14:textId="538436F5" w:rsidR="000D0170" w:rsidRPr="005C5038" w:rsidRDefault="005141C1" w:rsidP="00462589">
      <w:pPr>
        <w:pStyle w:val="ListParagraph"/>
        <w:keepNext/>
        <w:keepLines/>
        <w:numPr>
          <w:ilvl w:val="0"/>
          <w:numId w:val="11"/>
        </w:numPr>
        <w:ind w:left="1080"/>
        <w:jc w:val="both"/>
        <w:rPr>
          <w:rFonts w:asciiTheme="minorHAnsi" w:hAnsiTheme="minorHAnsi"/>
          <w:lang w:val="en-US"/>
        </w:rPr>
      </w:pPr>
      <w:r w:rsidRPr="29AFE96E">
        <w:rPr>
          <w:rFonts w:asciiTheme="minorHAnsi" w:hAnsiTheme="minorHAnsi"/>
          <w:lang w:val="en-US"/>
        </w:rPr>
        <w:t xml:space="preserve">check if the patient receives other drugs that may increase the risk of peripheral neuropathies (e.g. </w:t>
      </w:r>
      <w:r w:rsidRPr="29AFE96E">
        <w:rPr>
          <w:rFonts w:asciiTheme="minorHAnsi" w:hAnsiTheme="minorHAnsi" w:cs="Cambria"/>
          <w:lang w:val="en-US"/>
        </w:rPr>
        <w:t>d4T</w:t>
      </w:r>
      <w:r w:rsidR="00AD2803" w:rsidRPr="29AFE96E">
        <w:rPr>
          <w:rFonts w:asciiTheme="minorHAnsi" w:hAnsiTheme="minorHAnsi" w:cs="Cambria"/>
          <w:lang w:val="en-US"/>
        </w:rPr>
        <w:t>,</w:t>
      </w:r>
      <w:r w:rsidRPr="29AFE96E">
        <w:rPr>
          <w:rFonts w:asciiTheme="minorHAnsi" w:hAnsiTheme="minorHAnsi" w:cs="Cambria"/>
          <w:lang w:val="en-US"/>
        </w:rPr>
        <w:t xml:space="preserve"> ddI</w:t>
      </w:r>
      <w:r w:rsidR="00AD2803" w:rsidRPr="29AFE96E">
        <w:rPr>
          <w:rFonts w:asciiTheme="minorHAnsi" w:hAnsiTheme="minorHAnsi" w:cs="Cambria"/>
          <w:lang w:val="en-US"/>
        </w:rPr>
        <w:t>, or isoniazid</w:t>
      </w:r>
      <w:r w:rsidRPr="29AFE96E">
        <w:rPr>
          <w:rFonts w:asciiTheme="minorHAnsi" w:hAnsiTheme="minorHAnsi" w:cs="Cambria"/>
          <w:lang w:val="en-US"/>
        </w:rPr>
        <w:t xml:space="preserve">) and </w:t>
      </w:r>
      <w:r w:rsidR="000D0170" w:rsidRPr="29AFE96E">
        <w:rPr>
          <w:rFonts w:asciiTheme="minorHAnsi" w:hAnsiTheme="minorHAnsi" w:cs="Cambria"/>
          <w:lang w:val="en-US"/>
        </w:rPr>
        <w:t xml:space="preserve">if </w:t>
      </w:r>
      <w:r w:rsidRPr="29AFE96E">
        <w:rPr>
          <w:rFonts w:asciiTheme="minorHAnsi" w:hAnsiTheme="minorHAnsi" w:cs="Cambria"/>
          <w:lang w:val="en-US"/>
        </w:rPr>
        <w:t xml:space="preserve">it </w:t>
      </w:r>
      <w:r w:rsidR="000D0170" w:rsidRPr="29AFE96E">
        <w:rPr>
          <w:rFonts w:asciiTheme="minorHAnsi" w:hAnsiTheme="minorHAnsi" w:cs="Cambria"/>
          <w:lang w:val="en-US"/>
        </w:rPr>
        <w:t xml:space="preserve">is </w:t>
      </w:r>
      <w:r w:rsidRPr="29AFE96E">
        <w:rPr>
          <w:rFonts w:asciiTheme="minorHAnsi" w:hAnsiTheme="minorHAnsi" w:cs="Cambria"/>
          <w:lang w:val="en-US"/>
        </w:rPr>
        <w:t>the case stop the drug(s) if possible</w:t>
      </w:r>
      <w:r w:rsidR="00AD2803" w:rsidRPr="29AFE96E">
        <w:rPr>
          <w:rFonts w:asciiTheme="minorHAnsi" w:hAnsiTheme="minorHAnsi" w:cs="Cambria"/>
          <w:lang w:val="en-US"/>
        </w:rPr>
        <w:t>;</w:t>
      </w:r>
    </w:p>
    <w:p w14:paraId="21714B5C" w14:textId="123D4028" w:rsidR="00A07997" w:rsidRPr="00681907" w:rsidRDefault="000D0170" w:rsidP="00462589">
      <w:pPr>
        <w:pStyle w:val="ListParagraph"/>
        <w:keepNext/>
        <w:keepLines/>
        <w:numPr>
          <w:ilvl w:val="0"/>
          <w:numId w:val="11"/>
        </w:numPr>
        <w:ind w:left="1080"/>
        <w:jc w:val="both"/>
        <w:rPr>
          <w:rFonts w:asciiTheme="minorHAnsi" w:hAnsiTheme="minorHAnsi"/>
          <w:lang w:val="en-US"/>
        </w:rPr>
      </w:pPr>
      <w:r w:rsidRPr="00681907">
        <w:rPr>
          <w:rFonts w:asciiTheme="minorHAnsi" w:hAnsiTheme="minorHAnsi"/>
          <w:lang w:val="en-US"/>
        </w:rPr>
        <w:t>p</w:t>
      </w:r>
      <w:r w:rsidR="005141C1" w:rsidRPr="00681907">
        <w:rPr>
          <w:rFonts w:asciiTheme="minorHAnsi" w:hAnsiTheme="minorHAnsi"/>
          <w:lang w:val="en-US"/>
        </w:rPr>
        <w:t xml:space="preserve">rovide </w:t>
      </w:r>
      <w:r w:rsidR="00A07997" w:rsidRPr="00681907">
        <w:rPr>
          <w:rFonts w:asciiTheme="minorHAnsi" w:hAnsiTheme="minorHAnsi"/>
          <w:lang w:val="en-US"/>
        </w:rPr>
        <w:t xml:space="preserve">symptomatic relief </w:t>
      </w:r>
      <w:r w:rsidR="005141C1" w:rsidRPr="00681907">
        <w:rPr>
          <w:rFonts w:asciiTheme="minorHAnsi" w:hAnsiTheme="minorHAnsi"/>
          <w:lang w:val="en-US"/>
        </w:rPr>
        <w:t xml:space="preserve">if </w:t>
      </w:r>
      <w:r w:rsidRPr="00681907">
        <w:rPr>
          <w:rFonts w:asciiTheme="minorHAnsi" w:hAnsiTheme="minorHAnsi"/>
          <w:lang w:val="en-US"/>
        </w:rPr>
        <w:t>needed</w:t>
      </w:r>
      <w:r w:rsidR="00A07997" w:rsidRPr="00681907">
        <w:rPr>
          <w:rFonts w:asciiTheme="minorHAnsi" w:hAnsiTheme="minorHAnsi"/>
          <w:lang w:val="en-US"/>
        </w:rPr>
        <w:t>: non-steroidal anti-inflammatory drugs, acetaminophen, tricyclic antidepressants, and carbamazepine may be used according to</w:t>
      </w:r>
      <w:r w:rsidR="00A50FD7" w:rsidRPr="00681907">
        <w:rPr>
          <w:rFonts w:asciiTheme="minorHAnsi" w:hAnsiTheme="minorHAnsi"/>
          <w:lang w:val="en-US"/>
        </w:rPr>
        <w:t xml:space="preserve"> efficacy and drug-drug interactions</w:t>
      </w:r>
      <w:r w:rsidR="005141C1" w:rsidRPr="00681907">
        <w:rPr>
          <w:rFonts w:asciiTheme="minorHAnsi" w:hAnsiTheme="minorHAnsi"/>
          <w:lang w:val="en-US"/>
        </w:rPr>
        <w:t xml:space="preserve"> at the discretion of the clinician</w:t>
      </w:r>
      <w:r w:rsidR="00AD2803" w:rsidRPr="00681907">
        <w:rPr>
          <w:rFonts w:asciiTheme="minorHAnsi" w:hAnsiTheme="minorHAnsi"/>
          <w:lang w:val="en-US"/>
        </w:rPr>
        <w:t>;</w:t>
      </w:r>
    </w:p>
    <w:p w14:paraId="0B71A949" w14:textId="77777777" w:rsidR="00E46E8F" w:rsidRPr="00DE0C72" w:rsidRDefault="00815252" w:rsidP="00462589">
      <w:pPr>
        <w:pStyle w:val="ListParagraph"/>
        <w:keepNext/>
        <w:keepLines/>
        <w:numPr>
          <w:ilvl w:val="0"/>
          <w:numId w:val="11"/>
        </w:numPr>
        <w:ind w:left="1080"/>
        <w:jc w:val="both"/>
        <w:rPr>
          <w:rFonts w:asciiTheme="minorHAnsi" w:hAnsiTheme="minorHAnsi"/>
          <w:lang w:val="en-US"/>
        </w:rPr>
      </w:pPr>
      <w:r w:rsidRPr="00DE0C72">
        <w:rPr>
          <w:lang w:val="en-US"/>
        </w:rPr>
        <w:t>All patients taking linezolid should receive at least 50 mg of pyridoxine daily</w:t>
      </w:r>
      <w:r w:rsidR="00AD2803" w:rsidRPr="00DE0C72">
        <w:rPr>
          <w:lang w:val="en-US"/>
        </w:rPr>
        <w:t>;</w:t>
      </w:r>
    </w:p>
    <w:p w14:paraId="420B0B33" w14:textId="17B41436" w:rsidR="00815252" w:rsidRPr="005C5038" w:rsidRDefault="00E46E8F" w:rsidP="00462589">
      <w:pPr>
        <w:pStyle w:val="ListParagraph"/>
        <w:keepNext/>
        <w:keepLines/>
        <w:numPr>
          <w:ilvl w:val="0"/>
          <w:numId w:val="11"/>
        </w:numPr>
        <w:ind w:left="1080"/>
        <w:jc w:val="both"/>
        <w:rPr>
          <w:rFonts w:asciiTheme="minorHAnsi" w:hAnsiTheme="minorHAnsi"/>
          <w:lang w:val="en-US"/>
        </w:rPr>
      </w:pPr>
      <w:r w:rsidRPr="007A5279">
        <w:rPr>
          <w:lang w:val="en-US"/>
        </w:rPr>
        <w:t xml:space="preserve">All patients taking </w:t>
      </w:r>
      <w:r>
        <w:rPr>
          <w:lang w:val="en-US"/>
        </w:rPr>
        <w:t xml:space="preserve">isoniazid should receive </w:t>
      </w:r>
      <w:r w:rsidRPr="007A5279">
        <w:rPr>
          <w:lang w:val="en-US"/>
        </w:rPr>
        <w:t>50 mg of pyridoxine daily;</w:t>
      </w:r>
    </w:p>
    <w:p w14:paraId="590E77AD" w14:textId="77777777" w:rsidR="007E6EA6" w:rsidRPr="007E6EA6" w:rsidRDefault="00815252" w:rsidP="00462589">
      <w:pPr>
        <w:pStyle w:val="ListParagraph"/>
        <w:keepNext/>
        <w:keepLines/>
        <w:numPr>
          <w:ilvl w:val="0"/>
          <w:numId w:val="11"/>
        </w:numPr>
        <w:ind w:left="1080"/>
        <w:jc w:val="both"/>
        <w:rPr>
          <w:rFonts w:asciiTheme="minorHAnsi" w:hAnsiTheme="minorHAnsi"/>
          <w:lang w:val="en-US"/>
        </w:rPr>
      </w:pPr>
      <w:r w:rsidRPr="00DE0C72">
        <w:rPr>
          <w:lang w:val="en-US"/>
        </w:rPr>
        <w:t>All patients taking cycloserine</w:t>
      </w:r>
      <w:r w:rsidR="002F2218">
        <w:rPr>
          <w:lang w:val="en-US"/>
        </w:rPr>
        <w:t>/terizidone</w:t>
      </w:r>
      <w:r w:rsidRPr="00DE0C72">
        <w:rPr>
          <w:lang w:val="en-US"/>
        </w:rPr>
        <w:t xml:space="preserve"> should receive 50 mg of pyridoxine daily for every 250 mg of </w:t>
      </w:r>
      <w:r w:rsidR="005F39EB">
        <w:rPr>
          <w:lang w:val="en-US"/>
        </w:rPr>
        <w:t>cycloserine</w:t>
      </w:r>
      <w:r w:rsidR="002F2218">
        <w:rPr>
          <w:lang w:val="en-US"/>
        </w:rPr>
        <w:t>/</w:t>
      </w:r>
      <w:r w:rsidR="005F39EB">
        <w:rPr>
          <w:lang w:val="en-US"/>
        </w:rPr>
        <w:t>terizidone</w:t>
      </w:r>
      <w:r w:rsidR="35DBAADE">
        <w:rPr>
          <w:lang w:val="en-US"/>
        </w:rPr>
        <w:t>;</w:t>
      </w:r>
    </w:p>
    <w:p w14:paraId="06472AD1" w14:textId="305F4118" w:rsidR="006C0EBF" w:rsidRPr="00882DA5" w:rsidRDefault="35DBAADE" w:rsidP="00882DA5">
      <w:pPr>
        <w:pStyle w:val="ListParagraph"/>
        <w:keepNext/>
        <w:keepLines/>
        <w:numPr>
          <w:ilvl w:val="0"/>
          <w:numId w:val="11"/>
        </w:numPr>
        <w:ind w:left="1080"/>
        <w:jc w:val="both"/>
        <w:rPr>
          <w:rFonts w:asciiTheme="minorHAnsi" w:hAnsiTheme="minorHAnsi"/>
          <w:lang w:val="en-US"/>
        </w:rPr>
      </w:pPr>
      <w:r w:rsidRPr="009C47CF">
        <w:rPr>
          <w:lang w:val="en-US"/>
        </w:rPr>
        <w:t>All patients taking ethio</w:t>
      </w:r>
      <w:r w:rsidR="1B6819F8" w:rsidRPr="009C47CF">
        <w:rPr>
          <w:lang w:val="en-US"/>
        </w:rPr>
        <w:t>namide/prothionamide sho</w:t>
      </w:r>
      <w:r w:rsidRPr="009C47CF">
        <w:rPr>
          <w:lang w:val="en-US"/>
        </w:rPr>
        <w:t>uld receive 50 mg of pyridoxine daily.</w:t>
      </w:r>
    </w:p>
    <w:p w14:paraId="5A84DFE4" w14:textId="2442CB48" w:rsidR="00A50FD7" w:rsidRPr="00681907" w:rsidRDefault="00A50FD7" w:rsidP="00462589">
      <w:pPr>
        <w:pStyle w:val="Heading4"/>
        <w:spacing w:before="0" w:after="120" w:line="240" w:lineRule="auto"/>
        <w:jc w:val="both"/>
        <w:rPr>
          <w:bCs/>
          <w:iCs/>
          <w:lang w:val="en-US"/>
        </w:rPr>
      </w:pPr>
      <w:r w:rsidRPr="00681907">
        <w:rPr>
          <w:lang w:val="en-US"/>
        </w:rPr>
        <w:t xml:space="preserve">Management of </w:t>
      </w:r>
      <w:r w:rsidRPr="00681907">
        <w:rPr>
          <w:bCs/>
          <w:iCs/>
          <w:lang w:val="en-US"/>
        </w:rPr>
        <w:t>myelosuppression</w:t>
      </w:r>
    </w:p>
    <w:p w14:paraId="21607F4C" w14:textId="51E36A61" w:rsidR="003D240C" w:rsidRPr="00681907" w:rsidRDefault="003D240C" w:rsidP="00462589">
      <w:pPr>
        <w:keepNext/>
        <w:keepLines/>
        <w:spacing w:line="240" w:lineRule="auto"/>
        <w:jc w:val="both"/>
        <w:rPr>
          <w:b/>
          <w:i/>
          <w:lang w:val="en-US"/>
        </w:rPr>
      </w:pPr>
      <w:r w:rsidRPr="00681907">
        <w:rPr>
          <w:b/>
          <w:i/>
          <w:lang w:val="en-US"/>
        </w:rPr>
        <w:t xml:space="preserve">Suspected anti-TB drug: </w:t>
      </w:r>
      <w:r w:rsidRPr="00681907">
        <w:rPr>
          <w:b/>
          <w:lang w:val="en-US"/>
        </w:rPr>
        <w:t>Lzd</w:t>
      </w:r>
    </w:p>
    <w:p w14:paraId="59540AAA" w14:textId="31F56631" w:rsidR="00BF6BA9" w:rsidRPr="00DE0C72" w:rsidRDefault="00BF6BA9" w:rsidP="00462589">
      <w:pPr>
        <w:keepNext/>
        <w:keepLines/>
        <w:spacing w:line="240" w:lineRule="auto"/>
        <w:jc w:val="both"/>
        <w:rPr>
          <w:b/>
          <w:lang w:val="en-US"/>
        </w:rPr>
      </w:pPr>
      <w:r w:rsidRPr="00DE0C72">
        <w:rPr>
          <w:b/>
          <w:lang w:val="en-US"/>
        </w:rPr>
        <w:t>Possible other causes: AZT</w:t>
      </w:r>
      <w:r w:rsidR="00C609FB" w:rsidRPr="00DE0C72">
        <w:rPr>
          <w:b/>
          <w:lang w:val="en-US"/>
        </w:rPr>
        <w:t>, co-trimoxazole</w:t>
      </w:r>
    </w:p>
    <w:p w14:paraId="368E20FE" w14:textId="2F2F84A0" w:rsidR="00A50FD7" w:rsidRPr="00681907" w:rsidRDefault="004857AB" w:rsidP="00462589">
      <w:pPr>
        <w:keepNext/>
        <w:keepLines/>
        <w:spacing w:line="240" w:lineRule="auto"/>
        <w:jc w:val="both"/>
        <w:rPr>
          <w:lang w:val="en-US"/>
        </w:rPr>
      </w:pPr>
      <w:r>
        <w:rPr>
          <w:b/>
          <w:i/>
          <w:lang w:val="en-US"/>
        </w:rPr>
        <w:t>Site</w:t>
      </w:r>
      <w:r w:rsidR="00ED12D6">
        <w:rPr>
          <w:b/>
          <w:i/>
          <w:lang w:val="en-US"/>
        </w:rPr>
        <w:t xml:space="preserve"> </w:t>
      </w:r>
      <w:r>
        <w:rPr>
          <w:b/>
          <w:i/>
          <w:lang w:val="en-US"/>
        </w:rPr>
        <w:t xml:space="preserve">PI or </w:t>
      </w:r>
      <w:r w:rsidR="005476D8" w:rsidRPr="00681907">
        <w:rPr>
          <w:b/>
          <w:i/>
          <w:lang w:val="en-US"/>
        </w:rPr>
        <w:t>Site</w:t>
      </w:r>
      <w:r w:rsidR="00ED12D6">
        <w:rPr>
          <w:b/>
          <w:i/>
          <w:lang w:val="en-US"/>
        </w:rPr>
        <w:t xml:space="preserve"> </w:t>
      </w:r>
      <w:r w:rsidR="005476D8" w:rsidRPr="00681907">
        <w:rPr>
          <w:b/>
          <w:i/>
          <w:lang w:val="en-US"/>
        </w:rPr>
        <w:t>C</w:t>
      </w:r>
      <w:r w:rsidR="00F65EA5" w:rsidRPr="00681907">
        <w:rPr>
          <w:b/>
          <w:i/>
          <w:lang w:val="en-US"/>
        </w:rPr>
        <w:t>I</w:t>
      </w:r>
      <w:r w:rsidR="00A50FD7" w:rsidRPr="00681907">
        <w:rPr>
          <w:lang w:val="en-US"/>
        </w:rPr>
        <w:t xml:space="preserve"> manage</w:t>
      </w:r>
      <w:r w:rsidR="005476D8" w:rsidRPr="00681907">
        <w:rPr>
          <w:lang w:val="en-US"/>
        </w:rPr>
        <w:t>s</w:t>
      </w:r>
      <w:r w:rsidR="00A50FD7" w:rsidRPr="00681907">
        <w:rPr>
          <w:lang w:val="en-US"/>
        </w:rPr>
        <w:t xml:space="preserve"> this AE according to its severity:</w:t>
      </w:r>
    </w:p>
    <w:p w14:paraId="05949116" w14:textId="09A1F744" w:rsidR="00A50FD7" w:rsidRPr="00E436BA" w:rsidRDefault="00A50FD7" w:rsidP="00F1254D">
      <w:pPr>
        <w:pStyle w:val="ListParagraph"/>
        <w:keepNext/>
        <w:keepLines/>
        <w:numPr>
          <w:ilvl w:val="0"/>
          <w:numId w:val="6"/>
        </w:numPr>
        <w:ind w:left="720"/>
        <w:jc w:val="both"/>
        <w:rPr>
          <w:b/>
          <w:i/>
          <w:lang w:val="en-US"/>
        </w:rPr>
      </w:pPr>
      <w:r w:rsidRPr="00681907">
        <w:rPr>
          <w:b/>
          <w:lang w:val="en-US"/>
        </w:rPr>
        <w:t>Grade</w:t>
      </w:r>
      <w:r w:rsidR="00AA7B80" w:rsidRPr="00681907">
        <w:rPr>
          <w:b/>
          <w:lang w:val="en-US"/>
        </w:rPr>
        <w:t xml:space="preserve"> </w:t>
      </w:r>
      <w:r w:rsidRPr="00681907">
        <w:rPr>
          <w:b/>
          <w:lang w:val="en-US"/>
        </w:rPr>
        <w:t>1</w:t>
      </w:r>
      <w:r w:rsidR="00AA7B80" w:rsidRPr="00681907">
        <w:rPr>
          <w:b/>
          <w:lang w:val="en-US"/>
        </w:rPr>
        <w:t xml:space="preserve"> </w:t>
      </w:r>
      <w:r w:rsidR="008C1972" w:rsidRPr="00681907">
        <w:rPr>
          <w:b/>
          <w:lang w:val="en-US"/>
        </w:rPr>
        <w:t>(anemia, neutropenia</w:t>
      </w:r>
      <w:r w:rsidR="00F259AC">
        <w:rPr>
          <w:b/>
          <w:lang w:val="en-US"/>
        </w:rPr>
        <w:t>, leukopenia</w:t>
      </w:r>
      <w:r w:rsidR="008C1972" w:rsidRPr="00681907">
        <w:rPr>
          <w:b/>
          <w:lang w:val="en-US"/>
        </w:rPr>
        <w:t xml:space="preserve"> </w:t>
      </w:r>
      <w:r w:rsidR="00822275">
        <w:rPr>
          <w:b/>
          <w:lang w:val="en-US"/>
        </w:rPr>
        <w:t>and/</w:t>
      </w:r>
      <w:r w:rsidR="008C1972" w:rsidRPr="00681907">
        <w:rPr>
          <w:b/>
          <w:lang w:val="en-US"/>
        </w:rPr>
        <w:t>or thrombocytopenia)</w:t>
      </w:r>
      <w:r w:rsidRPr="00681907">
        <w:rPr>
          <w:b/>
          <w:lang w:val="en-US"/>
        </w:rPr>
        <w:t xml:space="preserve">: </w:t>
      </w:r>
      <w:r w:rsidRPr="00DE0C72">
        <w:rPr>
          <w:lang w:val="en-US"/>
        </w:rPr>
        <w:t>Monitor carefully</w:t>
      </w:r>
      <w:r w:rsidR="008C1972" w:rsidRPr="00DE0C72">
        <w:rPr>
          <w:lang w:val="en-US"/>
        </w:rPr>
        <w:t xml:space="preserve"> </w:t>
      </w:r>
      <w:r w:rsidR="000A30DE">
        <w:rPr>
          <w:lang w:val="en-US"/>
        </w:rPr>
        <w:t>(</w:t>
      </w:r>
      <w:r w:rsidR="008C1972" w:rsidRPr="00DE0C72">
        <w:rPr>
          <w:lang w:val="en-US"/>
        </w:rPr>
        <w:t>full blood count</w:t>
      </w:r>
      <w:r w:rsidR="005476D8" w:rsidRPr="00DE0C72">
        <w:rPr>
          <w:lang w:val="en-US"/>
        </w:rPr>
        <w:t xml:space="preserve"> </w:t>
      </w:r>
      <w:r w:rsidR="000A30DE">
        <w:rPr>
          <w:lang w:val="en-US"/>
        </w:rPr>
        <w:t>[</w:t>
      </w:r>
      <w:r w:rsidR="00607C06" w:rsidRPr="00DE0C72">
        <w:rPr>
          <w:lang w:val="en-US"/>
        </w:rPr>
        <w:t>FBC</w:t>
      </w:r>
      <w:r w:rsidR="000A30DE">
        <w:rPr>
          <w:lang w:val="en-US"/>
        </w:rPr>
        <w:t>]</w:t>
      </w:r>
      <w:r w:rsidR="008C1972" w:rsidRPr="00DE0C72">
        <w:rPr>
          <w:lang w:val="en-US"/>
        </w:rPr>
        <w:t xml:space="preserve"> every week</w:t>
      </w:r>
      <w:r w:rsidR="000A30DE">
        <w:rPr>
          <w:lang w:val="en-US"/>
        </w:rPr>
        <w:t>)</w:t>
      </w:r>
      <w:r w:rsidRPr="00DE0C72">
        <w:rPr>
          <w:lang w:val="en-US"/>
        </w:rPr>
        <w:t>.</w:t>
      </w:r>
    </w:p>
    <w:p w14:paraId="0526F580" w14:textId="77777777" w:rsidR="00E436BA" w:rsidRPr="00681907" w:rsidRDefault="00E436BA" w:rsidP="00E436BA">
      <w:pPr>
        <w:pStyle w:val="ListParagraph"/>
        <w:keepNext/>
        <w:keepLines/>
        <w:jc w:val="both"/>
        <w:rPr>
          <w:b/>
          <w:i/>
          <w:lang w:val="en-US"/>
        </w:rPr>
      </w:pPr>
    </w:p>
    <w:p w14:paraId="32CF95CF" w14:textId="77777777" w:rsidR="00607C06" w:rsidRPr="00681907" w:rsidRDefault="00A50FD7" w:rsidP="00E038BB">
      <w:pPr>
        <w:pStyle w:val="ListParagraph"/>
        <w:keepNext/>
        <w:keepLines/>
        <w:numPr>
          <w:ilvl w:val="0"/>
          <w:numId w:val="4"/>
        </w:numPr>
        <w:jc w:val="both"/>
        <w:rPr>
          <w:b/>
          <w:lang w:val="en-US"/>
        </w:rPr>
      </w:pPr>
      <w:r w:rsidRPr="00681907">
        <w:rPr>
          <w:b/>
          <w:lang w:val="en-US"/>
        </w:rPr>
        <w:t xml:space="preserve">Grade 2: </w:t>
      </w:r>
    </w:p>
    <w:p w14:paraId="39647B80" w14:textId="1920E110" w:rsidR="00607C06" w:rsidRPr="00681907" w:rsidRDefault="00607C06">
      <w:pPr>
        <w:pStyle w:val="ListParagraph"/>
        <w:keepNext/>
        <w:keepLines/>
        <w:numPr>
          <w:ilvl w:val="1"/>
          <w:numId w:val="4"/>
        </w:numPr>
        <w:ind w:left="1080"/>
        <w:jc w:val="both"/>
        <w:rPr>
          <w:b/>
          <w:lang w:val="en-US"/>
        </w:rPr>
      </w:pPr>
      <w:r w:rsidRPr="00681907">
        <w:rPr>
          <w:b/>
          <w:lang w:val="en-US"/>
        </w:rPr>
        <w:lastRenderedPageBreak/>
        <w:t>Anemia</w:t>
      </w:r>
      <w:r w:rsidR="00F259AC">
        <w:rPr>
          <w:b/>
          <w:lang w:val="en-US"/>
        </w:rPr>
        <w:t>, leukopenia</w:t>
      </w:r>
      <w:r w:rsidRPr="00681907">
        <w:rPr>
          <w:b/>
          <w:lang w:val="en-US"/>
        </w:rPr>
        <w:t xml:space="preserve"> and/or thrombocytopenia: </w:t>
      </w:r>
      <w:r w:rsidR="00107979" w:rsidRPr="00B64E1C">
        <w:rPr>
          <w:lang w:val="en-US"/>
        </w:rPr>
        <w:t>Monitor carefully (FBC every week) and consider reducing the linezolid dose without interruption</w:t>
      </w:r>
      <w:r w:rsidR="00A50FD7" w:rsidRPr="00B64E1C">
        <w:rPr>
          <w:lang w:val="en-US"/>
        </w:rPr>
        <w:t>.</w:t>
      </w:r>
    </w:p>
    <w:p w14:paraId="70644ECC" w14:textId="55675600" w:rsidR="00DA32F7" w:rsidRPr="00D45AEE" w:rsidRDefault="00607C06">
      <w:pPr>
        <w:pStyle w:val="ListParagraph"/>
        <w:keepNext/>
        <w:keepLines/>
        <w:numPr>
          <w:ilvl w:val="1"/>
          <w:numId w:val="4"/>
        </w:numPr>
        <w:ind w:left="1080"/>
        <w:jc w:val="both"/>
        <w:rPr>
          <w:b/>
          <w:lang w:val="en-US"/>
        </w:rPr>
      </w:pPr>
      <w:r w:rsidRPr="00681907">
        <w:rPr>
          <w:b/>
          <w:lang w:val="en-US"/>
        </w:rPr>
        <w:t xml:space="preserve">Neutropenia: </w:t>
      </w:r>
      <w:r w:rsidR="003A4317">
        <w:rPr>
          <w:lang w:val="en-US"/>
        </w:rPr>
        <w:t>S</w:t>
      </w:r>
      <w:r w:rsidR="00A50FD7" w:rsidRPr="00DE0C72">
        <w:rPr>
          <w:lang w:val="en-US"/>
        </w:rPr>
        <w:t>top linezolid immediately</w:t>
      </w:r>
      <w:r w:rsidRPr="00DE0C72">
        <w:rPr>
          <w:lang w:val="en-US"/>
        </w:rPr>
        <w:t>, monitor FBC on a weekly bas</w:t>
      </w:r>
      <w:r w:rsidR="00573282" w:rsidRPr="00DE0C72">
        <w:rPr>
          <w:lang w:val="en-US"/>
        </w:rPr>
        <w:t>is</w:t>
      </w:r>
      <w:r w:rsidR="00A50FD7" w:rsidRPr="00DE0C72">
        <w:rPr>
          <w:lang w:val="en-US"/>
        </w:rPr>
        <w:t>. Restart at reduced dose once toxicity has decreased to Grade 1.</w:t>
      </w:r>
    </w:p>
    <w:p w14:paraId="2F8EA02E" w14:textId="37596938" w:rsidR="00A50FD7" w:rsidRPr="00681907" w:rsidRDefault="00F259AC">
      <w:pPr>
        <w:pStyle w:val="ListParagraph"/>
        <w:keepNext/>
        <w:keepLines/>
        <w:numPr>
          <w:ilvl w:val="1"/>
          <w:numId w:val="4"/>
        </w:numPr>
        <w:ind w:left="1080"/>
        <w:jc w:val="both"/>
        <w:rPr>
          <w:b/>
          <w:lang w:val="en-US"/>
        </w:rPr>
      </w:pPr>
      <w:r>
        <w:rPr>
          <w:lang w:val="en-US"/>
        </w:rPr>
        <w:t>The dose reduction strategy is defined by balanced randomization</w:t>
      </w:r>
      <w:r w:rsidR="007974EF" w:rsidRPr="007974EF">
        <w:rPr>
          <w:lang w:val="en-US"/>
        </w:rPr>
        <w:t xml:space="preserve"> </w:t>
      </w:r>
      <w:r w:rsidR="007974EF">
        <w:rPr>
          <w:lang w:val="en-US"/>
        </w:rPr>
        <w:t xml:space="preserve">for </w:t>
      </w:r>
      <w:r w:rsidR="00531404">
        <w:rPr>
          <w:lang w:val="en-US"/>
        </w:rPr>
        <w:t>linezolid-containing</w:t>
      </w:r>
      <w:r w:rsidR="007974EF">
        <w:rPr>
          <w:lang w:val="en-US"/>
        </w:rPr>
        <w:t xml:space="preserve"> experimental arms</w:t>
      </w:r>
      <w:r>
        <w:rPr>
          <w:lang w:val="en-US"/>
        </w:rPr>
        <w:t>.</w:t>
      </w:r>
    </w:p>
    <w:p w14:paraId="701E92EF" w14:textId="3E4F6F03" w:rsidR="00607C06" w:rsidRPr="00681907" w:rsidRDefault="00A50FD7" w:rsidP="00D45AEE">
      <w:pPr>
        <w:pStyle w:val="ListParagraph"/>
        <w:keepNext/>
        <w:keepLines/>
        <w:numPr>
          <w:ilvl w:val="0"/>
          <w:numId w:val="4"/>
        </w:numPr>
        <w:jc w:val="both"/>
        <w:rPr>
          <w:lang w:val="en-US"/>
        </w:rPr>
      </w:pPr>
      <w:r w:rsidRPr="00681907">
        <w:rPr>
          <w:b/>
          <w:lang w:val="en-US"/>
        </w:rPr>
        <w:t xml:space="preserve">Grade 3: </w:t>
      </w:r>
    </w:p>
    <w:p w14:paraId="1759149B" w14:textId="77777777" w:rsidR="00815252" w:rsidRPr="00DE0C72" w:rsidRDefault="00A50FD7">
      <w:pPr>
        <w:pStyle w:val="ListParagraph"/>
        <w:keepNext/>
        <w:keepLines/>
        <w:numPr>
          <w:ilvl w:val="1"/>
          <w:numId w:val="4"/>
        </w:numPr>
        <w:spacing w:after="0"/>
        <w:ind w:left="1080"/>
        <w:jc w:val="both"/>
        <w:rPr>
          <w:lang w:val="en-US"/>
        </w:rPr>
      </w:pPr>
      <w:r w:rsidRPr="00DE0C72">
        <w:rPr>
          <w:lang w:val="en-US"/>
        </w:rPr>
        <w:t>Stop linezolid immediately</w:t>
      </w:r>
      <w:r w:rsidR="00607C06" w:rsidRPr="00DE0C72">
        <w:rPr>
          <w:lang w:val="en-US"/>
        </w:rPr>
        <w:t xml:space="preserve"> and any other potential myelosuppressive drugs, monitor FBC twice weekly</w:t>
      </w:r>
      <w:r w:rsidRPr="00DE0C72">
        <w:rPr>
          <w:lang w:val="en-US"/>
        </w:rPr>
        <w:t>.</w:t>
      </w:r>
    </w:p>
    <w:p w14:paraId="5F744F2A" w14:textId="38CD39E2" w:rsidR="00607C06" w:rsidRPr="00DE0C72" w:rsidRDefault="00F259AC">
      <w:pPr>
        <w:pStyle w:val="ListParagraph"/>
        <w:keepNext/>
        <w:keepLines/>
        <w:numPr>
          <w:ilvl w:val="1"/>
          <w:numId w:val="4"/>
        </w:numPr>
        <w:spacing w:after="0"/>
        <w:ind w:left="1080"/>
        <w:jc w:val="both"/>
        <w:rPr>
          <w:rFonts w:asciiTheme="minorHAnsi" w:hAnsiTheme="minorHAnsi"/>
          <w:lang w:val="en-US"/>
        </w:rPr>
      </w:pPr>
      <w:r>
        <w:rPr>
          <w:lang w:val="en-US"/>
        </w:rPr>
        <w:t>In case of anemia, c</w:t>
      </w:r>
      <w:r w:rsidR="00815252" w:rsidRPr="00DE0C72">
        <w:rPr>
          <w:lang w:val="en-US"/>
        </w:rPr>
        <w:t xml:space="preserve">onsider </w:t>
      </w:r>
      <w:r w:rsidR="00815252" w:rsidRPr="00DE0C72">
        <w:rPr>
          <w:rFonts w:asciiTheme="minorHAnsi" w:hAnsiTheme="minorHAnsi"/>
          <w:lang w:val="en-US"/>
        </w:rPr>
        <w:t>e</w:t>
      </w:r>
      <w:r w:rsidR="00607C06" w:rsidRPr="00DE0C72">
        <w:rPr>
          <w:rFonts w:asciiTheme="minorHAnsi" w:hAnsiTheme="minorHAnsi"/>
          <w:lang w:val="en-US"/>
        </w:rPr>
        <w:t xml:space="preserve">rythropoietin </w:t>
      </w:r>
      <w:r w:rsidR="00815252" w:rsidRPr="00DE0C72">
        <w:rPr>
          <w:rFonts w:asciiTheme="minorHAnsi" w:hAnsiTheme="minorHAnsi"/>
          <w:lang w:val="en-US"/>
        </w:rPr>
        <w:t xml:space="preserve">(EPO) </w:t>
      </w:r>
      <w:r w:rsidR="00607C06" w:rsidRPr="00DE0C72">
        <w:rPr>
          <w:rFonts w:asciiTheme="minorHAnsi" w:hAnsiTheme="minorHAnsi"/>
          <w:lang w:val="en-US"/>
        </w:rPr>
        <w:t>administration</w:t>
      </w:r>
      <w:r w:rsidR="00AA7B80" w:rsidRPr="00DE0C72">
        <w:rPr>
          <w:rFonts w:asciiTheme="minorHAnsi" w:hAnsiTheme="minorHAnsi"/>
          <w:lang w:val="en-US"/>
        </w:rPr>
        <w:t>.</w:t>
      </w:r>
      <w:r w:rsidR="00607C06" w:rsidRPr="00DE0C72">
        <w:rPr>
          <w:rFonts w:asciiTheme="minorHAnsi" w:hAnsiTheme="minorHAnsi"/>
          <w:lang w:val="en-US"/>
        </w:rPr>
        <w:t xml:space="preserve"> </w:t>
      </w:r>
    </w:p>
    <w:p w14:paraId="0E437CE7" w14:textId="511DF900" w:rsidR="008E66AC" w:rsidRDefault="00A50FD7">
      <w:pPr>
        <w:pStyle w:val="ListParagraph"/>
        <w:keepNext/>
        <w:keepLines/>
        <w:numPr>
          <w:ilvl w:val="1"/>
          <w:numId w:val="4"/>
        </w:numPr>
        <w:ind w:left="1080"/>
        <w:jc w:val="both"/>
        <w:rPr>
          <w:lang w:val="en-US"/>
        </w:rPr>
      </w:pPr>
      <w:r w:rsidRPr="00DE0C72">
        <w:rPr>
          <w:rFonts w:asciiTheme="minorHAnsi" w:hAnsiTheme="minorHAnsi"/>
          <w:lang w:val="en-US"/>
        </w:rPr>
        <w:t>Restart</w:t>
      </w:r>
      <w:r w:rsidR="00E4704E">
        <w:rPr>
          <w:rFonts w:asciiTheme="minorHAnsi" w:hAnsiTheme="minorHAnsi"/>
          <w:lang w:val="en-US"/>
        </w:rPr>
        <w:t xml:space="preserve"> linezolid</w:t>
      </w:r>
      <w:r w:rsidRPr="00DE0C72">
        <w:rPr>
          <w:rFonts w:asciiTheme="minorHAnsi" w:hAnsiTheme="minorHAnsi"/>
          <w:lang w:val="en-US"/>
        </w:rPr>
        <w:t xml:space="preserve"> at reduced dose </w:t>
      </w:r>
      <w:r w:rsidRPr="00DE0C72">
        <w:rPr>
          <w:lang w:val="en-US"/>
        </w:rPr>
        <w:t>once toxicity has decreased to Grade 1.</w:t>
      </w:r>
    </w:p>
    <w:p w14:paraId="117E4E5B" w14:textId="1329818D" w:rsidR="00A50FD7" w:rsidRPr="00681907" w:rsidRDefault="00E4704E">
      <w:pPr>
        <w:pStyle w:val="ListParagraph"/>
        <w:keepNext/>
        <w:keepLines/>
        <w:numPr>
          <w:ilvl w:val="1"/>
          <w:numId w:val="4"/>
        </w:numPr>
        <w:ind w:left="1080"/>
        <w:jc w:val="both"/>
        <w:rPr>
          <w:lang w:val="en-US"/>
        </w:rPr>
      </w:pPr>
      <w:r>
        <w:rPr>
          <w:lang w:val="en-US"/>
        </w:rPr>
        <w:t>The dose reduction strategy is defined by balanced randomization</w:t>
      </w:r>
      <w:r w:rsidR="003F1AEB" w:rsidRPr="003F1AEB">
        <w:rPr>
          <w:lang w:val="en-US"/>
        </w:rPr>
        <w:t xml:space="preserve"> </w:t>
      </w:r>
      <w:r w:rsidR="003F1AEB">
        <w:rPr>
          <w:lang w:val="en-US"/>
        </w:rPr>
        <w:t xml:space="preserve">for </w:t>
      </w:r>
      <w:r w:rsidR="00531404">
        <w:rPr>
          <w:lang w:val="en-US"/>
        </w:rPr>
        <w:t>linezolid-containing</w:t>
      </w:r>
      <w:r w:rsidR="003F1AEB">
        <w:rPr>
          <w:lang w:val="en-US"/>
        </w:rPr>
        <w:t xml:space="preserve"> experimental arms</w:t>
      </w:r>
      <w:r>
        <w:rPr>
          <w:lang w:val="en-US"/>
        </w:rPr>
        <w:t>.</w:t>
      </w:r>
    </w:p>
    <w:p w14:paraId="2A1187A2" w14:textId="3B0A827A" w:rsidR="00600C63" w:rsidRPr="00681907" w:rsidRDefault="00600C63" w:rsidP="00DA566E">
      <w:pPr>
        <w:pStyle w:val="ListParagraph"/>
        <w:keepNext/>
        <w:keepLines/>
        <w:numPr>
          <w:ilvl w:val="0"/>
          <w:numId w:val="4"/>
        </w:numPr>
        <w:jc w:val="both"/>
        <w:rPr>
          <w:lang w:val="en-US"/>
        </w:rPr>
      </w:pPr>
      <w:r w:rsidRPr="00681907">
        <w:rPr>
          <w:b/>
          <w:lang w:val="en-US"/>
        </w:rPr>
        <w:t xml:space="preserve">Grade 4: </w:t>
      </w:r>
    </w:p>
    <w:p w14:paraId="7D8D179B" w14:textId="77777777" w:rsidR="00600C63" w:rsidRPr="00DE0C72" w:rsidRDefault="00600C63">
      <w:pPr>
        <w:pStyle w:val="ListParagraph"/>
        <w:keepNext/>
        <w:keepLines/>
        <w:numPr>
          <w:ilvl w:val="1"/>
          <w:numId w:val="4"/>
        </w:numPr>
        <w:spacing w:after="0"/>
        <w:ind w:left="1080"/>
        <w:jc w:val="both"/>
        <w:rPr>
          <w:lang w:val="en-US"/>
        </w:rPr>
      </w:pPr>
      <w:r w:rsidRPr="00DE0C72">
        <w:rPr>
          <w:lang w:val="en-US"/>
        </w:rPr>
        <w:t>Stop linezolid immediately and any other potential myelosuppressive drugs, monitor FBC twice weekly.</w:t>
      </w:r>
    </w:p>
    <w:p w14:paraId="28CF99A2" w14:textId="632FD5B5" w:rsidR="00600C63" w:rsidRPr="00DE0C72" w:rsidRDefault="00600C63">
      <w:pPr>
        <w:pStyle w:val="ListParagraph"/>
        <w:keepNext/>
        <w:keepLines/>
        <w:numPr>
          <w:ilvl w:val="1"/>
          <w:numId w:val="4"/>
        </w:numPr>
        <w:spacing w:after="0"/>
        <w:ind w:left="1080"/>
        <w:jc w:val="both"/>
        <w:rPr>
          <w:rFonts w:asciiTheme="minorHAnsi" w:hAnsiTheme="minorHAnsi"/>
          <w:lang w:val="en-US"/>
        </w:rPr>
      </w:pPr>
      <w:r w:rsidRPr="00DE0C72">
        <w:rPr>
          <w:lang w:val="en-US"/>
        </w:rPr>
        <w:t>Consider h</w:t>
      </w:r>
      <w:r w:rsidRPr="00DE0C72">
        <w:rPr>
          <w:rFonts w:asciiTheme="minorHAnsi" w:hAnsiTheme="minorHAnsi"/>
          <w:lang w:val="en-US"/>
        </w:rPr>
        <w:t>ospitalization</w:t>
      </w:r>
      <w:r w:rsidR="00F259AC">
        <w:rPr>
          <w:rFonts w:asciiTheme="minorHAnsi" w:hAnsiTheme="minorHAnsi"/>
          <w:lang w:val="en-US"/>
        </w:rPr>
        <w:t xml:space="preserve"> and, </w:t>
      </w:r>
      <w:r w:rsidR="00D01A24">
        <w:rPr>
          <w:rFonts w:asciiTheme="minorHAnsi" w:hAnsiTheme="minorHAnsi"/>
          <w:lang w:val="en-US"/>
        </w:rPr>
        <w:t>i</w:t>
      </w:r>
      <w:r w:rsidR="00F259AC">
        <w:rPr>
          <w:rFonts w:asciiTheme="minorHAnsi" w:hAnsiTheme="minorHAnsi"/>
          <w:lang w:val="en-US"/>
        </w:rPr>
        <w:t>n case of anemia</w:t>
      </w:r>
      <w:r w:rsidRPr="00DE0C72">
        <w:rPr>
          <w:rFonts w:asciiTheme="minorHAnsi" w:hAnsiTheme="minorHAnsi"/>
          <w:lang w:val="en-US"/>
        </w:rPr>
        <w:t xml:space="preserve"> erythropoietin (EPO) administration and blood transfusion according to patient’s conditions and the dynamics of the myelosuppression. </w:t>
      </w:r>
    </w:p>
    <w:p w14:paraId="3F1BB224" w14:textId="264C48C2" w:rsidR="003F68C7" w:rsidRDefault="00E4704E">
      <w:pPr>
        <w:pStyle w:val="ListParagraph"/>
        <w:keepNext/>
        <w:keepLines/>
        <w:numPr>
          <w:ilvl w:val="1"/>
          <w:numId w:val="4"/>
        </w:numPr>
        <w:ind w:left="1080"/>
        <w:jc w:val="both"/>
        <w:rPr>
          <w:lang w:val="en-US"/>
        </w:rPr>
      </w:pPr>
      <w:r>
        <w:rPr>
          <w:rFonts w:asciiTheme="minorHAnsi" w:hAnsiTheme="minorHAnsi"/>
          <w:lang w:val="en-US"/>
        </w:rPr>
        <w:t>Restart</w:t>
      </w:r>
      <w:r w:rsidR="00600C63" w:rsidRPr="00DE0C72">
        <w:rPr>
          <w:rFonts w:asciiTheme="minorHAnsi" w:hAnsiTheme="minorHAnsi"/>
          <w:lang w:val="en-US"/>
        </w:rPr>
        <w:t xml:space="preserve"> </w:t>
      </w:r>
      <w:r>
        <w:rPr>
          <w:rFonts w:asciiTheme="minorHAnsi" w:hAnsiTheme="minorHAnsi"/>
          <w:lang w:val="en-US"/>
        </w:rPr>
        <w:t>linezolid</w:t>
      </w:r>
      <w:r w:rsidR="00600C63" w:rsidRPr="00DE0C72">
        <w:rPr>
          <w:rFonts w:asciiTheme="minorHAnsi" w:hAnsiTheme="minorHAnsi"/>
          <w:lang w:val="en-US"/>
        </w:rPr>
        <w:t xml:space="preserve"> </w:t>
      </w:r>
      <w:r>
        <w:rPr>
          <w:rFonts w:asciiTheme="minorHAnsi" w:hAnsiTheme="minorHAnsi"/>
          <w:lang w:val="en-US"/>
        </w:rPr>
        <w:t>at reduced dose once toxicity has decreased to Grade 1 or less.</w:t>
      </w:r>
    </w:p>
    <w:p w14:paraId="7FB6FCEA" w14:textId="5CB8A89C" w:rsidR="00600C63" w:rsidRPr="00681907" w:rsidRDefault="00E4704E">
      <w:pPr>
        <w:pStyle w:val="ListParagraph"/>
        <w:keepNext/>
        <w:keepLines/>
        <w:numPr>
          <w:ilvl w:val="1"/>
          <w:numId w:val="4"/>
        </w:numPr>
        <w:ind w:left="1080"/>
        <w:jc w:val="both"/>
        <w:rPr>
          <w:lang w:val="en-US"/>
        </w:rPr>
      </w:pPr>
      <w:r>
        <w:rPr>
          <w:lang w:val="en-US"/>
        </w:rPr>
        <w:t>The dose reduction strategy is defined by balanced randomization</w:t>
      </w:r>
      <w:r w:rsidR="00C042B9" w:rsidRPr="00C042B9">
        <w:rPr>
          <w:lang w:val="en-US"/>
        </w:rPr>
        <w:t xml:space="preserve"> </w:t>
      </w:r>
      <w:r w:rsidR="00C042B9">
        <w:rPr>
          <w:lang w:val="en-US"/>
        </w:rPr>
        <w:t xml:space="preserve">for </w:t>
      </w:r>
      <w:r w:rsidR="00531404">
        <w:rPr>
          <w:lang w:val="en-US"/>
        </w:rPr>
        <w:t>linezolid-containing</w:t>
      </w:r>
      <w:r w:rsidR="00C042B9">
        <w:rPr>
          <w:lang w:val="en-US"/>
        </w:rPr>
        <w:t xml:space="preserve"> experimental arms</w:t>
      </w:r>
      <w:r>
        <w:rPr>
          <w:lang w:val="en-US"/>
        </w:rPr>
        <w:t>.</w:t>
      </w:r>
    </w:p>
    <w:p w14:paraId="634DB1CE" w14:textId="77777777" w:rsidR="000D0170" w:rsidRPr="00681907" w:rsidRDefault="00A50FD7" w:rsidP="00462589">
      <w:pPr>
        <w:keepNext/>
        <w:keepLines/>
        <w:spacing w:line="240" w:lineRule="auto"/>
        <w:ind w:left="720" w:firstLine="360"/>
        <w:jc w:val="both"/>
        <w:rPr>
          <w:rFonts w:asciiTheme="minorHAnsi" w:hAnsiTheme="minorHAnsi"/>
          <w:lang w:val="en-US"/>
        </w:rPr>
      </w:pPr>
      <w:r w:rsidRPr="00681907">
        <w:rPr>
          <w:rFonts w:asciiTheme="minorHAnsi" w:hAnsiTheme="minorHAnsi"/>
          <w:lang w:val="en-US"/>
        </w:rPr>
        <w:t>In all patients experiencing myelosuppression</w:t>
      </w:r>
      <w:r w:rsidR="000D0170" w:rsidRPr="00681907">
        <w:rPr>
          <w:rFonts w:asciiTheme="minorHAnsi" w:hAnsiTheme="minorHAnsi"/>
          <w:lang w:val="en-US"/>
        </w:rPr>
        <w:t xml:space="preserve">: </w:t>
      </w:r>
    </w:p>
    <w:p w14:paraId="347AF4A9" w14:textId="298298B2" w:rsidR="000D0170" w:rsidRPr="00681907" w:rsidRDefault="000D0170" w:rsidP="00227A9F">
      <w:pPr>
        <w:pStyle w:val="ListParagraph"/>
        <w:keepNext/>
        <w:keepLines/>
        <w:numPr>
          <w:ilvl w:val="0"/>
          <w:numId w:val="10"/>
        </w:numPr>
        <w:autoSpaceDE w:val="0"/>
        <w:autoSpaceDN w:val="0"/>
        <w:adjustRightInd w:val="0"/>
        <w:spacing w:after="0"/>
        <w:ind w:left="1440"/>
        <w:jc w:val="both"/>
        <w:rPr>
          <w:rFonts w:asciiTheme="minorHAnsi" w:hAnsiTheme="minorHAnsi" w:cs="Cambria"/>
          <w:lang w:val="en-US"/>
        </w:rPr>
      </w:pPr>
      <w:r w:rsidRPr="00681907">
        <w:rPr>
          <w:rFonts w:asciiTheme="minorHAnsi" w:hAnsiTheme="minorHAnsi"/>
          <w:lang w:val="en-US"/>
        </w:rPr>
        <w:t xml:space="preserve">check if the patient receives other drugs that may increase the risk of myelosuppression (e.g. </w:t>
      </w:r>
      <w:r w:rsidR="00607C06" w:rsidRPr="00681907">
        <w:rPr>
          <w:rFonts w:asciiTheme="minorHAnsi" w:hAnsiTheme="minorHAnsi" w:cs="Cambria"/>
          <w:lang w:val="en-US"/>
        </w:rPr>
        <w:t>zidovudine</w:t>
      </w:r>
      <w:r w:rsidR="008C1972" w:rsidRPr="00681907">
        <w:rPr>
          <w:rFonts w:asciiTheme="minorHAnsi" w:hAnsiTheme="minorHAnsi" w:cs="Cambria"/>
          <w:lang w:val="en-US"/>
        </w:rPr>
        <w:t xml:space="preserve"> and cotrimoxazole</w:t>
      </w:r>
      <w:r w:rsidRPr="00681907">
        <w:rPr>
          <w:rFonts w:asciiTheme="minorHAnsi" w:hAnsiTheme="minorHAnsi" w:cs="Cambria"/>
          <w:lang w:val="en-US"/>
        </w:rPr>
        <w:t xml:space="preserve">) and if </w:t>
      </w:r>
      <w:r w:rsidR="00D4672D" w:rsidRPr="00681907">
        <w:rPr>
          <w:rFonts w:asciiTheme="minorHAnsi" w:hAnsiTheme="minorHAnsi" w:cs="Cambria"/>
          <w:lang w:val="en-US"/>
        </w:rPr>
        <w:t>this is</w:t>
      </w:r>
      <w:r w:rsidRPr="00681907">
        <w:rPr>
          <w:rFonts w:asciiTheme="minorHAnsi" w:hAnsiTheme="minorHAnsi" w:cs="Cambria"/>
          <w:lang w:val="en-US"/>
        </w:rPr>
        <w:t xml:space="preserve"> the case stop the drug(s) if possible</w:t>
      </w:r>
      <w:r w:rsidR="00024FF0" w:rsidRPr="00681907">
        <w:rPr>
          <w:rFonts w:asciiTheme="minorHAnsi" w:hAnsiTheme="minorHAnsi" w:cs="Cambria"/>
          <w:lang w:val="en-US"/>
        </w:rPr>
        <w:t>;</w:t>
      </w:r>
      <w:r w:rsidR="00607C06" w:rsidRPr="00681907">
        <w:rPr>
          <w:rFonts w:asciiTheme="minorHAnsi" w:hAnsiTheme="minorHAnsi" w:cs="Cambria"/>
          <w:lang w:val="en-US"/>
        </w:rPr>
        <w:t xml:space="preserve"> zidovudine can be replaced by tenofovir</w:t>
      </w:r>
      <w:r w:rsidR="00E46E8F">
        <w:rPr>
          <w:rFonts w:asciiTheme="minorHAnsi" w:hAnsiTheme="minorHAnsi" w:cs="Cambria"/>
          <w:lang w:val="en-US"/>
        </w:rPr>
        <w:t xml:space="preserve"> or abacavir</w:t>
      </w:r>
      <w:r w:rsidR="00AC3BAC">
        <w:rPr>
          <w:rFonts w:asciiTheme="minorHAnsi" w:hAnsiTheme="minorHAnsi" w:cs="Cambria"/>
          <w:lang w:val="en-US"/>
        </w:rPr>
        <w:t xml:space="preserve"> (if HLA*B5701 negative),</w:t>
      </w:r>
      <w:r w:rsidR="00607C06" w:rsidRPr="00681907">
        <w:rPr>
          <w:rFonts w:asciiTheme="minorHAnsi" w:hAnsiTheme="minorHAnsi" w:cs="Cambria"/>
          <w:lang w:val="en-US"/>
        </w:rPr>
        <w:t xml:space="preserve"> and cotrimoxazole by dapsone</w:t>
      </w:r>
      <w:r w:rsidR="00C609FB" w:rsidRPr="00681907">
        <w:rPr>
          <w:rFonts w:asciiTheme="minorHAnsi" w:hAnsiTheme="minorHAnsi" w:cs="Cambria"/>
          <w:lang w:val="en-US"/>
        </w:rPr>
        <w:t>;</w:t>
      </w:r>
    </w:p>
    <w:p w14:paraId="602CC169" w14:textId="6F951ABF" w:rsidR="000D0170" w:rsidRPr="00681907" w:rsidRDefault="000D0170" w:rsidP="00227A9F">
      <w:pPr>
        <w:pStyle w:val="ListParagraph"/>
        <w:keepNext/>
        <w:keepLines/>
        <w:numPr>
          <w:ilvl w:val="0"/>
          <w:numId w:val="10"/>
        </w:numPr>
        <w:autoSpaceDE w:val="0"/>
        <w:autoSpaceDN w:val="0"/>
        <w:adjustRightInd w:val="0"/>
        <w:spacing w:after="0"/>
        <w:ind w:left="1440"/>
        <w:jc w:val="both"/>
        <w:rPr>
          <w:rFonts w:asciiTheme="minorHAnsi" w:hAnsiTheme="minorHAnsi"/>
          <w:lang w:val="en-US"/>
        </w:rPr>
      </w:pPr>
      <w:r w:rsidRPr="00681907">
        <w:rPr>
          <w:rFonts w:asciiTheme="minorHAnsi" w:hAnsiTheme="minorHAnsi"/>
          <w:lang w:val="en-US"/>
        </w:rPr>
        <w:t xml:space="preserve">rule out or treat </w:t>
      </w:r>
      <w:r w:rsidR="00024FF0" w:rsidRPr="00681907">
        <w:rPr>
          <w:rFonts w:asciiTheme="minorHAnsi" w:hAnsiTheme="minorHAnsi"/>
          <w:lang w:val="en-US"/>
        </w:rPr>
        <w:t xml:space="preserve">any </w:t>
      </w:r>
      <w:r w:rsidRPr="00681907">
        <w:rPr>
          <w:rFonts w:asciiTheme="minorHAnsi" w:hAnsiTheme="minorHAnsi"/>
          <w:lang w:val="en-US"/>
        </w:rPr>
        <w:t>o</w:t>
      </w:r>
      <w:r w:rsidRPr="00681907">
        <w:rPr>
          <w:rFonts w:asciiTheme="minorHAnsi" w:hAnsiTheme="minorHAnsi" w:cs="Cambria"/>
          <w:lang w:val="en-US"/>
        </w:rPr>
        <w:t>ther causes of anemia</w:t>
      </w:r>
      <w:r w:rsidR="00C609FB" w:rsidRPr="00681907">
        <w:rPr>
          <w:rFonts w:asciiTheme="minorHAnsi" w:hAnsiTheme="minorHAnsi" w:cs="Cambria"/>
          <w:lang w:val="en-US"/>
        </w:rPr>
        <w:t>;</w:t>
      </w:r>
    </w:p>
    <w:p w14:paraId="693C3ED3" w14:textId="52E24418" w:rsidR="00815252" w:rsidRPr="00681907" w:rsidRDefault="00815252" w:rsidP="00227A9F">
      <w:pPr>
        <w:pStyle w:val="ListParagraph"/>
        <w:keepNext/>
        <w:keepLines/>
        <w:numPr>
          <w:ilvl w:val="0"/>
          <w:numId w:val="10"/>
        </w:numPr>
        <w:autoSpaceDE w:val="0"/>
        <w:autoSpaceDN w:val="0"/>
        <w:adjustRightInd w:val="0"/>
        <w:spacing w:after="0"/>
        <w:ind w:left="1440"/>
        <w:jc w:val="both"/>
        <w:rPr>
          <w:rFonts w:asciiTheme="minorHAnsi" w:hAnsiTheme="minorHAnsi"/>
          <w:lang w:val="en-US"/>
        </w:rPr>
      </w:pPr>
      <w:r w:rsidRPr="00681907">
        <w:rPr>
          <w:lang w:val="en-US"/>
        </w:rPr>
        <w:t>a</w:t>
      </w:r>
      <w:r w:rsidRPr="00DE0C72">
        <w:rPr>
          <w:lang w:val="en-US"/>
        </w:rPr>
        <w:t>ll patients taking linezolid should also be receiving at least 50 mg of pyridoxine daily</w:t>
      </w:r>
      <w:r w:rsidR="004C1D23">
        <w:rPr>
          <w:lang w:val="en-US"/>
        </w:rPr>
        <w:t xml:space="preserve"> to prevent peripheral neuropathy</w:t>
      </w:r>
      <w:r w:rsidRPr="00DE0C72">
        <w:rPr>
          <w:lang w:val="en-US"/>
        </w:rPr>
        <w:t>.</w:t>
      </w:r>
    </w:p>
    <w:p w14:paraId="1FB46766" w14:textId="297EE16A" w:rsidR="00A07997" w:rsidRPr="00681907" w:rsidRDefault="00A07997" w:rsidP="00462589">
      <w:pPr>
        <w:keepNext/>
        <w:keepLines/>
        <w:spacing w:line="240" w:lineRule="auto"/>
        <w:jc w:val="both"/>
        <w:rPr>
          <w:b/>
          <w:lang w:val="en-US"/>
        </w:rPr>
      </w:pPr>
    </w:p>
    <w:p w14:paraId="4955FA17" w14:textId="6A89147E" w:rsidR="000230D9" w:rsidRPr="00681907" w:rsidRDefault="000230D9" w:rsidP="00462589">
      <w:pPr>
        <w:pStyle w:val="Heading4"/>
        <w:spacing w:before="0" w:after="120" w:line="240" w:lineRule="auto"/>
        <w:jc w:val="both"/>
        <w:rPr>
          <w:lang w:val="en-US"/>
        </w:rPr>
      </w:pPr>
      <w:r w:rsidRPr="00681907">
        <w:rPr>
          <w:lang w:val="en-US"/>
        </w:rPr>
        <w:t>Management of QT interval prolongation</w:t>
      </w:r>
      <w:r w:rsidR="0026105F">
        <w:rPr>
          <w:lang w:val="en-US"/>
        </w:rPr>
        <w:t xml:space="preserve"> and/or arrhythmia</w:t>
      </w:r>
    </w:p>
    <w:p w14:paraId="6A671E93" w14:textId="12496F29" w:rsidR="003D240C" w:rsidRPr="00DE0C72" w:rsidRDefault="003D240C" w:rsidP="00872746">
      <w:pPr>
        <w:keepNext/>
        <w:keepLines/>
        <w:jc w:val="both"/>
        <w:rPr>
          <w:lang w:val="en-US"/>
        </w:rPr>
      </w:pPr>
      <w:r w:rsidRPr="00681907">
        <w:rPr>
          <w:b/>
          <w:i/>
          <w:lang w:val="en-US"/>
        </w:rPr>
        <w:t>Suspected anti-TB drugs (from most likely to less likely responsible):</w:t>
      </w:r>
      <w:r w:rsidRPr="00DE0C72">
        <w:rPr>
          <w:b/>
          <w:lang w:val="en-US"/>
        </w:rPr>
        <w:t xml:space="preserve"> </w:t>
      </w:r>
      <w:r w:rsidR="00866358">
        <w:rPr>
          <w:b/>
          <w:lang w:val="en-US"/>
        </w:rPr>
        <w:t>Mfx</w:t>
      </w:r>
      <w:r w:rsidRPr="00DE0C72">
        <w:rPr>
          <w:b/>
          <w:lang w:val="en-US"/>
        </w:rPr>
        <w:t xml:space="preserve">, </w:t>
      </w:r>
      <w:r w:rsidR="009701EE">
        <w:rPr>
          <w:b/>
          <w:lang w:val="en-US"/>
        </w:rPr>
        <w:t>Cfz</w:t>
      </w:r>
      <w:r w:rsidR="009701EE" w:rsidRPr="00DE0C72">
        <w:rPr>
          <w:b/>
          <w:lang w:val="en-US"/>
        </w:rPr>
        <w:t xml:space="preserve">, </w:t>
      </w:r>
      <w:r w:rsidRPr="00DE0C72">
        <w:rPr>
          <w:b/>
          <w:lang w:val="en-US"/>
        </w:rPr>
        <w:t>Bdq, Dlm, Lfx</w:t>
      </w:r>
      <w:r w:rsidRPr="00DE0C72">
        <w:rPr>
          <w:lang w:val="en-US"/>
        </w:rPr>
        <w:t xml:space="preserve">  </w:t>
      </w:r>
    </w:p>
    <w:p w14:paraId="37706FF1" w14:textId="77777777" w:rsidR="005849AD" w:rsidRDefault="00BF6BA9" w:rsidP="00462589">
      <w:pPr>
        <w:keepNext/>
        <w:keepLines/>
        <w:spacing w:line="240" w:lineRule="auto"/>
        <w:jc w:val="both"/>
        <w:rPr>
          <w:lang w:val="en-US"/>
        </w:rPr>
      </w:pPr>
      <w:r w:rsidRPr="00DE0C72">
        <w:rPr>
          <w:b/>
          <w:lang w:val="en-US"/>
        </w:rPr>
        <w:t xml:space="preserve">Possible other causes: </w:t>
      </w:r>
      <w:r w:rsidRPr="00DE0C72">
        <w:rPr>
          <w:lang w:val="en-US"/>
        </w:rPr>
        <w:t xml:space="preserve">Many other drugs can cause QT prolongation (e.g. erythromycin, clarithromycin, quinidine, ketoconazole, fluconazole, antipsychotics </w:t>
      </w:r>
      <w:r w:rsidR="00897E4D" w:rsidRPr="00DE0C72">
        <w:rPr>
          <w:lang w:val="en-US"/>
        </w:rPr>
        <w:t>[</w:t>
      </w:r>
      <w:r w:rsidRPr="00DE0C72">
        <w:rPr>
          <w:lang w:val="en-US"/>
        </w:rPr>
        <w:t>all have some risk including haloperidol, chlorpromazine and risperidone</w:t>
      </w:r>
      <w:r w:rsidR="00897E4D" w:rsidRPr="00DE0C72">
        <w:rPr>
          <w:lang w:val="en-US"/>
        </w:rPr>
        <w:t>]</w:t>
      </w:r>
      <w:r w:rsidRPr="00DE0C72">
        <w:rPr>
          <w:lang w:val="en-US"/>
        </w:rPr>
        <w:t xml:space="preserve">, many anti-nausea drugs </w:t>
      </w:r>
      <w:r w:rsidR="00897E4D" w:rsidRPr="00DE0C72">
        <w:rPr>
          <w:lang w:val="en-US"/>
        </w:rPr>
        <w:t>[</w:t>
      </w:r>
      <w:r w:rsidRPr="00DE0C72">
        <w:rPr>
          <w:lang w:val="en-US"/>
        </w:rPr>
        <w:t>ondansetron/granisetron, domperidone</w:t>
      </w:r>
      <w:r w:rsidR="00897E4D" w:rsidRPr="00DE0C72">
        <w:rPr>
          <w:lang w:val="en-US"/>
        </w:rPr>
        <w:t>]</w:t>
      </w:r>
      <w:r w:rsidRPr="00DE0C72">
        <w:rPr>
          <w:lang w:val="en-US"/>
        </w:rPr>
        <w:t>, methadone, and some antiretrovirals); genetic causes such as long QT syndrome; hypothyroidism.</w:t>
      </w:r>
    </w:p>
    <w:p w14:paraId="43ED89E8" w14:textId="6B8743AE" w:rsidR="00897E4D" w:rsidRPr="00DE0C72" w:rsidRDefault="00C63963" w:rsidP="003A5830">
      <w:pPr>
        <w:keepNext/>
        <w:keepLines/>
        <w:spacing w:line="240" w:lineRule="auto"/>
        <w:jc w:val="both"/>
        <w:rPr>
          <w:lang w:val="en-US"/>
        </w:rPr>
      </w:pPr>
      <w:r>
        <w:rPr>
          <w:lang w:val="en-US"/>
        </w:rPr>
        <w:t xml:space="preserve">Also see sections 5.2.8, 5.2.10 and 5.2.11 for QT prolongation related to hypokalemia, hypocalcemia and hypothyroidism, respectively. </w:t>
      </w:r>
    </w:p>
    <w:p w14:paraId="760D3E3A" w14:textId="1E15F923" w:rsidR="00897E4D" w:rsidRPr="00DE0C72" w:rsidRDefault="00897E4D" w:rsidP="00462589">
      <w:pPr>
        <w:keepNext/>
        <w:keepLines/>
        <w:spacing w:line="240" w:lineRule="auto"/>
        <w:jc w:val="both"/>
        <w:rPr>
          <w:b/>
          <w:lang w:val="en-US"/>
        </w:rPr>
      </w:pPr>
      <w:r w:rsidRPr="00DE0C72">
        <w:rPr>
          <w:b/>
          <w:lang w:val="en-US"/>
        </w:rPr>
        <w:t>Signs and symptoms of serious arrhythmia:</w:t>
      </w:r>
      <w:r w:rsidRPr="00DE0C72">
        <w:rPr>
          <w:lang w:val="en-US"/>
        </w:rPr>
        <w:t xml:space="preserve"> The definition for a Grade 4 adverse event associated with QT prolongation includes “signs/symptoms” of serious arrhythmia (</w:t>
      </w:r>
      <w:r w:rsidRPr="00681907">
        <w:rPr>
          <w:bCs/>
          <w:iCs/>
          <w:lang w:val="en-US"/>
        </w:rPr>
        <w:t xml:space="preserve">see </w:t>
      </w:r>
      <w:r w:rsidRPr="00681907">
        <w:rPr>
          <w:b/>
          <w:bCs/>
          <w:i/>
          <w:iCs/>
          <w:lang w:val="en-US"/>
        </w:rPr>
        <w:t>SOP SP-008-</w:t>
      </w:r>
      <w:r w:rsidR="00E871FC">
        <w:rPr>
          <w:b/>
          <w:bCs/>
          <w:i/>
          <w:iCs/>
          <w:lang w:val="en-US"/>
        </w:rPr>
        <w:t>C</w:t>
      </w:r>
      <w:r w:rsidRPr="00681907">
        <w:rPr>
          <w:b/>
          <w:bCs/>
          <w:i/>
          <w:iCs/>
          <w:lang w:val="en-US"/>
        </w:rPr>
        <w:t>T</w:t>
      </w:r>
      <w:r w:rsidRPr="00681907">
        <w:rPr>
          <w:bCs/>
          <w:iCs/>
          <w:lang w:val="en-US"/>
        </w:rPr>
        <w:t xml:space="preserve"> on </w:t>
      </w:r>
      <w:r w:rsidRPr="00681907">
        <w:rPr>
          <w:b/>
          <w:bCs/>
          <w:i/>
          <w:iCs/>
          <w:lang w:val="en-US"/>
        </w:rPr>
        <w:t>ECG Reading</w:t>
      </w:r>
      <w:r w:rsidRPr="00681907">
        <w:rPr>
          <w:bCs/>
          <w:iCs/>
          <w:lang w:val="en-US"/>
        </w:rPr>
        <w:t xml:space="preserve"> for QT measurement). Listed below are signs and symptoms that are concerning for serious arrhythmia:</w:t>
      </w:r>
    </w:p>
    <w:p w14:paraId="751924FD" w14:textId="57B0AC01" w:rsidR="00897E4D" w:rsidRPr="00681907" w:rsidRDefault="00897E4D" w:rsidP="00F1254D">
      <w:pPr>
        <w:pStyle w:val="ListParagraph"/>
        <w:keepNext/>
        <w:keepLines/>
        <w:numPr>
          <w:ilvl w:val="0"/>
          <w:numId w:val="27"/>
        </w:numPr>
        <w:jc w:val="both"/>
        <w:rPr>
          <w:lang w:val="en-US"/>
        </w:rPr>
      </w:pPr>
      <w:r w:rsidRPr="00681907">
        <w:rPr>
          <w:lang w:val="en-US"/>
        </w:rPr>
        <w:lastRenderedPageBreak/>
        <w:t>Shock, hypotension, shortness of breath, chest pain, and/or decreased level of consciousness.</w:t>
      </w:r>
    </w:p>
    <w:p w14:paraId="60ACE9BB" w14:textId="77777777" w:rsidR="00897E4D" w:rsidRPr="00681907" w:rsidRDefault="00897E4D">
      <w:pPr>
        <w:pStyle w:val="ListParagraph"/>
        <w:keepNext/>
        <w:keepLines/>
        <w:numPr>
          <w:ilvl w:val="0"/>
          <w:numId w:val="27"/>
        </w:numPr>
        <w:jc w:val="both"/>
        <w:rPr>
          <w:lang w:val="en-US"/>
        </w:rPr>
      </w:pPr>
      <w:r w:rsidRPr="00681907">
        <w:rPr>
          <w:lang w:val="en-US"/>
        </w:rPr>
        <w:t>Unexplained sudden syncope without prodrome.</w:t>
      </w:r>
    </w:p>
    <w:p w14:paraId="7FB23266" w14:textId="65F9868A" w:rsidR="00897E4D" w:rsidRDefault="00897E4D">
      <w:pPr>
        <w:pStyle w:val="ListParagraph"/>
        <w:keepNext/>
        <w:keepLines/>
        <w:numPr>
          <w:ilvl w:val="0"/>
          <w:numId w:val="27"/>
        </w:numPr>
        <w:jc w:val="both"/>
        <w:rPr>
          <w:lang w:val="en-US"/>
        </w:rPr>
      </w:pPr>
      <w:r w:rsidRPr="00681907">
        <w:rPr>
          <w:lang w:val="en-US"/>
        </w:rPr>
        <w:t>Recurrent episodes of palpitations associated with lightheadedness or syncope (excluding patients with confirmed sinus tachycardia while symptomatic, as these patients are more likely to have an alternative contributing cause of rapid heart rate).</w:t>
      </w:r>
    </w:p>
    <w:p w14:paraId="30AB451C" w14:textId="6DA9ED46" w:rsidR="0026105F" w:rsidRPr="0026105F" w:rsidRDefault="0026105F" w:rsidP="00A535CA">
      <w:pPr>
        <w:keepNext/>
        <w:keepLines/>
        <w:spacing w:line="240" w:lineRule="auto"/>
        <w:jc w:val="both"/>
        <w:rPr>
          <w:lang w:val="en-US"/>
        </w:rPr>
      </w:pPr>
      <w:r w:rsidRPr="26798CA1">
        <w:rPr>
          <w:lang w:val="en-US"/>
        </w:rPr>
        <w:t xml:space="preserve">The presence of any of these signs or </w:t>
      </w:r>
      <w:r w:rsidR="5BC58E93" w:rsidRPr="26798CA1">
        <w:rPr>
          <w:lang w:val="en-US"/>
        </w:rPr>
        <w:t>symptoms</w:t>
      </w:r>
      <w:r w:rsidRPr="26798CA1">
        <w:rPr>
          <w:lang w:val="en-US"/>
        </w:rPr>
        <w:t xml:space="preserve"> should trigger an ECG and check of electrolytes</w:t>
      </w:r>
      <w:r w:rsidR="002F286D" w:rsidRPr="26798CA1">
        <w:rPr>
          <w:lang w:val="en-US"/>
        </w:rPr>
        <w:t xml:space="preserve">, in, addition to other diagnostic workup </w:t>
      </w:r>
      <w:r w:rsidR="00CA0C83" w:rsidRPr="26798CA1">
        <w:rPr>
          <w:lang w:val="en-US"/>
        </w:rPr>
        <w:t>as needed</w:t>
      </w:r>
      <w:r w:rsidRPr="26798CA1">
        <w:rPr>
          <w:lang w:val="en-US"/>
        </w:rPr>
        <w:t>.</w:t>
      </w:r>
    </w:p>
    <w:p w14:paraId="33953F95" w14:textId="49C0C3AB" w:rsidR="00047576" w:rsidRPr="00681907" w:rsidRDefault="00E32CF3" w:rsidP="00462589">
      <w:pPr>
        <w:keepNext/>
        <w:keepLines/>
        <w:spacing w:line="240" w:lineRule="auto"/>
        <w:jc w:val="both"/>
        <w:rPr>
          <w:lang w:val="en-US"/>
        </w:rPr>
      </w:pPr>
      <w:r w:rsidRPr="0021292E">
        <w:rPr>
          <w:b/>
          <w:i/>
          <w:lang w:val="en-US"/>
        </w:rPr>
        <w:t>Site</w:t>
      </w:r>
      <w:r w:rsidR="00ED12D6">
        <w:rPr>
          <w:b/>
          <w:i/>
          <w:lang w:val="en-US"/>
        </w:rPr>
        <w:t xml:space="preserve"> </w:t>
      </w:r>
      <w:r w:rsidRPr="0021292E">
        <w:rPr>
          <w:b/>
          <w:i/>
          <w:lang w:val="en-US"/>
        </w:rPr>
        <w:t>PI</w:t>
      </w:r>
      <w:r w:rsidRPr="003671A9">
        <w:rPr>
          <w:i/>
          <w:lang w:val="en-US"/>
        </w:rPr>
        <w:t xml:space="preserve"> or</w:t>
      </w:r>
      <w:r w:rsidR="00BF6BA9" w:rsidRPr="00DE0C72">
        <w:rPr>
          <w:lang w:val="en-US"/>
        </w:rPr>
        <w:t xml:space="preserve"> </w:t>
      </w:r>
      <w:r w:rsidR="003D240C" w:rsidRPr="00681907">
        <w:rPr>
          <w:b/>
          <w:i/>
          <w:lang w:val="en-US"/>
        </w:rPr>
        <w:t>Site</w:t>
      </w:r>
      <w:r w:rsidR="00ED12D6">
        <w:rPr>
          <w:b/>
          <w:i/>
          <w:lang w:val="en-US"/>
        </w:rPr>
        <w:t xml:space="preserve"> </w:t>
      </w:r>
      <w:r w:rsidR="003D240C" w:rsidRPr="00681907">
        <w:rPr>
          <w:b/>
          <w:i/>
          <w:lang w:val="en-US"/>
        </w:rPr>
        <w:t>C</w:t>
      </w:r>
      <w:r w:rsidR="00F65EA5" w:rsidRPr="00681907">
        <w:rPr>
          <w:b/>
          <w:i/>
          <w:lang w:val="en-US"/>
        </w:rPr>
        <w:t>I</w:t>
      </w:r>
      <w:r w:rsidR="000230D9" w:rsidRPr="00681907">
        <w:rPr>
          <w:lang w:val="en-US"/>
        </w:rPr>
        <w:t xml:space="preserve"> manage</w:t>
      </w:r>
      <w:r w:rsidR="003D240C" w:rsidRPr="00681907">
        <w:rPr>
          <w:lang w:val="en-US"/>
        </w:rPr>
        <w:t>s</w:t>
      </w:r>
      <w:r w:rsidR="000230D9" w:rsidRPr="00681907">
        <w:rPr>
          <w:lang w:val="en-US"/>
        </w:rPr>
        <w:t xml:space="preserve"> this AE according to its severity</w:t>
      </w:r>
      <w:r w:rsidR="00F629CC" w:rsidRPr="00681907">
        <w:rPr>
          <w:lang w:val="en-US"/>
        </w:rPr>
        <w:t xml:space="preserve"> </w:t>
      </w:r>
      <w:r w:rsidR="00F629CC" w:rsidRPr="00681907">
        <w:rPr>
          <w:b/>
          <w:bCs/>
          <w:i/>
          <w:iCs/>
          <w:lang w:val="en-US"/>
        </w:rPr>
        <w:t>(See SOP</w:t>
      </w:r>
      <w:r w:rsidR="000A7971" w:rsidRPr="00681907">
        <w:rPr>
          <w:b/>
          <w:bCs/>
          <w:i/>
          <w:iCs/>
          <w:lang w:val="en-US"/>
        </w:rPr>
        <w:t xml:space="preserve"> SP-008-</w:t>
      </w:r>
      <w:r w:rsidR="00E871FC">
        <w:rPr>
          <w:b/>
          <w:bCs/>
          <w:i/>
          <w:iCs/>
          <w:lang w:val="en-US"/>
        </w:rPr>
        <w:t>C</w:t>
      </w:r>
      <w:r w:rsidR="000A7971" w:rsidRPr="00681907">
        <w:rPr>
          <w:b/>
          <w:bCs/>
          <w:i/>
          <w:iCs/>
          <w:lang w:val="en-US"/>
        </w:rPr>
        <w:t xml:space="preserve">T </w:t>
      </w:r>
      <w:r w:rsidR="00897E4D" w:rsidRPr="00681907">
        <w:rPr>
          <w:bCs/>
          <w:iCs/>
          <w:lang w:val="en-US"/>
        </w:rPr>
        <w:t>on</w:t>
      </w:r>
      <w:r w:rsidR="00897E4D" w:rsidRPr="00681907">
        <w:rPr>
          <w:b/>
          <w:bCs/>
          <w:i/>
          <w:iCs/>
          <w:lang w:val="en-US"/>
        </w:rPr>
        <w:t xml:space="preserve"> </w:t>
      </w:r>
      <w:r w:rsidR="000A7971" w:rsidRPr="00681907">
        <w:rPr>
          <w:b/>
          <w:bCs/>
          <w:i/>
          <w:iCs/>
          <w:lang w:val="en-US"/>
        </w:rPr>
        <w:t>ECG Reading</w:t>
      </w:r>
      <w:r w:rsidR="00897E4D" w:rsidRPr="00681907">
        <w:rPr>
          <w:b/>
          <w:bCs/>
          <w:i/>
          <w:iCs/>
          <w:lang w:val="en-US"/>
        </w:rPr>
        <w:t xml:space="preserve"> </w:t>
      </w:r>
      <w:r w:rsidR="00897E4D" w:rsidRPr="00681907">
        <w:rPr>
          <w:bCs/>
          <w:iCs/>
          <w:lang w:val="en-US"/>
        </w:rPr>
        <w:t>for QT Measurement</w:t>
      </w:r>
      <w:r w:rsidR="00F629CC" w:rsidRPr="00681907">
        <w:rPr>
          <w:b/>
          <w:bCs/>
          <w:i/>
          <w:iCs/>
          <w:lang w:val="en-US"/>
        </w:rPr>
        <w:t>)</w:t>
      </w:r>
      <w:r w:rsidR="000230D9" w:rsidRPr="00681907">
        <w:rPr>
          <w:lang w:val="en-US"/>
        </w:rPr>
        <w:t>:</w:t>
      </w:r>
    </w:p>
    <w:p w14:paraId="6BEB878F" w14:textId="18FEBC47" w:rsidR="00897E4D" w:rsidRPr="00681907" w:rsidRDefault="00897E4D" w:rsidP="00F1254D">
      <w:pPr>
        <w:pStyle w:val="ListParagraph"/>
        <w:keepNext/>
        <w:keepLines/>
        <w:numPr>
          <w:ilvl w:val="0"/>
          <w:numId w:val="6"/>
        </w:numPr>
        <w:ind w:left="720"/>
        <w:jc w:val="both"/>
        <w:rPr>
          <w:b/>
          <w:i/>
          <w:lang w:val="en-US"/>
        </w:rPr>
      </w:pPr>
      <w:r w:rsidRPr="00681907">
        <w:rPr>
          <w:b/>
          <w:lang w:val="en-US"/>
        </w:rPr>
        <w:t xml:space="preserve">Grade 1: </w:t>
      </w:r>
      <w:r w:rsidRPr="00DE0C72">
        <w:rPr>
          <w:lang w:val="en-US"/>
        </w:rPr>
        <w:t>Monitor closely; perform ECG and electrolyte blood tests (potassium, calcium, magnesium, and albumin) at least weekly, repleting electrolytes as needed, until QT interval has returned to less than Grade 1.</w:t>
      </w:r>
    </w:p>
    <w:p w14:paraId="45BC6FDC" w14:textId="5F9F7059" w:rsidR="00897E4D" w:rsidRPr="00681907" w:rsidRDefault="00897E4D" w:rsidP="00F1254D">
      <w:pPr>
        <w:pStyle w:val="ListParagraph"/>
        <w:keepNext/>
        <w:keepLines/>
        <w:numPr>
          <w:ilvl w:val="0"/>
          <w:numId w:val="4"/>
        </w:numPr>
        <w:jc w:val="both"/>
        <w:rPr>
          <w:b/>
          <w:lang w:val="en-US"/>
        </w:rPr>
      </w:pPr>
      <w:r w:rsidRPr="00681907">
        <w:rPr>
          <w:b/>
          <w:lang w:val="en-US"/>
        </w:rPr>
        <w:t xml:space="preserve">Grade 2: </w:t>
      </w:r>
      <w:r w:rsidRPr="00DE0C72">
        <w:rPr>
          <w:lang w:val="en-US"/>
        </w:rPr>
        <w:t>Monitor closely; perform ECG and electrolyte blood tests (potassium, calcium, magnesium, and albumin) at least twice weekly, repleting electrolytes as needed, until QT interval has returned to Grade 1 or less.</w:t>
      </w:r>
    </w:p>
    <w:p w14:paraId="691C2EF3" w14:textId="77777777" w:rsidR="00897E4D" w:rsidRPr="00681907" w:rsidRDefault="00897E4D" w:rsidP="00A535CA">
      <w:pPr>
        <w:pStyle w:val="ListParagraph"/>
        <w:keepNext/>
        <w:keepLines/>
        <w:numPr>
          <w:ilvl w:val="0"/>
          <w:numId w:val="4"/>
        </w:numPr>
        <w:jc w:val="both"/>
        <w:rPr>
          <w:lang w:val="en-US"/>
        </w:rPr>
      </w:pPr>
      <w:r w:rsidRPr="00681907">
        <w:rPr>
          <w:b/>
          <w:lang w:val="en-US"/>
        </w:rPr>
        <w:t>Grade 3 and 4:</w:t>
      </w:r>
    </w:p>
    <w:p w14:paraId="79420CEC" w14:textId="77777777" w:rsidR="00897E4D" w:rsidRPr="00681907" w:rsidRDefault="00897E4D">
      <w:pPr>
        <w:pStyle w:val="ListParagraph"/>
        <w:keepNext/>
        <w:keepLines/>
        <w:numPr>
          <w:ilvl w:val="1"/>
          <w:numId w:val="4"/>
        </w:numPr>
        <w:ind w:left="1080"/>
        <w:jc w:val="both"/>
        <w:rPr>
          <w:lang w:val="en-US"/>
        </w:rPr>
      </w:pPr>
      <w:r w:rsidRPr="00DE0C72">
        <w:rPr>
          <w:lang w:val="en-US"/>
        </w:rPr>
        <w:t>Stop the suspected causative drug(s). Hospitalize if necessary.</w:t>
      </w:r>
    </w:p>
    <w:p w14:paraId="75F6A21B" w14:textId="31C67BF3" w:rsidR="00897E4D" w:rsidRPr="00DE0C72" w:rsidRDefault="00897E4D">
      <w:pPr>
        <w:pStyle w:val="ListParagraph"/>
        <w:keepNext/>
        <w:keepLines/>
        <w:numPr>
          <w:ilvl w:val="1"/>
          <w:numId w:val="4"/>
        </w:numPr>
        <w:ind w:left="1080"/>
        <w:jc w:val="both"/>
        <w:rPr>
          <w:lang w:val="en-US"/>
        </w:rPr>
      </w:pPr>
      <w:r w:rsidRPr="00DE0C72">
        <w:rPr>
          <w:lang w:val="en-US"/>
        </w:rPr>
        <w:t>Perform ECG and electrolyte blood tests (potassium, calcium, magnesium, and albumin) at least twice weekly, repleting electrolytes and hospitalizing as needed, until QT interval has returned to Grade 1 or less.</w:t>
      </w:r>
    </w:p>
    <w:p w14:paraId="11B5E710" w14:textId="77777777" w:rsidR="00897E4D" w:rsidRPr="00DE0C72" w:rsidRDefault="00897E4D">
      <w:pPr>
        <w:pStyle w:val="ListParagraph"/>
        <w:keepNext/>
        <w:keepLines/>
        <w:numPr>
          <w:ilvl w:val="1"/>
          <w:numId w:val="4"/>
        </w:numPr>
        <w:ind w:left="1080"/>
        <w:jc w:val="both"/>
        <w:rPr>
          <w:lang w:val="en-US"/>
        </w:rPr>
      </w:pPr>
      <w:r w:rsidRPr="00DE0C72">
        <w:rPr>
          <w:rFonts w:asciiTheme="minorHAnsi" w:eastAsiaTheme="minorHAnsi" w:hAnsiTheme="minorHAnsi" w:cs="Helvetica"/>
          <w:color w:val="262626"/>
          <w:szCs w:val="26"/>
          <w:lang w:val="en-US"/>
        </w:rPr>
        <w:t>If there are non-anti-TB medications which may contribute to prolonging the QT interval, then stop the non-anti-TB QT-prolonging medications.</w:t>
      </w:r>
    </w:p>
    <w:p w14:paraId="0A6E1108" w14:textId="77777777" w:rsidR="00897E4D" w:rsidRPr="00DE0C72" w:rsidRDefault="00897E4D">
      <w:pPr>
        <w:pStyle w:val="ListParagraph"/>
        <w:keepNext/>
        <w:keepLines/>
        <w:numPr>
          <w:ilvl w:val="1"/>
          <w:numId w:val="4"/>
        </w:numPr>
        <w:spacing w:after="0"/>
        <w:ind w:left="1080" w:hanging="357"/>
        <w:jc w:val="both"/>
        <w:rPr>
          <w:lang w:val="en-US"/>
        </w:rPr>
      </w:pPr>
      <w:r w:rsidRPr="00681907">
        <w:rPr>
          <w:lang w:val="en-US"/>
        </w:rPr>
        <w:t>Once the QT interval has returned to Grade 2 or less</w:t>
      </w:r>
      <w:r w:rsidRPr="00DE0C72">
        <w:rPr>
          <w:lang w:val="en-US"/>
        </w:rPr>
        <w:t>, critical QT prolonging anti-TB drugs can be added back:</w:t>
      </w:r>
    </w:p>
    <w:p w14:paraId="3B900692" w14:textId="77777777" w:rsidR="00897E4D" w:rsidRPr="00DE0C72" w:rsidRDefault="00897E4D">
      <w:pPr>
        <w:pStyle w:val="ListNumber"/>
        <w:keepNext/>
        <w:keepLines/>
        <w:numPr>
          <w:ilvl w:val="0"/>
          <w:numId w:val="12"/>
        </w:numPr>
        <w:spacing w:before="120" w:after="0" w:line="240" w:lineRule="auto"/>
        <w:ind w:left="1440" w:hanging="357"/>
        <w:contextualSpacing w:val="0"/>
        <w:jc w:val="both"/>
        <w:rPr>
          <w:lang w:val="en-US"/>
        </w:rPr>
      </w:pPr>
      <w:r w:rsidRPr="00DE0C72">
        <w:rPr>
          <w:lang w:val="en-US"/>
        </w:rPr>
        <w:t>If the patient was on moxifloxacin, consider using levofloxacin instead.</w:t>
      </w:r>
    </w:p>
    <w:p w14:paraId="2F586384" w14:textId="743F67C9" w:rsidR="00897E4D" w:rsidRPr="00DE0C72" w:rsidRDefault="00897E4D">
      <w:pPr>
        <w:pStyle w:val="ListNumber"/>
        <w:keepNext/>
        <w:keepLines/>
        <w:numPr>
          <w:ilvl w:val="0"/>
          <w:numId w:val="12"/>
        </w:numPr>
        <w:spacing w:before="120" w:after="0" w:line="240" w:lineRule="auto"/>
        <w:ind w:left="1440" w:hanging="357"/>
        <w:contextualSpacing w:val="0"/>
        <w:jc w:val="both"/>
        <w:rPr>
          <w:lang w:val="en-US"/>
        </w:rPr>
      </w:pPr>
      <w:r w:rsidRPr="00DE0C72">
        <w:rPr>
          <w:lang w:val="en-US"/>
        </w:rPr>
        <w:t>If the patient is on bedaquiline</w:t>
      </w:r>
      <w:r w:rsidR="00B66033">
        <w:rPr>
          <w:lang w:val="en-US"/>
        </w:rPr>
        <w:t>, clofazimine,</w:t>
      </w:r>
      <w:r w:rsidRPr="00DE0C72">
        <w:rPr>
          <w:lang w:val="en-US"/>
        </w:rPr>
        <w:t xml:space="preserve"> or delamanid</w:t>
      </w:r>
      <w:r w:rsidR="0012395D">
        <w:rPr>
          <w:lang w:val="en-US"/>
        </w:rPr>
        <w:t>,</w:t>
      </w:r>
      <w:r w:rsidRPr="00DE0C72">
        <w:rPr>
          <w:lang w:val="en-US"/>
        </w:rPr>
        <w:t xml:space="preserve"> and it is considered critical to the regimen, consider adding the drug back to the patient’s regimen while suspending all other QT prolonging drugs.</w:t>
      </w:r>
    </w:p>
    <w:p w14:paraId="1F87DC07" w14:textId="20B28DE1" w:rsidR="00372E20" w:rsidRDefault="00897E4D" w:rsidP="00462589">
      <w:pPr>
        <w:keepNext/>
        <w:keepLines/>
        <w:spacing w:after="0" w:line="240" w:lineRule="auto"/>
        <w:jc w:val="both"/>
        <w:rPr>
          <w:lang w:val="en-US"/>
        </w:rPr>
      </w:pPr>
      <w:r w:rsidRPr="00681907">
        <w:rPr>
          <w:lang w:val="en-US"/>
        </w:rPr>
        <w:t xml:space="preserve">In all patients experiencing QT prolongation, </w:t>
      </w:r>
      <w:r w:rsidRPr="00DE0C72">
        <w:rPr>
          <w:lang w:val="en-US"/>
        </w:rPr>
        <w:t>electrolyte blood tests (potassium, calcium, magnesium, and albumin) should be measured (see management of hypokalemia, hypocalcemia, hypomagnesemia in sections 5.2.8-10 below) and repeated as necessary. All other drugs (non TB drugs) that are known to prolong the QT should be stopped if feasible.</w:t>
      </w:r>
    </w:p>
    <w:p w14:paraId="7F9CCFE5" w14:textId="77777777" w:rsidR="00A535CA" w:rsidRPr="00681907" w:rsidRDefault="00A535CA" w:rsidP="00A535CA">
      <w:pPr>
        <w:keepNext/>
        <w:keepLines/>
        <w:spacing w:after="0" w:line="240" w:lineRule="auto"/>
        <w:jc w:val="both"/>
        <w:rPr>
          <w:lang w:val="en-US"/>
        </w:rPr>
      </w:pPr>
    </w:p>
    <w:p w14:paraId="1B26E00F" w14:textId="6070E433" w:rsidR="00885D3C" w:rsidRPr="00885D3C" w:rsidRDefault="00885D3C" w:rsidP="00462589">
      <w:pPr>
        <w:pStyle w:val="Heading4"/>
        <w:spacing w:before="0" w:after="120" w:line="240" w:lineRule="auto"/>
        <w:jc w:val="both"/>
        <w:rPr>
          <w:bCs/>
          <w:iCs/>
          <w:lang w:val="en-US"/>
        </w:rPr>
      </w:pPr>
      <w:r>
        <w:rPr>
          <w:bCs/>
          <w:iCs/>
          <w:lang w:val="en-US"/>
        </w:rPr>
        <w:t>Management of optic neuritis</w:t>
      </w:r>
    </w:p>
    <w:p w14:paraId="521E818F" w14:textId="25979D62" w:rsidR="00167D58" w:rsidRPr="00DE0C72" w:rsidRDefault="00167D58" w:rsidP="00DC17CF">
      <w:pPr>
        <w:keepNext/>
        <w:keepLines/>
        <w:jc w:val="both"/>
        <w:rPr>
          <w:b/>
          <w:lang w:val="en-US"/>
        </w:rPr>
      </w:pPr>
      <w:r w:rsidRPr="00681907">
        <w:rPr>
          <w:b/>
          <w:i/>
          <w:lang w:val="en-US"/>
        </w:rPr>
        <w:t>Suspected anti-TB drugs (from most likely to less likely responsible):</w:t>
      </w:r>
      <w:r w:rsidRPr="00DE0C72">
        <w:rPr>
          <w:b/>
          <w:lang w:val="en-US"/>
        </w:rPr>
        <w:t xml:space="preserve"> Lzd, E, Eto/Pto, Cfz, </w:t>
      </w:r>
      <w:r w:rsidR="00EA1FE3">
        <w:rPr>
          <w:b/>
          <w:lang w:val="en-US"/>
        </w:rPr>
        <w:t>R</w:t>
      </w:r>
      <w:r w:rsidRPr="00DE0C72">
        <w:rPr>
          <w:b/>
          <w:lang w:val="en-US"/>
        </w:rPr>
        <w:t>ifabutin, H</w:t>
      </w:r>
    </w:p>
    <w:p w14:paraId="4218BC5B" w14:textId="0C23FBE0" w:rsidR="00167D58" w:rsidRPr="00DE0C72" w:rsidRDefault="00167D58" w:rsidP="00462589">
      <w:pPr>
        <w:keepNext/>
        <w:keepLines/>
        <w:spacing w:line="240" w:lineRule="auto"/>
        <w:jc w:val="both"/>
        <w:rPr>
          <w:b/>
          <w:lang w:val="en-US"/>
        </w:rPr>
      </w:pPr>
      <w:r w:rsidRPr="00DE0C72">
        <w:rPr>
          <w:b/>
          <w:lang w:val="en-US"/>
        </w:rPr>
        <w:t>Possible other causes: ddI</w:t>
      </w:r>
    </w:p>
    <w:p w14:paraId="1E0C22C6" w14:textId="414D055A" w:rsidR="009F5067" w:rsidRPr="00681907" w:rsidRDefault="003671A9" w:rsidP="00462589">
      <w:pPr>
        <w:keepNext/>
        <w:keepLines/>
        <w:spacing w:line="240" w:lineRule="auto"/>
        <w:jc w:val="both"/>
        <w:rPr>
          <w:lang w:val="en-US"/>
        </w:rPr>
      </w:pPr>
      <w:r>
        <w:rPr>
          <w:b/>
          <w:i/>
          <w:lang w:val="en-US"/>
        </w:rPr>
        <w:t>Site</w:t>
      </w:r>
      <w:r w:rsidR="00ED12D6">
        <w:rPr>
          <w:b/>
          <w:i/>
          <w:lang w:val="en-US"/>
        </w:rPr>
        <w:t xml:space="preserve"> </w:t>
      </w:r>
      <w:r>
        <w:rPr>
          <w:b/>
          <w:i/>
          <w:lang w:val="en-US"/>
        </w:rPr>
        <w:t xml:space="preserve">PI or </w:t>
      </w:r>
      <w:r w:rsidR="00167D58" w:rsidRPr="00681907">
        <w:rPr>
          <w:b/>
          <w:i/>
          <w:lang w:val="en-US"/>
        </w:rPr>
        <w:t>Site</w:t>
      </w:r>
      <w:r w:rsidR="00ED12D6">
        <w:rPr>
          <w:b/>
          <w:i/>
          <w:lang w:val="en-US"/>
        </w:rPr>
        <w:t xml:space="preserve"> </w:t>
      </w:r>
      <w:r w:rsidR="00167D58" w:rsidRPr="00681907">
        <w:rPr>
          <w:b/>
          <w:i/>
          <w:lang w:val="en-US"/>
        </w:rPr>
        <w:t>C</w:t>
      </w:r>
      <w:r w:rsidR="00F65EA5" w:rsidRPr="00681907">
        <w:rPr>
          <w:b/>
          <w:i/>
          <w:lang w:val="en-US"/>
        </w:rPr>
        <w:t>I</w:t>
      </w:r>
      <w:r w:rsidR="009F5067" w:rsidRPr="00681907">
        <w:rPr>
          <w:lang w:val="en-US"/>
        </w:rPr>
        <w:t xml:space="preserve"> manage</w:t>
      </w:r>
      <w:r w:rsidR="00167D58" w:rsidRPr="00681907">
        <w:rPr>
          <w:lang w:val="en-US"/>
        </w:rPr>
        <w:t>s</w:t>
      </w:r>
      <w:r w:rsidR="009F5067" w:rsidRPr="00681907">
        <w:rPr>
          <w:lang w:val="en-US"/>
        </w:rPr>
        <w:t xml:space="preserve"> this AE according to its severity</w:t>
      </w:r>
      <w:r w:rsidR="009E04FF" w:rsidRPr="00681907">
        <w:rPr>
          <w:lang w:val="en-US"/>
        </w:rPr>
        <w:t xml:space="preserve"> (</w:t>
      </w:r>
      <w:r w:rsidR="009E04FF" w:rsidRPr="009701EE">
        <w:rPr>
          <w:b/>
          <w:lang w:val="en-US"/>
        </w:rPr>
        <w:t xml:space="preserve">see SOP </w:t>
      </w:r>
      <w:r w:rsidR="00E871FC" w:rsidRPr="009701EE">
        <w:rPr>
          <w:b/>
          <w:lang w:val="en-US"/>
        </w:rPr>
        <w:t>SP-003-CT</w:t>
      </w:r>
      <w:r w:rsidR="0072638A" w:rsidRPr="009701EE">
        <w:rPr>
          <w:b/>
          <w:lang w:val="en-US"/>
        </w:rPr>
        <w:t xml:space="preserve"> </w:t>
      </w:r>
      <w:r w:rsidR="009E04FF" w:rsidRPr="009701EE">
        <w:rPr>
          <w:b/>
          <w:lang w:val="en-US"/>
        </w:rPr>
        <w:t>for acuity visual screening</w:t>
      </w:r>
      <w:r w:rsidR="009E04FF" w:rsidRPr="00681907">
        <w:rPr>
          <w:lang w:val="en-US"/>
        </w:rPr>
        <w:t>)</w:t>
      </w:r>
      <w:r w:rsidR="009F5067" w:rsidRPr="00681907">
        <w:rPr>
          <w:lang w:val="en-US"/>
        </w:rPr>
        <w:t>:</w:t>
      </w:r>
    </w:p>
    <w:p w14:paraId="4AFD26C7" w14:textId="60E6B902" w:rsidR="00885D3C" w:rsidRPr="00885D3C" w:rsidRDefault="009F5067" w:rsidP="00F1254D">
      <w:pPr>
        <w:pStyle w:val="ListParagraph"/>
        <w:keepNext/>
        <w:keepLines/>
        <w:numPr>
          <w:ilvl w:val="0"/>
          <w:numId w:val="6"/>
        </w:numPr>
        <w:ind w:left="720"/>
        <w:jc w:val="both"/>
        <w:rPr>
          <w:bCs/>
          <w:iCs/>
          <w:lang w:val="en-US"/>
        </w:rPr>
      </w:pPr>
      <w:r w:rsidRPr="00681907">
        <w:rPr>
          <w:b/>
          <w:lang w:val="en-US"/>
        </w:rPr>
        <w:t>Grade 1</w:t>
      </w:r>
      <w:r w:rsidR="00953C65" w:rsidRPr="00681907">
        <w:rPr>
          <w:b/>
          <w:lang w:val="en-US"/>
        </w:rPr>
        <w:t xml:space="preserve"> to 4</w:t>
      </w:r>
      <w:r w:rsidRPr="00681907">
        <w:rPr>
          <w:b/>
          <w:lang w:val="en-US"/>
        </w:rPr>
        <w:t xml:space="preserve">: </w:t>
      </w:r>
      <w:r w:rsidR="0020723C" w:rsidRPr="00681907">
        <w:rPr>
          <w:lang w:val="en-US"/>
        </w:rPr>
        <w:t>If currently administered,</w:t>
      </w:r>
      <w:r w:rsidR="0020723C" w:rsidRPr="00DE0C72">
        <w:rPr>
          <w:lang w:val="en-US"/>
        </w:rPr>
        <w:t xml:space="preserve"> s</w:t>
      </w:r>
      <w:r w:rsidR="00953C65" w:rsidRPr="00DE0C72">
        <w:rPr>
          <w:lang w:val="en-US"/>
        </w:rPr>
        <w:t>top linezolid and/or ethambuto</w:t>
      </w:r>
      <w:r w:rsidR="0020723C" w:rsidRPr="00DE0C72">
        <w:rPr>
          <w:lang w:val="en-US"/>
        </w:rPr>
        <w:t>l</w:t>
      </w:r>
      <w:r w:rsidR="00953C65" w:rsidRPr="00DE0C72">
        <w:rPr>
          <w:lang w:val="en-US"/>
        </w:rPr>
        <w:t xml:space="preserve"> immediately if there are any suspicions of optic neuritis. Do not restart it.</w:t>
      </w:r>
      <w:r w:rsidR="00F648F3" w:rsidDel="00F648F3">
        <w:rPr>
          <w:lang w:val="en-US"/>
        </w:rPr>
        <w:t xml:space="preserve"> </w:t>
      </w:r>
    </w:p>
    <w:p w14:paraId="65ED138E" w14:textId="77777777" w:rsidR="00885D3C" w:rsidRDefault="00885D3C" w:rsidP="00462589">
      <w:pPr>
        <w:pStyle w:val="Heading4"/>
        <w:spacing w:before="0" w:after="120" w:line="240" w:lineRule="auto"/>
        <w:jc w:val="both"/>
        <w:rPr>
          <w:bCs/>
          <w:iCs/>
          <w:lang w:val="en-US"/>
        </w:rPr>
      </w:pPr>
      <w:r w:rsidRPr="00681907">
        <w:rPr>
          <w:lang w:val="en-US"/>
        </w:rPr>
        <w:lastRenderedPageBreak/>
        <w:t xml:space="preserve">Management of </w:t>
      </w:r>
      <w:r>
        <w:rPr>
          <w:bCs/>
          <w:iCs/>
          <w:lang w:val="en-US"/>
        </w:rPr>
        <w:t>hepatitis</w:t>
      </w:r>
    </w:p>
    <w:p w14:paraId="7FFCB639" w14:textId="34C291D8" w:rsidR="00F438F7" w:rsidRDefault="00167D58" w:rsidP="00462589">
      <w:pPr>
        <w:keepNext/>
        <w:keepLines/>
        <w:spacing w:line="240" w:lineRule="auto"/>
        <w:jc w:val="both"/>
        <w:rPr>
          <w:b/>
          <w:lang w:val="en-US"/>
        </w:rPr>
      </w:pPr>
      <w:r w:rsidRPr="00681907">
        <w:rPr>
          <w:b/>
          <w:i/>
          <w:lang w:val="en-US"/>
        </w:rPr>
        <w:t>Suspected anti-TB drugs (from most likely to less likely responsible):</w:t>
      </w:r>
      <w:r w:rsidRPr="00DE0C72">
        <w:rPr>
          <w:b/>
          <w:lang w:val="en-US"/>
        </w:rPr>
        <w:t xml:space="preserve"> Z,</w:t>
      </w:r>
      <w:r w:rsidR="0044414F">
        <w:rPr>
          <w:b/>
          <w:lang w:val="en-US"/>
        </w:rPr>
        <w:t xml:space="preserve"> H</w:t>
      </w:r>
      <w:r w:rsidRPr="00DE0C72">
        <w:rPr>
          <w:b/>
          <w:lang w:val="en-US"/>
        </w:rPr>
        <w:t>, Bdq</w:t>
      </w:r>
      <w:r w:rsidR="0044414F">
        <w:rPr>
          <w:b/>
          <w:lang w:val="en-US"/>
        </w:rPr>
        <w:t>, Eto/Pto, PAS, Mfx, Lfx,</w:t>
      </w:r>
      <w:r w:rsidR="00F438F7">
        <w:rPr>
          <w:b/>
          <w:lang w:val="en-US"/>
        </w:rPr>
        <w:t xml:space="preserve"> Amx/Clv, Cfz, Lzd</w:t>
      </w:r>
      <w:r w:rsidR="0044414F">
        <w:rPr>
          <w:b/>
          <w:lang w:val="en-US"/>
        </w:rPr>
        <w:t>.</w:t>
      </w:r>
    </w:p>
    <w:p w14:paraId="5B826922" w14:textId="7BE505BA" w:rsidR="00167D58" w:rsidRPr="00681907" w:rsidRDefault="00F438F7" w:rsidP="00462589">
      <w:pPr>
        <w:keepNext/>
        <w:keepLines/>
        <w:spacing w:line="240" w:lineRule="auto"/>
        <w:jc w:val="both"/>
        <w:rPr>
          <w:b/>
          <w:i/>
          <w:lang w:val="en-US"/>
        </w:rPr>
      </w:pPr>
      <w:r w:rsidRPr="00F438F7">
        <w:rPr>
          <w:b/>
          <w:i/>
          <w:lang w:val="en-US"/>
        </w:rPr>
        <w:t>Possible other causes: viral hepatitis (A, B, C), NVP, many other drugs.</w:t>
      </w:r>
    </w:p>
    <w:p w14:paraId="78CC2357" w14:textId="5E11FFCE" w:rsidR="00760DF5" w:rsidRPr="00681907" w:rsidRDefault="003671A9" w:rsidP="00462589">
      <w:pPr>
        <w:keepNext/>
        <w:keepLines/>
        <w:spacing w:line="240" w:lineRule="auto"/>
        <w:jc w:val="both"/>
        <w:rPr>
          <w:lang w:val="en-US"/>
        </w:rPr>
      </w:pPr>
      <w:r>
        <w:rPr>
          <w:b/>
          <w:i/>
          <w:lang w:val="en-US"/>
        </w:rPr>
        <w:t>Site</w:t>
      </w:r>
      <w:r w:rsidR="00ED12D6">
        <w:rPr>
          <w:b/>
          <w:i/>
          <w:lang w:val="en-US"/>
        </w:rPr>
        <w:t xml:space="preserve"> </w:t>
      </w:r>
      <w:r>
        <w:rPr>
          <w:b/>
          <w:i/>
          <w:lang w:val="en-US"/>
        </w:rPr>
        <w:t xml:space="preserve">PI or </w:t>
      </w:r>
      <w:r w:rsidR="005F3E82" w:rsidRPr="00681907">
        <w:rPr>
          <w:b/>
          <w:i/>
          <w:lang w:val="en-US"/>
        </w:rPr>
        <w:t>Site</w:t>
      </w:r>
      <w:r w:rsidR="00ED12D6">
        <w:rPr>
          <w:b/>
          <w:i/>
          <w:lang w:val="en-US"/>
        </w:rPr>
        <w:t xml:space="preserve"> </w:t>
      </w:r>
      <w:r w:rsidR="005F3E82" w:rsidRPr="00681907">
        <w:rPr>
          <w:b/>
          <w:i/>
          <w:lang w:val="en-US"/>
        </w:rPr>
        <w:t>C</w:t>
      </w:r>
      <w:r w:rsidR="00F65EA5" w:rsidRPr="00681907">
        <w:rPr>
          <w:b/>
          <w:i/>
          <w:lang w:val="en-US"/>
        </w:rPr>
        <w:t>I</w:t>
      </w:r>
      <w:r w:rsidR="00760DF5" w:rsidRPr="00681907">
        <w:rPr>
          <w:lang w:val="en-US"/>
        </w:rPr>
        <w:t xml:space="preserve"> manage this AE according to its severity</w:t>
      </w:r>
      <w:r w:rsidR="009E04FF" w:rsidRPr="00681907">
        <w:rPr>
          <w:lang w:val="en-US"/>
        </w:rPr>
        <w:t xml:space="preserve"> using clinical presentation and liver function tests (AST, ALT and bilirubin)</w:t>
      </w:r>
      <w:r w:rsidR="00760DF5" w:rsidRPr="00681907">
        <w:rPr>
          <w:lang w:val="en-US"/>
        </w:rPr>
        <w:t>:</w:t>
      </w:r>
    </w:p>
    <w:p w14:paraId="7E1BA679" w14:textId="08E2C56F" w:rsidR="009E04FF" w:rsidRPr="00681907" w:rsidRDefault="00760DF5" w:rsidP="00F1254D">
      <w:pPr>
        <w:pStyle w:val="ListParagraph"/>
        <w:keepNext/>
        <w:keepLines/>
        <w:numPr>
          <w:ilvl w:val="0"/>
          <w:numId w:val="6"/>
        </w:numPr>
        <w:ind w:left="720"/>
        <w:jc w:val="both"/>
        <w:rPr>
          <w:b/>
          <w:i/>
          <w:lang w:val="en-US"/>
        </w:rPr>
      </w:pPr>
      <w:r w:rsidRPr="00681907">
        <w:rPr>
          <w:b/>
          <w:lang w:val="en-US"/>
        </w:rPr>
        <w:t xml:space="preserve">Grade 1: </w:t>
      </w:r>
      <w:r w:rsidRPr="00DE0C72">
        <w:rPr>
          <w:lang w:val="en-US"/>
        </w:rPr>
        <w:t>Continue treatment regimen.</w:t>
      </w:r>
    </w:p>
    <w:p w14:paraId="58E459E5" w14:textId="77777777" w:rsidR="009E04FF" w:rsidRPr="00681907" w:rsidRDefault="009E04FF" w:rsidP="00A535CA">
      <w:pPr>
        <w:pStyle w:val="ListParagraph"/>
        <w:keepNext/>
        <w:keepLines/>
        <w:numPr>
          <w:ilvl w:val="0"/>
          <w:numId w:val="6"/>
        </w:numPr>
        <w:ind w:left="720"/>
        <w:jc w:val="both"/>
        <w:rPr>
          <w:b/>
          <w:i/>
          <w:lang w:val="en-US"/>
        </w:rPr>
      </w:pPr>
      <w:r w:rsidRPr="00681907">
        <w:rPr>
          <w:b/>
          <w:lang w:val="en-US"/>
        </w:rPr>
        <w:t>Grade 2 :</w:t>
      </w:r>
      <w:r w:rsidRPr="00DE0C72">
        <w:rPr>
          <w:lang w:val="en-US"/>
        </w:rPr>
        <w:t xml:space="preserve"> </w:t>
      </w:r>
    </w:p>
    <w:p w14:paraId="4A74A7A2" w14:textId="76D910D4" w:rsidR="00760DF5" w:rsidRPr="00681907" w:rsidRDefault="009E04FF">
      <w:pPr>
        <w:pStyle w:val="ListParagraph"/>
        <w:keepNext/>
        <w:keepLines/>
        <w:numPr>
          <w:ilvl w:val="1"/>
          <w:numId w:val="6"/>
        </w:numPr>
        <w:ind w:left="1080"/>
        <w:jc w:val="both"/>
        <w:rPr>
          <w:b/>
          <w:i/>
          <w:lang w:val="en-US"/>
        </w:rPr>
      </w:pPr>
      <w:r w:rsidRPr="00DE0C72">
        <w:rPr>
          <w:lang w:val="en-US"/>
        </w:rPr>
        <w:t xml:space="preserve">Without symptoms: continue same treatment with weekly monitoring of liver function test </w:t>
      </w:r>
      <w:r w:rsidR="00760DF5" w:rsidRPr="00DE0C72">
        <w:rPr>
          <w:lang w:val="en-US"/>
        </w:rPr>
        <w:t xml:space="preserve">until resolution (return to baseline) or stabilization </w:t>
      </w:r>
      <w:r w:rsidRPr="00DE0C72">
        <w:rPr>
          <w:lang w:val="en-US"/>
        </w:rPr>
        <w:t xml:space="preserve">to </w:t>
      </w:r>
      <w:r w:rsidR="00897E4D" w:rsidRPr="00DE0C72">
        <w:rPr>
          <w:lang w:val="en-US"/>
        </w:rPr>
        <w:t>G</w:t>
      </w:r>
      <w:r w:rsidRPr="00DE0C72">
        <w:rPr>
          <w:lang w:val="en-US"/>
        </w:rPr>
        <w:t>rade 1</w:t>
      </w:r>
      <w:r w:rsidR="00897E4D" w:rsidRPr="00DE0C72">
        <w:rPr>
          <w:lang w:val="en-US"/>
        </w:rPr>
        <w:t xml:space="preserve"> or less</w:t>
      </w:r>
      <w:r w:rsidR="00760DF5" w:rsidRPr="00DE0C72">
        <w:rPr>
          <w:lang w:val="en-US"/>
        </w:rPr>
        <w:t>.</w:t>
      </w:r>
    </w:p>
    <w:p w14:paraId="01BA2FBA" w14:textId="547BF14A" w:rsidR="009E04FF" w:rsidRPr="00681907" w:rsidRDefault="009E04FF">
      <w:pPr>
        <w:pStyle w:val="ListParagraph"/>
        <w:keepNext/>
        <w:keepLines/>
        <w:numPr>
          <w:ilvl w:val="1"/>
          <w:numId w:val="6"/>
        </w:numPr>
        <w:ind w:left="1080"/>
        <w:jc w:val="both"/>
        <w:rPr>
          <w:b/>
          <w:i/>
          <w:lang w:val="en-US"/>
        </w:rPr>
      </w:pPr>
      <w:r w:rsidRPr="00681907">
        <w:rPr>
          <w:lang w:val="en-US"/>
        </w:rPr>
        <w:t>With</w:t>
      </w:r>
      <w:r w:rsidR="000A30DE">
        <w:rPr>
          <w:lang w:val="en-US"/>
        </w:rPr>
        <w:t xml:space="preserve"> </w:t>
      </w:r>
      <w:r w:rsidRPr="00681907">
        <w:rPr>
          <w:lang w:val="en-US"/>
        </w:rPr>
        <w:t>symptoms: discontinue potential</w:t>
      </w:r>
      <w:r w:rsidR="0092736A">
        <w:rPr>
          <w:lang w:val="en-US"/>
        </w:rPr>
        <w:t>ly</w:t>
      </w:r>
      <w:r w:rsidRPr="00681907">
        <w:rPr>
          <w:lang w:val="en-US"/>
        </w:rPr>
        <w:t xml:space="preserve"> responsible </w:t>
      </w:r>
      <w:r w:rsidRPr="00DE0C72">
        <w:rPr>
          <w:lang w:val="en-US"/>
        </w:rPr>
        <w:t xml:space="preserve">anti-tuberculosis drugs and monitor </w:t>
      </w:r>
      <w:r w:rsidR="0092736A">
        <w:rPr>
          <w:lang w:val="en-US"/>
        </w:rPr>
        <w:t>liver enzymes and INR</w:t>
      </w:r>
      <w:r w:rsidR="0092736A" w:rsidRPr="00DE0C72">
        <w:rPr>
          <w:lang w:val="en-US"/>
        </w:rPr>
        <w:t xml:space="preserve"> </w:t>
      </w:r>
      <w:r w:rsidRPr="00DE0C72">
        <w:rPr>
          <w:lang w:val="en-US"/>
        </w:rPr>
        <w:t>weekly</w:t>
      </w:r>
      <w:r w:rsidR="00897E4D" w:rsidRPr="00DE0C72">
        <w:rPr>
          <w:lang w:val="en-US"/>
        </w:rPr>
        <w:t>.</w:t>
      </w:r>
    </w:p>
    <w:p w14:paraId="7C772419" w14:textId="02A8C104" w:rsidR="00760DF5" w:rsidRPr="00DE0C72" w:rsidRDefault="00953C65">
      <w:pPr>
        <w:pStyle w:val="ListParagraph"/>
        <w:keepNext/>
        <w:keepLines/>
        <w:numPr>
          <w:ilvl w:val="0"/>
          <w:numId w:val="6"/>
        </w:numPr>
        <w:jc w:val="both"/>
        <w:rPr>
          <w:lang w:val="en-US"/>
        </w:rPr>
      </w:pPr>
      <w:r w:rsidRPr="00681907">
        <w:rPr>
          <w:b/>
          <w:lang w:val="en-US"/>
        </w:rPr>
        <w:t>Grade 3 and 4</w:t>
      </w:r>
      <w:r w:rsidR="00760DF5" w:rsidRPr="00681907">
        <w:rPr>
          <w:b/>
          <w:lang w:val="en-US"/>
        </w:rPr>
        <w:t xml:space="preserve">: </w:t>
      </w:r>
      <w:r w:rsidR="00760DF5" w:rsidRPr="00DE0C72">
        <w:rPr>
          <w:lang w:val="en-US"/>
        </w:rPr>
        <w:t xml:space="preserve">Stop all drugs, including anti-tuberculosis drugs; measure </w:t>
      </w:r>
      <w:r w:rsidR="002A5DA1" w:rsidRPr="00DE0C72">
        <w:rPr>
          <w:lang w:val="en-US"/>
        </w:rPr>
        <w:t xml:space="preserve">liver </w:t>
      </w:r>
      <w:r w:rsidR="0092736A">
        <w:rPr>
          <w:lang w:val="en-US"/>
        </w:rPr>
        <w:t>enzymes and INR</w:t>
      </w:r>
      <w:r w:rsidR="0092736A" w:rsidRPr="0092736A" w:rsidDel="0092736A">
        <w:rPr>
          <w:lang w:val="en-US"/>
        </w:rPr>
        <w:t xml:space="preserve"> </w:t>
      </w:r>
      <w:r w:rsidR="00760DF5" w:rsidRPr="00DE0C72">
        <w:rPr>
          <w:lang w:val="en-US"/>
        </w:rPr>
        <w:t>weekly</w:t>
      </w:r>
      <w:r w:rsidR="0092736A">
        <w:rPr>
          <w:lang w:val="en-US"/>
        </w:rPr>
        <w:t xml:space="preserve"> (or more frequently, if clinically indicated)</w:t>
      </w:r>
      <w:r w:rsidR="00760DF5" w:rsidRPr="00DE0C72">
        <w:rPr>
          <w:lang w:val="en-US"/>
        </w:rPr>
        <w:t>.</w:t>
      </w:r>
    </w:p>
    <w:p w14:paraId="09BDFF88" w14:textId="523D9382" w:rsidR="00063B90" w:rsidRPr="00681907" w:rsidRDefault="00C90586" w:rsidP="00462589">
      <w:pPr>
        <w:keepNext/>
        <w:keepLines/>
        <w:spacing w:line="240" w:lineRule="auto"/>
        <w:jc w:val="both"/>
        <w:rPr>
          <w:lang w:val="en-US"/>
        </w:rPr>
      </w:pPr>
      <w:r w:rsidRPr="00681907">
        <w:rPr>
          <w:lang w:val="en-US"/>
        </w:rPr>
        <w:t>In all patients experiencing hepatitis, review the concomitant treatment the patient is receiving and stop any other hepatotoxic non-</w:t>
      </w:r>
      <w:r w:rsidR="002A5DA1" w:rsidRPr="00681907">
        <w:rPr>
          <w:lang w:val="en-US"/>
        </w:rPr>
        <w:t>tuberculosis drug</w:t>
      </w:r>
      <w:r w:rsidRPr="00681907">
        <w:rPr>
          <w:lang w:val="en-US"/>
        </w:rPr>
        <w:t>.</w:t>
      </w:r>
      <w:r w:rsidR="009E04FF" w:rsidRPr="00681907">
        <w:rPr>
          <w:lang w:val="en-US"/>
        </w:rPr>
        <w:t xml:space="preserve"> Systematically look for another cause (viral hepatitis, biliary or hepatic disease, hepatitis flush due to TB IRIS</w:t>
      </w:r>
      <w:r w:rsidR="0092736A">
        <w:rPr>
          <w:lang w:val="en-US"/>
        </w:rPr>
        <w:t>)</w:t>
      </w:r>
      <w:r w:rsidR="009E04FF" w:rsidRPr="00681907">
        <w:rPr>
          <w:lang w:val="en-US"/>
        </w:rPr>
        <w:t xml:space="preserve">. </w:t>
      </w:r>
      <w:r w:rsidR="002A711F" w:rsidRPr="00681907">
        <w:rPr>
          <w:lang w:val="en-US"/>
        </w:rPr>
        <w:t xml:space="preserve">Request further laboratory tests (alkaline phosphatase) and abdominal </w:t>
      </w:r>
      <w:r w:rsidR="0092736A">
        <w:rPr>
          <w:lang w:val="en-US"/>
        </w:rPr>
        <w:t>ultrasound</w:t>
      </w:r>
      <w:r w:rsidR="002A711F" w:rsidRPr="00681907">
        <w:rPr>
          <w:lang w:val="en-US"/>
        </w:rPr>
        <w:t xml:space="preserve">, especially in patients with increase of bilirubin or AST and systematically in patients with </w:t>
      </w:r>
      <w:r w:rsidR="00CB4FEA" w:rsidRPr="00681907">
        <w:rPr>
          <w:lang w:val="en-US"/>
        </w:rPr>
        <w:t>G</w:t>
      </w:r>
      <w:r w:rsidR="002A711F" w:rsidRPr="00681907">
        <w:rPr>
          <w:lang w:val="en-US"/>
        </w:rPr>
        <w:t>rade 4 hepatitis.</w:t>
      </w:r>
    </w:p>
    <w:p w14:paraId="7055E2BC" w14:textId="77777777" w:rsidR="00167D58" w:rsidRPr="00DE0C72" w:rsidRDefault="00167D58" w:rsidP="00462589">
      <w:pPr>
        <w:keepNext/>
        <w:keepLines/>
        <w:spacing w:line="240" w:lineRule="auto"/>
        <w:jc w:val="both"/>
        <w:rPr>
          <w:b/>
          <w:lang w:val="en-US"/>
        </w:rPr>
      </w:pPr>
      <w:r w:rsidRPr="00DE0C72">
        <w:rPr>
          <w:b/>
          <w:lang w:val="en-US"/>
        </w:rPr>
        <w:t>Reintroduction of anti-TB drugs:</w:t>
      </w:r>
    </w:p>
    <w:p w14:paraId="29E82CE0" w14:textId="586746D3" w:rsidR="00167D58" w:rsidRPr="00DE0C72" w:rsidRDefault="00167D58" w:rsidP="00F1254D">
      <w:pPr>
        <w:pStyle w:val="ListBullet"/>
        <w:keepNext/>
        <w:keepLines/>
        <w:spacing w:before="120" w:after="120" w:line="240" w:lineRule="auto"/>
        <w:ind w:left="720"/>
        <w:contextualSpacing w:val="0"/>
        <w:jc w:val="both"/>
        <w:rPr>
          <w:lang w:val="en-US"/>
        </w:rPr>
      </w:pPr>
      <w:r w:rsidRPr="00DE0C72">
        <w:rPr>
          <w:lang w:val="en-US"/>
        </w:rPr>
        <w:t>Reintroduce anti-TB drugs once liver enzymes return to baseline</w:t>
      </w:r>
      <w:r w:rsidR="00717D1A" w:rsidRPr="00717D1A">
        <w:rPr>
          <w:lang w:val="en-US"/>
        </w:rPr>
        <w:t xml:space="preserve"> </w:t>
      </w:r>
      <w:r w:rsidR="00717D1A">
        <w:rPr>
          <w:lang w:val="en-US"/>
        </w:rPr>
        <w:t>or at least lower than 2xULN</w:t>
      </w:r>
      <w:r w:rsidRPr="00DE0C72">
        <w:rPr>
          <w:lang w:val="en-US"/>
        </w:rPr>
        <w:t>. Anti-TB drugs should be reintroduced in serial fashion by adding a new medicine every three to four days. The least hepatotoxic drugs should be added first, while monitoring liver function tests after each new exposure.</w:t>
      </w:r>
    </w:p>
    <w:p w14:paraId="4F6023FC" w14:textId="452D8C10" w:rsidR="002A711F" w:rsidRPr="00681907" w:rsidRDefault="00167D58">
      <w:pPr>
        <w:pStyle w:val="ListBullet"/>
        <w:keepNext/>
        <w:keepLines/>
        <w:spacing w:before="120" w:after="120" w:line="240" w:lineRule="auto"/>
        <w:ind w:left="720"/>
        <w:contextualSpacing w:val="0"/>
        <w:jc w:val="both"/>
        <w:rPr>
          <w:lang w:val="en-US"/>
        </w:rPr>
      </w:pPr>
      <w:r w:rsidRPr="00DE0C72">
        <w:rPr>
          <w:lang w:val="en-US"/>
        </w:rPr>
        <w:t>Consider suspending the most likely offending drug permanently if it is not essential to the regimen. This is often the case for pyrazinamide if it is less likely to be effective by clinical history. Consider additional anti-TB drugs to reinforce the regimen.</w:t>
      </w:r>
    </w:p>
    <w:p w14:paraId="4794FF5D" w14:textId="3394E7AE" w:rsidR="00C90586" w:rsidRPr="00681907" w:rsidRDefault="00C90586" w:rsidP="00462589">
      <w:pPr>
        <w:pStyle w:val="Heading4"/>
        <w:spacing w:before="0" w:after="120" w:line="240" w:lineRule="auto"/>
        <w:jc w:val="both"/>
        <w:rPr>
          <w:bCs/>
          <w:iCs/>
          <w:lang w:val="en-US"/>
        </w:rPr>
      </w:pPr>
      <w:r w:rsidRPr="00681907">
        <w:rPr>
          <w:lang w:val="en-US"/>
        </w:rPr>
        <w:t xml:space="preserve">Management of </w:t>
      </w:r>
      <w:r w:rsidRPr="00681907">
        <w:rPr>
          <w:bCs/>
          <w:iCs/>
          <w:lang w:val="en-US"/>
        </w:rPr>
        <w:t>hearing impairment</w:t>
      </w:r>
      <w:r w:rsidR="00F629CC" w:rsidRPr="00681907">
        <w:rPr>
          <w:bCs/>
          <w:iCs/>
          <w:lang w:val="en-US"/>
        </w:rPr>
        <w:t xml:space="preserve"> </w:t>
      </w:r>
    </w:p>
    <w:p w14:paraId="3BE705F1" w14:textId="7B484FEE" w:rsidR="00F50320" w:rsidRPr="00681907" w:rsidRDefault="00F50320" w:rsidP="00462589">
      <w:pPr>
        <w:keepNext/>
        <w:keepLines/>
        <w:spacing w:line="240" w:lineRule="auto"/>
        <w:jc w:val="both"/>
        <w:rPr>
          <w:b/>
          <w:i/>
          <w:lang w:val="en-US"/>
        </w:rPr>
      </w:pPr>
      <w:r w:rsidRPr="00681907">
        <w:rPr>
          <w:b/>
          <w:i/>
          <w:lang w:val="en-US"/>
        </w:rPr>
        <w:t>Suspected anti-TB drugs (from most likely to less likely responsible):</w:t>
      </w:r>
      <w:r w:rsidRPr="00DE0C72">
        <w:rPr>
          <w:b/>
          <w:lang w:val="en-US"/>
        </w:rPr>
        <w:t xml:space="preserve"> Km, Am, Cm</w:t>
      </w:r>
    </w:p>
    <w:p w14:paraId="3A157E3C" w14:textId="32E456F6" w:rsidR="00C90586" w:rsidRPr="00681907" w:rsidRDefault="003671A9" w:rsidP="00462589">
      <w:pPr>
        <w:keepNext/>
        <w:keepLines/>
        <w:spacing w:line="240" w:lineRule="auto"/>
        <w:jc w:val="both"/>
        <w:rPr>
          <w:lang w:val="en-US"/>
        </w:rPr>
      </w:pPr>
      <w:r>
        <w:rPr>
          <w:b/>
          <w:i/>
          <w:lang w:val="en-US"/>
        </w:rPr>
        <w:t>Site</w:t>
      </w:r>
      <w:r w:rsidR="00ED12D6">
        <w:rPr>
          <w:b/>
          <w:i/>
          <w:lang w:val="en-US"/>
        </w:rPr>
        <w:t xml:space="preserve"> </w:t>
      </w:r>
      <w:r>
        <w:rPr>
          <w:b/>
          <w:i/>
          <w:lang w:val="en-US"/>
        </w:rPr>
        <w:t xml:space="preserve">PI or </w:t>
      </w:r>
      <w:r w:rsidR="00F50320" w:rsidRPr="00681907">
        <w:rPr>
          <w:b/>
          <w:i/>
          <w:lang w:val="en-US"/>
        </w:rPr>
        <w:t>Site</w:t>
      </w:r>
      <w:r w:rsidR="00ED12D6">
        <w:rPr>
          <w:b/>
          <w:i/>
          <w:lang w:val="en-US"/>
        </w:rPr>
        <w:t xml:space="preserve"> </w:t>
      </w:r>
      <w:r w:rsidR="00F50320" w:rsidRPr="00681907">
        <w:rPr>
          <w:b/>
          <w:i/>
          <w:lang w:val="en-US"/>
        </w:rPr>
        <w:t>C</w:t>
      </w:r>
      <w:r w:rsidR="00F65EA5" w:rsidRPr="00681907">
        <w:rPr>
          <w:b/>
          <w:i/>
          <w:lang w:val="en-US"/>
        </w:rPr>
        <w:t>I</w:t>
      </w:r>
      <w:r w:rsidR="00C90586" w:rsidRPr="00681907">
        <w:rPr>
          <w:lang w:val="en-US"/>
        </w:rPr>
        <w:t xml:space="preserve"> manage</w:t>
      </w:r>
      <w:r w:rsidR="00F50320" w:rsidRPr="00681907">
        <w:rPr>
          <w:lang w:val="en-US"/>
        </w:rPr>
        <w:t>s</w:t>
      </w:r>
      <w:r w:rsidR="00C90586" w:rsidRPr="00681907">
        <w:rPr>
          <w:lang w:val="en-US"/>
        </w:rPr>
        <w:t xml:space="preserve"> this AE according to its severity</w:t>
      </w:r>
      <w:r w:rsidR="00F629CC" w:rsidRPr="00681907">
        <w:rPr>
          <w:lang w:val="en-US"/>
        </w:rPr>
        <w:t xml:space="preserve"> (see </w:t>
      </w:r>
      <w:r w:rsidR="00F629CC" w:rsidRPr="009701EE">
        <w:rPr>
          <w:b/>
          <w:lang w:val="en-US"/>
        </w:rPr>
        <w:t xml:space="preserve">SOP </w:t>
      </w:r>
      <w:r w:rsidR="0072638A">
        <w:rPr>
          <w:b/>
          <w:lang w:val="en-US"/>
        </w:rPr>
        <w:t>SP-</w:t>
      </w:r>
      <w:r w:rsidR="00BC4F70">
        <w:rPr>
          <w:b/>
          <w:lang w:val="en-US"/>
        </w:rPr>
        <w:t>007</w:t>
      </w:r>
      <w:r w:rsidR="00E871FC">
        <w:rPr>
          <w:b/>
          <w:lang w:val="en-US"/>
        </w:rPr>
        <w:t>-</w:t>
      </w:r>
      <w:r w:rsidR="00BC4F70">
        <w:rPr>
          <w:b/>
          <w:lang w:val="en-US"/>
        </w:rPr>
        <w:t>E</w:t>
      </w:r>
      <w:r w:rsidR="00E871FC">
        <w:rPr>
          <w:b/>
          <w:lang w:val="en-US"/>
        </w:rPr>
        <w:t>T</w:t>
      </w:r>
      <w:r w:rsidR="0072638A">
        <w:rPr>
          <w:b/>
          <w:lang w:val="en-US"/>
        </w:rPr>
        <w:t xml:space="preserve"> </w:t>
      </w:r>
      <w:r w:rsidR="00F629CC" w:rsidRPr="009701EE">
        <w:rPr>
          <w:b/>
          <w:lang w:val="en-US"/>
        </w:rPr>
        <w:t>for audiometry screening</w:t>
      </w:r>
      <w:r w:rsidR="00F629CC" w:rsidRPr="00681907">
        <w:rPr>
          <w:lang w:val="en-US"/>
        </w:rPr>
        <w:t>)</w:t>
      </w:r>
      <w:r w:rsidR="00C90586" w:rsidRPr="00681907">
        <w:rPr>
          <w:lang w:val="en-US"/>
        </w:rPr>
        <w:t>:</w:t>
      </w:r>
    </w:p>
    <w:p w14:paraId="0426B886" w14:textId="77777777" w:rsidR="00F629CC" w:rsidRPr="00681907" w:rsidRDefault="00C90586" w:rsidP="00F1254D">
      <w:pPr>
        <w:pStyle w:val="ListParagraph"/>
        <w:keepNext/>
        <w:keepLines/>
        <w:numPr>
          <w:ilvl w:val="0"/>
          <w:numId w:val="6"/>
        </w:numPr>
        <w:ind w:left="720"/>
        <w:jc w:val="both"/>
        <w:rPr>
          <w:b/>
          <w:i/>
          <w:lang w:val="en-US"/>
        </w:rPr>
      </w:pPr>
      <w:r w:rsidRPr="00681907">
        <w:rPr>
          <w:b/>
          <w:lang w:val="en-US"/>
        </w:rPr>
        <w:t xml:space="preserve">Grade 1: </w:t>
      </w:r>
    </w:p>
    <w:p w14:paraId="786D372E" w14:textId="7686F4B4" w:rsidR="00A06019" w:rsidRPr="009701EE" w:rsidRDefault="00A06019" w:rsidP="00A06019">
      <w:pPr>
        <w:pStyle w:val="ListParagraph"/>
        <w:keepNext/>
        <w:keepLines/>
        <w:numPr>
          <w:ilvl w:val="1"/>
          <w:numId w:val="6"/>
        </w:numPr>
        <w:ind w:left="1080"/>
        <w:jc w:val="both"/>
        <w:rPr>
          <w:b/>
          <w:i/>
          <w:lang w:val="en-US"/>
        </w:rPr>
      </w:pPr>
      <w:r w:rsidRPr="00BD1CB8">
        <w:rPr>
          <w:lang w:val="en-US"/>
        </w:rPr>
        <w:t xml:space="preserve">Initiate discussion with patient about risks </w:t>
      </w:r>
      <w:r w:rsidRPr="004D2134">
        <w:rPr>
          <w:lang w:val="en-US"/>
        </w:rPr>
        <w:t>and benefits of the injectable</w:t>
      </w:r>
      <w:r>
        <w:rPr>
          <w:lang w:val="en-US"/>
        </w:rPr>
        <w:t>.</w:t>
      </w:r>
    </w:p>
    <w:p w14:paraId="7285803D" w14:textId="732EB914" w:rsidR="00F629CC" w:rsidRPr="00DE0C72" w:rsidRDefault="009A2F9C" w:rsidP="00F1254D">
      <w:pPr>
        <w:pStyle w:val="ListParagraph"/>
        <w:keepNext/>
        <w:keepLines/>
        <w:numPr>
          <w:ilvl w:val="1"/>
          <w:numId w:val="6"/>
        </w:numPr>
        <w:ind w:left="1080"/>
        <w:jc w:val="both"/>
        <w:rPr>
          <w:b/>
          <w:i/>
          <w:lang w:val="en-US"/>
        </w:rPr>
      </w:pPr>
      <w:r>
        <w:rPr>
          <w:lang w:val="en-US"/>
        </w:rPr>
        <w:t>C</w:t>
      </w:r>
      <w:r w:rsidR="004D2134" w:rsidRPr="00955CFF">
        <w:rPr>
          <w:lang w:val="en-US"/>
        </w:rPr>
        <w:t>onsider decreasing injectable frequency</w:t>
      </w:r>
      <w:r w:rsidR="008570E7">
        <w:rPr>
          <w:lang w:val="en-US"/>
        </w:rPr>
        <w:t xml:space="preserve"> (e.g. three times per week)</w:t>
      </w:r>
      <w:r w:rsidR="004D2134" w:rsidRPr="004D2134">
        <w:rPr>
          <w:lang w:val="en-US"/>
        </w:rPr>
        <w:t>.</w:t>
      </w:r>
    </w:p>
    <w:p w14:paraId="5B001711" w14:textId="09728AF9" w:rsidR="004D2134" w:rsidRPr="00BD1CB8" w:rsidRDefault="008570E7">
      <w:pPr>
        <w:pStyle w:val="ListParagraph"/>
        <w:keepNext/>
        <w:keepLines/>
        <w:numPr>
          <w:ilvl w:val="1"/>
          <w:numId w:val="6"/>
        </w:numPr>
        <w:ind w:left="1080"/>
        <w:jc w:val="both"/>
        <w:rPr>
          <w:b/>
          <w:i/>
          <w:lang w:val="en-US"/>
        </w:rPr>
      </w:pPr>
      <w:r>
        <w:rPr>
          <w:lang w:val="en-US"/>
        </w:rPr>
        <w:t>Consider replacing the injectable with a non-ototoxic TB drug.</w:t>
      </w:r>
    </w:p>
    <w:p w14:paraId="6B36CEC3" w14:textId="216683D9" w:rsidR="004D2134" w:rsidRPr="00DE0C72" w:rsidRDefault="004D2134">
      <w:pPr>
        <w:pStyle w:val="ListParagraph"/>
        <w:keepNext/>
        <w:keepLines/>
        <w:numPr>
          <w:ilvl w:val="1"/>
          <w:numId w:val="6"/>
        </w:numPr>
        <w:ind w:left="1080"/>
        <w:jc w:val="both"/>
        <w:rPr>
          <w:b/>
          <w:i/>
          <w:lang w:val="en-US"/>
        </w:rPr>
      </w:pPr>
      <w:r w:rsidRPr="00681907">
        <w:rPr>
          <w:lang w:val="en-US"/>
        </w:rPr>
        <w:t>Perform audiometry every 2 weeks.</w:t>
      </w:r>
    </w:p>
    <w:p w14:paraId="180A9D77" w14:textId="750AE2F9" w:rsidR="00F629CC" w:rsidRPr="00681907" w:rsidRDefault="00C90586" w:rsidP="00A535CA">
      <w:pPr>
        <w:pStyle w:val="ListParagraph"/>
        <w:keepNext/>
        <w:keepLines/>
        <w:numPr>
          <w:ilvl w:val="0"/>
          <w:numId w:val="6"/>
        </w:numPr>
        <w:ind w:left="720"/>
        <w:jc w:val="both"/>
        <w:rPr>
          <w:b/>
          <w:i/>
          <w:lang w:val="en-US"/>
        </w:rPr>
      </w:pPr>
      <w:r w:rsidRPr="00681907">
        <w:rPr>
          <w:b/>
          <w:lang w:val="en-US"/>
        </w:rPr>
        <w:t xml:space="preserve">Grade 2: </w:t>
      </w:r>
    </w:p>
    <w:p w14:paraId="3F7C6647" w14:textId="77777777" w:rsidR="004D2134" w:rsidRPr="004D2134" w:rsidRDefault="004D2134">
      <w:pPr>
        <w:pStyle w:val="ListParagraph"/>
        <w:keepNext/>
        <w:keepLines/>
        <w:numPr>
          <w:ilvl w:val="1"/>
          <w:numId w:val="6"/>
        </w:numPr>
        <w:ind w:left="1080"/>
        <w:jc w:val="both"/>
        <w:rPr>
          <w:lang w:val="en-US"/>
        </w:rPr>
      </w:pPr>
      <w:r w:rsidRPr="0015707D">
        <w:rPr>
          <w:lang w:val="en-US"/>
        </w:rPr>
        <w:t>Initiate discussion with patient about risks and benefits of the injectable.</w:t>
      </w:r>
    </w:p>
    <w:p w14:paraId="65352108" w14:textId="592B2E37" w:rsidR="004D2134" w:rsidRPr="00DE0C72" w:rsidRDefault="00C90586">
      <w:pPr>
        <w:pStyle w:val="ListParagraph"/>
        <w:keepNext/>
        <w:keepLines/>
        <w:numPr>
          <w:ilvl w:val="1"/>
          <w:numId w:val="6"/>
        </w:numPr>
        <w:ind w:left="1080"/>
        <w:jc w:val="both"/>
        <w:rPr>
          <w:lang w:val="en-US"/>
        </w:rPr>
      </w:pPr>
      <w:r w:rsidRPr="00DE0C72">
        <w:rPr>
          <w:lang w:val="en-US"/>
        </w:rPr>
        <w:lastRenderedPageBreak/>
        <w:t>Consider decreasing injectable frequency</w:t>
      </w:r>
      <w:r w:rsidR="00EA2746" w:rsidRPr="00DE0C72">
        <w:rPr>
          <w:lang w:val="en-US"/>
        </w:rPr>
        <w:t xml:space="preserve"> (e.g. three times per week)</w:t>
      </w:r>
      <w:r w:rsidR="004D2134">
        <w:rPr>
          <w:lang w:val="en-US"/>
        </w:rPr>
        <w:t>, or</w:t>
      </w:r>
      <w:r w:rsidR="004D2134" w:rsidRPr="00DE0C72">
        <w:rPr>
          <w:lang w:val="en-US"/>
        </w:rPr>
        <w:t xml:space="preserve"> replacing injectable agent with a non-ototoxic TB drug.</w:t>
      </w:r>
    </w:p>
    <w:p w14:paraId="5F1E96F5" w14:textId="3DB25DB2" w:rsidR="00F629CC" w:rsidRPr="00681907" w:rsidRDefault="00F629CC">
      <w:pPr>
        <w:pStyle w:val="ListParagraph"/>
        <w:keepNext/>
        <w:keepLines/>
        <w:numPr>
          <w:ilvl w:val="1"/>
          <w:numId w:val="6"/>
        </w:numPr>
        <w:ind w:left="1080"/>
        <w:jc w:val="both"/>
        <w:rPr>
          <w:b/>
          <w:i/>
          <w:lang w:val="en-US"/>
        </w:rPr>
      </w:pPr>
      <w:r w:rsidRPr="00681907">
        <w:rPr>
          <w:lang w:val="en-US"/>
        </w:rPr>
        <w:t>Perform audiometry every week until improvement or stabilization.</w:t>
      </w:r>
    </w:p>
    <w:p w14:paraId="1FF4684A" w14:textId="77777777" w:rsidR="00F629CC" w:rsidRPr="00DE0C72" w:rsidRDefault="00C90586" w:rsidP="00A535CA">
      <w:pPr>
        <w:pStyle w:val="ListParagraph"/>
        <w:keepNext/>
        <w:keepLines/>
        <w:numPr>
          <w:ilvl w:val="0"/>
          <w:numId w:val="6"/>
        </w:numPr>
        <w:ind w:left="720"/>
        <w:jc w:val="both"/>
        <w:rPr>
          <w:lang w:val="en-US"/>
        </w:rPr>
      </w:pPr>
      <w:r w:rsidRPr="00681907">
        <w:rPr>
          <w:b/>
          <w:lang w:val="en-US"/>
        </w:rPr>
        <w:t xml:space="preserve">Grade 3: </w:t>
      </w:r>
    </w:p>
    <w:p w14:paraId="672B7DBF" w14:textId="36A55AD3" w:rsidR="00C90586" w:rsidRPr="00DE0C72" w:rsidRDefault="00EA2746">
      <w:pPr>
        <w:pStyle w:val="ListParagraph"/>
        <w:keepNext/>
        <w:keepLines/>
        <w:numPr>
          <w:ilvl w:val="1"/>
          <w:numId w:val="6"/>
        </w:numPr>
        <w:ind w:left="1080"/>
        <w:jc w:val="both"/>
        <w:rPr>
          <w:lang w:val="en-US"/>
        </w:rPr>
      </w:pPr>
      <w:r w:rsidRPr="00DE0C72">
        <w:rPr>
          <w:lang w:val="en-US"/>
        </w:rPr>
        <w:t>Stop</w:t>
      </w:r>
      <w:r w:rsidR="00C90586" w:rsidRPr="00DE0C72">
        <w:rPr>
          <w:lang w:val="en-US"/>
        </w:rPr>
        <w:t xml:space="preserve"> </w:t>
      </w:r>
      <w:r w:rsidR="00094605" w:rsidRPr="00DE0C72">
        <w:rPr>
          <w:lang w:val="en-US"/>
        </w:rPr>
        <w:t>the injectable</w:t>
      </w:r>
      <w:r w:rsidRPr="00DE0C72">
        <w:rPr>
          <w:lang w:val="en-US"/>
        </w:rPr>
        <w:t xml:space="preserve"> and replace with </w:t>
      </w:r>
      <w:r w:rsidR="008570E7">
        <w:rPr>
          <w:lang w:val="en-US"/>
        </w:rPr>
        <w:t>a non-ototoxic TB drug.</w:t>
      </w:r>
    </w:p>
    <w:p w14:paraId="1BCFAFE6" w14:textId="3E6B8DF6" w:rsidR="00F629CC" w:rsidRPr="00681907" w:rsidRDefault="00F629CC">
      <w:pPr>
        <w:pStyle w:val="ListParagraph"/>
        <w:keepNext/>
        <w:keepLines/>
        <w:numPr>
          <w:ilvl w:val="1"/>
          <w:numId w:val="6"/>
        </w:numPr>
        <w:ind w:left="1080"/>
        <w:jc w:val="both"/>
        <w:rPr>
          <w:b/>
          <w:i/>
          <w:lang w:val="en-US"/>
        </w:rPr>
      </w:pPr>
      <w:r w:rsidRPr="00681907">
        <w:rPr>
          <w:lang w:val="en-US"/>
        </w:rPr>
        <w:t>Perform audiometry every week until improvement or stabilization.</w:t>
      </w:r>
    </w:p>
    <w:p w14:paraId="35541CFA" w14:textId="77777777" w:rsidR="0090144A" w:rsidRPr="00DE0C72" w:rsidRDefault="00C90586" w:rsidP="00A535CA">
      <w:pPr>
        <w:pStyle w:val="ListParagraph"/>
        <w:keepNext/>
        <w:keepLines/>
        <w:numPr>
          <w:ilvl w:val="0"/>
          <w:numId w:val="6"/>
        </w:numPr>
        <w:ind w:left="720"/>
        <w:jc w:val="both"/>
        <w:rPr>
          <w:lang w:val="en-US"/>
        </w:rPr>
      </w:pPr>
      <w:r w:rsidRPr="00681907">
        <w:rPr>
          <w:b/>
          <w:lang w:val="en-US"/>
        </w:rPr>
        <w:t xml:space="preserve">Grade 4: </w:t>
      </w:r>
    </w:p>
    <w:p w14:paraId="4E96217D" w14:textId="49061603" w:rsidR="0090144A" w:rsidRPr="00DE0C72" w:rsidRDefault="0090144A">
      <w:pPr>
        <w:pStyle w:val="ListParagraph"/>
        <w:keepNext/>
        <w:keepLines/>
        <w:numPr>
          <w:ilvl w:val="1"/>
          <w:numId w:val="6"/>
        </w:numPr>
        <w:ind w:left="1080"/>
        <w:jc w:val="both"/>
        <w:rPr>
          <w:lang w:val="en-US"/>
        </w:rPr>
      </w:pPr>
      <w:r w:rsidRPr="00DE0C72">
        <w:rPr>
          <w:lang w:val="en-US"/>
        </w:rPr>
        <w:t xml:space="preserve">Stop </w:t>
      </w:r>
      <w:r w:rsidR="00897E4D" w:rsidRPr="00DE0C72">
        <w:rPr>
          <w:lang w:val="en-US"/>
        </w:rPr>
        <w:t xml:space="preserve">the </w:t>
      </w:r>
      <w:r w:rsidRPr="00DE0C72">
        <w:rPr>
          <w:lang w:val="en-US"/>
        </w:rPr>
        <w:t xml:space="preserve">injectable and replace </w:t>
      </w:r>
      <w:r w:rsidR="00BF0A52" w:rsidRPr="00DE0C72">
        <w:rPr>
          <w:lang w:val="en-US"/>
        </w:rPr>
        <w:t xml:space="preserve">with </w:t>
      </w:r>
      <w:r w:rsidR="00BF0A52">
        <w:rPr>
          <w:lang w:val="en-US"/>
        </w:rPr>
        <w:t>a non-ototoxic TB drug</w:t>
      </w:r>
      <w:r w:rsidR="00427E2A" w:rsidRPr="00DE0C72">
        <w:rPr>
          <w:lang w:val="en-US"/>
        </w:rPr>
        <w:t>.</w:t>
      </w:r>
    </w:p>
    <w:p w14:paraId="43C88E82" w14:textId="1881D951" w:rsidR="008570E7" w:rsidRPr="008570E7" w:rsidRDefault="0090144A">
      <w:pPr>
        <w:pStyle w:val="ListParagraph"/>
        <w:keepNext/>
        <w:keepLines/>
        <w:numPr>
          <w:ilvl w:val="1"/>
          <w:numId w:val="6"/>
        </w:numPr>
        <w:ind w:left="1080"/>
        <w:jc w:val="both"/>
        <w:rPr>
          <w:lang w:val="en-US"/>
        </w:rPr>
      </w:pPr>
      <w:r w:rsidRPr="00DE0C72">
        <w:rPr>
          <w:lang w:val="en-US"/>
        </w:rPr>
        <w:t>Perform audiometry every week until improvement or stabilization</w:t>
      </w:r>
      <w:r w:rsidR="00427E2A" w:rsidRPr="00DE0C72">
        <w:rPr>
          <w:lang w:val="en-US"/>
        </w:rPr>
        <w:t>.</w:t>
      </w:r>
    </w:p>
    <w:p w14:paraId="6B07EADD" w14:textId="4945BD27" w:rsidR="008570E7" w:rsidRPr="008570E7" w:rsidRDefault="008570E7">
      <w:pPr>
        <w:pStyle w:val="ListParagraph"/>
        <w:keepNext/>
        <w:keepLines/>
        <w:numPr>
          <w:ilvl w:val="1"/>
          <w:numId w:val="6"/>
        </w:numPr>
        <w:ind w:left="1080"/>
        <w:jc w:val="both"/>
        <w:rPr>
          <w:lang w:val="en-US"/>
        </w:rPr>
      </w:pPr>
      <w:r w:rsidRPr="008570E7">
        <w:rPr>
          <w:lang w:val="en-US"/>
        </w:rPr>
        <w:t>In cases of complete hearing loss, some clinicians will continue the injectable as the hearing loss is irreversible. Consider suspension of the injectable if some hearing might be still preserved or if it is causing other reversible symptoms such as tinnitus or vestibular disturbances.</w:t>
      </w:r>
    </w:p>
    <w:p w14:paraId="2B444D90" w14:textId="4D163BF0" w:rsidR="00C90586" w:rsidRPr="00681907" w:rsidRDefault="00F629CC">
      <w:pPr>
        <w:pStyle w:val="ListParagraph"/>
        <w:keepNext/>
        <w:keepLines/>
        <w:ind w:left="0"/>
        <w:jc w:val="both"/>
        <w:rPr>
          <w:lang w:val="en-US"/>
        </w:rPr>
      </w:pPr>
      <w:r w:rsidRPr="00681907">
        <w:rPr>
          <w:lang w:val="en-US"/>
        </w:rPr>
        <w:t xml:space="preserve">In all patients, check that the patient does not receive </w:t>
      </w:r>
      <w:r w:rsidR="00A05EDB">
        <w:rPr>
          <w:lang w:val="en-US"/>
        </w:rPr>
        <w:t xml:space="preserve">any </w:t>
      </w:r>
      <w:r w:rsidRPr="00681907">
        <w:rPr>
          <w:lang w:val="en-US"/>
        </w:rPr>
        <w:t>concomitant drug that could increase the risk of AE</w:t>
      </w:r>
      <w:r w:rsidR="00EF6850">
        <w:rPr>
          <w:lang w:val="en-US"/>
        </w:rPr>
        <w:t xml:space="preserve"> (e.g.,</w:t>
      </w:r>
      <w:r w:rsidRPr="00681907">
        <w:rPr>
          <w:lang w:val="en-US"/>
        </w:rPr>
        <w:t xml:space="preserve"> furosemide</w:t>
      </w:r>
      <w:r w:rsidR="00EF6850">
        <w:rPr>
          <w:lang w:val="en-US"/>
        </w:rPr>
        <w:t>)</w:t>
      </w:r>
      <w:r w:rsidR="00A163D6">
        <w:rPr>
          <w:lang w:val="en-US"/>
        </w:rPr>
        <w:t xml:space="preserve"> </w:t>
      </w:r>
      <w:r w:rsidRPr="00681907">
        <w:rPr>
          <w:lang w:val="en-US"/>
        </w:rPr>
        <w:t>and stop this drug if possible.</w:t>
      </w:r>
    </w:p>
    <w:p w14:paraId="13A32760" w14:textId="3CDC34F4" w:rsidR="001816ED" w:rsidRPr="00681907" w:rsidRDefault="001816ED" w:rsidP="00462589">
      <w:pPr>
        <w:pStyle w:val="Heading4"/>
        <w:spacing w:before="0" w:after="120" w:line="240" w:lineRule="auto"/>
        <w:jc w:val="both"/>
        <w:rPr>
          <w:lang w:val="en-US"/>
        </w:rPr>
      </w:pPr>
      <w:r w:rsidRPr="00681907">
        <w:rPr>
          <w:lang w:val="en-US"/>
        </w:rPr>
        <w:t xml:space="preserve"> Management of acute kidney injury</w:t>
      </w:r>
    </w:p>
    <w:p w14:paraId="12D2F412" w14:textId="3680D6E3" w:rsidR="00F50320" w:rsidRPr="00DE0C72" w:rsidRDefault="00F50320" w:rsidP="00DB2419">
      <w:pPr>
        <w:keepNext/>
        <w:keepLines/>
        <w:jc w:val="both"/>
        <w:rPr>
          <w:b/>
          <w:lang w:val="en-US"/>
        </w:rPr>
      </w:pPr>
      <w:r w:rsidRPr="00681907">
        <w:rPr>
          <w:b/>
          <w:i/>
          <w:lang w:val="en-US"/>
        </w:rPr>
        <w:t>Suspected anti-TB drugs (from most likely to less likely responsible):</w:t>
      </w:r>
      <w:r w:rsidRPr="00DE0C72">
        <w:rPr>
          <w:b/>
          <w:lang w:val="en-US"/>
        </w:rPr>
        <w:t xml:space="preserve"> Km, Am, Cm</w:t>
      </w:r>
      <w:r w:rsidR="00CB4FEA" w:rsidRPr="00DE0C72">
        <w:rPr>
          <w:b/>
          <w:lang w:val="en-US"/>
        </w:rPr>
        <w:t>.</w:t>
      </w:r>
    </w:p>
    <w:p w14:paraId="0745E09A" w14:textId="2872D49B" w:rsidR="00BF6BA9" w:rsidRPr="00DE0C72" w:rsidRDefault="00BF6BA9" w:rsidP="00601E46">
      <w:pPr>
        <w:keepNext/>
        <w:keepLines/>
        <w:jc w:val="both"/>
        <w:rPr>
          <w:b/>
          <w:lang w:val="en-US"/>
        </w:rPr>
      </w:pPr>
      <w:r w:rsidRPr="00DE0C72">
        <w:rPr>
          <w:b/>
          <w:lang w:val="en-US"/>
        </w:rPr>
        <w:t>Possible other cause: TDF</w:t>
      </w:r>
    </w:p>
    <w:p w14:paraId="752A537B" w14:textId="1C5BBF5D" w:rsidR="001816ED" w:rsidRPr="00681907" w:rsidRDefault="00ED12D6" w:rsidP="00601E46">
      <w:pPr>
        <w:keepNext/>
        <w:keepLines/>
        <w:jc w:val="both"/>
        <w:rPr>
          <w:lang w:val="en-US"/>
        </w:rPr>
      </w:pPr>
      <w:r>
        <w:rPr>
          <w:b/>
          <w:i/>
          <w:lang w:val="en-US"/>
        </w:rPr>
        <w:t xml:space="preserve">Site </w:t>
      </w:r>
      <w:r w:rsidR="003671A9">
        <w:rPr>
          <w:b/>
          <w:i/>
          <w:lang w:val="en-US"/>
        </w:rPr>
        <w:t xml:space="preserve">PI or </w:t>
      </w:r>
      <w:r w:rsidR="006A411B" w:rsidRPr="00681907">
        <w:rPr>
          <w:b/>
          <w:i/>
          <w:lang w:val="en-US"/>
        </w:rPr>
        <w:t>Site</w:t>
      </w:r>
      <w:r>
        <w:rPr>
          <w:b/>
          <w:i/>
          <w:lang w:val="en-US"/>
        </w:rPr>
        <w:t xml:space="preserve"> </w:t>
      </w:r>
      <w:r w:rsidR="006E78FB" w:rsidRPr="00681907">
        <w:rPr>
          <w:b/>
          <w:i/>
          <w:lang w:val="en-US"/>
        </w:rPr>
        <w:t>C</w:t>
      </w:r>
      <w:r w:rsidR="00F65EA5" w:rsidRPr="00681907">
        <w:rPr>
          <w:b/>
          <w:i/>
          <w:lang w:val="en-US"/>
        </w:rPr>
        <w:t>I</w:t>
      </w:r>
      <w:r w:rsidR="001816ED" w:rsidRPr="00681907">
        <w:rPr>
          <w:lang w:val="en-US"/>
        </w:rPr>
        <w:t xml:space="preserve"> manage</w:t>
      </w:r>
      <w:r w:rsidR="006E78FB" w:rsidRPr="00681907">
        <w:rPr>
          <w:lang w:val="en-US"/>
        </w:rPr>
        <w:t>s</w:t>
      </w:r>
      <w:r w:rsidR="001816ED" w:rsidRPr="00681907">
        <w:rPr>
          <w:lang w:val="en-US"/>
        </w:rPr>
        <w:t xml:space="preserve"> this AE according to its severity:</w:t>
      </w:r>
    </w:p>
    <w:p w14:paraId="4C907E99" w14:textId="15DCFF00" w:rsidR="00627AC8" w:rsidRPr="00681907" w:rsidRDefault="00627AC8" w:rsidP="00C14D31">
      <w:pPr>
        <w:pStyle w:val="ListParagraph"/>
        <w:keepNext/>
        <w:keepLines/>
        <w:numPr>
          <w:ilvl w:val="0"/>
          <w:numId w:val="6"/>
        </w:numPr>
        <w:ind w:left="720"/>
        <w:jc w:val="both"/>
        <w:rPr>
          <w:lang w:val="en-US"/>
        </w:rPr>
      </w:pPr>
      <w:r w:rsidRPr="2C7D2031">
        <w:rPr>
          <w:lang w:val="en-US"/>
        </w:rPr>
        <w:t>Review the concomitant treatment the patient is receiving and stop any other nephrotoxic non-tuberculosis drugs.</w:t>
      </w:r>
    </w:p>
    <w:p w14:paraId="0A67E1DB" w14:textId="60CCA24E" w:rsidR="00A61A50" w:rsidRPr="00F1254D" w:rsidRDefault="001816ED" w:rsidP="00462589">
      <w:pPr>
        <w:pStyle w:val="ListParagraph"/>
        <w:keepNext/>
        <w:keepLines/>
        <w:numPr>
          <w:ilvl w:val="0"/>
          <w:numId w:val="16"/>
        </w:numPr>
        <w:jc w:val="both"/>
        <w:rPr>
          <w:lang w:val="en-US"/>
        </w:rPr>
      </w:pPr>
      <w:r w:rsidRPr="00681907">
        <w:rPr>
          <w:b/>
          <w:lang w:val="en-US"/>
        </w:rPr>
        <w:t>Grade 1</w:t>
      </w:r>
      <w:r w:rsidR="00FE427B" w:rsidRPr="00681907">
        <w:rPr>
          <w:b/>
          <w:lang w:val="en-US"/>
        </w:rPr>
        <w:t>-</w:t>
      </w:r>
      <w:r w:rsidR="0009422A" w:rsidRPr="00681907">
        <w:rPr>
          <w:b/>
          <w:lang w:val="en-US"/>
        </w:rPr>
        <w:t>3</w:t>
      </w:r>
      <w:r w:rsidRPr="00681907">
        <w:rPr>
          <w:b/>
          <w:lang w:val="en-US"/>
        </w:rPr>
        <w:t xml:space="preserve">: </w:t>
      </w:r>
      <w:r w:rsidR="00FE427B" w:rsidRPr="00681907">
        <w:rPr>
          <w:lang w:val="en-US"/>
        </w:rPr>
        <w:t xml:space="preserve">If </w:t>
      </w:r>
      <w:r w:rsidR="0009422A" w:rsidRPr="00681907">
        <w:rPr>
          <w:lang w:val="en-US"/>
        </w:rPr>
        <w:t>currently administered</w:t>
      </w:r>
      <w:r w:rsidR="00627AC8" w:rsidRPr="00681907">
        <w:rPr>
          <w:lang w:val="en-US"/>
        </w:rPr>
        <w:t>,</w:t>
      </w:r>
      <w:r w:rsidR="00FE427B" w:rsidRPr="00681907">
        <w:rPr>
          <w:lang w:val="en-US"/>
        </w:rPr>
        <w:t xml:space="preserve"> stop the injectable, f</w:t>
      </w:r>
      <w:r w:rsidR="00FE427B" w:rsidRPr="00DE0C72">
        <w:rPr>
          <w:lang w:val="en-US"/>
        </w:rPr>
        <w:t xml:space="preserve">ollow creatinine and electrolytes weekly until </w:t>
      </w:r>
      <w:r w:rsidR="00427E2A" w:rsidRPr="00DE0C72">
        <w:rPr>
          <w:lang w:val="en-US"/>
        </w:rPr>
        <w:t>G</w:t>
      </w:r>
      <w:r w:rsidR="00627AC8" w:rsidRPr="00DE0C72">
        <w:rPr>
          <w:lang w:val="en-US"/>
        </w:rPr>
        <w:t>rade &lt;2</w:t>
      </w:r>
    </w:p>
    <w:p w14:paraId="7FF37535" w14:textId="223433CC" w:rsidR="00627AC8" w:rsidRPr="00DE0C72" w:rsidRDefault="00627AC8" w:rsidP="00F1254D">
      <w:pPr>
        <w:pStyle w:val="ListParagraph"/>
        <w:keepNext/>
        <w:keepLines/>
        <w:numPr>
          <w:ilvl w:val="2"/>
          <w:numId w:val="14"/>
        </w:numPr>
        <w:jc w:val="both"/>
        <w:rPr>
          <w:lang w:val="en-US"/>
        </w:rPr>
      </w:pPr>
      <w:r w:rsidRPr="00DE0C72">
        <w:rPr>
          <w:lang w:val="en-US"/>
        </w:rPr>
        <w:t xml:space="preserve">If </w:t>
      </w:r>
      <w:r w:rsidR="00427E2A" w:rsidRPr="00DE0C72">
        <w:rPr>
          <w:lang w:val="en-US"/>
        </w:rPr>
        <w:t>G</w:t>
      </w:r>
      <w:r w:rsidRPr="00DE0C72">
        <w:rPr>
          <w:lang w:val="en-US"/>
        </w:rPr>
        <w:t>rade decrease</w:t>
      </w:r>
      <w:r w:rsidR="00427E2A" w:rsidRPr="00DE0C72">
        <w:rPr>
          <w:lang w:val="en-US"/>
        </w:rPr>
        <w:t>s</w:t>
      </w:r>
      <w:r w:rsidRPr="00DE0C72">
        <w:rPr>
          <w:lang w:val="en-US"/>
        </w:rPr>
        <w:t xml:space="preserve"> to 1 or below within 2 weeks:</w:t>
      </w:r>
    </w:p>
    <w:p w14:paraId="7E2519A2" w14:textId="3F61BBAC" w:rsidR="00F1254D" w:rsidRPr="000070B3" w:rsidRDefault="00627AC8" w:rsidP="00462589">
      <w:pPr>
        <w:pStyle w:val="ListParagraph"/>
        <w:keepNext/>
        <w:keepLines/>
        <w:numPr>
          <w:ilvl w:val="3"/>
          <w:numId w:val="33"/>
        </w:numPr>
        <w:ind w:left="1710" w:hanging="270"/>
        <w:jc w:val="both"/>
        <w:rPr>
          <w:lang w:val="en-US"/>
        </w:rPr>
      </w:pPr>
      <w:r w:rsidRPr="00F1254D">
        <w:rPr>
          <w:lang w:val="en-US"/>
        </w:rPr>
        <w:t>C</w:t>
      </w:r>
      <w:r w:rsidR="00FE427B" w:rsidRPr="00F1254D">
        <w:rPr>
          <w:lang w:val="en-US"/>
        </w:rPr>
        <w:t>onsider restarting the injectable at lower frequency</w:t>
      </w:r>
      <w:r w:rsidR="00A61A50" w:rsidRPr="00F1254D">
        <w:rPr>
          <w:lang w:val="en-US"/>
        </w:rPr>
        <w:t xml:space="preserve"> </w:t>
      </w:r>
      <w:r w:rsidR="006C019D" w:rsidRPr="00F1254D">
        <w:rPr>
          <w:lang w:val="en-US"/>
        </w:rPr>
        <w:t xml:space="preserve">if the drug is essential to the regimen </w:t>
      </w:r>
      <w:r w:rsidR="00A61A50" w:rsidRPr="00F1254D">
        <w:rPr>
          <w:lang w:val="en-US"/>
        </w:rPr>
        <w:t>(e.g. three times per week)</w:t>
      </w:r>
      <w:r w:rsidR="004D2134" w:rsidRPr="00F1254D">
        <w:rPr>
          <w:lang w:val="en-US"/>
        </w:rPr>
        <w:t>; otherwise, consider the permanent suspension of the injectable and the addition of</w:t>
      </w:r>
      <w:r w:rsidR="00A9134C" w:rsidRPr="00F1254D">
        <w:rPr>
          <w:lang w:val="en-US"/>
        </w:rPr>
        <w:t xml:space="preserve"> a non-nephrotoxic</w:t>
      </w:r>
      <w:r w:rsidR="004D2134" w:rsidRPr="00F1254D">
        <w:rPr>
          <w:lang w:val="en-US"/>
        </w:rPr>
        <w:t xml:space="preserve"> anti-TB drug</w:t>
      </w:r>
      <w:r w:rsidR="00A9134C" w:rsidRPr="00F1254D">
        <w:rPr>
          <w:lang w:val="en-US"/>
        </w:rPr>
        <w:t xml:space="preserve"> </w:t>
      </w:r>
      <w:r w:rsidR="004D2134" w:rsidRPr="00F1254D">
        <w:rPr>
          <w:lang w:val="en-US"/>
        </w:rPr>
        <w:t>to reinforce the regimen</w:t>
      </w:r>
      <w:r w:rsidR="0056797E" w:rsidRPr="00F1254D">
        <w:rPr>
          <w:lang w:val="en-US"/>
        </w:rPr>
        <w:t>.</w:t>
      </w:r>
    </w:p>
    <w:p w14:paraId="23ACA6BE" w14:textId="05D60E4F" w:rsidR="00F55F73" w:rsidRPr="00DE0C72" w:rsidRDefault="00A61A50">
      <w:pPr>
        <w:pStyle w:val="ListParagraph"/>
        <w:keepNext/>
        <w:keepLines/>
        <w:numPr>
          <w:ilvl w:val="0"/>
          <w:numId w:val="16"/>
        </w:numPr>
        <w:jc w:val="both"/>
        <w:rPr>
          <w:lang w:val="en-US"/>
        </w:rPr>
      </w:pPr>
      <w:r w:rsidRPr="00DE0C72">
        <w:rPr>
          <w:lang w:val="en-US"/>
        </w:rPr>
        <w:t>A</w:t>
      </w:r>
      <w:r w:rsidR="00FE427B" w:rsidRPr="00DE0C72">
        <w:rPr>
          <w:lang w:val="en-US"/>
        </w:rPr>
        <w:t>djust the dose of other renally excreted drugs</w:t>
      </w:r>
      <w:r w:rsidR="0009422A" w:rsidRPr="00DE0C72">
        <w:rPr>
          <w:lang w:val="en-US"/>
        </w:rPr>
        <w:t xml:space="preserve"> according to the c</w:t>
      </w:r>
      <w:r w:rsidR="009635E5" w:rsidRPr="00DE0C72">
        <w:rPr>
          <w:lang w:val="en-US"/>
        </w:rPr>
        <w:t>reatinine clearance (</w:t>
      </w:r>
      <w:r w:rsidR="00427E2A" w:rsidRPr="00DE0C72">
        <w:rPr>
          <w:lang w:val="en-US"/>
        </w:rPr>
        <w:t>A</w:t>
      </w:r>
      <w:r w:rsidR="009635E5" w:rsidRPr="00DE0C72">
        <w:rPr>
          <w:lang w:val="en-US"/>
        </w:rPr>
        <w:t>ppendix 1</w:t>
      </w:r>
      <w:r w:rsidR="0009422A" w:rsidRPr="00DE0C72">
        <w:rPr>
          <w:lang w:val="en-US"/>
        </w:rPr>
        <w:t>)</w:t>
      </w:r>
      <w:r w:rsidR="00427E2A" w:rsidRPr="00DE0C72">
        <w:rPr>
          <w:lang w:val="en-US"/>
        </w:rPr>
        <w:t>.</w:t>
      </w:r>
    </w:p>
    <w:p w14:paraId="5A035210" w14:textId="4CC5F900" w:rsidR="00C0509A" w:rsidRPr="00DE0C72" w:rsidRDefault="00F55F73">
      <w:pPr>
        <w:pStyle w:val="ListParagraph"/>
        <w:keepNext/>
        <w:keepLines/>
        <w:numPr>
          <w:ilvl w:val="1"/>
          <w:numId w:val="18"/>
        </w:numPr>
        <w:jc w:val="both"/>
        <w:rPr>
          <w:lang w:val="en-US"/>
        </w:rPr>
      </w:pPr>
      <w:r w:rsidRPr="00DE0C72">
        <w:rPr>
          <w:lang w:val="en-US"/>
        </w:rPr>
        <w:t xml:space="preserve">If </w:t>
      </w:r>
      <w:r w:rsidR="00427E2A" w:rsidRPr="00DE0C72">
        <w:rPr>
          <w:lang w:val="en-US"/>
        </w:rPr>
        <w:t>G</w:t>
      </w:r>
      <w:r w:rsidRPr="00DE0C72">
        <w:rPr>
          <w:lang w:val="en-US"/>
        </w:rPr>
        <w:t>rade remains &gt;</w:t>
      </w:r>
      <w:r w:rsidR="00627AC8" w:rsidRPr="00DE0C72">
        <w:rPr>
          <w:lang w:val="en-US"/>
        </w:rPr>
        <w:t>1</w:t>
      </w:r>
      <w:r w:rsidRPr="00DE0C72">
        <w:rPr>
          <w:lang w:val="en-US"/>
        </w:rPr>
        <w:t xml:space="preserve"> </w:t>
      </w:r>
      <w:r w:rsidR="00627AC8" w:rsidRPr="00DE0C72">
        <w:rPr>
          <w:lang w:val="en-US"/>
        </w:rPr>
        <w:t>after 2 weeks of inter</w:t>
      </w:r>
      <w:r w:rsidR="004D2134">
        <w:rPr>
          <w:lang w:val="en-US"/>
        </w:rPr>
        <w:t>r</w:t>
      </w:r>
      <w:r w:rsidR="00627AC8" w:rsidRPr="00DE0C72">
        <w:rPr>
          <w:lang w:val="en-US"/>
        </w:rPr>
        <w:t xml:space="preserve">uption </w:t>
      </w:r>
      <w:r w:rsidRPr="00DE0C72">
        <w:rPr>
          <w:lang w:val="en-US"/>
        </w:rPr>
        <w:t xml:space="preserve">or if nephrotoxicity recurs after re-introduction of the injectable: </w:t>
      </w:r>
    </w:p>
    <w:p w14:paraId="7A3C2901" w14:textId="7404B08E" w:rsidR="00F55F73" w:rsidRPr="00F1254D" w:rsidRDefault="00427E2A" w:rsidP="000070B3">
      <w:pPr>
        <w:pStyle w:val="ListParagraph"/>
        <w:keepNext/>
        <w:keepLines/>
        <w:numPr>
          <w:ilvl w:val="1"/>
          <w:numId w:val="17"/>
        </w:numPr>
        <w:jc w:val="both"/>
        <w:rPr>
          <w:lang w:val="en-US"/>
        </w:rPr>
      </w:pPr>
      <w:r w:rsidRPr="00F1254D">
        <w:rPr>
          <w:lang w:val="en-US"/>
        </w:rPr>
        <w:t>C</w:t>
      </w:r>
      <w:r w:rsidR="00F55F73" w:rsidRPr="00F1254D">
        <w:rPr>
          <w:lang w:val="en-US"/>
        </w:rPr>
        <w:t xml:space="preserve">onsider permanent suspension of the injectable and </w:t>
      </w:r>
      <w:r w:rsidR="00A9134C" w:rsidRPr="00F1254D">
        <w:rPr>
          <w:lang w:val="en-US"/>
        </w:rPr>
        <w:t xml:space="preserve">the addition of </w:t>
      </w:r>
      <w:bookmarkStart w:id="10" w:name="_Hlk508791508"/>
      <w:r w:rsidR="00A9134C" w:rsidRPr="00F1254D">
        <w:rPr>
          <w:lang w:val="en-US"/>
        </w:rPr>
        <w:t>a non-nephrotoxic anti-TB drug to reinforce the regimen</w:t>
      </w:r>
      <w:bookmarkEnd w:id="10"/>
      <w:r w:rsidR="00F55F73" w:rsidRPr="00F1254D">
        <w:rPr>
          <w:lang w:val="en-US"/>
        </w:rPr>
        <w:t>.</w:t>
      </w:r>
    </w:p>
    <w:p w14:paraId="3829B78E" w14:textId="45BBA0CA" w:rsidR="00C0509A" w:rsidRDefault="00C0509A" w:rsidP="00F1254D">
      <w:pPr>
        <w:pStyle w:val="ListParagraph"/>
        <w:keepNext/>
        <w:keepLines/>
        <w:numPr>
          <w:ilvl w:val="1"/>
          <w:numId w:val="17"/>
        </w:numPr>
        <w:jc w:val="both"/>
        <w:rPr>
          <w:lang w:val="en-US"/>
        </w:rPr>
      </w:pPr>
      <w:r w:rsidRPr="00DE0C72">
        <w:rPr>
          <w:lang w:val="en-US"/>
        </w:rPr>
        <w:t>Adjust the dose of other renally excreted drugs according to the creatinine clearance (</w:t>
      </w:r>
      <w:r w:rsidR="00427E2A" w:rsidRPr="00DE0C72">
        <w:rPr>
          <w:lang w:val="en-US"/>
        </w:rPr>
        <w:t>A</w:t>
      </w:r>
      <w:r w:rsidRPr="00DE0C72">
        <w:rPr>
          <w:lang w:val="en-US"/>
        </w:rPr>
        <w:t xml:space="preserve">ppendix </w:t>
      </w:r>
      <w:r w:rsidR="00094605" w:rsidRPr="00DE0C72">
        <w:rPr>
          <w:lang w:val="en-US"/>
        </w:rPr>
        <w:t>1</w:t>
      </w:r>
      <w:r w:rsidRPr="00DE0C72">
        <w:rPr>
          <w:lang w:val="en-US"/>
        </w:rPr>
        <w:t>)</w:t>
      </w:r>
      <w:r w:rsidR="00427E2A" w:rsidRPr="00DE0C72">
        <w:rPr>
          <w:lang w:val="en-US"/>
        </w:rPr>
        <w:t>.</w:t>
      </w:r>
    </w:p>
    <w:p w14:paraId="4A1437BB" w14:textId="77777777" w:rsidR="00C14D31" w:rsidRPr="00DE0C72" w:rsidRDefault="00C14D31" w:rsidP="00C14D31">
      <w:pPr>
        <w:pStyle w:val="ListParagraph"/>
        <w:keepNext/>
        <w:keepLines/>
        <w:ind w:left="2880"/>
        <w:jc w:val="both"/>
        <w:rPr>
          <w:lang w:val="en-US"/>
        </w:rPr>
      </w:pPr>
    </w:p>
    <w:p w14:paraId="47AEEF0B" w14:textId="59DC3518" w:rsidR="00E66B76" w:rsidRPr="00681907" w:rsidRDefault="001816ED" w:rsidP="00227A9F">
      <w:pPr>
        <w:pStyle w:val="ListParagraph"/>
        <w:keepNext/>
        <w:keepLines/>
        <w:numPr>
          <w:ilvl w:val="0"/>
          <w:numId w:val="6"/>
        </w:numPr>
        <w:spacing w:after="0"/>
        <w:ind w:left="720"/>
        <w:jc w:val="both"/>
        <w:rPr>
          <w:lang w:val="en-US"/>
        </w:rPr>
      </w:pPr>
      <w:r w:rsidRPr="00681907">
        <w:rPr>
          <w:b/>
          <w:lang w:val="en-US"/>
        </w:rPr>
        <w:t xml:space="preserve">Grade 4: </w:t>
      </w:r>
    </w:p>
    <w:p w14:paraId="4B7F2BFF" w14:textId="26FA6ED8" w:rsidR="00627AC8" w:rsidRPr="00DE0C72" w:rsidRDefault="00627AC8" w:rsidP="005E68BA">
      <w:pPr>
        <w:pStyle w:val="ListNumber"/>
        <w:keepNext/>
        <w:keepLines/>
        <w:numPr>
          <w:ilvl w:val="1"/>
          <w:numId w:val="15"/>
        </w:numPr>
        <w:spacing w:after="120" w:line="240" w:lineRule="auto"/>
        <w:ind w:left="1080"/>
        <w:jc w:val="both"/>
        <w:rPr>
          <w:lang w:val="en-US"/>
        </w:rPr>
      </w:pPr>
      <w:r w:rsidRPr="00681907">
        <w:rPr>
          <w:lang w:val="en-US"/>
        </w:rPr>
        <w:t>If currently administered, stop the injectable</w:t>
      </w:r>
      <w:r w:rsidR="00427E2A" w:rsidRPr="00681907">
        <w:rPr>
          <w:lang w:val="en-US"/>
        </w:rPr>
        <w:t>.</w:t>
      </w:r>
    </w:p>
    <w:p w14:paraId="24FD2B20" w14:textId="418514F7" w:rsidR="00C974AC" w:rsidRPr="00DE0C72" w:rsidRDefault="00C0509A">
      <w:pPr>
        <w:pStyle w:val="ListNumber"/>
        <w:keepNext/>
        <w:keepLines/>
        <w:numPr>
          <w:ilvl w:val="1"/>
          <w:numId w:val="15"/>
        </w:numPr>
        <w:spacing w:before="120" w:after="120" w:line="240" w:lineRule="auto"/>
        <w:ind w:left="1080"/>
        <w:jc w:val="both"/>
        <w:rPr>
          <w:lang w:val="en-US"/>
        </w:rPr>
      </w:pPr>
      <w:r w:rsidRPr="00DE0C72">
        <w:rPr>
          <w:lang w:val="en-US"/>
        </w:rPr>
        <w:t xml:space="preserve">Follow creatinine and electrolytes weekly until </w:t>
      </w:r>
      <w:r w:rsidR="00427E2A" w:rsidRPr="00DE0C72">
        <w:rPr>
          <w:lang w:val="en-US"/>
        </w:rPr>
        <w:t>G</w:t>
      </w:r>
      <w:r w:rsidRPr="00DE0C72">
        <w:rPr>
          <w:lang w:val="en-US"/>
        </w:rPr>
        <w:t>rade &lt;2</w:t>
      </w:r>
      <w:r w:rsidR="00427E2A" w:rsidRPr="00DE0C72">
        <w:rPr>
          <w:lang w:val="en-US"/>
        </w:rPr>
        <w:t>.</w:t>
      </w:r>
    </w:p>
    <w:p w14:paraId="3D7CD822" w14:textId="0D06958F" w:rsidR="00C0509A" w:rsidRPr="00DE0C72" w:rsidRDefault="00C0509A">
      <w:pPr>
        <w:pStyle w:val="ListNumber"/>
        <w:keepNext/>
        <w:keepLines/>
        <w:numPr>
          <w:ilvl w:val="1"/>
          <w:numId w:val="15"/>
        </w:numPr>
        <w:spacing w:after="0" w:line="240" w:lineRule="auto"/>
        <w:ind w:left="1080"/>
        <w:jc w:val="both"/>
        <w:rPr>
          <w:lang w:val="en-US"/>
        </w:rPr>
      </w:pPr>
      <w:r w:rsidRPr="00DE0C72">
        <w:rPr>
          <w:lang w:val="en-US"/>
        </w:rPr>
        <w:t>Adjust the dose of other renally excreted drugs according to the creatinine clearance (</w:t>
      </w:r>
      <w:r w:rsidR="00427E2A" w:rsidRPr="00DE0C72">
        <w:rPr>
          <w:lang w:val="en-US"/>
        </w:rPr>
        <w:t>A</w:t>
      </w:r>
      <w:r w:rsidRPr="00DE0C72">
        <w:rPr>
          <w:lang w:val="en-US"/>
        </w:rPr>
        <w:t xml:space="preserve">ppendix </w:t>
      </w:r>
      <w:r w:rsidR="00094605" w:rsidRPr="00DE0C72">
        <w:rPr>
          <w:lang w:val="en-US"/>
        </w:rPr>
        <w:t>1</w:t>
      </w:r>
      <w:r w:rsidRPr="00DE0C72">
        <w:rPr>
          <w:lang w:val="en-US"/>
        </w:rPr>
        <w:t>)</w:t>
      </w:r>
      <w:r w:rsidR="00CB4FEA" w:rsidRPr="00DE0C72">
        <w:rPr>
          <w:lang w:val="en-US"/>
        </w:rPr>
        <w:t>.</w:t>
      </w:r>
    </w:p>
    <w:p w14:paraId="70DE2066" w14:textId="06117D87" w:rsidR="001816ED" w:rsidRDefault="00094605" w:rsidP="005E68BA">
      <w:pPr>
        <w:pStyle w:val="ListParagraph"/>
        <w:keepNext/>
        <w:keepLines/>
        <w:numPr>
          <w:ilvl w:val="1"/>
          <w:numId w:val="15"/>
        </w:numPr>
        <w:spacing w:after="0"/>
        <w:ind w:left="1080"/>
        <w:jc w:val="both"/>
        <w:rPr>
          <w:lang w:val="en-US"/>
        </w:rPr>
      </w:pPr>
      <w:r w:rsidRPr="00DE0C72">
        <w:rPr>
          <w:lang w:val="en-US"/>
        </w:rPr>
        <w:lastRenderedPageBreak/>
        <w:t>P</w:t>
      </w:r>
      <w:r w:rsidR="00C0509A" w:rsidRPr="00DE0C72">
        <w:rPr>
          <w:lang w:val="en-US"/>
        </w:rPr>
        <w:t>ermanent</w:t>
      </w:r>
      <w:r w:rsidRPr="00DE0C72">
        <w:rPr>
          <w:lang w:val="en-US"/>
        </w:rPr>
        <w:t xml:space="preserve">ly stop the </w:t>
      </w:r>
      <w:r w:rsidR="00C0509A" w:rsidRPr="00DE0C72">
        <w:rPr>
          <w:lang w:val="en-US"/>
        </w:rPr>
        <w:t xml:space="preserve">injectable and add </w:t>
      </w:r>
      <w:r w:rsidR="00A9134C">
        <w:rPr>
          <w:lang w:val="en-US"/>
        </w:rPr>
        <w:t>a non-nephrotoxic</w:t>
      </w:r>
      <w:r w:rsidR="00A9134C" w:rsidRPr="007A5279">
        <w:rPr>
          <w:lang w:val="en-US"/>
        </w:rPr>
        <w:t xml:space="preserve"> anti-TB drug</w:t>
      </w:r>
      <w:r w:rsidR="00A9134C">
        <w:rPr>
          <w:lang w:val="en-US"/>
        </w:rPr>
        <w:t xml:space="preserve"> </w:t>
      </w:r>
      <w:r w:rsidR="00C0509A" w:rsidRPr="00DE0C72">
        <w:rPr>
          <w:lang w:val="en-US"/>
        </w:rPr>
        <w:t>to reinforce the regimen.</w:t>
      </w:r>
    </w:p>
    <w:p w14:paraId="68096933" w14:textId="77777777" w:rsidR="008F6A12" w:rsidRPr="005E68BA" w:rsidRDefault="008F6A12" w:rsidP="008F6A12">
      <w:pPr>
        <w:pStyle w:val="ListParagraph"/>
        <w:keepNext/>
        <w:keepLines/>
        <w:spacing w:after="0"/>
        <w:ind w:left="1080"/>
        <w:jc w:val="both"/>
        <w:rPr>
          <w:lang w:val="en-US"/>
        </w:rPr>
      </w:pPr>
    </w:p>
    <w:p w14:paraId="5E746413" w14:textId="53362B6B" w:rsidR="00CE137D" w:rsidRPr="00681907" w:rsidRDefault="00CE137D" w:rsidP="00462589">
      <w:pPr>
        <w:pStyle w:val="Heading4"/>
        <w:spacing w:before="0" w:after="120" w:line="240" w:lineRule="auto"/>
        <w:jc w:val="both"/>
        <w:rPr>
          <w:bCs/>
          <w:iCs/>
          <w:lang w:val="en-US"/>
        </w:rPr>
      </w:pPr>
      <w:r w:rsidRPr="00681907">
        <w:rPr>
          <w:lang w:val="en-US"/>
        </w:rPr>
        <w:t xml:space="preserve">Management of </w:t>
      </w:r>
      <w:r w:rsidRPr="00681907">
        <w:rPr>
          <w:bCs/>
          <w:iCs/>
          <w:lang w:val="en-US"/>
        </w:rPr>
        <w:t>hypokalemia</w:t>
      </w:r>
    </w:p>
    <w:p w14:paraId="7EEB1FDC" w14:textId="25DBDC9C" w:rsidR="00BF6BA9" w:rsidRPr="00DE0C72" w:rsidRDefault="00BF6BA9" w:rsidP="00462589">
      <w:pPr>
        <w:keepNext/>
        <w:keepLines/>
        <w:spacing w:line="240" w:lineRule="auto"/>
        <w:jc w:val="both"/>
        <w:rPr>
          <w:b/>
          <w:lang w:val="en-US"/>
        </w:rPr>
      </w:pPr>
      <w:r w:rsidRPr="00681907">
        <w:rPr>
          <w:b/>
          <w:i/>
          <w:lang w:val="en-US"/>
        </w:rPr>
        <w:t>Suspected anti-TB drugs (from most likely to less likely responsible):</w:t>
      </w:r>
      <w:r w:rsidRPr="00DE0C72">
        <w:rPr>
          <w:b/>
          <w:lang w:val="en-US"/>
        </w:rPr>
        <w:t xml:space="preserve"> Cm, Km, Am.</w:t>
      </w:r>
    </w:p>
    <w:p w14:paraId="1D322C11" w14:textId="1A4A43E7" w:rsidR="00BF6BA9" w:rsidRPr="00DE0C72" w:rsidRDefault="00BF6BA9" w:rsidP="00462589">
      <w:pPr>
        <w:keepNext/>
        <w:keepLines/>
        <w:spacing w:line="240" w:lineRule="auto"/>
        <w:jc w:val="both"/>
        <w:rPr>
          <w:b/>
          <w:lang w:val="en-US"/>
        </w:rPr>
      </w:pPr>
      <w:r w:rsidRPr="00DE0C72">
        <w:rPr>
          <w:b/>
          <w:lang w:val="en-US"/>
        </w:rPr>
        <w:t>Possible other cause: TDF</w:t>
      </w:r>
    </w:p>
    <w:p w14:paraId="32301162" w14:textId="4DA90DFE" w:rsidR="00CE137D" w:rsidRPr="00681907" w:rsidRDefault="00ED12D6" w:rsidP="00462589">
      <w:pPr>
        <w:keepNext/>
        <w:keepLines/>
        <w:spacing w:line="240" w:lineRule="auto"/>
        <w:jc w:val="both"/>
        <w:rPr>
          <w:lang w:val="en-US"/>
        </w:rPr>
      </w:pPr>
      <w:r>
        <w:rPr>
          <w:b/>
          <w:i/>
          <w:lang w:val="en-US"/>
        </w:rPr>
        <w:t xml:space="preserve">Site </w:t>
      </w:r>
      <w:r w:rsidR="003671A9">
        <w:rPr>
          <w:b/>
          <w:i/>
          <w:lang w:val="en-US"/>
        </w:rPr>
        <w:t xml:space="preserve">PI or </w:t>
      </w:r>
      <w:r w:rsidR="006A411B" w:rsidRPr="00681907">
        <w:rPr>
          <w:b/>
          <w:i/>
          <w:lang w:val="en-US"/>
        </w:rPr>
        <w:t>Site</w:t>
      </w:r>
      <w:r>
        <w:rPr>
          <w:b/>
          <w:i/>
          <w:lang w:val="en-US"/>
        </w:rPr>
        <w:t xml:space="preserve"> </w:t>
      </w:r>
      <w:r w:rsidR="00A61A50" w:rsidRPr="00681907">
        <w:rPr>
          <w:b/>
          <w:i/>
          <w:lang w:val="en-US"/>
        </w:rPr>
        <w:t>C</w:t>
      </w:r>
      <w:r w:rsidR="00F65EA5" w:rsidRPr="00681907">
        <w:rPr>
          <w:b/>
          <w:i/>
          <w:lang w:val="en-US"/>
        </w:rPr>
        <w:t>I</w:t>
      </w:r>
      <w:r w:rsidR="00CE137D" w:rsidRPr="00681907">
        <w:rPr>
          <w:lang w:val="en-US"/>
        </w:rPr>
        <w:t xml:space="preserve"> manage</w:t>
      </w:r>
      <w:r w:rsidR="00A61A50" w:rsidRPr="00681907">
        <w:rPr>
          <w:lang w:val="en-US"/>
        </w:rPr>
        <w:t>s</w:t>
      </w:r>
      <w:r w:rsidR="00CE137D" w:rsidRPr="00681907">
        <w:rPr>
          <w:lang w:val="en-US"/>
        </w:rPr>
        <w:t xml:space="preserve"> this AE according to its severity:</w:t>
      </w:r>
    </w:p>
    <w:p w14:paraId="7917A654" w14:textId="46A27117" w:rsidR="00CE137D" w:rsidRPr="00DE0C72" w:rsidRDefault="00CE137D" w:rsidP="00F1254D">
      <w:pPr>
        <w:pStyle w:val="ListParagraph"/>
        <w:keepNext/>
        <w:keepLines/>
        <w:numPr>
          <w:ilvl w:val="0"/>
          <w:numId w:val="6"/>
        </w:numPr>
        <w:ind w:left="720"/>
        <w:jc w:val="both"/>
        <w:rPr>
          <w:rFonts w:asciiTheme="minorHAnsi" w:hAnsiTheme="minorHAnsi"/>
          <w:lang w:val="en-US"/>
        </w:rPr>
      </w:pPr>
      <w:r w:rsidRPr="009701EE">
        <w:rPr>
          <w:rFonts w:asciiTheme="minorHAnsi" w:hAnsiTheme="minorHAnsi"/>
          <w:b/>
          <w:lang w:val="fr-FR"/>
        </w:rPr>
        <w:t>Grade 1</w:t>
      </w:r>
      <w:r w:rsidR="006C35F2" w:rsidRPr="009701EE">
        <w:rPr>
          <w:rFonts w:asciiTheme="minorHAnsi" w:hAnsiTheme="minorHAnsi"/>
          <w:b/>
          <w:lang w:val="fr-FR"/>
        </w:rPr>
        <w:t xml:space="preserve"> (3.4-3.0 m</w:t>
      </w:r>
      <w:r w:rsidR="00C512BC" w:rsidRPr="009701EE">
        <w:rPr>
          <w:rFonts w:asciiTheme="minorHAnsi" w:hAnsiTheme="minorHAnsi"/>
          <w:b/>
          <w:lang w:val="fr-FR"/>
        </w:rPr>
        <w:t>mol</w:t>
      </w:r>
      <w:r w:rsidR="006C35F2" w:rsidRPr="009701EE">
        <w:rPr>
          <w:rFonts w:asciiTheme="minorHAnsi" w:hAnsiTheme="minorHAnsi"/>
          <w:b/>
          <w:lang w:val="fr-FR"/>
        </w:rPr>
        <w:t>/L)</w:t>
      </w:r>
      <w:r w:rsidRPr="009701EE">
        <w:rPr>
          <w:rFonts w:asciiTheme="minorHAnsi" w:hAnsiTheme="minorHAnsi"/>
          <w:b/>
          <w:lang w:val="fr-FR"/>
        </w:rPr>
        <w:t xml:space="preserve">: </w:t>
      </w:r>
      <w:r w:rsidRPr="009701EE">
        <w:rPr>
          <w:rFonts w:asciiTheme="minorHAnsi" w:hAnsiTheme="minorHAnsi"/>
          <w:lang w:val="fr-FR"/>
        </w:rPr>
        <w:t xml:space="preserve">Continue injectable. </w:t>
      </w:r>
      <w:r w:rsidRPr="00DE0C72">
        <w:rPr>
          <w:rFonts w:asciiTheme="minorHAnsi" w:hAnsiTheme="minorHAnsi"/>
          <w:lang w:val="en-US"/>
        </w:rPr>
        <w:t>Start oral potassium replacement therapy. Check serum magnesium</w:t>
      </w:r>
      <w:r w:rsidR="00D01A24">
        <w:rPr>
          <w:rFonts w:asciiTheme="minorHAnsi" w:hAnsiTheme="minorHAnsi"/>
          <w:lang w:val="en-US"/>
        </w:rPr>
        <w:t xml:space="preserve"> and calcium,</w:t>
      </w:r>
      <w:r w:rsidRPr="00DE0C72">
        <w:rPr>
          <w:rFonts w:asciiTheme="minorHAnsi" w:hAnsiTheme="minorHAnsi"/>
          <w:lang w:val="en-US"/>
        </w:rPr>
        <w:t xml:space="preserve"> and replace if necessary.</w:t>
      </w:r>
    </w:p>
    <w:p w14:paraId="1B54DA88" w14:textId="0E98083E" w:rsidR="00CE137D" w:rsidRPr="00681907" w:rsidRDefault="00CE137D" w:rsidP="004022C9">
      <w:pPr>
        <w:pStyle w:val="ListParagraph"/>
        <w:keepNext/>
        <w:keepLines/>
        <w:numPr>
          <w:ilvl w:val="0"/>
          <w:numId w:val="6"/>
        </w:numPr>
        <w:ind w:left="720"/>
        <w:jc w:val="both"/>
        <w:rPr>
          <w:rFonts w:asciiTheme="minorHAnsi" w:hAnsiTheme="minorHAnsi"/>
          <w:lang w:val="en-US"/>
        </w:rPr>
      </w:pPr>
      <w:r w:rsidRPr="009701EE">
        <w:rPr>
          <w:rFonts w:asciiTheme="minorHAnsi" w:hAnsiTheme="minorHAnsi"/>
          <w:b/>
          <w:lang w:val="fr-FR"/>
        </w:rPr>
        <w:t>Grade 2</w:t>
      </w:r>
      <w:r w:rsidR="006C35F2" w:rsidRPr="009701EE">
        <w:rPr>
          <w:rFonts w:asciiTheme="minorHAnsi" w:hAnsiTheme="minorHAnsi"/>
          <w:b/>
          <w:lang w:val="fr-FR"/>
        </w:rPr>
        <w:t xml:space="preserve"> (2.9-2.5 m</w:t>
      </w:r>
      <w:r w:rsidR="00C512BC" w:rsidRPr="009701EE">
        <w:rPr>
          <w:rFonts w:asciiTheme="minorHAnsi" w:hAnsiTheme="minorHAnsi"/>
          <w:b/>
          <w:lang w:val="fr-FR"/>
        </w:rPr>
        <w:t>mol</w:t>
      </w:r>
      <w:r w:rsidR="006C35F2" w:rsidRPr="009701EE">
        <w:rPr>
          <w:rFonts w:asciiTheme="minorHAnsi" w:hAnsiTheme="minorHAnsi"/>
          <w:b/>
          <w:lang w:val="fr-FR"/>
        </w:rPr>
        <w:t>/L)</w:t>
      </w:r>
      <w:r w:rsidRPr="009701EE">
        <w:rPr>
          <w:rFonts w:asciiTheme="minorHAnsi" w:hAnsiTheme="minorHAnsi"/>
          <w:b/>
          <w:lang w:val="fr-FR"/>
        </w:rPr>
        <w:t xml:space="preserve">: </w:t>
      </w:r>
      <w:r w:rsidRPr="009701EE">
        <w:rPr>
          <w:rFonts w:asciiTheme="minorHAnsi" w:hAnsiTheme="minorHAnsi"/>
          <w:lang w:val="fr-FR"/>
        </w:rPr>
        <w:t xml:space="preserve">Continue injectable. </w:t>
      </w:r>
      <w:r w:rsidRPr="00DE0C72">
        <w:rPr>
          <w:rFonts w:asciiTheme="minorHAnsi" w:hAnsiTheme="minorHAnsi"/>
          <w:lang w:val="en-US"/>
        </w:rPr>
        <w:t xml:space="preserve">Start aggressive oral potassium replacement therapy. </w:t>
      </w:r>
      <w:r w:rsidR="00D01A24" w:rsidRPr="00DE0C72">
        <w:rPr>
          <w:rFonts w:asciiTheme="minorHAnsi" w:hAnsiTheme="minorHAnsi"/>
          <w:lang w:val="en-US"/>
        </w:rPr>
        <w:t>Check serum magnesium</w:t>
      </w:r>
      <w:r w:rsidR="00D01A24">
        <w:rPr>
          <w:rFonts w:asciiTheme="minorHAnsi" w:hAnsiTheme="minorHAnsi"/>
          <w:lang w:val="en-US"/>
        </w:rPr>
        <w:t xml:space="preserve"> and calcium,</w:t>
      </w:r>
      <w:r w:rsidR="00D01A24" w:rsidRPr="00DE0C72">
        <w:rPr>
          <w:rFonts w:asciiTheme="minorHAnsi" w:hAnsiTheme="minorHAnsi"/>
          <w:lang w:val="en-US"/>
        </w:rPr>
        <w:t xml:space="preserve"> and replace if necessary.</w:t>
      </w:r>
    </w:p>
    <w:p w14:paraId="18B534C4" w14:textId="7DB39163" w:rsidR="00CE137D" w:rsidRPr="00DE0C72" w:rsidRDefault="00CE137D" w:rsidP="004022C9">
      <w:pPr>
        <w:pStyle w:val="ListParagraph"/>
        <w:keepNext/>
        <w:keepLines/>
        <w:numPr>
          <w:ilvl w:val="0"/>
          <w:numId w:val="6"/>
        </w:numPr>
        <w:ind w:left="720"/>
        <w:jc w:val="both"/>
        <w:rPr>
          <w:rFonts w:asciiTheme="minorHAnsi" w:hAnsiTheme="minorHAnsi"/>
          <w:lang w:val="en-US"/>
        </w:rPr>
      </w:pPr>
      <w:r w:rsidRPr="00DE0C72">
        <w:rPr>
          <w:rFonts w:asciiTheme="minorHAnsi" w:hAnsiTheme="minorHAnsi"/>
          <w:b/>
          <w:lang w:val="en-US"/>
        </w:rPr>
        <w:t>Grade 3</w:t>
      </w:r>
      <w:r w:rsidR="006C35F2" w:rsidRPr="00DE0C72">
        <w:rPr>
          <w:rFonts w:asciiTheme="minorHAnsi" w:hAnsiTheme="minorHAnsi"/>
          <w:b/>
          <w:lang w:val="en-US"/>
        </w:rPr>
        <w:t xml:space="preserve"> (2.4-2.0 m</w:t>
      </w:r>
      <w:r w:rsidR="00C512BC" w:rsidRPr="00DE0C72">
        <w:rPr>
          <w:rFonts w:asciiTheme="minorHAnsi" w:hAnsiTheme="minorHAnsi"/>
          <w:b/>
          <w:lang w:val="en-US"/>
        </w:rPr>
        <w:t>mol</w:t>
      </w:r>
      <w:r w:rsidR="006C35F2" w:rsidRPr="00DE0C72">
        <w:rPr>
          <w:rFonts w:asciiTheme="minorHAnsi" w:hAnsiTheme="minorHAnsi"/>
          <w:b/>
          <w:lang w:val="en-US"/>
        </w:rPr>
        <w:t>/L)</w:t>
      </w:r>
      <w:r w:rsidRPr="00DE0C72">
        <w:rPr>
          <w:rFonts w:asciiTheme="minorHAnsi" w:hAnsiTheme="minorHAnsi"/>
          <w:b/>
          <w:lang w:val="en-US"/>
        </w:rPr>
        <w:t xml:space="preserve">: </w:t>
      </w:r>
      <w:r w:rsidR="00361F38">
        <w:rPr>
          <w:rFonts w:asciiTheme="minorHAnsi" w:hAnsiTheme="minorHAnsi"/>
          <w:lang w:val="en-US"/>
        </w:rPr>
        <w:t>Consider stopping injectable temporarily</w:t>
      </w:r>
      <w:r w:rsidRPr="00DE0C72">
        <w:rPr>
          <w:rFonts w:asciiTheme="minorHAnsi" w:hAnsiTheme="minorHAnsi"/>
          <w:lang w:val="en-US"/>
        </w:rPr>
        <w:t xml:space="preserve">. Start </w:t>
      </w:r>
      <w:r w:rsidR="00DC7F38" w:rsidRPr="00DE0C72">
        <w:rPr>
          <w:rFonts w:asciiTheme="minorHAnsi" w:hAnsiTheme="minorHAnsi"/>
          <w:lang w:val="en-US"/>
        </w:rPr>
        <w:t>intravenous</w:t>
      </w:r>
      <w:r w:rsidRPr="00DE0C72">
        <w:rPr>
          <w:rFonts w:asciiTheme="minorHAnsi" w:hAnsiTheme="minorHAnsi"/>
          <w:lang w:val="en-US"/>
        </w:rPr>
        <w:t xml:space="preserve"> potassium replacement therapy in addition to oral. </w:t>
      </w:r>
      <w:r w:rsidR="00D01A24" w:rsidRPr="00DE0C72">
        <w:rPr>
          <w:rFonts w:asciiTheme="minorHAnsi" w:hAnsiTheme="minorHAnsi"/>
          <w:lang w:val="en-US"/>
        </w:rPr>
        <w:t>Check serum magnesium</w:t>
      </w:r>
      <w:r w:rsidR="00D01A24">
        <w:rPr>
          <w:rFonts w:asciiTheme="minorHAnsi" w:hAnsiTheme="minorHAnsi"/>
          <w:lang w:val="en-US"/>
        </w:rPr>
        <w:t xml:space="preserve"> and calcium,</w:t>
      </w:r>
      <w:r w:rsidR="00D01A24" w:rsidRPr="00DE0C72">
        <w:rPr>
          <w:rFonts w:asciiTheme="minorHAnsi" w:hAnsiTheme="minorHAnsi"/>
          <w:lang w:val="en-US"/>
        </w:rPr>
        <w:t xml:space="preserve"> and replace if necessary.</w:t>
      </w:r>
    </w:p>
    <w:p w14:paraId="7AB5EFEF" w14:textId="23723413" w:rsidR="00CE137D" w:rsidRPr="00681907" w:rsidRDefault="00CE137D" w:rsidP="004022C9">
      <w:pPr>
        <w:pStyle w:val="ListParagraph"/>
        <w:keepNext/>
        <w:keepLines/>
        <w:numPr>
          <w:ilvl w:val="0"/>
          <w:numId w:val="6"/>
        </w:numPr>
        <w:ind w:left="720"/>
        <w:jc w:val="both"/>
        <w:rPr>
          <w:rFonts w:asciiTheme="minorHAnsi" w:hAnsiTheme="minorHAnsi"/>
          <w:lang w:val="en-US"/>
        </w:rPr>
      </w:pPr>
      <w:r w:rsidRPr="00681907">
        <w:rPr>
          <w:rFonts w:asciiTheme="minorHAnsi" w:hAnsiTheme="minorHAnsi"/>
          <w:b/>
          <w:lang w:val="en-US"/>
        </w:rPr>
        <w:t>Grade 4</w:t>
      </w:r>
      <w:r w:rsidR="006C35F2" w:rsidRPr="00681907">
        <w:rPr>
          <w:rFonts w:asciiTheme="minorHAnsi" w:hAnsiTheme="minorHAnsi"/>
          <w:b/>
          <w:lang w:val="en-US"/>
        </w:rPr>
        <w:t xml:space="preserve"> (&lt;2.0 m</w:t>
      </w:r>
      <w:r w:rsidR="00C512BC" w:rsidRPr="00681907">
        <w:rPr>
          <w:rFonts w:asciiTheme="minorHAnsi" w:hAnsiTheme="minorHAnsi"/>
          <w:b/>
          <w:lang w:val="en-US"/>
        </w:rPr>
        <w:t>mol/</w:t>
      </w:r>
      <w:r w:rsidR="006C35F2" w:rsidRPr="00681907">
        <w:rPr>
          <w:rFonts w:asciiTheme="minorHAnsi" w:hAnsiTheme="minorHAnsi"/>
          <w:b/>
          <w:lang w:val="en-US"/>
        </w:rPr>
        <w:t>L)</w:t>
      </w:r>
      <w:r w:rsidRPr="00681907">
        <w:rPr>
          <w:rFonts w:asciiTheme="minorHAnsi" w:hAnsiTheme="minorHAnsi"/>
          <w:b/>
          <w:lang w:val="en-US"/>
        </w:rPr>
        <w:t xml:space="preserve">: </w:t>
      </w:r>
      <w:r w:rsidRPr="00DE0C72">
        <w:rPr>
          <w:rFonts w:asciiTheme="minorHAnsi" w:hAnsiTheme="minorHAnsi"/>
          <w:lang w:val="en-US"/>
        </w:rPr>
        <w:t xml:space="preserve">Stop injectable temporarily. Start </w:t>
      </w:r>
      <w:r w:rsidR="00DC7F38" w:rsidRPr="00DE0C72">
        <w:rPr>
          <w:rFonts w:asciiTheme="minorHAnsi" w:hAnsiTheme="minorHAnsi"/>
          <w:lang w:val="en-US"/>
        </w:rPr>
        <w:t xml:space="preserve">intravenous </w:t>
      </w:r>
      <w:r w:rsidRPr="00DE0C72">
        <w:rPr>
          <w:rFonts w:asciiTheme="minorHAnsi" w:hAnsiTheme="minorHAnsi"/>
          <w:lang w:val="en-US"/>
        </w:rPr>
        <w:t xml:space="preserve">potassium replacement therapy in addition to oral. </w:t>
      </w:r>
      <w:r w:rsidR="00D01A24" w:rsidRPr="00DE0C72">
        <w:rPr>
          <w:rFonts w:asciiTheme="minorHAnsi" w:hAnsiTheme="minorHAnsi"/>
          <w:lang w:val="en-US"/>
        </w:rPr>
        <w:t>Check serum magnesium</w:t>
      </w:r>
      <w:r w:rsidR="00D01A24">
        <w:rPr>
          <w:rFonts w:asciiTheme="minorHAnsi" w:hAnsiTheme="minorHAnsi"/>
          <w:lang w:val="en-US"/>
        </w:rPr>
        <w:t xml:space="preserve"> and calcium,</w:t>
      </w:r>
      <w:r w:rsidR="00D01A24" w:rsidRPr="00DE0C72">
        <w:rPr>
          <w:rFonts w:asciiTheme="minorHAnsi" w:hAnsiTheme="minorHAnsi"/>
          <w:lang w:val="en-US"/>
        </w:rPr>
        <w:t xml:space="preserve"> and replace if necessary.</w:t>
      </w:r>
    </w:p>
    <w:p w14:paraId="75BBEADC" w14:textId="5BA3ABC8" w:rsidR="00C93E96" w:rsidRDefault="0090144A" w:rsidP="00462589">
      <w:pPr>
        <w:keepNext/>
        <w:keepLines/>
        <w:spacing w:line="240" w:lineRule="auto"/>
        <w:jc w:val="both"/>
        <w:rPr>
          <w:rStyle w:val="IntenseEmphasis"/>
          <w:rFonts w:asciiTheme="minorHAnsi" w:eastAsia="MS Mincho" w:hAnsiTheme="minorHAnsi"/>
          <w:bCs w:val="0"/>
          <w:color w:val="auto"/>
          <w:lang w:val="en-US" w:eastAsia="en-US"/>
        </w:rPr>
      </w:pPr>
      <w:r w:rsidRPr="00681907">
        <w:rPr>
          <w:b/>
          <w:lang w:val="en-US"/>
        </w:rPr>
        <w:t>In all cases of detected hypokalemia</w:t>
      </w:r>
      <w:r w:rsidR="00CB4FEA" w:rsidRPr="00681907">
        <w:rPr>
          <w:b/>
          <w:lang w:val="en-US"/>
        </w:rPr>
        <w:t xml:space="preserve"> (Grade 1-4)</w:t>
      </w:r>
      <w:r w:rsidRPr="00681907">
        <w:rPr>
          <w:b/>
          <w:lang w:val="en-US"/>
        </w:rPr>
        <w:t xml:space="preserve"> obtain an ECG as soon as possible and then weekly until potassium and other electrolytes return to normal.</w:t>
      </w:r>
      <w:bookmarkStart w:id="11" w:name="_Toc429208064"/>
    </w:p>
    <w:p w14:paraId="7867CB7B" w14:textId="2490161B" w:rsidR="00F84127" w:rsidRPr="00681907" w:rsidRDefault="00F84127" w:rsidP="00F1254D">
      <w:pPr>
        <w:pStyle w:val="Caption"/>
        <w:keepNext/>
        <w:keepLines/>
        <w:ind w:left="1440"/>
        <w:jc w:val="both"/>
        <w:rPr>
          <w:rStyle w:val="IntenseEmphasis"/>
          <w:rFonts w:asciiTheme="minorHAnsi" w:hAnsiTheme="minorHAnsi"/>
          <w:b/>
          <w:bCs/>
          <w:i/>
          <w:iCs w:val="0"/>
          <w:color w:val="auto"/>
        </w:rPr>
      </w:pPr>
      <w:r w:rsidRPr="00681907">
        <w:rPr>
          <w:rStyle w:val="IntenseEmphasis"/>
          <w:rFonts w:asciiTheme="minorHAnsi" w:hAnsiTheme="minorHAnsi"/>
          <w:b/>
          <w:i/>
          <w:color w:val="auto"/>
        </w:rPr>
        <w:t>Potassium replacement therapy</w:t>
      </w:r>
      <w:bookmarkEnd w:id="11"/>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2"/>
        <w:gridCol w:w="3494"/>
        <w:gridCol w:w="2732"/>
      </w:tblGrid>
      <w:tr w:rsidR="00F84127" w:rsidRPr="00681907" w14:paraId="1A581EE9" w14:textId="77777777" w:rsidTr="00EE0679">
        <w:tc>
          <w:tcPr>
            <w:tcW w:w="16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6383A" w14:textId="0611CC14" w:rsidR="00F84127" w:rsidRPr="00681907" w:rsidRDefault="00F84127">
            <w:pPr>
              <w:pStyle w:val="Normal1"/>
              <w:keepNext/>
              <w:keepLines/>
              <w:widowControl/>
              <w:jc w:val="both"/>
              <w:rPr>
                <w:rFonts w:asciiTheme="minorHAnsi" w:hAnsiTheme="minorHAnsi"/>
                <w:b/>
              </w:rPr>
            </w:pPr>
            <w:r w:rsidRPr="00681907">
              <w:rPr>
                <w:rFonts w:asciiTheme="minorHAnsi" w:hAnsiTheme="minorHAnsi"/>
                <w:b/>
              </w:rPr>
              <w:t>Potassium level</w:t>
            </w:r>
            <w:r w:rsidR="00ED292D" w:rsidRPr="00681907">
              <w:rPr>
                <w:rFonts w:asciiTheme="minorHAnsi" w:hAnsiTheme="minorHAnsi"/>
                <w:b/>
              </w:rPr>
              <w:t xml:space="preserve"> (m</w:t>
            </w:r>
            <w:r w:rsidR="00C512BC" w:rsidRPr="00681907">
              <w:rPr>
                <w:rFonts w:asciiTheme="minorHAnsi" w:hAnsiTheme="minorHAnsi"/>
                <w:b/>
              </w:rPr>
              <w:t>mol</w:t>
            </w:r>
            <w:r w:rsidR="00ED292D" w:rsidRPr="00681907">
              <w:rPr>
                <w:rFonts w:asciiTheme="minorHAnsi" w:hAnsiTheme="minorHAnsi"/>
                <w:b/>
              </w:rPr>
              <w:t>/L)</w:t>
            </w:r>
          </w:p>
        </w:tc>
        <w:tc>
          <w:tcPr>
            <w:tcW w:w="1871"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40D7DD5D" w14:textId="77777777" w:rsidR="00F84127" w:rsidRPr="00681907" w:rsidRDefault="00F84127">
            <w:pPr>
              <w:pStyle w:val="Normal1"/>
              <w:keepNext/>
              <w:keepLines/>
              <w:widowControl/>
              <w:jc w:val="both"/>
              <w:rPr>
                <w:rFonts w:asciiTheme="minorHAnsi" w:hAnsiTheme="minorHAnsi"/>
                <w:b/>
              </w:rPr>
            </w:pPr>
            <w:r w:rsidRPr="00681907">
              <w:rPr>
                <w:rFonts w:asciiTheme="minorHAnsi" w:hAnsiTheme="minorHAnsi"/>
                <w:b/>
              </w:rPr>
              <w:t>Dosing</w:t>
            </w:r>
          </w:p>
        </w:tc>
        <w:tc>
          <w:tcPr>
            <w:tcW w:w="1463"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4541FE3" w14:textId="77777777" w:rsidR="00F84127" w:rsidRPr="00681907" w:rsidRDefault="00F84127">
            <w:pPr>
              <w:pStyle w:val="Normal1"/>
              <w:keepNext/>
              <w:keepLines/>
              <w:widowControl/>
              <w:jc w:val="both"/>
              <w:rPr>
                <w:rFonts w:asciiTheme="minorHAnsi" w:hAnsiTheme="minorHAnsi"/>
                <w:b/>
              </w:rPr>
            </w:pPr>
            <w:r w:rsidRPr="00681907">
              <w:rPr>
                <w:rFonts w:asciiTheme="minorHAnsi" w:hAnsiTheme="minorHAnsi"/>
                <w:b/>
              </w:rPr>
              <w:t>Monitoring frequency</w:t>
            </w:r>
          </w:p>
        </w:tc>
      </w:tr>
      <w:tr w:rsidR="00F84127" w:rsidRPr="00681907" w14:paraId="5612CCF3" w14:textId="77777777" w:rsidTr="00EE0679">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DA3B535" w14:textId="55EEC766" w:rsidR="00F84127" w:rsidRPr="00681907" w:rsidRDefault="002971A5" w:rsidP="00F1254D">
            <w:pPr>
              <w:pStyle w:val="Normal1"/>
              <w:keepNext/>
              <w:keepLines/>
              <w:widowControl/>
              <w:jc w:val="both"/>
              <w:rPr>
                <w:rFonts w:asciiTheme="minorHAnsi" w:hAnsiTheme="minorHAnsi"/>
              </w:rPr>
            </w:pPr>
            <w:r w:rsidRPr="00681907">
              <w:rPr>
                <w:rFonts w:asciiTheme="minorHAnsi" w:hAnsiTheme="minorHAnsi"/>
              </w:rPr>
              <w:t>&gt;3.4</w:t>
            </w:r>
          </w:p>
        </w:tc>
        <w:tc>
          <w:tcPr>
            <w:tcW w:w="1871" w:type="pct"/>
            <w:tcBorders>
              <w:bottom w:val="single" w:sz="8" w:space="0" w:color="000000"/>
              <w:right w:val="single" w:sz="8" w:space="0" w:color="000000"/>
            </w:tcBorders>
            <w:tcMar>
              <w:top w:w="100" w:type="dxa"/>
              <w:left w:w="100" w:type="dxa"/>
              <w:bottom w:w="100" w:type="dxa"/>
              <w:right w:w="100" w:type="dxa"/>
            </w:tcMar>
          </w:tcPr>
          <w:p w14:paraId="6C6BA3EB" w14:textId="583FA198" w:rsidR="00F84127" w:rsidRPr="00681907" w:rsidRDefault="00F65EA5">
            <w:pPr>
              <w:pStyle w:val="Normal1"/>
              <w:keepNext/>
              <w:keepLines/>
              <w:widowControl/>
              <w:jc w:val="both"/>
              <w:rPr>
                <w:rFonts w:asciiTheme="minorHAnsi" w:hAnsiTheme="minorHAnsi"/>
              </w:rPr>
            </w:pPr>
            <w:r w:rsidRPr="00681907">
              <w:rPr>
                <w:rFonts w:asciiTheme="minorHAnsi" w:hAnsiTheme="minorHAnsi"/>
              </w:rPr>
              <w:t>None</w:t>
            </w:r>
          </w:p>
        </w:tc>
        <w:tc>
          <w:tcPr>
            <w:tcW w:w="1463" w:type="pct"/>
            <w:tcBorders>
              <w:bottom w:val="single" w:sz="8" w:space="0" w:color="000000"/>
              <w:right w:val="single" w:sz="8" w:space="0" w:color="000000"/>
            </w:tcBorders>
            <w:tcMar>
              <w:top w:w="100" w:type="dxa"/>
              <w:left w:w="100" w:type="dxa"/>
              <w:bottom w:w="100" w:type="dxa"/>
              <w:right w:w="100" w:type="dxa"/>
            </w:tcMar>
          </w:tcPr>
          <w:p w14:paraId="787C5D43" w14:textId="77777777" w:rsidR="00F84127" w:rsidRPr="00681907" w:rsidRDefault="00F84127">
            <w:pPr>
              <w:pStyle w:val="Normal1"/>
              <w:keepNext/>
              <w:keepLines/>
              <w:widowControl/>
              <w:jc w:val="both"/>
              <w:rPr>
                <w:rFonts w:asciiTheme="minorHAnsi" w:hAnsiTheme="minorHAnsi"/>
              </w:rPr>
            </w:pPr>
            <w:r w:rsidRPr="00681907">
              <w:rPr>
                <w:rFonts w:asciiTheme="minorHAnsi" w:hAnsiTheme="minorHAnsi"/>
              </w:rPr>
              <w:t>Monthly</w:t>
            </w:r>
          </w:p>
        </w:tc>
      </w:tr>
      <w:tr w:rsidR="00F84127" w:rsidRPr="00681907" w14:paraId="73B237FB" w14:textId="77777777" w:rsidTr="00EE0679">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A4D58A0" w14:textId="09950173" w:rsidR="00F84127" w:rsidRPr="00681907" w:rsidRDefault="00F84127" w:rsidP="00F1254D">
            <w:pPr>
              <w:pStyle w:val="Normal1"/>
              <w:keepNext/>
              <w:keepLines/>
              <w:widowControl/>
              <w:jc w:val="both"/>
              <w:rPr>
                <w:rFonts w:asciiTheme="minorHAnsi" w:hAnsiTheme="minorHAnsi"/>
              </w:rPr>
            </w:pPr>
            <w:r w:rsidRPr="00681907">
              <w:rPr>
                <w:rFonts w:asciiTheme="minorHAnsi" w:hAnsiTheme="minorHAnsi"/>
              </w:rPr>
              <w:t>3.3-3.4</w:t>
            </w:r>
          </w:p>
        </w:tc>
        <w:tc>
          <w:tcPr>
            <w:tcW w:w="1871" w:type="pct"/>
            <w:tcBorders>
              <w:bottom w:val="single" w:sz="8" w:space="0" w:color="000000"/>
              <w:right w:val="single" w:sz="8" w:space="0" w:color="000000"/>
            </w:tcBorders>
            <w:tcMar>
              <w:top w:w="100" w:type="dxa"/>
              <w:left w:w="100" w:type="dxa"/>
              <w:bottom w:w="100" w:type="dxa"/>
              <w:right w:w="100" w:type="dxa"/>
            </w:tcMar>
          </w:tcPr>
          <w:p w14:paraId="744DBD80" w14:textId="1B8FE8DE" w:rsidR="00F84127" w:rsidRPr="00681907" w:rsidRDefault="00F84127">
            <w:pPr>
              <w:pStyle w:val="Normal1"/>
              <w:keepNext/>
              <w:keepLines/>
              <w:widowControl/>
              <w:jc w:val="both"/>
              <w:rPr>
                <w:rFonts w:asciiTheme="minorHAnsi" w:hAnsiTheme="minorHAnsi"/>
              </w:rPr>
            </w:pPr>
            <w:r w:rsidRPr="00681907">
              <w:rPr>
                <w:rFonts w:asciiTheme="minorHAnsi" w:hAnsiTheme="minorHAnsi"/>
              </w:rPr>
              <w:t>40 m</w:t>
            </w:r>
            <w:r w:rsidR="00225DB0" w:rsidRPr="00681907">
              <w:rPr>
                <w:rFonts w:asciiTheme="minorHAnsi" w:hAnsiTheme="minorHAnsi"/>
              </w:rPr>
              <w:t xml:space="preserve">mol </w:t>
            </w:r>
            <w:r w:rsidRPr="00681907">
              <w:rPr>
                <w:rFonts w:asciiTheme="minorHAnsi" w:hAnsiTheme="minorHAnsi"/>
              </w:rPr>
              <w:t>PO</w:t>
            </w:r>
            <w:r w:rsidR="00225DB0" w:rsidRPr="00681907">
              <w:rPr>
                <w:rFonts w:asciiTheme="minorHAnsi" w:hAnsiTheme="minorHAnsi"/>
              </w:rPr>
              <w:t xml:space="preserve"> in 2-3 divided doses </w:t>
            </w:r>
            <w:r w:rsidRPr="00681907">
              <w:rPr>
                <w:rFonts w:asciiTheme="minorHAnsi" w:hAnsiTheme="minorHAnsi"/>
              </w:rPr>
              <w:t>daily</w:t>
            </w:r>
          </w:p>
        </w:tc>
        <w:tc>
          <w:tcPr>
            <w:tcW w:w="1463" w:type="pct"/>
            <w:tcBorders>
              <w:bottom w:val="single" w:sz="8" w:space="0" w:color="000000"/>
              <w:right w:val="single" w:sz="8" w:space="0" w:color="000000"/>
            </w:tcBorders>
            <w:tcMar>
              <w:top w:w="100" w:type="dxa"/>
              <w:left w:w="100" w:type="dxa"/>
              <w:bottom w:w="100" w:type="dxa"/>
              <w:right w:w="100" w:type="dxa"/>
            </w:tcMar>
          </w:tcPr>
          <w:p w14:paraId="656BCD5C" w14:textId="77777777" w:rsidR="00F84127" w:rsidRPr="00681907" w:rsidRDefault="00F84127">
            <w:pPr>
              <w:pStyle w:val="Normal1"/>
              <w:keepNext/>
              <w:keepLines/>
              <w:widowControl/>
              <w:jc w:val="both"/>
              <w:rPr>
                <w:rFonts w:asciiTheme="minorHAnsi" w:hAnsiTheme="minorHAnsi"/>
              </w:rPr>
            </w:pPr>
            <w:r w:rsidRPr="00681907">
              <w:rPr>
                <w:rFonts w:asciiTheme="minorHAnsi" w:hAnsiTheme="minorHAnsi"/>
              </w:rPr>
              <w:t>Monthly</w:t>
            </w:r>
          </w:p>
        </w:tc>
      </w:tr>
      <w:tr w:rsidR="00F84127" w:rsidRPr="00681907" w14:paraId="44739D13" w14:textId="77777777" w:rsidTr="00EE0679">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71A982A" w14:textId="77777777" w:rsidR="00F84127" w:rsidRPr="00681907" w:rsidRDefault="00F84127" w:rsidP="00F1254D">
            <w:pPr>
              <w:pStyle w:val="Normal1"/>
              <w:keepNext/>
              <w:keepLines/>
              <w:widowControl/>
              <w:jc w:val="both"/>
              <w:rPr>
                <w:rFonts w:asciiTheme="minorHAnsi" w:hAnsiTheme="minorHAnsi"/>
              </w:rPr>
            </w:pPr>
            <w:r w:rsidRPr="00681907">
              <w:rPr>
                <w:rFonts w:asciiTheme="minorHAnsi" w:hAnsiTheme="minorHAnsi"/>
              </w:rPr>
              <w:t>2.9-3.2</w:t>
            </w:r>
          </w:p>
        </w:tc>
        <w:tc>
          <w:tcPr>
            <w:tcW w:w="1871" w:type="pct"/>
            <w:tcBorders>
              <w:bottom w:val="single" w:sz="8" w:space="0" w:color="000000"/>
              <w:right w:val="single" w:sz="8" w:space="0" w:color="000000"/>
            </w:tcBorders>
            <w:tcMar>
              <w:top w:w="100" w:type="dxa"/>
              <w:left w:w="100" w:type="dxa"/>
              <w:bottom w:w="100" w:type="dxa"/>
              <w:right w:w="100" w:type="dxa"/>
            </w:tcMar>
          </w:tcPr>
          <w:p w14:paraId="724C4006" w14:textId="761BBA9E" w:rsidR="00F84127" w:rsidRPr="00681907" w:rsidRDefault="00F84127">
            <w:pPr>
              <w:pStyle w:val="Normal1"/>
              <w:keepNext/>
              <w:keepLines/>
              <w:widowControl/>
              <w:jc w:val="both"/>
              <w:rPr>
                <w:rFonts w:asciiTheme="minorHAnsi" w:hAnsiTheme="minorHAnsi"/>
              </w:rPr>
            </w:pPr>
            <w:r w:rsidRPr="00681907">
              <w:rPr>
                <w:rFonts w:asciiTheme="minorHAnsi" w:hAnsiTheme="minorHAnsi"/>
              </w:rPr>
              <w:t>60-80 m</w:t>
            </w:r>
            <w:r w:rsidR="00225DB0" w:rsidRPr="00681907">
              <w:rPr>
                <w:rFonts w:asciiTheme="minorHAnsi" w:hAnsiTheme="minorHAnsi"/>
              </w:rPr>
              <w:t xml:space="preserve">mol </w:t>
            </w:r>
            <w:r w:rsidRPr="00681907">
              <w:rPr>
                <w:rFonts w:asciiTheme="minorHAnsi" w:hAnsiTheme="minorHAnsi"/>
              </w:rPr>
              <w:t xml:space="preserve">PO </w:t>
            </w:r>
            <w:r w:rsidR="00225DB0" w:rsidRPr="00681907">
              <w:rPr>
                <w:rFonts w:asciiTheme="minorHAnsi" w:hAnsiTheme="minorHAnsi"/>
              </w:rPr>
              <w:t>in 3 divided doses daily</w:t>
            </w:r>
          </w:p>
        </w:tc>
        <w:tc>
          <w:tcPr>
            <w:tcW w:w="1463" w:type="pct"/>
            <w:tcBorders>
              <w:bottom w:val="single" w:sz="8" w:space="0" w:color="000000"/>
              <w:right w:val="single" w:sz="8" w:space="0" w:color="000000"/>
            </w:tcBorders>
            <w:tcMar>
              <w:top w:w="100" w:type="dxa"/>
              <w:left w:w="100" w:type="dxa"/>
              <w:bottom w:w="100" w:type="dxa"/>
              <w:right w:w="100" w:type="dxa"/>
            </w:tcMar>
          </w:tcPr>
          <w:p w14:paraId="72410BEE" w14:textId="77777777" w:rsidR="00F84127" w:rsidRPr="00681907" w:rsidRDefault="00F84127">
            <w:pPr>
              <w:pStyle w:val="Normal1"/>
              <w:keepNext/>
              <w:keepLines/>
              <w:widowControl/>
              <w:jc w:val="both"/>
              <w:rPr>
                <w:rFonts w:asciiTheme="minorHAnsi" w:hAnsiTheme="minorHAnsi"/>
              </w:rPr>
            </w:pPr>
            <w:r w:rsidRPr="00681907">
              <w:rPr>
                <w:rFonts w:asciiTheme="minorHAnsi" w:hAnsiTheme="minorHAnsi"/>
              </w:rPr>
              <w:t>Weekly</w:t>
            </w:r>
          </w:p>
        </w:tc>
      </w:tr>
      <w:tr w:rsidR="00F84127" w:rsidRPr="00681907" w14:paraId="300432B4" w14:textId="77777777" w:rsidTr="00EE0679">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25DC63C" w14:textId="77777777" w:rsidR="00F84127" w:rsidRPr="00681907" w:rsidRDefault="00F84127" w:rsidP="00F1254D">
            <w:pPr>
              <w:pStyle w:val="Normal1"/>
              <w:keepNext/>
              <w:keepLines/>
              <w:widowControl/>
              <w:jc w:val="both"/>
              <w:rPr>
                <w:rFonts w:asciiTheme="minorHAnsi" w:hAnsiTheme="minorHAnsi"/>
              </w:rPr>
            </w:pPr>
            <w:r w:rsidRPr="00681907">
              <w:rPr>
                <w:rFonts w:asciiTheme="minorHAnsi" w:hAnsiTheme="minorHAnsi"/>
              </w:rPr>
              <w:t>2.7-2.8</w:t>
            </w:r>
          </w:p>
        </w:tc>
        <w:tc>
          <w:tcPr>
            <w:tcW w:w="1871" w:type="pct"/>
            <w:tcBorders>
              <w:bottom w:val="single" w:sz="8" w:space="0" w:color="000000"/>
              <w:right w:val="single" w:sz="8" w:space="0" w:color="000000"/>
            </w:tcBorders>
            <w:tcMar>
              <w:top w:w="100" w:type="dxa"/>
              <w:left w:w="100" w:type="dxa"/>
              <w:bottom w:w="100" w:type="dxa"/>
              <w:right w:w="100" w:type="dxa"/>
            </w:tcMar>
          </w:tcPr>
          <w:p w14:paraId="028AA798" w14:textId="0EDF20BF" w:rsidR="00F84127" w:rsidRPr="00681907" w:rsidRDefault="00F84127">
            <w:pPr>
              <w:pStyle w:val="Normal1"/>
              <w:keepNext/>
              <w:keepLines/>
              <w:widowControl/>
              <w:jc w:val="both"/>
              <w:rPr>
                <w:rFonts w:asciiTheme="minorHAnsi" w:hAnsiTheme="minorHAnsi"/>
              </w:rPr>
            </w:pPr>
            <w:r w:rsidRPr="00681907">
              <w:rPr>
                <w:rFonts w:asciiTheme="minorHAnsi" w:hAnsiTheme="minorHAnsi"/>
              </w:rPr>
              <w:t>60 m</w:t>
            </w:r>
            <w:r w:rsidR="00225DB0" w:rsidRPr="00681907">
              <w:rPr>
                <w:rFonts w:asciiTheme="minorHAnsi" w:hAnsiTheme="minorHAnsi"/>
              </w:rPr>
              <w:t>mol P</w:t>
            </w:r>
            <w:r w:rsidRPr="00681907">
              <w:rPr>
                <w:rFonts w:asciiTheme="minorHAnsi" w:hAnsiTheme="minorHAnsi"/>
              </w:rPr>
              <w:t>O every eight hours</w:t>
            </w:r>
          </w:p>
        </w:tc>
        <w:tc>
          <w:tcPr>
            <w:tcW w:w="1463" w:type="pct"/>
            <w:tcBorders>
              <w:bottom w:val="single" w:sz="8" w:space="0" w:color="000000"/>
              <w:right w:val="single" w:sz="8" w:space="0" w:color="000000"/>
            </w:tcBorders>
            <w:tcMar>
              <w:top w:w="100" w:type="dxa"/>
              <w:left w:w="100" w:type="dxa"/>
              <w:bottom w:w="100" w:type="dxa"/>
              <w:right w:w="100" w:type="dxa"/>
            </w:tcMar>
          </w:tcPr>
          <w:p w14:paraId="1C4C23C0" w14:textId="77777777" w:rsidR="00F84127" w:rsidRPr="00681907" w:rsidRDefault="00F84127">
            <w:pPr>
              <w:pStyle w:val="Normal1"/>
              <w:keepNext/>
              <w:keepLines/>
              <w:widowControl/>
              <w:jc w:val="both"/>
              <w:rPr>
                <w:rFonts w:asciiTheme="minorHAnsi" w:hAnsiTheme="minorHAnsi"/>
              </w:rPr>
            </w:pPr>
            <w:r w:rsidRPr="00681907">
              <w:rPr>
                <w:rFonts w:asciiTheme="minorHAnsi" w:hAnsiTheme="minorHAnsi"/>
              </w:rPr>
              <w:t>One to two days</w:t>
            </w:r>
          </w:p>
        </w:tc>
      </w:tr>
      <w:tr w:rsidR="00F84127" w:rsidRPr="00681907" w14:paraId="66A6F579" w14:textId="77777777" w:rsidTr="00EE0679">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C19E57B" w14:textId="72743AEC" w:rsidR="00F84127" w:rsidRPr="00681907" w:rsidRDefault="00F84127" w:rsidP="00F1254D">
            <w:pPr>
              <w:pStyle w:val="Normal1"/>
              <w:keepNext/>
              <w:keepLines/>
              <w:widowControl/>
              <w:jc w:val="both"/>
              <w:rPr>
                <w:rFonts w:asciiTheme="minorHAnsi" w:hAnsiTheme="minorHAnsi"/>
              </w:rPr>
            </w:pPr>
            <w:r w:rsidRPr="00681907">
              <w:rPr>
                <w:rFonts w:asciiTheme="minorHAnsi" w:hAnsiTheme="minorHAnsi"/>
              </w:rPr>
              <w:t>2.5-2.6</w:t>
            </w:r>
          </w:p>
        </w:tc>
        <w:tc>
          <w:tcPr>
            <w:tcW w:w="1871" w:type="pct"/>
            <w:tcBorders>
              <w:bottom w:val="single" w:sz="8" w:space="0" w:color="000000"/>
              <w:right w:val="single" w:sz="8" w:space="0" w:color="000000"/>
            </w:tcBorders>
            <w:tcMar>
              <w:top w:w="100" w:type="dxa"/>
              <w:left w:w="100" w:type="dxa"/>
              <w:bottom w:w="100" w:type="dxa"/>
              <w:right w:w="100" w:type="dxa"/>
            </w:tcMar>
          </w:tcPr>
          <w:p w14:paraId="78855B19" w14:textId="69BC37F3" w:rsidR="00F84127" w:rsidRPr="00681907" w:rsidRDefault="00F84127">
            <w:pPr>
              <w:pStyle w:val="Normal1"/>
              <w:keepNext/>
              <w:keepLines/>
              <w:widowControl/>
              <w:jc w:val="both"/>
              <w:rPr>
                <w:rFonts w:asciiTheme="minorHAnsi" w:hAnsiTheme="minorHAnsi"/>
              </w:rPr>
            </w:pPr>
            <w:r w:rsidRPr="00681907">
              <w:rPr>
                <w:rFonts w:asciiTheme="minorHAnsi" w:hAnsiTheme="minorHAnsi"/>
              </w:rPr>
              <w:t>80 m</w:t>
            </w:r>
            <w:r w:rsidR="00225DB0" w:rsidRPr="00681907">
              <w:rPr>
                <w:rFonts w:asciiTheme="minorHAnsi" w:hAnsiTheme="minorHAnsi"/>
              </w:rPr>
              <w:t>mol</w:t>
            </w:r>
            <w:r w:rsidRPr="00681907">
              <w:rPr>
                <w:rFonts w:asciiTheme="minorHAnsi" w:hAnsiTheme="minorHAnsi"/>
              </w:rPr>
              <w:t xml:space="preserve"> PO every eight hours</w:t>
            </w:r>
          </w:p>
        </w:tc>
        <w:tc>
          <w:tcPr>
            <w:tcW w:w="1463" w:type="pct"/>
            <w:tcBorders>
              <w:bottom w:val="single" w:sz="8" w:space="0" w:color="000000"/>
              <w:right w:val="single" w:sz="8" w:space="0" w:color="000000"/>
            </w:tcBorders>
            <w:tcMar>
              <w:top w:w="100" w:type="dxa"/>
              <w:left w:w="100" w:type="dxa"/>
              <w:bottom w:w="100" w:type="dxa"/>
              <w:right w:w="100" w:type="dxa"/>
            </w:tcMar>
          </w:tcPr>
          <w:p w14:paraId="2F04CFDC" w14:textId="77777777" w:rsidR="00F84127" w:rsidRPr="00681907" w:rsidRDefault="00F84127">
            <w:pPr>
              <w:pStyle w:val="Normal1"/>
              <w:keepNext/>
              <w:keepLines/>
              <w:widowControl/>
              <w:jc w:val="both"/>
              <w:rPr>
                <w:rFonts w:asciiTheme="minorHAnsi" w:hAnsiTheme="minorHAnsi"/>
              </w:rPr>
            </w:pPr>
            <w:r w:rsidRPr="00681907">
              <w:rPr>
                <w:rFonts w:asciiTheme="minorHAnsi" w:hAnsiTheme="minorHAnsi"/>
              </w:rPr>
              <w:t>Daily</w:t>
            </w:r>
          </w:p>
        </w:tc>
      </w:tr>
      <w:tr w:rsidR="00F84127" w:rsidRPr="00F050A7" w14:paraId="1B4E07A0" w14:textId="77777777" w:rsidTr="00EE0679">
        <w:tc>
          <w:tcPr>
            <w:tcW w:w="1666" w:type="pct"/>
            <w:tcBorders>
              <w:left w:val="single" w:sz="8" w:space="0" w:color="000000"/>
              <w:right w:val="single" w:sz="8" w:space="0" w:color="000000"/>
            </w:tcBorders>
            <w:tcMar>
              <w:top w:w="100" w:type="dxa"/>
              <w:left w:w="100" w:type="dxa"/>
              <w:bottom w:w="100" w:type="dxa"/>
              <w:right w:w="100" w:type="dxa"/>
            </w:tcMar>
          </w:tcPr>
          <w:p w14:paraId="2E2418E5" w14:textId="358FF314" w:rsidR="00F84127" w:rsidRPr="00681907" w:rsidRDefault="00F84127" w:rsidP="00F1254D">
            <w:pPr>
              <w:pStyle w:val="Normal1"/>
              <w:keepNext/>
              <w:keepLines/>
              <w:widowControl/>
              <w:jc w:val="both"/>
              <w:rPr>
                <w:rFonts w:asciiTheme="minorHAnsi" w:hAnsiTheme="minorHAnsi"/>
              </w:rPr>
            </w:pPr>
            <w:r w:rsidRPr="00681907">
              <w:rPr>
                <w:rFonts w:asciiTheme="minorHAnsi" w:hAnsiTheme="minorHAnsi"/>
              </w:rPr>
              <w:t>&lt; 2.5</w:t>
            </w:r>
          </w:p>
        </w:tc>
        <w:tc>
          <w:tcPr>
            <w:tcW w:w="1871" w:type="pct"/>
            <w:tcBorders>
              <w:right w:val="single" w:sz="8" w:space="0" w:color="000000"/>
            </w:tcBorders>
            <w:tcMar>
              <w:top w:w="100" w:type="dxa"/>
              <w:left w:w="100" w:type="dxa"/>
              <w:bottom w:w="100" w:type="dxa"/>
              <w:right w:w="100" w:type="dxa"/>
            </w:tcMar>
          </w:tcPr>
          <w:p w14:paraId="39DBDF49" w14:textId="13CC18F8" w:rsidR="00F84127" w:rsidRPr="00681907" w:rsidRDefault="00F84127">
            <w:pPr>
              <w:pStyle w:val="Normal1"/>
              <w:keepNext/>
              <w:keepLines/>
              <w:widowControl/>
              <w:jc w:val="both"/>
              <w:rPr>
                <w:rFonts w:asciiTheme="minorHAnsi" w:hAnsiTheme="minorHAnsi"/>
              </w:rPr>
            </w:pPr>
            <w:r w:rsidRPr="00681907">
              <w:rPr>
                <w:rFonts w:asciiTheme="minorHAnsi" w:hAnsiTheme="minorHAnsi"/>
              </w:rPr>
              <w:t>10 m</w:t>
            </w:r>
            <w:r w:rsidR="00225DB0" w:rsidRPr="00681907">
              <w:rPr>
                <w:rFonts w:asciiTheme="minorHAnsi" w:hAnsiTheme="minorHAnsi"/>
              </w:rPr>
              <w:t>mol</w:t>
            </w:r>
            <w:r w:rsidRPr="00681907">
              <w:rPr>
                <w:rFonts w:asciiTheme="minorHAnsi" w:hAnsiTheme="minorHAnsi"/>
              </w:rPr>
              <w:t>/h</w:t>
            </w:r>
            <w:r w:rsidR="00225DB0" w:rsidRPr="00681907">
              <w:rPr>
                <w:rFonts w:asciiTheme="minorHAnsi" w:hAnsiTheme="minorHAnsi"/>
              </w:rPr>
              <w:t>ou</w:t>
            </w:r>
            <w:r w:rsidRPr="00681907">
              <w:rPr>
                <w:rFonts w:asciiTheme="minorHAnsi" w:hAnsiTheme="minorHAnsi"/>
              </w:rPr>
              <w:t>r IV and 80 m</w:t>
            </w:r>
            <w:r w:rsidR="00225DB0" w:rsidRPr="00681907">
              <w:rPr>
                <w:rFonts w:asciiTheme="minorHAnsi" w:hAnsiTheme="minorHAnsi"/>
              </w:rPr>
              <w:t>mol</w:t>
            </w:r>
            <w:r w:rsidRPr="00681907">
              <w:rPr>
                <w:rFonts w:asciiTheme="minorHAnsi" w:hAnsiTheme="minorHAnsi"/>
              </w:rPr>
              <w:t xml:space="preserve"> PO every six to eight hours</w:t>
            </w:r>
          </w:p>
        </w:tc>
        <w:tc>
          <w:tcPr>
            <w:tcW w:w="1463" w:type="pct"/>
            <w:tcBorders>
              <w:right w:val="single" w:sz="8" w:space="0" w:color="000000"/>
            </w:tcBorders>
            <w:tcMar>
              <w:top w:w="100" w:type="dxa"/>
              <w:left w:w="100" w:type="dxa"/>
              <w:bottom w:w="100" w:type="dxa"/>
              <w:right w:w="100" w:type="dxa"/>
            </w:tcMar>
          </w:tcPr>
          <w:p w14:paraId="4311C20B" w14:textId="77777777" w:rsidR="00F84127" w:rsidRPr="00681907" w:rsidRDefault="00F84127">
            <w:pPr>
              <w:pStyle w:val="Normal1"/>
              <w:keepNext/>
              <w:keepLines/>
              <w:widowControl/>
              <w:jc w:val="both"/>
              <w:rPr>
                <w:rFonts w:asciiTheme="minorHAnsi" w:hAnsiTheme="minorHAnsi"/>
              </w:rPr>
            </w:pPr>
            <w:r w:rsidRPr="00681907">
              <w:rPr>
                <w:rFonts w:asciiTheme="minorHAnsi" w:hAnsiTheme="minorHAnsi"/>
              </w:rPr>
              <w:t>One hour after infusion, every six hours with IV replacement</w:t>
            </w:r>
          </w:p>
        </w:tc>
      </w:tr>
    </w:tbl>
    <w:p w14:paraId="43F01154" w14:textId="77777777" w:rsidR="00037D71" w:rsidRDefault="00037D71" w:rsidP="00F1254D">
      <w:pPr>
        <w:pStyle w:val="Normal1"/>
        <w:keepNext/>
        <w:keepLines/>
        <w:widowControl/>
        <w:jc w:val="both"/>
        <w:rPr>
          <w:rFonts w:asciiTheme="minorHAnsi" w:hAnsiTheme="minorHAnsi"/>
        </w:rPr>
      </w:pPr>
    </w:p>
    <w:p w14:paraId="276D095E" w14:textId="521F6002" w:rsidR="00BE2C8A" w:rsidRPr="00037D71" w:rsidRDefault="00BE2C8A" w:rsidP="00F1254D">
      <w:pPr>
        <w:pStyle w:val="Normal1"/>
        <w:keepNext/>
        <w:keepLines/>
        <w:widowControl/>
        <w:jc w:val="both"/>
        <w:rPr>
          <w:rFonts w:asciiTheme="minorHAnsi" w:hAnsiTheme="minorHAnsi"/>
          <w:i/>
          <w:iCs/>
        </w:rPr>
      </w:pPr>
      <w:r w:rsidRPr="00037D71">
        <w:rPr>
          <w:rFonts w:asciiTheme="minorHAnsi" w:hAnsiTheme="minorHAnsi"/>
          <w:i/>
          <w:iCs/>
        </w:rPr>
        <w:t xml:space="preserve">Note: </w:t>
      </w:r>
    </w:p>
    <w:p w14:paraId="1D0D210F" w14:textId="73A9340B" w:rsidR="00BE2C8A" w:rsidRPr="00681907" w:rsidRDefault="00AF4BE2">
      <w:pPr>
        <w:pStyle w:val="Normal1"/>
        <w:keepNext/>
        <w:keepLines/>
        <w:widowControl/>
        <w:jc w:val="both"/>
        <w:rPr>
          <w:rFonts w:asciiTheme="minorHAnsi" w:hAnsiTheme="minorHAnsi"/>
        </w:rPr>
      </w:pPr>
      <w:r>
        <w:rPr>
          <w:rFonts w:asciiTheme="minorHAnsi" w:hAnsiTheme="minorHAnsi"/>
        </w:rPr>
        <w:t xml:space="preserve">1. </w:t>
      </w:r>
      <w:r w:rsidR="00BE2C8A" w:rsidRPr="00681907">
        <w:rPr>
          <w:rFonts w:asciiTheme="minorHAnsi" w:hAnsiTheme="minorHAnsi"/>
        </w:rPr>
        <w:t>Potassium chloride controlled release tablets of 600mg = 8mmol/tablet</w:t>
      </w:r>
    </w:p>
    <w:p w14:paraId="1BBA01FC" w14:textId="04D681B7" w:rsidR="00BE2C8A" w:rsidRPr="005C13B2" w:rsidRDefault="00AF4BE2">
      <w:pPr>
        <w:pStyle w:val="Normal1"/>
        <w:keepNext/>
        <w:keepLines/>
        <w:widowControl/>
        <w:jc w:val="both"/>
        <w:rPr>
          <w:rFonts w:asciiTheme="minorHAnsi" w:hAnsiTheme="minorHAnsi"/>
          <w:lang w:val="fr-FR"/>
        </w:rPr>
      </w:pPr>
      <w:r w:rsidRPr="005C13B2">
        <w:rPr>
          <w:rFonts w:asciiTheme="minorHAnsi" w:hAnsiTheme="minorHAnsi"/>
          <w:lang w:val="fr-FR"/>
        </w:rPr>
        <w:t xml:space="preserve">2. </w:t>
      </w:r>
      <w:r w:rsidR="00BE2C8A" w:rsidRPr="005C13B2">
        <w:rPr>
          <w:rFonts w:asciiTheme="minorHAnsi" w:hAnsiTheme="minorHAnsi"/>
          <w:lang w:val="fr-FR"/>
        </w:rPr>
        <w:t>Potassium chloride 10% (100mg/ml) ampoules= 1g per ampoule = 13.4 mmol</w:t>
      </w:r>
    </w:p>
    <w:p w14:paraId="2FCF781D" w14:textId="177023D3" w:rsidR="00F22D35" w:rsidRDefault="00AF4BE2">
      <w:pPr>
        <w:pStyle w:val="Normal1"/>
        <w:keepNext/>
        <w:keepLines/>
        <w:widowControl/>
        <w:jc w:val="both"/>
        <w:rPr>
          <w:rFonts w:asciiTheme="minorHAnsi" w:hAnsiTheme="minorHAnsi"/>
        </w:rPr>
      </w:pPr>
      <w:r>
        <w:rPr>
          <w:rFonts w:asciiTheme="minorHAnsi" w:hAnsiTheme="minorHAnsi"/>
        </w:rPr>
        <w:t xml:space="preserve">3. </w:t>
      </w:r>
      <w:r w:rsidR="00BE2C8A" w:rsidRPr="00681907">
        <w:rPr>
          <w:rFonts w:asciiTheme="minorHAnsi" w:hAnsiTheme="minorHAnsi"/>
        </w:rPr>
        <w:t>The normal preparation of a potassium chloride infusion is 40 mmol (3 ampoules) in 1L of NaCl 0.9% infused over 4 hours. Do not exceed an infusion rate of 10 mmol/hour (250 mL/hour).</w:t>
      </w:r>
      <w:r w:rsidR="00427E2A" w:rsidRPr="00681907">
        <w:rPr>
          <w:rFonts w:asciiTheme="minorHAnsi" w:hAnsiTheme="minorHAnsi"/>
        </w:rPr>
        <w:t xml:space="preserve"> </w:t>
      </w:r>
    </w:p>
    <w:p w14:paraId="441B108C" w14:textId="77777777" w:rsidR="00F22D35" w:rsidRPr="00681907" w:rsidRDefault="00F22D35">
      <w:pPr>
        <w:pStyle w:val="Normal1"/>
        <w:keepNext/>
        <w:keepLines/>
        <w:widowControl/>
        <w:jc w:val="both"/>
        <w:rPr>
          <w:rFonts w:asciiTheme="minorHAnsi" w:hAnsiTheme="minorHAnsi"/>
        </w:rPr>
      </w:pPr>
    </w:p>
    <w:p w14:paraId="6C278479" w14:textId="3403B91C" w:rsidR="00BE2C8A" w:rsidRPr="00681907" w:rsidRDefault="00BE2C8A" w:rsidP="00462589">
      <w:pPr>
        <w:pStyle w:val="Heading4"/>
        <w:spacing w:before="120" w:line="240" w:lineRule="auto"/>
        <w:rPr>
          <w:lang w:val="en-US"/>
        </w:rPr>
      </w:pPr>
      <w:bookmarkStart w:id="12" w:name="h.eosi4q2s0kls" w:colFirst="0" w:colLast="0"/>
      <w:bookmarkStart w:id="13" w:name="_Toc429208065"/>
      <w:bookmarkEnd w:id="12"/>
      <w:r w:rsidRPr="00681907">
        <w:rPr>
          <w:lang w:val="en-US"/>
        </w:rPr>
        <w:t>Management of Hypo</w:t>
      </w:r>
      <w:r w:rsidR="009635E5" w:rsidRPr="00681907">
        <w:rPr>
          <w:lang w:val="en-US"/>
        </w:rPr>
        <w:t>magnesem</w:t>
      </w:r>
      <w:r w:rsidRPr="00681907">
        <w:rPr>
          <w:lang w:val="en-US"/>
        </w:rPr>
        <w:t>ia</w:t>
      </w:r>
    </w:p>
    <w:p w14:paraId="3E98EBA8" w14:textId="274117CA" w:rsidR="00BE2C8A" w:rsidRPr="00681907" w:rsidRDefault="003671A9" w:rsidP="00462589">
      <w:pPr>
        <w:keepNext/>
        <w:keepLines/>
        <w:spacing w:before="120" w:line="240" w:lineRule="auto"/>
        <w:jc w:val="both"/>
        <w:rPr>
          <w:lang w:val="en-US"/>
        </w:rPr>
      </w:pPr>
      <w:r>
        <w:rPr>
          <w:b/>
          <w:i/>
          <w:lang w:val="en-US"/>
        </w:rPr>
        <w:lastRenderedPageBreak/>
        <w:t>Site</w:t>
      </w:r>
      <w:r w:rsidR="00ED12D6">
        <w:rPr>
          <w:b/>
          <w:i/>
          <w:lang w:val="en-US"/>
        </w:rPr>
        <w:t xml:space="preserve"> </w:t>
      </w:r>
      <w:r>
        <w:rPr>
          <w:b/>
          <w:i/>
          <w:lang w:val="en-US"/>
        </w:rPr>
        <w:t xml:space="preserve">PI or </w:t>
      </w:r>
      <w:r w:rsidR="00BE2C8A" w:rsidRPr="00681907">
        <w:rPr>
          <w:b/>
          <w:i/>
          <w:lang w:val="en-US"/>
        </w:rPr>
        <w:t>Site</w:t>
      </w:r>
      <w:r w:rsidR="00ED12D6">
        <w:rPr>
          <w:b/>
          <w:i/>
          <w:lang w:val="en-US"/>
        </w:rPr>
        <w:t xml:space="preserve"> </w:t>
      </w:r>
      <w:r w:rsidR="00BE2C8A" w:rsidRPr="00681907">
        <w:rPr>
          <w:b/>
          <w:i/>
          <w:lang w:val="en-US"/>
        </w:rPr>
        <w:t>CI</w:t>
      </w:r>
      <w:r w:rsidR="00BE2C8A" w:rsidRPr="00681907">
        <w:rPr>
          <w:lang w:val="en-US"/>
        </w:rPr>
        <w:t xml:space="preserve"> manages this AE according to its severity:</w:t>
      </w:r>
    </w:p>
    <w:bookmarkEnd w:id="13"/>
    <w:p w14:paraId="31D633FE" w14:textId="5FBE9BDE" w:rsidR="00FE6E6A" w:rsidRPr="00DE0C72" w:rsidRDefault="005C059E" w:rsidP="00F1254D">
      <w:pPr>
        <w:pStyle w:val="ListParagraph"/>
        <w:keepNext/>
        <w:keepLines/>
        <w:numPr>
          <w:ilvl w:val="0"/>
          <w:numId w:val="6"/>
        </w:numPr>
        <w:ind w:left="720"/>
        <w:jc w:val="both"/>
        <w:rPr>
          <w:rFonts w:asciiTheme="minorHAnsi" w:hAnsiTheme="minorHAnsi"/>
          <w:lang w:val="en-US"/>
        </w:rPr>
      </w:pPr>
      <w:r w:rsidRPr="00681907">
        <w:rPr>
          <w:rFonts w:asciiTheme="minorHAnsi" w:hAnsiTheme="minorHAnsi"/>
          <w:b/>
          <w:lang w:val="en-US"/>
        </w:rPr>
        <w:t>Grade 1 (</w:t>
      </w:r>
      <w:r w:rsidR="002C2D8B" w:rsidRPr="00681907">
        <w:rPr>
          <w:rFonts w:asciiTheme="minorHAnsi" w:hAnsiTheme="minorHAnsi"/>
          <w:b/>
          <w:lang w:val="en-US"/>
        </w:rPr>
        <w:t>0.60</w:t>
      </w:r>
      <w:r w:rsidRPr="00681907">
        <w:rPr>
          <w:rFonts w:asciiTheme="minorHAnsi" w:hAnsiTheme="minorHAnsi"/>
          <w:b/>
          <w:lang w:val="en-US"/>
        </w:rPr>
        <w:t>-</w:t>
      </w:r>
      <w:r w:rsidR="002C2D8B" w:rsidRPr="00681907">
        <w:rPr>
          <w:rFonts w:asciiTheme="minorHAnsi" w:hAnsiTheme="minorHAnsi"/>
          <w:b/>
          <w:lang w:val="en-US"/>
        </w:rPr>
        <w:t>0.70 mmol/L)</w:t>
      </w:r>
      <w:r w:rsidR="00FE6E6A" w:rsidRPr="00681907">
        <w:rPr>
          <w:rFonts w:asciiTheme="minorHAnsi" w:hAnsiTheme="minorHAnsi"/>
          <w:b/>
          <w:lang w:val="en-US"/>
        </w:rPr>
        <w:t xml:space="preserve">: </w:t>
      </w:r>
      <w:r w:rsidR="00FE6E6A" w:rsidRPr="00DE0C72">
        <w:rPr>
          <w:rFonts w:asciiTheme="minorHAnsi" w:hAnsiTheme="minorHAnsi"/>
          <w:lang w:val="en-US"/>
        </w:rPr>
        <w:t xml:space="preserve">Start oral magnesium replacement therapy. </w:t>
      </w:r>
    </w:p>
    <w:p w14:paraId="0195710B" w14:textId="075816DE" w:rsidR="00FE6E6A" w:rsidRPr="00681907" w:rsidRDefault="00FE6E6A" w:rsidP="004022C9">
      <w:pPr>
        <w:pStyle w:val="ListParagraph"/>
        <w:keepNext/>
        <w:keepLines/>
        <w:numPr>
          <w:ilvl w:val="0"/>
          <w:numId w:val="6"/>
        </w:numPr>
        <w:ind w:left="720"/>
        <w:jc w:val="both"/>
        <w:rPr>
          <w:rFonts w:asciiTheme="minorHAnsi" w:hAnsiTheme="minorHAnsi"/>
          <w:lang w:val="en-US"/>
        </w:rPr>
      </w:pPr>
      <w:r w:rsidRPr="00681907">
        <w:rPr>
          <w:rFonts w:asciiTheme="minorHAnsi" w:hAnsiTheme="minorHAnsi"/>
          <w:b/>
          <w:lang w:val="en-US"/>
        </w:rPr>
        <w:t>Grade 2 (</w:t>
      </w:r>
      <w:r w:rsidR="002C2D8B" w:rsidRPr="00681907">
        <w:rPr>
          <w:rFonts w:asciiTheme="minorHAnsi" w:hAnsiTheme="minorHAnsi"/>
          <w:b/>
          <w:lang w:val="en-US"/>
        </w:rPr>
        <w:t>0.45-0.59 mmol/L</w:t>
      </w:r>
      <w:r w:rsidR="00C512BC" w:rsidRPr="00DE0C72">
        <w:rPr>
          <w:rFonts w:asciiTheme="minorHAnsi" w:hAnsiTheme="minorHAnsi"/>
          <w:b/>
          <w:lang w:val="en-US"/>
        </w:rPr>
        <w:t>)</w:t>
      </w:r>
      <w:r w:rsidRPr="00681907">
        <w:rPr>
          <w:rFonts w:asciiTheme="minorHAnsi" w:hAnsiTheme="minorHAnsi"/>
          <w:b/>
          <w:lang w:val="en-US"/>
        </w:rPr>
        <w:t xml:space="preserve">: </w:t>
      </w:r>
      <w:r w:rsidRPr="00DE0C72">
        <w:rPr>
          <w:rFonts w:asciiTheme="minorHAnsi" w:hAnsiTheme="minorHAnsi"/>
          <w:lang w:val="en-US"/>
        </w:rPr>
        <w:t xml:space="preserve">Start aggressive oral magnesium replacement therapy. </w:t>
      </w:r>
    </w:p>
    <w:p w14:paraId="5D1E5756" w14:textId="66D4DB47" w:rsidR="00FE6E6A" w:rsidRPr="00681907" w:rsidRDefault="00FE6E6A" w:rsidP="004022C9">
      <w:pPr>
        <w:pStyle w:val="ListParagraph"/>
        <w:keepNext/>
        <w:keepLines/>
        <w:numPr>
          <w:ilvl w:val="0"/>
          <w:numId w:val="6"/>
        </w:numPr>
        <w:ind w:left="720"/>
        <w:jc w:val="both"/>
        <w:rPr>
          <w:rFonts w:asciiTheme="minorHAnsi" w:hAnsiTheme="minorHAnsi"/>
          <w:lang w:val="en-US"/>
        </w:rPr>
      </w:pPr>
      <w:r w:rsidRPr="00681907">
        <w:rPr>
          <w:rFonts w:asciiTheme="minorHAnsi" w:hAnsiTheme="minorHAnsi"/>
          <w:b/>
          <w:lang w:val="en-US"/>
        </w:rPr>
        <w:t>Grade 3 (</w:t>
      </w:r>
      <w:r w:rsidR="007B35BD" w:rsidRPr="00681907">
        <w:rPr>
          <w:rFonts w:asciiTheme="minorHAnsi" w:hAnsiTheme="minorHAnsi"/>
          <w:b/>
          <w:lang w:val="en-US"/>
        </w:rPr>
        <w:t>0.30-</w:t>
      </w:r>
      <w:r w:rsidR="002C2D8B" w:rsidRPr="00681907">
        <w:rPr>
          <w:rFonts w:asciiTheme="minorHAnsi" w:hAnsiTheme="minorHAnsi"/>
          <w:b/>
          <w:lang w:val="en-US"/>
        </w:rPr>
        <w:t>0.44 mmol/L</w:t>
      </w:r>
      <w:r w:rsidR="00C512BC" w:rsidRPr="00DE0C72">
        <w:rPr>
          <w:rFonts w:asciiTheme="minorHAnsi" w:hAnsiTheme="minorHAnsi"/>
          <w:b/>
          <w:lang w:val="en-US"/>
        </w:rPr>
        <w:t>)</w:t>
      </w:r>
      <w:r w:rsidR="007B35BD" w:rsidRPr="00DE0C72">
        <w:rPr>
          <w:rFonts w:asciiTheme="minorHAnsi" w:hAnsiTheme="minorHAnsi"/>
          <w:b/>
          <w:lang w:val="en-US"/>
        </w:rPr>
        <w:t xml:space="preserve"> and 4 </w:t>
      </w:r>
      <w:r w:rsidR="007B35BD" w:rsidRPr="00681907">
        <w:rPr>
          <w:rFonts w:asciiTheme="minorHAnsi" w:hAnsiTheme="minorHAnsi"/>
          <w:b/>
          <w:lang w:val="en-US"/>
        </w:rPr>
        <w:t>(&lt;0.30 mmol/L)</w:t>
      </w:r>
      <w:r w:rsidRPr="00681907">
        <w:rPr>
          <w:rFonts w:asciiTheme="minorHAnsi" w:hAnsiTheme="minorHAnsi"/>
          <w:b/>
          <w:lang w:val="en-US"/>
        </w:rPr>
        <w:t xml:space="preserve">: </w:t>
      </w:r>
      <w:r w:rsidRPr="00DE0C72">
        <w:rPr>
          <w:rFonts w:asciiTheme="minorHAnsi" w:hAnsiTheme="minorHAnsi"/>
          <w:lang w:val="en-US"/>
        </w:rPr>
        <w:t>Start intravenous magnesium replacement therapy in addition to oral. Replace other electrolytes as necessary.</w:t>
      </w:r>
    </w:p>
    <w:p w14:paraId="0B955FCE" w14:textId="0A148452" w:rsidR="00BE2C8A" w:rsidRPr="00681907" w:rsidRDefault="00BE2C8A">
      <w:pPr>
        <w:pStyle w:val="Caption"/>
        <w:keepNext/>
        <w:keepLines/>
        <w:jc w:val="both"/>
        <w:rPr>
          <w:rFonts w:asciiTheme="minorHAnsi" w:hAnsiTheme="minorHAnsi"/>
          <w:bCs w:val="0"/>
          <w:iCs/>
        </w:rPr>
      </w:pPr>
      <w:r w:rsidRPr="00681907">
        <w:rPr>
          <w:rStyle w:val="IntenseEmphasis"/>
          <w:rFonts w:asciiTheme="minorHAnsi" w:hAnsiTheme="minorHAnsi"/>
          <w:b/>
          <w:i/>
          <w:color w:val="auto"/>
        </w:rPr>
        <w:t>Magnesium replacement therapy</w:t>
      </w:r>
    </w:p>
    <w:tbl>
      <w:tblPr>
        <w:tblW w:w="446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7"/>
        <w:gridCol w:w="2987"/>
        <w:gridCol w:w="2300"/>
      </w:tblGrid>
      <w:tr w:rsidR="0029307B" w:rsidRPr="00681907" w14:paraId="47A00C56" w14:textId="77777777" w:rsidTr="00BE2C8A">
        <w:trPr>
          <w:tblHeader/>
        </w:trPr>
        <w:tc>
          <w:tcPr>
            <w:tcW w:w="18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CDEBE" w14:textId="4807AA6F" w:rsidR="00F84127" w:rsidRPr="00681907" w:rsidRDefault="0029307B">
            <w:pPr>
              <w:pStyle w:val="Normal1"/>
              <w:keepNext/>
              <w:keepLines/>
              <w:widowControl/>
              <w:jc w:val="both"/>
              <w:rPr>
                <w:rFonts w:asciiTheme="minorHAnsi" w:hAnsiTheme="minorHAnsi"/>
                <w:b/>
              </w:rPr>
            </w:pPr>
            <w:r w:rsidRPr="00681907">
              <w:rPr>
                <w:rFonts w:asciiTheme="minorHAnsi" w:hAnsiTheme="minorHAnsi"/>
                <w:b/>
              </w:rPr>
              <w:t>M</w:t>
            </w:r>
            <w:r w:rsidR="00F84127" w:rsidRPr="00681907">
              <w:rPr>
                <w:rFonts w:asciiTheme="minorHAnsi" w:hAnsiTheme="minorHAnsi"/>
                <w:b/>
              </w:rPr>
              <w:t>agnesium level</w:t>
            </w:r>
            <w:r w:rsidR="00ED292D" w:rsidRPr="00681907">
              <w:rPr>
                <w:rFonts w:asciiTheme="minorHAnsi" w:hAnsiTheme="minorHAnsi"/>
                <w:b/>
              </w:rPr>
              <w:t xml:space="preserve"> (m</w:t>
            </w:r>
            <w:r w:rsidR="002C2D8B" w:rsidRPr="00681907">
              <w:rPr>
                <w:rFonts w:asciiTheme="minorHAnsi" w:hAnsiTheme="minorHAnsi"/>
                <w:b/>
              </w:rPr>
              <w:t>mol</w:t>
            </w:r>
            <w:r w:rsidR="00ED292D" w:rsidRPr="00681907">
              <w:rPr>
                <w:rFonts w:asciiTheme="minorHAnsi" w:hAnsiTheme="minorHAnsi"/>
                <w:b/>
              </w:rPr>
              <w:t>/L)</w:t>
            </w:r>
          </w:p>
        </w:tc>
        <w:tc>
          <w:tcPr>
            <w:tcW w:w="179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5B9E3A9" w14:textId="1ED9D0BA" w:rsidR="00F84127" w:rsidRPr="00681907" w:rsidRDefault="00F84127">
            <w:pPr>
              <w:pStyle w:val="Normal1"/>
              <w:keepNext/>
              <w:keepLines/>
              <w:widowControl/>
              <w:jc w:val="both"/>
              <w:rPr>
                <w:rFonts w:asciiTheme="minorHAnsi" w:hAnsiTheme="minorHAnsi"/>
                <w:b/>
              </w:rPr>
            </w:pPr>
            <w:r w:rsidRPr="00681907">
              <w:rPr>
                <w:rFonts w:asciiTheme="minorHAnsi" w:hAnsiTheme="minorHAnsi"/>
                <w:b/>
              </w:rPr>
              <w:t>Total daily dose</w:t>
            </w:r>
            <w:r w:rsidR="0058633E">
              <w:rPr>
                <w:rFonts w:asciiTheme="minorHAnsi" w:hAnsiTheme="minorHAnsi"/>
                <w:b/>
              </w:rPr>
              <w:t xml:space="preserve"> of magnesium oxide, mg</w:t>
            </w:r>
            <w:r w:rsidR="005E1A95">
              <w:rPr>
                <w:rFonts w:asciiTheme="minorHAnsi" w:hAnsiTheme="minorHAnsi"/>
                <w:b/>
              </w:rPr>
              <w:t xml:space="preserve"> (</w:t>
            </w:r>
            <w:r w:rsidR="0058633E">
              <w:rPr>
                <w:rFonts w:asciiTheme="minorHAnsi" w:hAnsiTheme="minorHAnsi"/>
                <w:b/>
              </w:rPr>
              <w:t>dose of elemental Mg, mEq</w:t>
            </w:r>
            <w:r w:rsidR="008C2E97">
              <w:rPr>
                <w:rFonts w:asciiTheme="minorHAnsi" w:hAnsiTheme="minorHAnsi"/>
                <w:b/>
              </w:rPr>
              <w:t>)</w:t>
            </w:r>
          </w:p>
        </w:tc>
        <w:tc>
          <w:tcPr>
            <w:tcW w:w="1378"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75F8C8F" w14:textId="77777777" w:rsidR="00F84127" w:rsidRPr="00681907" w:rsidRDefault="00F84127">
            <w:pPr>
              <w:pStyle w:val="Normal1"/>
              <w:keepNext/>
              <w:keepLines/>
              <w:widowControl/>
              <w:jc w:val="both"/>
              <w:rPr>
                <w:rFonts w:asciiTheme="minorHAnsi" w:hAnsiTheme="minorHAnsi"/>
                <w:b/>
              </w:rPr>
            </w:pPr>
            <w:r w:rsidRPr="00681907">
              <w:rPr>
                <w:rFonts w:asciiTheme="minorHAnsi" w:hAnsiTheme="minorHAnsi"/>
                <w:b/>
              </w:rPr>
              <w:t>Monitoring frequency</w:t>
            </w:r>
          </w:p>
        </w:tc>
      </w:tr>
      <w:tr w:rsidR="0029307B" w:rsidRPr="00681907" w14:paraId="3C107A1E" w14:textId="77777777" w:rsidTr="00BE2C8A">
        <w:tc>
          <w:tcPr>
            <w:tcW w:w="1832"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2061688" w14:textId="1B3597DD" w:rsidR="00F84127" w:rsidRPr="00681907" w:rsidRDefault="002C2D8B" w:rsidP="00F1254D">
            <w:pPr>
              <w:pStyle w:val="Normal1"/>
              <w:keepNext/>
              <w:keepLines/>
              <w:widowControl/>
              <w:jc w:val="both"/>
              <w:rPr>
                <w:rFonts w:asciiTheme="minorHAnsi" w:hAnsiTheme="minorHAnsi"/>
              </w:rPr>
            </w:pPr>
            <w:r w:rsidRPr="00681907">
              <w:rPr>
                <w:rFonts w:asciiTheme="minorHAnsi" w:hAnsiTheme="minorHAnsi"/>
              </w:rPr>
              <w:t>&gt;0</w:t>
            </w:r>
            <w:r w:rsidR="002971A5" w:rsidRPr="00681907">
              <w:rPr>
                <w:rFonts w:asciiTheme="minorHAnsi" w:hAnsiTheme="minorHAnsi"/>
              </w:rPr>
              <w:t>.7</w:t>
            </w:r>
            <w:r w:rsidR="00F84127" w:rsidRPr="00681907">
              <w:rPr>
                <w:rFonts w:asciiTheme="minorHAnsi" w:hAnsiTheme="minorHAnsi"/>
              </w:rPr>
              <w:t>.0 or more</w:t>
            </w:r>
          </w:p>
        </w:tc>
        <w:tc>
          <w:tcPr>
            <w:tcW w:w="1790" w:type="pct"/>
            <w:tcBorders>
              <w:bottom w:val="single" w:sz="8" w:space="0" w:color="000000"/>
              <w:right w:val="single" w:sz="8" w:space="0" w:color="000000"/>
            </w:tcBorders>
            <w:tcMar>
              <w:top w:w="100" w:type="dxa"/>
              <w:left w:w="100" w:type="dxa"/>
              <w:bottom w:w="100" w:type="dxa"/>
              <w:right w:w="100" w:type="dxa"/>
            </w:tcMar>
          </w:tcPr>
          <w:p w14:paraId="1E9B50B3" w14:textId="77777777" w:rsidR="00F84127" w:rsidRPr="00681907" w:rsidRDefault="00F84127">
            <w:pPr>
              <w:pStyle w:val="Normal1"/>
              <w:keepNext/>
              <w:keepLines/>
              <w:widowControl/>
              <w:tabs>
                <w:tab w:val="right" w:pos="2876"/>
              </w:tabs>
              <w:jc w:val="both"/>
              <w:rPr>
                <w:rFonts w:asciiTheme="minorHAnsi" w:hAnsiTheme="minorHAnsi"/>
              </w:rPr>
            </w:pPr>
            <w:r w:rsidRPr="00681907">
              <w:rPr>
                <w:rFonts w:asciiTheme="minorHAnsi" w:hAnsiTheme="minorHAnsi"/>
              </w:rPr>
              <w:t>None</w:t>
            </w:r>
            <w:r w:rsidRPr="00681907">
              <w:rPr>
                <w:rFonts w:asciiTheme="minorHAnsi" w:hAnsiTheme="minorHAnsi"/>
              </w:rPr>
              <w:tab/>
            </w:r>
          </w:p>
        </w:tc>
        <w:tc>
          <w:tcPr>
            <w:tcW w:w="1378" w:type="pct"/>
            <w:tcBorders>
              <w:bottom w:val="single" w:sz="8" w:space="0" w:color="000000"/>
              <w:right w:val="single" w:sz="8" w:space="0" w:color="000000"/>
            </w:tcBorders>
            <w:tcMar>
              <w:top w:w="100" w:type="dxa"/>
              <w:left w:w="100" w:type="dxa"/>
              <w:bottom w:w="100" w:type="dxa"/>
              <w:right w:w="100" w:type="dxa"/>
            </w:tcMar>
          </w:tcPr>
          <w:p w14:paraId="4773AF14" w14:textId="77777777" w:rsidR="00F84127" w:rsidRPr="00681907" w:rsidRDefault="00F84127">
            <w:pPr>
              <w:pStyle w:val="Normal1"/>
              <w:keepNext/>
              <w:keepLines/>
              <w:widowControl/>
              <w:jc w:val="both"/>
              <w:rPr>
                <w:rFonts w:asciiTheme="minorHAnsi" w:hAnsiTheme="minorHAnsi"/>
              </w:rPr>
            </w:pPr>
            <w:r w:rsidRPr="00681907">
              <w:rPr>
                <w:rFonts w:asciiTheme="minorHAnsi" w:hAnsiTheme="minorHAnsi"/>
              </w:rPr>
              <w:t>Monthly</w:t>
            </w:r>
          </w:p>
        </w:tc>
      </w:tr>
      <w:tr w:rsidR="0029307B" w:rsidRPr="00681907" w14:paraId="3598BFBE" w14:textId="77777777" w:rsidTr="00BE2C8A">
        <w:tc>
          <w:tcPr>
            <w:tcW w:w="1832"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F29A14B" w14:textId="548D11C0" w:rsidR="00F84127" w:rsidRPr="00681907" w:rsidRDefault="002C2D8B" w:rsidP="00F1254D">
            <w:pPr>
              <w:pStyle w:val="Normal1"/>
              <w:keepNext/>
              <w:keepLines/>
              <w:widowControl/>
              <w:jc w:val="both"/>
              <w:rPr>
                <w:rFonts w:asciiTheme="minorHAnsi" w:hAnsiTheme="minorHAnsi"/>
              </w:rPr>
            </w:pPr>
            <w:r w:rsidRPr="00681907">
              <w:rPr>
                <w:rFonts w:asciiTheme="minorHAnsi" w:hAnsiTheme="minorHAnsi"/>
              </w:rPr>
              <w:t>0.60-0.70</w:t>
            </w:r>
          </w:p>
        </w:tc>
        <w:tc>
          <w:tcPr>
            <w:tcW w:w="1790" w:type="pct"/>
            <w:tcBorders>
              <w:bottom w:val="single" w:sz="8" w:space="0" w:color="000000"/>
              <w:right w:val="single" w:sz="8" w:space="0" w:color="000000"/>
            </w:tcBorders>
            <w:tcMar>
              <w:top w:w="100" w:type="dxa"/>
              <w:left w:w="100" w:type="dxa"/>
              <w:bottom w:w="100" w:type="dxa"/>
              <w:right w:w="100" w:type="dxa"/>
            </w:tcMar>
          </w:tcPr>
          <w:p w14:paraId="5B1DB6A0" w14:textId="169923FD" w:rsidR="00F84127" w:rsidRPr="00681907" w:rsidRDefault="00D52524">
            <w:pPr>
              <w:pStyle w:val="Normal1"/>
              <w:keepNext/>
              <w:keepLines/>
              <w:widowControl/>
              <w:jc w:val="both"/>
              <w:rPr>
                <w:rFonts w:asciiTheme="minorHAnsi" w:hAnsiTheme="minorHAnsi"/>
              </w:rPr>
            </w:pPr>
            <w:r>
              <w:rPr>
                <w:rFonts w:asciiTheme="minorHAnsi" w:hAnsiTheme="minorHAnsi"/>
              </w:rPr>
              <w:t>800</w:t>
            </w:r>
            <w:r w:rsidR="00F84127" w:rsidRPr="00681907">
              <w:rPr>
                <w:rFonts w:asciiTheme="minorHAnsi" w:hAnsiTheme="minorHAnsi"/>
              </w:rPr>
              <w:t>-1,200 mg</w:t>
            </w:r>
            <w:r w:rsidR="00F27692">
              <w:rPr>
                <w:rFonts w:asciiTheme="minorHAnsi" w:hAnsiTheme="minorHAnsi"/>
              </w:rPr>
              <w:t xml:space="preserve"> (</w:t>
            </w:r>
            <w:r>
              <w:rPr>
                <w:rFonts w:asciiTheme="minorHAnsi" w:hAnsiTheme="minorHAnsi"/>
              </w:rPr>
              <w:t>40</w:t>
            </w:r>
            <w:r w:rsidR="00F2061B">
              <w:rPr>
                <w:rFonts w:asciiTheme="minorHAnsi" w:hAnsiTheme="minorHAnsi"/>
              </w:rPr>
              <w:t>-60</w:t>
            </w:r>
            <w:r w:rsidR="00F27692">
              <w:rPr>
                <w:rFonts w:asciiTheme="minorHAnsi" w:hAnsiTheme="minorHAnsi"/>
              </w:rPr>
              <w:t xml:space="preserve"> mEq)</w:t>
            </w:r>
          </w:p>
        </w:tc>
        <w:tc>
          <w:tcPr>
            <w:tcW w:w="1378" w:type="pct"/>
            <w:tcBorders>
              <w:bottom w:val="single" w:sz="8" w:space="0" w:color="000000"/>
              <w:right w:val="single" w:sz="8" w:space="0" w:color="000000"/>
            </w:tcBorders>
            <w:tcMar>
              <w:top w:w="100" w:type="dxa"/>
              <w:left w:w="100" w:type="dxa"/>
              <w:bottom w:w="100" w:type="dxa"/>
              <w:right w:w="100" w:type="dxa"/>
            </w:tcMar>
          </w:tcPr>
          <w:p w14:paraId="1DF4060C" w14:textId="77777777" w:rsidR="00F84127" w:rsidRPr="00681907" w:rsidRDefault="00F84127">
            <w:pPr>
              <w:pStyle w:val="Normal1"/>
              <w:keepNext/>
              <w:keepLines/>
              <w:widowControl/>
              <w:jc w:val="both"/>
              <w:rPr>
                <w:rFonts w:asciiTheme="minorHAnsi" w:hAnsiTheme="minorHAnsi"/>
              </w:rPr>
            </w:pPr>
            <w:r w:rsidRPr="00681907">
              <w:rPr>
                <w:rFonts w:asciiTheme="minorHAnsi" w:hAnsiTheme="minorHAnsi"/>
              </w:rPr>
              <w:t>Monthly</w:t>
            </w:r>
          </w:p>
        </w:tc>
      </w:tr>
      <w:tr w:rsidR="0029307B" w:rsidRPr="00681907" w14:paraId="35D465AD" w14:textId="77777777" w:rsidTr="00BE2C8A">
        <w:tc>
          <w:tcPr>
            <w:tcW w:w="1832"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000BD81" w14:textId="42EECC97" w:rsidR="00F84127" w:rsidRPr="00681907" w:rsidRDefault="002C2D8B" w:rsidP="00F1254D">
            <w:pPr>
              <w:pStyle w:val="Normal1"/>
              <w:keepNext/>
              <w:keepLines/>
              <w:widowControl/>
              <w:jc w:val="both"/>
              <w:rPr>
                <w:rFonts w:asciiTheme="minorHAnsi" w:hAnsiTheme="minorHAnsi"/>
              </w:rPr>
            </w:pPr>
            <w:r w:rsidRPr="00681907">
              <w:rPr>
                <w:rFonts w:asciiTheme="minorHAnsi" w:hAnsiTheme="minorHAnsi"/>
              </w:rPr>
              <w:t>0.45-0.59</w:t>
            </w:r>
          </w:p>
        </w:tc>
        <w:tc>
          <w:tcPr>
            <w:tcW w:w="1790" w:type="pct"/>
            <w:tcBorders>
              <w:bottom w:val="single" w:sz="8" w:space="0" w:color="000000"/>
              <w:right w:val="single" w:sz="8" w:space="0" w:color="000000"/>
            </w:tcBorders>
            <w:tcMar>
              <w:top w:w="100" w:type="dxa"/>
              <w:left w:w="100" w:type="dxa"/>
              <w:bottom w:w="100" w:type="dxa"/>
              <w:right w:w="100" w:type="dxa"/>
            </w:tcMar>
          </w:tcPr>
          <w:p w14:paraId="7772E3C3" w14:textId="296659BB" w:rsidR="00F84127" w:rsidRPr="00681907" w:rsidRDefault="00D52524">
            <w:pPr>
              <w:pStyle w:val="Normal1"/>
              <w:keepNext/>
              <w:keepLines/>
              <w:widowControl/>
              <w:jc w:val="both"/>
              <w:rPr>
                <w:rFonts w:asciiTheme="minorHAnsi" w:hAnsiTheme="minorHAnsi"/>
              </w:rPr>
            </w:pPr>
            <w:r>
              <w:rPr>
                <w:rFonts w:asciiTheme="minorHAnsi" w:hAnsiTheme="minorHAnsi"/>
              </w:rPr>
              <w:t>1600</w:t>
            </w:r>
            <w:r w:rsidR="00F2061B">
              <w:rPr>
                <w:rFonts w:asciiTheme="minorHAnsi" w:hAnsiTheme="minorHAnsi"/>
              </w:rPr>
              <w:t>-</w:t>
            </w:r>
            <w:r w:rsidR="00F84127" w:rsidRPr="00681907">
              <w:rPr>
                <w:rFonts w:asciiTheme="minorHAnsi" w:hAnsiTheme="minorHAnsi"/>
              </w:rPr>
              <w:t>2,000 mg</w:t>
            </w:r>
            <w:r w:rsidR="0058633E">
              <w:rPr>
                <w:rFonts w:asciiTheme="minorHAnsi" w:hAnsiTheme="minorHAnsi"/>
              </w:rPr>
              <w:t xml:space="preserve"> (</w:t>
            </w:r>
            <w:r>
              <w:rPr>
                <w:rFonts w:asciiTheme="minorHAnsi" w:hAnsiTheme="minorHAnsi"/>
              </w:rPr>
              <w:t>80</w:t>
            </w:r>
            <w:r w:rsidR="00015625">
              <w:rPr>
                <w:rFonts w:asciiTheme="minorHAnsi" w:hAnsiTheme="minorHAnsi"/>
              </w:rPr>
              <w:t>-100</w:t>
            </w:r>
            <w:r w:rsidR="0058633E">
              <w:rPr>
                <w:rFonts w:asciiTheme="minorHAnsi" w:hAnsiTheme="minorHAnsi"/>
              </w:rPr>
              <w:t xml:space="preserve"> mEq)</w:t>
            </w:r>
          </w:p>
        </w:tc>
        <w:tc>
          <w:tcPr>
            <w:tcW w:w="1378" w:type="pct"/>
            <w:tcBorders>
              <w:bottom w:val="single" w:sz="8" w:space="0" w:color="000000"/>
              <w:right w:val="single" w:sz="8" w:space="0" w:color="000000"/>
            </w:tcBorders>
            <w:tcMar>
              <w:top w:w="100" w:type="dxa"/>
              <w:left w:w="100" w:type="dxa"/>
              <w:bottom w:w="100" w:type="dxa"/>
              <w:right w:w="100" w:type="dxa"/>
            </w:tcMar>
          </w:tcPr>
          <w:p w14:paraId="0D98B13F" w14:textId="77777777" w:rsidR="00F84127" w:rsidRPr="00681907" w:rsidRDefault="00F84127">
            <w:pPr>
              <w:pStyle w:val="Normal1"/>
              <w:keepNext/>
              <w:keepLines/>
              <w:widowControl/>
              <w:jc w:val="both"/>
              <w:rPr>
                <w:rFonts w:asciiTheme="minorHAnsi" w:hAnsiTheme="minorHAnsi"/>
              </w:rPr>
            </w:pPr>
            <w:r w:rsidRPr="00681907">
              <w:rPr>
                <w:rFonts w:asciiTheme="minorHAnsi" w:hAnsiTheme="minorHAnsi"/>
              </w:rPr>
              <w:t>One to seven days</w:t>
            </w:r>
          </w:p>
        </w:tc>
      </w:tr>
      <w:tr w:rsidR="0029307B" w:rsidRPr="00681907" w14:paraId="147E0910" w14:textId="77777777" w:rsidTr="00BE2C8A">
        <w:tc>
          <w:tcPr>
            <w:tcW w:w="1832" w:type="pct"/>
            <w:tcBorders>
              <w:left w:val="single" w:sz="8" w:space="0" w:color="000000"/>
              <w:right w:val="single" w:sz="8" w:space="0" w:color="000000"/>
            </w:tcBorders>
            <w:tcMar>
              <w:top w:w="100" w:type="dxa"/>
              <w:left w:w="100" w:type="dxa"/>
              <w:bottom w:w="100" w:type="dxa"/>
              <w:right w:w="100" w:type="dxa"/>
            </w:tcMar>
          </w:tcPr>
          <w:p w14:paraId="304D62A2" w14:textId="037ACC11" w:rsidR="00F84127" w:rsidRPr="00681907" w:rsidRDefault="00F84127" w:rsidP="00F1254D">
            <w:pPr>
              <w:pStyle w:val="Normal1"/>
              <w:keepNext/>
              <w:keepLines/>
              <w:widowControl/>
              <w:jc w:val="both"/>
              <w:rPr>
                <w:rFonts w:asciiTheme="minorHAnsi" w:hAnsiTheme="minorHAnsi"/>
              </w:rPr>
            </w:pPr>
            <w:r w:rsidRPr="00681907">
              <w:rPr>
                <w:rFonts w:asciiTheme="minorHAnsi" w:hAnsiTheme="minorHAnsi"/>
              </w:rPr>
              <w:t xml:space="preserve">&lt; </w:t>
            </w:r>
            <w:r w:rsidR="002C2D8B" w:rsidRPr="00681907">
              <w:rPr>
                <w:rFonts w:asciiTheme="minorHAnsi" w:hAnsiTheme="minorHAnsi"/>
              </w:rPr>
              <w:t>0.</w:t>
            </w:r>
            <w:r w:rsidR="0029307B" w:rsidRPr="00681907">
              <w:rPr>
                <w:rFonts w:asciiTheme="minorHAnsi" w:hAnsiTheme="minorHAnsi"/>
              </w:rPr>
              <w:t>45</w:t>
            </w:r>
          </w:p>
        </w:tc>
        <w:tc>
          <w:tcPr>
            <w:tcW w:w="1790" w:type="pct"/>
            <w:tcBorders>
              <w:right w:val="single" w:sz="8" w:space="0" w:color="000000"/>
            </w:tcBorders>
            <w:tcMar>
              <w:top w:w="100" w:type="dxa"/>
              <w:left w:w="100" w:type="dxa"/>
              <w:bottom w:w="100" w:type="dxa"/>
              <w:right w:w="100" w:type="dxa"/>
            </w:tcMar>
          </w:tcPr>
          <w:p w14:paraId="23CDB0F4" w14:textId="1C44CFDA" w:rsidR="00F84127" w:rsidRPr="00681907" w:rsidRDefault="00F84127">
            <w:pPr>
              <w:pStyle w:val="Normal1"/>
              <w:keepNext/>
              <w:keepLines/>
              <w:widowControl/>
              <w:jc w:val="both"/>
              <w:rPr>
                <w:rFonts w:asciiTheme="minorHAnsi" w:hAnsiTheme="minorHAnsi"/>
              </w:rPr>
            </w:pPr>
            <w:r w:rsidRPr="00681907">
              <w:rPr>
                <w:rFonts w:asciiTheme="minorHAnsi" w:hAnsiTheme="minorHAnsi"/>
              </w:rPr>
              <w:t>3,000 mg-6,000 mg</w:t>
            </w:r>
            <w:r w:rsidR="002A59D6">
              <w:rPr>
                <w:rFonts w:asciiTheme="minorHAnsi" w:hAnsiTheme="minorHAnsi"/>
              </w:rPr>
              <w:t xml:space="preserve"> (150-300 mEq)</w:t>
            </w:r>
          </w:p>
        </w:tc>
        <w:tc>
          <w:tcPr>
            <w:tcW w:w="1378" w:type="pct"/>
            <w:tcBorders>
              <w:right w:val="single" w:sz="8" w:space="0" w:color="000000"/>
            </w:tcBorders>
            <w:tcMar>
              <w:top w:w="100" w:type="dxa"/>
              <w:left w:w="100" w:type="dxa"/>
              <w:bottom w:w="100" w:type="dxa"/>
              <w:right w:w="100" w:type="dxa"/>
            </w:tcMar>
          </w:tcPr>
          <w:p w14:paraId="250A3AC9" w14:textId="77777777" w:rsidR="00F84127" w:rsidRPr="00681907" w:rsidRDefault="00F84127">
            <w:pPr>
              <w:pStyle w:val="Normal1"/>
              <w:keepNext/>
              <w:keepLines/>
              <w:widowControl/>
              <w:jc w:val="both"/>
              <w:rPr>
                <w:rFonts w:asciiTheme="minorHAnsi" w:hAnsiTheme="minorHAnsi"/>
              </w:rPr>
            </w:pPr>
            <w:r w:rsidRPr="00681907">
              <w:rPr>
                <w:rFonts w:asciiTheme="minorHAnsi" w:hAnsiTheme="minorHAnsi"/>
              </w:rPr>
              <w:t>Daily</w:t>
            </w:r>
          </w:p>
        </w:tc>
      </w:tr>
      <w:tr w:rsidR="00F84127" w:rsidRPr="00F050A7" w14:paraId="0A59923C" w14:textId="77777777" w:rsidTr="00BE2C8A">
        <w:tc>
          <w:tcPr>
            <w:tcW w:w="5000" w:type="pct"/>
            <w:gridSpan w:val="3"/>
            <w:tcBorders>
              <w:left w:val="nil"/>
              <w:bottom w:val="nil"/>
              <w:right w:val="nil"/>
            </w:tcBorders>
            <w:tcMar>
              <w:top w:w="100" w:type="dxa"/>
              <w:left w:w="100" w:type="dxa"/>
              <w:bottom w:w="100" w:type="dxa"/>
              <w:right w:w="100" w:type="dxa"/>
            </w:tcMar>
          </w:tcPr>
          <w:p w14:paraId="4EA2B8F3" w14:textId="05A3BCAB" w:rsidR="00F84127" w:rsidRDefault="00F84127" w:rsidP="00F1254D">
            <w:pPr>
              <w:pStyle w:val="Normal1"/>
              <w:keepNext/>
              <w:keepLines/>
              <w:widowControl/>
              <w:jc w:val="both"/>
              <w:rPr>
                <w:rFonts w:asciiTheme="minorHAnsi" w:hAnsiTheme="minorHAnsi"/>
              </w:rPr>
            </w:pPr>
            <w:r w:rsidRPr="00F22D35">
              <w:rPr>
                <w:rFonts w:asciiTheme="minorHAnsi" w:hAnsiTheme="minorHAnsi"/>
                <w:i/>
                <w:iCs/>
              </w:rPr>
              <w:t>Note:</w:t>
            </w:r>
            <w:r w:rsidRPr="00681907">
              <w:rPr>
                <w:rFonts w:asciiTheme="minorHAnsi" w:hAnsiTheme="minorHAnsi"/>
              </w:rPr>
              <w:t xml:space="preserve"> </w:t>
            </w:r>
            <w:r w:rsidR="002A59D6">
              <w:rPr>
                <w:rFonts w:asciiTheme="minorHAnsi" w:hAnsiTheme="minorHAnsi"/>
              </w:rPr>
              <w:t>The dose for replacement therapy expressed in mg is applicable to the use of magnesium oxide</w:t>
            </w:r>
            <w:r w:rsidR="00691B36">
              <w:rPr>
                <w:rFonts w:asciiTheme="minorHAnsi" w:hAnsiTheme="minorHAnsi"/>
              </w:rPr>
              <w:t xml:space="preserve"> only</w:t>
            </w:r>
            <w:r w:rsidR="002A59D6">
              <w:rPr>
                <w:rFonts w:asciiTheme="minorHAnsi" w:hAnsiTheme="minorHAnsi"/>
              </w:rPr>
              <w:t xml:space="preserve">. If other preparations are used, the reference should be the dose of elemental </w:t>
            </w:r>
            <w:r w:rsidR="00C93E96">
              <w:rPr>
                <w:rFonts w:asciiTheme="minorHAnsi" w:hAnsiTheme="minorHAnsi"/>
              </w:rPr>
              <w:t>magnesium</w:t>
            </w:r>
            <w:r w:rsidR="002A59D6">
              <w:rPr>
                <w:rFonts w:asciiTheme="minorHAnsi" w:hAnsiTheme="minorHAnsi"/>
              </w:rPr>
              <w:t>, expressed in mEq. If available, sustained-release preparations should be used f</w:t>
            </w:r>
            <w:r w:rsidR="00483D80">
              <w:rPr>
                <w:rFonts w:asciiTheme="minorHAnsi" w:hAnsiTheme="minorHAnsi"/>
              </w:rPr>
              <w:t>or oral administration</w:t>
            </w:r>
            <w:r w:rsidR="002A59D6">
              <w:rPr>
                <w:rFonts w:asciiTheme="minorHAnsi" w:hAnsiTheme="minorHAnsi"/>
              </w:rPr>
              <w:t xml:space="preserve"> to prevent diarrhea.</w:t>
            </w:r>
            <w:r w:rsidR="00483D80">
              <w:rPr>
                <w:rFonts w:asciiTheme="minorHAnsi" w:hAnsiTheme="minorHAnsi"/>
              </w:rPr>
              <w:t xml:space="preserve"> </w:t>
            </w:r>
            <w:r w:rsidRPr="00681907">
              <w:rPr>
                <w:rFonts w:asciiTheme="minorHAnsi" w:hAnsiTheme="minorHAnsi"/>
              </w:rPr>
              <w:t>Quantities greater than 2,000 mg</w:t>
            </w:r>
            <w:r w:rsidR="0058633E">
              <w:rPr>
                <w:rFonts w:asciiTheme="minorHAnsi" w:hAnsiTheme="minorHAnsi"/>
              </w:rPr>
              <w:t xml:space="preserve"> (100 mEq)</w:t>
            </w:r>
            <w:r w:rsidRPr="00681907">
              <w:rPr>
                <w:rFonts w:asciiTheme="minorHAnsi" w:hAnsiTheme="minorHAnsi"/>
              </w:rPr>
              <w:t xml:space="preserve"> are usually given IV or IM. The normal preparation is magnesium sulfate 2 g</w:t>
            </w:r>
            <w:r w:rsidR="00427E2A" w:rsidRPr="00681907">
              <w:rPr>
                <w:rFonts w:asciiTheme="minorHAnsi" w:hAnsiTheme="minorHAnsi"/>
              </w:rPr>
              <w:t>rams</w:t>
            </w:r>
            <w:r w:rsidRPr="00681907">
              <w:rPr>
                <w:rFonts w:asciiTheme="minorHAnsi" w:hAnsiTheme="minorHAnsi"/>
              </w:rPr>
              <w:t xml:space="preserve"> in 100 mL or 4 g</w:t>
            </w:r>
            <w:r w:rsidR="00427E2A" w:rsidRPr="00681907">
              <w:rPr>
                <w:rFonts w:asciiTheme="minorHAnsi" w:hAnsiTheme="minorHAnsi"/>
              </w:rPr>
              <w:t>rams</w:t>
            </w:r>
            <w:r w:rsidRPr="00681907">
              <w:rPr>
                <w:rFonts w:asciiTheme="minorHAnsi" w:hAnsiTheme="minorHAnsi"/>
              </w:rPr>
              <w:t xml:space="preserve"> in 250 mL of normal saline. Do not exceed an infusion rate of 150 mg/min (</w:t>
            </w:r>
            <w:r w:rsidR="0029307B" w:rsidRPr="00681907">
              <w:rPr>
                <w:rFonts w:asciiTheme="minorHAnsi" w:hAnsiTheme="minorHAnsi"/>
              </w:rPr>
              <w:t xml:space="preserve">Suggested infusion rates: </w:t>
            </w:r>
            <w:r w:rsidRPr="00681907">
              <w:rPr>
                <w:rFonts w:asciiTheme="minorHAnsi" w:hAnsiTheme="minorHAnsi"/>
              </w:rPr>
              <w:t>2 g</w:t>
            </w:r>
            <w:r w:rsidR="00427E2A" w:rsidRPr="00681907">
              <w:rPr>
                <w:rFonts w:asciiTheme="minorHAnsi" w:hAnsiTheme="minorHAnsi"/>
              </w:rPr>
              <w:t>rams</w:t>
            </w:r>
            <w:r w:rsidRPr="00681907">
              <w:rPr>
                <w:rFonts w:asciiTheme="minorHAnsi" w:hAnsiTheme="minorHAnsi"/>
              </w:rPr>
              <w:t xml:space="preserve"> in 100 mL administered over one to two hours, 4 g</w:t>
            </w:r>
            <w:r w:rsidR="00427E2A" w:rsidRPr="00681907">
              <w:rPr>
                <w:rFonts w:asciiTheme="minorHAnsi" w:hAnsiTheme="minorHAnsi"/>
              </w:rPr>
              <w:t>rams</w:t>
            </w:r>
            <w:r w:rsidRPr="00681907">
              <w:rPr>
                <w:rFonts w:asciiTheme="minorHAnsi" w:hAnsiTheme="minorHAnsi"/>
              </w:rPr>
              <w:t xml:space="preserve"> in 250 mL administered over two to four hours).</w:t>
            </w:r>
          </w:p>
          <w:p w14:paraId="422E6EB3" w14:textId="0C065716" w:rsidR="000F2FF9" w:rsidRPr="00681907" w:rsidRDefault="000F2FF9">
            <w:pPr>
              <w:pStyle w:val="Normal1"/>
              <w:keepNext/>
              <w:keepLines/>
              <w:widowControl/>
              <w:jc w:val="both"/>
              <w:rPr>
                <w:rFonts w:asciiTheme="minorHAnsi" w:hAnsiTheme="minorHAnsi"/>
              </w:rPr>
            </w:pPr>
          </w:p>
        </w:tc>
      </w:tr>
    </w:tbl>
    <w:p w14:paraId="78D7B14F" w14:textId="67F4391C" w:rsidR="00F83DD1" w:rsidRPr="00681907" w:rsidRDefault="00F83DD1" w:rsidP="00462589">
      <w:pPr>
        <w:pStyle w:val="Heading4"/>
        <w:spacing w:before="0" w:after="120" w:line="240" w:lineRule="auto"/>
        <w:jc w:val="both"/>
        <w:rPr>
          <w:bCs/>
          <w:iCs/>
          <w:lang w:val="en-US"/>
        </w:rPr>
      </w:pPr>
      <w:r w:rsidRPr="00681907">
        <w:rPr>
          <w:lang w:val="en-US"/>
        </w:rPr>
        <w:t xml:space="preserve">Management of </w:t>
      </w:r>
      <w:r w:rsidRPr="00681907">
        <w:rPr>
          <w:bCs/>
          <w:iCs/>
          <w:lang w:val="en-US"/>
        </w:rPr>
        <w:t>hypocalcemia</w:t>
      </w:r>
    </w:p>
    <w:p w14:paraId="7ADB41B3" w14:textId="49C4B1B6" w:rsidR="00BF6BA9" w:rsidRPr="00DE0C72" w:rsidRDefault="00BF6BA9" w:rsidP="00462589">
      <w:pPr>
        <w:keepNext/>
        <w:keepLines/>
        <w:spacing w:line="240" w:lineRule="auto"/>
        <w:jc w:val="both"/>
        <w:rPr>
          <w:b/>
          <w:lang w:val="en-US"/>
        </w:rPr>
      </w:pPr>
      <w:r w:rsidRPr="00DE0C72">
        <w:rPr>
          <w:b/>
          <w:lang w:val="en-US"/>
        </w:rPr>
        <w:t>Possible anti-TB drug: Km, Am.</w:t>
      </w:r>
    </w:p>
    <w:p w14:paraId="296CC962" w14:textId="3AA3E791" w:rsidR="00F65EA5" w:rsidRPr="00DE0C72" w:rsidRDefault="00ED12D6" w:rsidP="00462589">
      <w:pPr>
        <w:keepNext/>
        <w:keepLines/>
        <w:spacing w:line="240" w:lineRule="auto"/>
        <w:jc w:val="both"/>
        <w:rPr>
          <w:b/>
          <w:bCs/>
          <w:i/>
          <w:iCs/>
          <w:lang w:val="en-US"/>
        </w:rPr>
      </w:pPr>
      <w:r>
        <w:rPr>
          <w:b/>
          <w:i/>
          <w:lang w:val="en-US"/>
        </w:rPr>
        <w:t xml:space="preserve">Site </w:t>
      </w:r>
      <w:r w:rsidR="00E177DC">
        <w:rPr>
          <w:b/>
          <w:i/>
          <w:lang w:val="en-US"/>
        </w:rPr>
        <w:t xml:space="preserve">PI or </w:t>
      </w:r>
      <w:r w:rsidR="00F65EA5" w:rsidRPr="00681907">
        <w:rPr>
          <w:b/>
          <w:i/>
          <w:lang w:val="en-US"/>
        </w:rPr>
        <w:t>Site</w:t>
      </w:r>
      <w:r>
        <w:rPr>
          <w:b/>
          <w:i/>
          <w:lang w:val="en-US"/>
        </w:rPr>
        <w:t xml:space="preserve"> </w:t>
      </w:r>
      <w:r w:rsidR="00F65EA5" w:rsidRPr="00681907">
        <w:rPr>
          <w:b/>
          <w:i/>
          <w:lang w:val="en-US"/>
        </w:rPr>
        <w:t>CI</w:t>
      </w:r>
      <w:r w:rsidR="00F65EA5" w:rsidRPr="00681907">
        <w:rPr>
          <w:lang w:val="en-US"/>
        </w:rPr>
        <w:t xml:space="preserve"> manages this AE according to its severity</w:t>
      </w:r>
      <w:r w:rsidR="00261D6A">
        <w:rPr>
          <w:lang w:val="en-US"/>
        </w:rPr>
        <w:t>. Both albumin-</w:t>
      </w:r>
      <w:r w:rsidR="005E7B34">
        <w:rPr>
          <w:lang w:val="en-US"/>
        </w:rPr>
        <w:t>corrected</w:t>
      </w:r>
      <w:r w:rsidR="00261D6A">
        <w:rPr>
          <w:lang w:val="en-US"/>
        </w:rPr>
        <w:t xml:space="preserve"> or </w:t>
      </w:r>
      <w:r w:rsidR="00A773DF">
        <w:rPr>
          <w:lang w:val="en-US"/>
        </w:rPr>
        <w:t>uncorrected</w:t>
      </w:r>
      <w:r w:rsidR="00261D6A">
        <w:rPr>
          <w:lang w:val="en-US"/>
        </w:rPr>
        <w:t xml:space="preserve"> levels of </w:t>
      </w:r>
      <w:r w:rsidR="005E2A42">
        <w:rPr>
          <w:lang w:val="en-US"/>
        </w:rPr>
        <w:t>T</w:t>
      </w:r>
      <w:r w:rsidR="00261D6A">
        <w:rPr>
          <w:lang w:val="en-US"/>
        </w:rPr>
        <w:t>otal calcium can be used</w:t>
      </w:r>
      <w:r w:rsidR="00D01A24">
        <w:rPr>
          <w:lang w:val="en-US"/>
        </w:rPr>
        <w:t xml:space="preserve"> to guide the clinical management, as follows</w:t>
      </w:r>
      <w:r w:rsidR="00F65EA5" w:rsidRPr="00681907">
        <w:rPr>
          <w:lang w:val="en-US"/>
        </w:rPr>
        <w:t>:</w:t>
      </w:r>
    </w:p>
    <w:p w14:paraId="1A8F4FBA" w14:textId="4771F415" w:rsidR="00314FAF" w:rsidRPr="009701EE" w:rsidRDefault="00314FAF" w:rsidP="00F1254D">
      <w:pPr>
        <w:pStyle w:val="ListParagraph"/>
        <w:keepNext/>
        <w:keepLines/>
        <w:numPr>
          <w:ilvl w:val="0"/>
          <w:numId w:val="6"/>
        </w:numPr>
        <w:ind w:left="720"/>
        <w:jc w:val="both"/>
        <w:rPr>
          <w:rFonts w:asciiTheme="minorHAnsi" w:hAnsiTheme="minorHAnsi"/>
          <w:lang w:val="en-US"/>
        </w:rPr>
      </w:pPr>
      <w:r w:rsidRPr="009701EE">
        <w:rPr>
          <w:rFonts w:asciiTheme="minorHAnsi" w:hAnsiTheme="minorHAnsi"/>
          <w:b/>
          <w:lang w:val="en-US"/>
        </w:rPr>
        <w:t>All grades:</w:t>
      </w:r>
      <w:r>
        <w:rPr>
          <w:rFonts w:asciiTheme="minorHAnsi" w:hAnsiTheme="minorHAnsi"/>
          <w:lang w:val="en-US"/>
        </w:rPr>
        <w:t xml:space="preserve"> </w:t>
      </w:r>
      <w:r w:rsidR="00AD5E7C">
        <w:rPr>
          <w:rFonts w:asciiTheme="minorHAnsi" w:hAnsiTheme="minorHAnsi"/>
          <w:lang w:val="en-US"/>
        </w:rPr>
        <w:t>In the AE log, p</w:t>
      </w:r>
      <w:r>
        <w:rPr>
          <w:rFonts w:asciiTheme="minorHAnsi" w:hAnsiTheme="minorHAnsi"/>
          <w:lang w:val="en-US"/>
        </w:rPr>
        <w:t xml:space="preserve">lease indicate in the </w:t>
      </w:r>
      <w:r w:rsidRPr="009701EE">
        <w:rPr>
          <w:rFonts w:asciiTheme="minorHAnsi" w:hAnsiTheme="minorHAnsi"/>
          <w:u w:val="single"/>
          <w:lang w:val="en-US"/>
        </w:rPr>
        <w:t>AE term</w:t>
      </w:r>
      <w:r>
        <w:rPr>
          <w:rFonts w:asciiTheme="minorHAnsi" w:hAnsiTheme="minorHAnsi"/>
          <w:lang w:val="en-US"/>
        </w:rPr>
        <w:t xml:space="preserve"> whether the </w:t>
      </w:r>
      <w:r w:rsidR="00AD5E7C">
        <w:rPr>
          <w:rFonts w:asciiTheme="minorHAnsi" w:hAnsiTheme="minorHAnsi"/>
          <w:lang w:val="en-US"/>
        </w:rPr>
        <w:t xml:space="preserve">classification is </w:t>
      </w:r>
      <w:r>
        <w:rPr>
          <w:rFonts w:asciiTheme="minorHAnsi" w:hAnsiTheme="minorHAnsi"/>
          <w:lang w:val="en-US"/>
        </w:rPr>
        <w:t>due to albumin-</w:t>
      </w:r>
      <w:r w:rsidR="00A773DF" w:rsidRPr="00A773DF">
        <w:rPr>
          <w:lang w:val="en-US"/>
        </w:rPr>
        <w:t xml:space="preserve"> </w:t>
      </w:r>
      <w:r w:rsidR="00A773DF">
        <w:rPr>
          <w:lang w:val="en-US"/>
        </w:rPr>
        <w:t xml:space="preserve">corrected </w:t>
      </w:r>
      <w:r>
        <w:rPr>
          <w:rFonts w:asciiTheme="minorHAnsi" w:hAnsiTheme="minorHAnsi"/>
          <w:lang w:val="en-US"/>
        </w:rPr>
        <w:t xml:space="preserve">or </w:t>
      </w:r>
      <w:r w:rsidR="00A773DF">
        <w:rPr>
          <w:rFonts w:asciiTheme="minorHAnsi" w:hAnsiTheme="minorHAnsi"/>
          <w:lang w:val="en-US"/>
        </w:rPr>
        <w:t>un</w:t>
      </w:r>
      <w:r w:rsidR="00A773DF">
        <w:rPr>
          <w:lang w:val="en-US"/>
        </w:rPr>
        <w:t>corrected</w:t>
      </w:r>
      <w:r>
        <w:rPr>
          <w:rFonts w:asciiTheme="minorHAnsi" w:hAnsiTheme="minorHAnsi"/>
          <w:lang w:val="en-US"/>
        </w:rPr>
        <w:t xml:space="preserve"> levels of total calcium.</w:t>
      </w:r>
    </w:p>
    <w:p w14:paraId="71EE0676" w14:textId="4BAB2671" w:rsidR="00BF7E53" w:rsidRPr="00DE0C72" w:rsidRDefault="00BF7E53" w:rsidP="004022C9">
      <w:pPr>
        <w:pStyle w:val="ListParagraph"/>
        <w:keepNext/>
        <w:keepLines/>
        <w:numPr>
          <w:ilvl w:val="0"/>
          <w:numId w:val="6"/>
        </w:numPr>
        <w:ind w:left="720"/>
        <w:jc w:val="both"/>
        <w:rPr>
          <w:rFonts w:asciiTheme="minorHAnsi" w:hAnsiTheme="minorHAnsi"/>
          <w:lang w:val="en-US"/>
        </w:rPr>
      </w:pPr>
      <w:r w:rsidRPr="00681907">
        <w:rPr>
          <w:rFonts w:asciiTheme="minorHAnsi" w:hAnsiTheme="minorHAnsi"/>
          <w:b/>
          <w:lang w:val="en-US"/>
        </w:rPr>
        <w:t>Grade 1</w:t>
      </w:r>
      <w:r w:rsidR="002971A5" w:rsidRPr="00681907">
        <w:rPr>
          <w:rFonts w:asciiTheme="minorHAnsi" w:hAnsiTheme="minorHAnsi"/>
          <w:b/>
          <w:lang w:val="en-US"/>
        </w:rPr>
        <w:t xml:space="preserve"> (</w:t>
      </w:r>
      <w:r w:rsidR="002971A5" w:rsidRPr="00DE0C72">
        <w:rPr>
          <w:rFonts w:asciiTheme="minorHAnsi" w:eastAsia="ITCFranklinGothicStd-Book" w:hAnsiTheme="minorHAnsi" w:cs="ITCFranklinGothicStd-Book"/>
          <w:b/>
          <w:lang w:val="en-US"/>
        </w:rPr>
        <w:t>1.95-2.10 mmol/L</w:t>
      </w:r>
      <w:r w:rsidR="002971A5" w:rsidRPr="00681907">
        <w:rPr>
          <w:rFonts w:asciiTheme="minorHAnsi" w:hAnsiTheme="minorHAnsi"/>
          <w:b/>
          <w:lang w:val="en-US"/>
        </w:rPr>
        <w:t>)</w:t>
      </w:r>
      <w:r w:rsidRPr="00681907">
        <w:rPr>
          <w:rFonts w:asciiTheme="minorHAnsi" w:hAnsiTheme="minorHAnsi"/>
          <w:b/>
          <w:lang w:val="en-US"/>
        </w:rPr>
        <w:t xml:space="preserve">: </w:t>
      </w:r>
      <w:r w:rsidRPr="00DE0C72">
        <w:rPr>
          <w:rFonts w:asciiTheme="minorHAnsi" w:hAnsiTheme="minorHAnsi"/>
          <w:lang w:val="en-US"/>
        </w:rPr>
        <w:t>Start oral ca</w:t>
      </w:r>
      <w:r w:rsidR="00C909E2" w:rsidRPr="00DE0C72">
        <w:rPr>
          <w:rFonts w:asciiTheme="minorHAnsi" w:hAnsiTheme="minorHAnsi"/>
          <w:lang w:val="en-US"/>
        </w:rPr>
        <w:t>l</w:t>
      </w:r>
      <w:r w:rsidRPr="00DE0C72">
        <w:rPr>
          <w:rFonts w:asciiTheme="minorHAnsi" w:hAnsiTheme="minorHAnsi"/>
          <w:lang w:val="en-US"/>
        </w:rPr>
        <w:t>cium replacement therapy. Check serum magnesium</w:t>
      </w:r>
      <w:r w:rsidR="00D01A24">
        <w:rPr>
          <w:rFonts w:asciiTheme="minorHAnsi" w:hAnsiTheme="minorHAnsi"/>
          <w:lang w:val="en-US"/>
        </w:rPr>
        <w:t xml:space="preserve"> and potassium,</w:t>
      </w:r>
      <w:r w:rsidRPr="00DE0C72">
        <w:rPr>
          <w:rFonts w:asciiTheme="minorHAnsi" w:hAnsiTheme="minorHAnsi"/>
          <w:lang w:val="en-US"/>
        </w:rPr>
        <w:t xml:space="preserve"> and replace if necessary.</w:t>
      </w:r>
      <w:r w:rsidR="00CB4FEA" w:rsidRPr="00DE0C72">
        <w:rPr>
          <w:rFonts w:asciiTheme="minorHAnsi" w:hAnsiTheme="minorHAnsi"/>
          <w:lang w:val="en-US"/>
        </w:rPr>
        <w:t xml:space="preserve"> Check and monitor ECG every 2 weeks</w:t>
      </w:r>
      <w:r w:rsidR="001659EF" w:rsidRPr="00DE0C72">
        <w:rPr>
          <w:rFonts w:asciiTheme="minorHAnsi" w:hAnsiTheme="minorHAnsi"/>
          <w:lang w:val="en-US"/>
        </w:rPr>
        <w:t>.</w:t>
      </w:r>
    </w:p>
    <w:p w14:paraId="539D34E6" w14:textId="5A7C4B91" w:rsidR="00423914" w:rsidRPr="00DE0C72" w:rsidRDefault="00BF7E53" w:rsidP="004022C9">
      <w:pPr>
        <w:pStyle w:val="ListParagraph"/>
        <w:keepNext/>
        <w:keepLines/>
        <w:numPr>
          <w:ilvl w:val="0"/>
          <w:numId w:val="6"/>
        </w:numPr>
        <w:ind w:left="720"/>
        <w:jc w:val="both"/>
        <w:rPr>
          <w:rFonts w:asciiTheme="minorHAnsi" w:hAnsiTheme="minorHAnsi"/>
          <w:lang w:val="en-US"/>
        </w:rPr>
      </w:pPr>
      <w:r w:rsidRPr="00681907">
        <w:rPr>
          <w:rFonts w:asciiTheme="minorHAnsi" w:hAnsiTheme="minorHAnsi"/>
          <w:b/>
          <w:lang w:val="en-US"/>
        </w:rPr>
        <w:t>Grade 2</w:t>
      </w:r>
      <w:r w:rsidR="002971A5" w:rsidRPr="00681907">
        <w:rPr>
          <w:rFonts w:asciiTheme="minorHAnsi" w:hAnsiTheme="minorHAnsi"/>
          <w:b/>
          <w:lang w:val="en-US"/>
        </w:rPr>
        <w:t xml:space="preserve"> (</w:t>
      </w:r>
      <w:r w:rsidR="00E81E1A">
        <w:rPr>
          <w:rFonts w:asciiTheme="minorHAnsi" w:hAnsiTheme="minorHAnsi"/>
          <w:b/>
          <w:lang w:val="en-US"/>
        </w:rPr>
        <w:t>1.75-</w:t>
      </w:r>
      <w:r w:rsidR="002971A5" w:rsidRPr="00681907">
        <w:rPr>
          <w:rFonts w:asciiTheme="minorHAnsi" w:hAnsiTheme="minorHAnsi"/>
          <w:b/>
          <w:lang w:val="en-US"/>
        </w:rPr>
        <w:t>1.94 mmol/L)</w:t>
      </w:r>
      <w:r w:rsidRPr="00681907">
        <w:rPr>
          <w:rFonts w:asciiTheme="minorHAnsi" w:hAnsiTheme="minorHAnsi"/>
          <w:b/>
          <w:lang w:val="en-US"/>
        </w:rPr>
        <w:t xml:space="preserve">: </w:t>
      </w:r>
      <w:r w:rsidRPr="00DE0C72">
        <w:rPr>
          <w:rFonts w:asciiTheme="minorHAnsi" w:hAnsiTheme="minorHAnsi"/>
          <w:lang w:val="en-US"/>
        </w:rPr>
        <w:t xml:space="preserve">Start oral </w:t>
      </w:r>
      <w:r w:rsidR="00423914" w:rsidRPr="00DE0C72">
        <w:rPr>
          <w:rFonts w:asciiTheme="minorHAnsi" w:hAnsiTheme="minorHAnsi"/>
          <w:lang w:val="en-US"/>
        </w:rPr>
        <w:t>ca</w:t>
      </w:r>
      <w:r w:rsidRPr="00DE0C72">
        <w:rPr>
          <w:rFonts w:asciiTheme="minorHAnsi" w:hAnsiTheme="minorHAnsi"/>
          <w:lang w:val="en-US"/>
        </w:rPr>
        <w:t>l</w:t>
      </w:r>
      <w:r w:rsidR="00423914" w:rsidRPr="00DE0C72">
        <w:rPr>
          <w:rFonts w:asciiTheme="minorHAnsi" w:hAnsiTheme="minorHAnsi"/>
          <w:lang w:val="en-US"/>
        </w:rPr>
        <w:t>c</w:t>
      </w:r>
      <w:r w:rsidRPr="00DE0C72">
        <w:rPr>
          <w:rFonts w:asciiTheme="minorHAnsi" w:hAnsiTheme="minorHAnsi"/>
          <w:lang w:val="en-US"/>
        </w:rPr>
        <w:t>ium replacement therapy. Check serum magnesium</w:t>
      </w:r>
      <w:r w:rsidR="00D01A24">
        <w:rPr>
          <w:rFonts w:asciiTheme="minorHAnsi" w:hAnsiTheme="minorHAnsi"/>
          <w:lang w:val="en-US"/>
        </w:rPr>
        <w:t xml:space="preserve"> and potassium,</w:t>
      </w:r>
      <w:r w:rsidRPr="00DE0C72">
        <w:rPr>
          <w:rFonts w:asciiTheme="minorHAnsi" w:hAnsiTheme="minorHAnsi"/>
          <w:lang w:val="en-US"/>
        </w:rPr>
        <w:t xml:space="preserve"> and replace if necessary. Check and monitor </w:t>
      </w:r>
      <w:r w:rsidR="00C12F24" w:rsidRPr="00DE0C72">
        <w:rPr>
          <w:rFonts w:asciiTheme="minorHAnsi" w:hAnsiTheme="minorHAnsi"/>
          <w:lang w:val="en-US"/>
        </w:rPr>
        <w:t xml:space="preserve">ECG </w:t>
      </w:r>
      <w:r w:rsidRPr="00DE0C72">
        <w:rPr>
          <w:rFonts w:asciiTheme="minorHAnsi" w:hAnsiTheme="minorHAnsi"/>
          <w:lang w:val="en-US"/>
        </w:rPr>
        <w:t>every 2 weeks</w:t>
      </w:r>
      <w:r w:rsidR="001659EF" w:rsidRPr="00DE0C72">
        <w:rPr>
          <w:rFonts w:asciiTheme="minorHAnsi" w:hAnsiTheme="minorHAnsi"/>
          <w:lang w:val="en-US"/>
        </w:rPr>
        <w:t>.</w:t>
      </w:r>
    </w:p>
    <w:p w14:paraId="14B73734" w14:textId="36361E25" w:rsidR="00761B3B" w:rsidRPr="000F2FF9" w:rsidRDefault="00BF7E53" w:rsidP="004022C9">
      <w:pPr>
        <w:pStyle w:val="ListParagraph"/>
        <w:keepNext/>
        <w:keepLines/>
        <w:numPr>
          <w:ilvl w:val="0"/>
          <w:numId w:val="6"/>
        </w:numPr>
        <w:ind w:left="720"/>
        <w:jc w:val="both"/>
        <w:rPr>
          <w:rFonts w:asciiTheme="minorHAnsi" w:hAnsiTheme="minorHAnsi"/>
          <w:lang w:val="en-US"/>
        </w:rPr>
      </w:pPr>
      <w:r w:rsidRPr="00681907">
        <w:rPr>
          <w:rFonts w:asciiTheme="minorHAnsi" w:hAnsiTheme="minorHAnsi"/>
          <w:b/>
          <w:lang w:val="en-US"/>
        </w:rPr>
        <w:t>Grade 3</w:t>
      </w:r>
      <w:r w:rsidR="002971A5" w:rsidRPr="00681907">
        <w:rPr>
          <w:rFonts w:asciiTheme="minorHAnsi" w:hAnsiTheme="minorHAnsi"/>
          <w:b/>
          <w:lang w:val="en-US"/>
        </w:rPr>
        <w:t xml:space="preserve"> (</w:t>
      </w:r>
      <w:r w:rsidR="002E5983">
        <w:rPr>
          <w:rFonts w:asciiTheme="minorHAnsi" w:hAnsiTheme="minorHAnsi"/>
          <w:b/>
          <w:lang w:val="en-US"/>
        </w:rPr>
        <w:t>1.52-</w:t>
      </w:r>
      <w:r w:rsidR="002971A5" w:rsidRPr="00681907">
        <w:rPr>
          <w:rFonts w:asciiTheme="minorHAnsi" w:hAnsiTheme="minorHAnsi"/>
          <w:b/>
          <w:lang w:val="en-US"/>
        </w:rPr>
        <w:t>1.74 mmol/L) and 4 (&lt;1.52 mmol/L)</w:t>
      </w:r>
      <w:r w:rsidRPr="00681907">
        <w:rPr>
          <w:rFonts w:asciiTheme="minorHAnsi" w:hAnsiTheme="minorHAnsi"/>
          <w:b/>
          <w:lang w:val="en-US"/>
        </w:rPr>
        <w:t xml:space="preserve">: </w:t>
      </w:r>
      <w:r w:rsidR="00423914" w:rsidRPr="00681907">
        <w:rPr>
          <w:rFonts w:asciiTheme="minorHAnsi" w:hAnsiTheme="minorHAnsi"/>
          <w:lang w:val="en-US"/>
        </w:rPr>
        <w:t>I</w:t>
      </w:r>
      <w:r w:rsidR="00423914" w:rsidRPr="00DE0C72">
        <w:rPr>
          <w:rFonts w:asciiTheme="minorHAnsi" w:hAnsiTheme="minorHAnsi"/>
          <w:lang w:val="en-US"/>
        </w:rPr>
        <w:t xml:space="preserve">ntravenous calcium replacement. </w:t>
      </w:r>
      <w:r w:rsidR="00D01A24" w:rsidRPr="00DE0C72">
        <w:rPr>
          <w:rFonts w:asciiTheme="minorHAnsi" w:hAnsiTheme="minorHAnsi"/>
          <w:lang w:val="en-US"/>
        </w:rPr>
        <w:t>Check serum magnesium</w:t>
      </w:r>
      <w:r w:rsidR="00D01A24">
        <w:rPr>
          <w:rFonts w:asciiTheme="minorHAnsi" w:hAnsiTheme="minorHAnsi"/>
          <w:lang w:val="en-US"/>
        </w:rPr>
        <w:t xml:space="preserve"> and potassium,</w:t>
      </w:r>
      <w:r w:rsidR="00D01A24" w:rsidRPr="00DE0C72">
        <w:rPr>
          <w:rFonts w:asciiTheme="minorHAnsi" w:hAnsiTheme="minorHAnsi"/>
          <w:lang w:val="en-US"/>
        </w:rPr>
        <w:t xml:space="preserve"> and replace if necessary</w:t>
      </w:r>
      <w:r w:rsidR="00423914" w:rsidRPr="00DE0C72">
        <w:rPr>
          <w:rFonts w:asciiTheme="minorHAnsi" w:hAnsiTheme="minorHAnsi"/>
          <w:lang w:val="en-US"/>
        </w:rPr>
        <w:t xml:space="preserve"> </w:t>
      </w:r>
      <w:r w:rsidR="005D5259" w:rsidRPr="00681907">
        <w:rPr>
          <w:rFonts w:asciiTheme="minorHAnsi" w:hAnsiTheme="minorHAnsi"/>
          <w:lang w:val="en-US"/>
        </w:rPr>
        <w:t>Monitor</w:t>
      </w:r>
      <w:r w:rsidR="00423914" w:rsidRPr="00681907">
        <w:rPr>
          <w:rFonts w:asciiTheme="minorHAnsi" w:hAnsiTheme="minorHAnsi"/>
          <w:lang w:val="en-US"/>
        </w:rPr>
        <w:t xml:space="preserve"> ECG</w:t>
      </w:r>
      <w:r w:rsidR="005D5259" w:rsidRPr="00681907">
        <w:rPr>
          <w:rFonts w:asciiTheme="minorHAnsi" w:hAnsiTheme="minorHAnsi"/>
          <w:lang w:val="en-US"/>
        </w:rPr>
        <w:t xml:space="preserve"> daily</w:t>
      </w:r>
      <w:r w:rsidR="00423914" w:rsidRPr="00681907">
        <w:rPr>
          <w:rFonts w:asciiTheme="minorHAnsi" w:hAnsiTheme="minorHAnsi"/>
          <w:lang w:val="en-US"/>
        </w:rPr>
        <w:t xml:space="preserve">. </w:t>
      </w:r>
      <w:r w:rsidR="00423914" w:rsidRPr="00681907">
        <w:rPr>
          <w:rFonts w:asciiTheme="minorHAnsi" w:eastAsia="GaramondPremrPro" w:hAnsiTheme="minorHAnsi" w:cs="GaramondPremrPro"/>
          <w:lang w:val="en-US"/>
        </w:rPr>
        <w:t>Drugs that prolong the QT interval should be</w:t>
      </w:r>
      <w:r w:rsidR="00CB4FEA" w:rsidRPr="00681907">
        <w:rPr>
          <w:rFonts w:asciiTheme="minorHAnsi" w:eastAsia="GaramondPremrPro" w:hAnsiTheme="minorHAnsi" w:cs="GaramondPremrPro"/>
          <w:lang w:val="en-US"/>
        </w:rPr>
        <w:t xml:space="preserve"> </w:t>
      </w:r>
      <w:r w:rsidR="00423914" w:rsidRPr="00681907">
        <w:rPr>
          <w:rFonts w:asciiTheme="minorHAnsi" w:eastAsia="GaramondPremrPro" w:hAnsiTheme="minorHAnsi" w:cs="GaramondPremrPro"/>
          <w:lang w:val="en-US"/>
        </w:rPr>
        <w:t>discontinued in patients with evidence of QT interval prolongation.</w:t>
      </w:r>
      <w:r w:rsidRPr="00681907">
        <w:rPr>
          <w:rFonts w:asciiTheme="minorHAnsi" w:hAnsiTheme="minorHAnsi"/>
          <w:lang w:val="en-US"/>
        </w:rPr>
        <w:t xml:space="preserve"> </w:t>
      </w:r>
      <w:r w:rsidR="00423914" w:rsidRPr="00681907">
        <w:rPr>
          <w:rFonts w:asciiTheme="minorHAnsi" w:hAnsiTheme="minorHAnsi"/>
          <w:lang w:val="en-US"/>
        </w:rPr>
        <w:t>Stop injectable temporarily.</w:t>
      </w:r>
    </w:p>
    <w:p w14:paraId="593A968F" w14:textId="77777777" w:rsidR="00F83DD1" w:rsidRPr="00681907" w:rsidRDefault="00F83DD1">
      <w:pPr>
        <w:keepNext/>
        <w:keepLines/>
        <w:autoSpaceDE w:val="0"/>
        <w:autoSpaceDN w:val="0"/>
        <w:adjustRightInd w:val="0"/>
        <w:spacing w:after="120" w:line="240" w:lineRule="auto"/>
        <w:ind w:firstLine="720"/>
        <w:jc w:val="both"/>
        <w:rPr>
          <w:rFonts w:asciiTheme="minorHAnsi" w:eastAsia="ITCFranklinGothicStd-Med" w:hAnsiTheme="minorHAnsi" w:cs="ITCFranklinGothicStd-Med"/>
          <w:b/>
          <w:lang w:val="en-US"/>
        </w:rPr>
      </w:pPr>
      <w:r w:rsidRPr="00681907">
        <w:rPr>
          <w:rFonts w:asciiTheme="minorHAnsi" w:eastAsia="ITCFranklinGothicStd-Med" w:hAnsiTheme="minorHAnsi" w:cs="ITCFranklinGothicStd-Med"/>
          <w:b/>
          <w:lang w:val="en-US"/>
        </w:rPr>
        <w:t>Calcium replacement therapy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2"/>
        <w:gridCol w:w="3114"/>
        <w:gridCol w:w="3114"/>
      </w:tblGrid>
      <w:tr w:rsidR="00F83DD1" w:rsidRPr="00681907" w14:paraId="0B396885" w14:textId="77777777" w:rsidTr="00BC76BB">
        <w:trPr>
          <w:tblHeader/>
        </w:trPr>
        <w:tc>
          <w:tcPr>
            <w:tcW w:w="16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E2675" w14:textId="0C47195D" w:rsidR="00F83DD1" w:rsidRPr="00681907" w:rsidRDefault="0002171E">
            <w:pPr>
              <w:keepNext/>
              <w:keepLines/>
              <w:autoSpaceDE w:val="0"/>
              <w:autoSpaceDN w:val="0"/>
              <w:adjustRightInd w:val="0"/>
              <w:spacing w:after="0" w:line="240" w:lineRule="auto"/>
              <w:jc w:val="both"/>
              <w:rPr>
                <w:rFonts w:asciiTheme="minorHAnsi" w:eastAsia="ITCFranklinGothicStd-Med" w:hAnsiTheme="minorHAnsi" w:cs="ITCFranklinGothicStd-Demi"/>
                <w:b/>
                <w:sz w:val="20"/>
                <w:szCs w:val="20"/>
                <w:lang w:val="en-US"/>
              </w:rPr>
            </w:pPr>
            <w:r w:rsidRPr="00681907">
              <w:rPr>
                <w:rFonts w:asciiTheme="minorHAnsi" w:eastAsia="ITCFranklinGothicStd-Med" w:hAnsiTheme="minorHAnsi" w:cs="ITCFranklinGothicStd-Demi"/>
                <w:b/>
                <w:sz w:val="20"/>
                <w:szCs w:val="20"/>
                <w:lang w:val="en-US"/>
              </w:rPr>
              <w:lastRenderedPageBreak/>
              <w:t>Total</w:t>
            </w:r>
            <w:r w:rsidR="00A9134C">
              <w:rPr>
                <w:rFonts w:asciiTheme="minorHAnsi" w:eastAsia="ITCFranklinGothicStd-Med" w:hAnsiTheme="minorHAnsi" w:cs="ITCFranklinGothicStd-Demi"/>
                <w:b/>
                <w:sz w:val="20"/>
                <w:szCs w:val="20"/>
                <w:lang w:val="en-US"/>
              </w:rPr>
              <w:t xml:space="preserve"> c</w:t>
            </w:r>
            <w:r w:rsidR="00F83DD1" w:rsidRPr="00681907">
              <w:rPr>
                <w:rFonts w:asciiTheme="minorHAnsi" w:eastAsia="ITCFranklinGothicStd-Med" w:hAnsiTheme="minorHAnsi" w:cs="ITCFranklinGothicStd-Demi"/>
                <w:b/>
                <w:sz w:val="20"/>
                <w:szCs w:val="20"/>
                <w:lang w:val="en-US"/>
              </w:rPr>
              <w:t>alcium level (</w:t>
            </w:r>
            <w:r w:rsidR="00A773DF" w:rsidRPr="00A773DF">
              <w:rPr>
                <w:rFonts w:asciiTheme="minorHAnsi" w:eastAsia="ITCFranklinGothicStd-Med" w:hAnsiTheme="minorHAnsi" w:cs="ITCFranklinGothicStd-Demi"/>
                <w:b/>
                <w:sz w:val="20"/>
                <w:szCs w:val="20"/>
                <w:lang w:val="en-US"/>
              </w:rPr>
              <w:t xml:space="preserve">corrected </w:t>
            </w:r>
            <w:r w:rsidR="00A9134C">
              <w:rPr>
                <w:rFonts w:asciiTheme="minorHAnsi" w:eastAsia="ITCFranklinGothicStd-Med" w:hAnsiTheme="minorHAnsi" w:cs="ITCFranklinGothicStd-Demi"/>
                <w:b/>
                <w:sz w:val="20"/>
                <w:szCs w:val="20"/>
                <w:lang w:val="en-US"/>
              </w:rPr>
              <w:t>or</w:t>
            </w:r>
            <w:r w:rsidR="00D01A24">
              <w:rPr>
                <w:rFonts w:asciiTheme="minorHAnsi" w:eastAsia="ITCFranklinGothicStd-Med" w:hAnsiTheme="minorHAnsi" w:cs="ITCFranklinGothicStd-Demi"/>
                <w:b/>
                <w:sz w:val="20"/>
                <w:szCs w:val="20"/>
                <w:lang w:val="en-US"/>
              </w:rPr>
              <w:t xml:space="preserve"> </w:t>
            </w:r>
            <w:r w:rsidR="00A773DF">
              <w:rPr>
                <w:rFonts w:asciiTheme="minorHAnsi" w:eastAsia="ITCFranklinGothicStd-Med" w:hAnsiTheme="minorHAnsi" w:cs="ITCFranklinGothicStd-Demi"/>
                <w:b/>
                <w:sz w:val="20"/>
                <w:szCs w:val="20"/>
                <w:lang w:val="en-US"/>
              </w:rPr>
              <w:t>un</w:t>
            </w:r>
            <w:r w:rsidR="00A773DF" w:rsidRPr="00A773DF">
              <w:rPr>
                <w:rFonts w:asciiTheme="minorHAnsi" w:eastAsia="ITCFranklinGothicStd-Med" w:hAnsiTheme="minorHAnsi" w:cs="ITCFranklinGothicStd-Demi"/>
                <w:b/>
                <w:sz w:val="20"/>
                <w:szCs w:val="20"/>
                <w:lang w:val="en-US"/>
              </w:rPr>
              <w:t xml:space="preserve">corrected </w:t>
            </w:r>
            <w:r w:rsidR="00A9134C">
              <w:rPr>
                <w:rFonts w:asciiTheme="minorHAnsi" w:eastAsia="ITCFranklinGothicStd-Med" w:hAnsiTheme="minorHAnsi" w:cs="ITCFranklinGothicStd-Demi"/>
                <w:b/>
                <w:sz w:val="20"/>
                <w:szCs w:val="20"/>
                <w:lang w:val="en-US"/>
              </w:rPr>
              <w:t>according</w:t>
            </w:r>
            <w:r w:rsidR="00F83DD1" w:rsidRPr="00681907">
              <w:rPr>
                <w:rFonts w:asciiTheme="minorHAnsi" w:eastAsia="ITCFranklinGothicStd-Med" w:hAnsiTheme="minorHAnsi" w:cs="ITCFranklinGothicStd-Demi"/>
                <w:b/>
                <w:sz w:val="20"/>
                <w:szCs w:val="20"/>
                <w:lang w:val="en-US"/>
              </w:rPr>
              <w:t xml:space="preserve"> </w:t>
            </w:r>
            <w:r w:rsidR="00A9134C">
              <w:rPr>
                <w:rFonts w:asciiTheme="minorHAnsi" w:eastAsia="ITCFranklinGothicStd-Med" w:hAnsiTheme="minorHAnsi" w:cs="ITCFranklinGothicStd-Demi"/>
                <w:b/>
                <w:sz w:val="20"/>
                <w:szCs w:val="20"/>
                <w:lang w:val="en-US"/>
              </w:rPr>
              <w:t>to</w:t>
            </w:r>
            <w:r w:rsidR="00F83DD1" w:rsidRPr="00681907">
              <w:rPr>
                <w:rFonts w:asciiTheme="minorHAnsi" w:eastAsia="ITCFranklinGothicStd-Med" w:hAnsiTheme="minorHAnsi" w:cs="ITCFranklinGothicStd-Demi"/>
                <w:b/>
                <w:sz w:val="20"/>
                <w:szCs w:val="20"/>
                <w:lang w:val="en-US"/>
              </w:rPr>
              <w:t xml:space="preserve"> albumin</w:t>
            </w:r>
            <w:r w:rsidR="00A9134C">
              <w:rPr>
                <w:rFonts w:asciiTheme="minorHAnsi" w:eastAsia="ITCFranklinGothicStd-Med" w:hAnsiTheme="minorHAnsi" w:cs="ITCFranklinGothicStd-Demi"/>
                <w:b/>
                <w:sz w:val="20"/>
                <w:szCs w:val="20"/>
                <w:lang w:val="en-US"/>
              </w:rPr>
              <w:t xml:space="preserve"> levels</w:t>
            </w:r>
            <w:r w:rsidR="00F83DD1" w:rsidRPr="00681907">
              <w:rPr>
                <w:rFonts w:asciiTheme="minorHAnsi" w:eastAsia="ITCFranklinGothicStd-Med" w:hAnsiTheme="minorHAnsi" w:cs="ITCFranklinGothicStd-Demi"/>
                <w:b/>
                <w:sz w:val="20"/>
                <w:szCs w:val="20"/>
                <w:lang w:val="en-US"/>
              </w:rPr>
              <w:t>)</w:t>
            </w:r>
            <w:r w:rsidR="007E0DD3" w:rsidRPr="00681907">
              <w:rPr>
                <w:rFonts w:asciiTheme="minorHAnsi" w:eastAsia="ITCFranklinGothicStd-Med" w:hAnsiTheme="minorHAnsi" w:cs="ITCFranklinGothicStd-Demi"/>
                <w:b/>
                <w:sz w:val="20"/>
                <w:szCs w:val="20"/>
                <w:lang w:val="en-US"/>
              </w:rPr>
              <w:t xml:space="preserve"> </w:t>
            </w:r>
            <w:r w:rsidR="002971A5" w:rsidRPr="00681907">
              <w:rPr>
                <w:rFonts w:asciiTheme="minorHAnsi" w:eastAsia="ITCFranklinGothicStd-Med" w:hAnsiTheme="minorHAnsi" w:cs="ITCFranklinGothicStd-Demi"/>
                <w:sz w:val="20"/>
                <w:szCs w:val="20"/>
                <w:lang w:val="en-US"/>
              </w:rPr>
              <w:t>(</w:t>
            </w:r>
            <w:r w:rsidR="002971A5" w:rsidRPr="00DE0C72">
              <w:rPr>
                <w:rFonts w:asciiTheme="minorHAnsi" w:eastAsia="ITCFranklinGothicStd-Book" w:hAnsiTheme="minorHAnsi" w:cs="ITCFranklinGothicStd-Book"/>
                <w:sz w:val="20"/>
                <w:szCs w:val="20"/>
                <w:lang w:val="en-US"/>
              </w:rPr>
              <w:t>mmol/L)</w:t>
            </w:r>
          </w:p>
        </w:tc>
        <w:tc>
          <w:tcPr>
            <w:tcW w:w="166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20162FF8" w14:textId="3ABB9B03" w:rsidR="00F83DD1" w:rsidRPr="00681907" w:rsidRDefault="00F83DD1">
            <w:pPr>
              <w:pStyle w:val="Normal1"/>
              <w:keepNext/>
              <w:keepLines/>
              <w:widowControl/>
              <w:jc w:val="both"/>
              <w:rPr>
                <w:rFonts w:asciiTheme="minorHAnsi" w:hAnsiTheme="minorHAnsi"/>
                <w:b/>
                <w:szCs w:val="20"/>
              </w:rPr>
            </w:pPr>
            <w:r w:rsidRPr="00681907">
              <w:rPr>
                <w:rFonts w:asciiTheme="minorHAnsi" w:eastAsia="ITCFranklinGothicStd-Med" w:hAnsiTheme="minorHAnsi" w:cs="ITCFranklinGothicStd-Demi"/>
                <w:b/>
                <w:szCs w:val="20"/>
              </w:rPr>
              <w:t>Dosing</w:t>
            </w:r>
            <w:r w:rsidRPr="00681907">
              <w:rPr>
                <w:rFonts w:asciiTheme="minorHAnsi" w:hAnsiTheme="minorHAnsi"/>
                <w:b/>
                <w:szCs w:val="20"/>
              </w:rPr>
              <w:t xml:space="preserve"> </w:t>
            </w:r>
          </w:p>
        </w:tc>
        <w:tc>
          <w:tcPr>
            <w:tcW w:w="166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E3B124A" w14:textId="77777777" w:rsidR="00F83DD1" w:rsidRPr="00681907" w:rsidRDefault="00F83DD1">
            <w:pPr>
              <w:pStyle w:val="Normal1"/>
              <w:keepNext/>
              <w:keepLines/>
              <w:widowControl/>
              <w:jc w:val="both"/>
              <w:rPr>
                <w:rFonts w:asciiTheme="minorHAnsi" w:hAnsiTheme="minorHAnsi"/>
                <w:b/>
                <w:szCs w:val="20"/>
              </w:rPr>
            </w:pPr>
            <w:r w:rsidRPr="00681907">
              <w:rPr>
                <w:rFonts w:asciiTheme="minorHAnsi" w:hAnsiTheme="minorHAnsi"/>
                <w:b/>
                <w:szCs w:val="20"/>
              </w:rPr>
              <w:t>Monitoring frequency</w:t>
            </w:r>
          </w:p>
        </w:tc>
      </w:tr>
      <w:tr w:rsidR="00F83DD1" w:rsidRPr="00681907" w14:paraId="2B958012" w14:textId="77777777" w:rsidTr="00BC76BB">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46B5C4E" w14:textId="1EA4B198" w:rsidR="00F83DD1" w:rsidRPr="00681907" w:rsidRDefault="00C512BC" w:rsidP="00F1254D">
            <w:pPr>
              <w:pStyle w:val="Normal1"/>
              <w:keepNext/>
              <w:keepLines/>
              <w:widowControl/>
              <w:jc w:val="both"/>
              <w:rPr>
                <w:rFonts w:asciiTheme="minorHAnsi" w:hAnsiTheme="minorHAnsi"/>
                <w:szCs w:val="20"/>
              </w:rPr>
            </w:pPr>
            <w:r w:rsidRPr="00681907">
              <w:rPr>
                <w:rFonts w:asciiTheme="minorHAnsi" w:eastAsia="ITCFranklinGothicStd-Book" w:hAnsiTheme="minorHAnsi" w:cs="ITCFranklinGothicStd-Book"/>
                <w:szCs w:val="20"/>
              </w:rPr>
              <w:t>&gt;2.10</w:t>
            </w:r>
          </w:p>
        </w:tc>
        <w:tc>
          <w:tcPr>
            <w:tcW w:w="1667" w:type="pct"/>
            <w:tcBorders>
              <w:bottom w:val="single" w:sz="8" w:space="0" w:color="000000"/>
              <w:right w:val="single" w:sz="8" w:space="0" w:color="000000"/>
            </w:tcBorders>
            <w:tcMar>
              <w:top w:w="100" w:type="dxa"/>
              <w:left w:w="100" w:type="dxa"/>
              <w:bottom w:w="100" w:type="dxa"/>
              <w:right w:w="100" w:type="dxa"/>
            </w:tcMar>
          </w:tcPr>
          <w:p w14:paraId="15C0F9B3" w14:textId="77777777" w:rsidR="00F83DD1" w:rsidRPr="00681907" w:rsidRDefault="00F83DD1">
            <w:pPr>
              <w:pStyle w:val="Normal1"/>
              <w:keepNext/>
              <w:keepLines/>
              <w:widowControl/>
              <w:tabs>
                <w:tab w:val="right" w:pos="2876"/>
              </w:tabs>
              <w:jc w:val="both"/>
              <w:rPr>
                <w:rFonts w:asciiTheme="minorHAnsi" w:hAnsiTheme="minorHAnsi"/>
                <w:szCs w:val="20"/>
              </w:rPr>
            </w:pPr>
            <w:r w:rsidRPr="00681907">
              <w:rPr>
                <w:rFonts w:asciiTheme="minorHAnsi" w:hAnsiTheme="minorHAnsi"/>
                <w:szCs w:val="20"/>
              </w:rPr>
              <w:t>None</w:t>
            </w:r>
            <w:r w:rsidRPr="00681907">
              <w:rPr>
                <w:rFonts w:asciiTheme="minorHAnsi" w:hAnsiTheme="minorHAnsi"/>
                <w:szCs w:val="20"/>
              </w:rPr>
              <w:tab/>
            </w:r>
          </w:p>
        </w:tc>
        <w:tc>
          <w:tcPr>
            <w:tcW w:w="1667" w:type="pct"/>
            <w:tcBorders>
              <w:bottom w:val="single" w:sz="8" w:space="0" w:color="000000"/>
              <w:right w:val="single" w:sz="8" w:space="0" w:color="000000"/>
            </w:tcBorders>
            <w:tcMar>
              <w:top w:w="100" w:type="dxa"/>
              <w:left w:w="100" w:type="dxa"/>
              <w:bottom w:w="100" w:type="dxa"/>
              <w:right w:w="100" w:type="dxa"/>
            </w:tcMar>
          </w:tcPr>
          <w:p w14:paraId="273807F1" w14:textId="77777777" w:rsidR="00F83DD1" w:rsidRPr="00681907" w:rsidRDefault="00F83DD1">
            <w:pPr>
              <w:pStyle w:val="Normal1"/>
              <w:keepNext/>
              <w:keepLines/>
              <w:widowControl/>
              <w:jc w:val="both"/>
              <w:rPr>
                <w:rFonts w:asciiTheme="minorHAnsi" w:hAnsiTheme="minorHAnsi"/>
                <w:szCs w:val="20"/>
              </w:rPr>
            </w:pPr>
            <w:r w:rsidRPr="00681907">
              <w:rPr>
                <w:rFonts w:asciiTheme="minorHAnsi" w:hAnsiTheme="minorHAnsi"/>
                <w:szCs w:val="20"/>
              </w:rPr>
              <w:t>Monthly</w:t>
            </w:r>
          </w:p>
        </w:tc>
      </w:tr>
      <w:tr w:rsidR="00F83DD1" w:rsidRPr="00681907" w14:paraId="6DDFE9E6" w14:textId="77777777" w:rsidTr="00BC76BB">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15EEC03" w14:textId="2F3DDF86" w:rsidR="00F83DD1" w:rsidRPr="00681907" w:rsidRDefault="002971A5" w:rsidP="00F1254D">
            <w:pPr>
              <w:pStyle w:val="Normal1"/>
              <w:keepNext/>
              <w:keepLines/>
              <w:widowControl/>
              <w:jc w:val="both"/>
              <w:rPr>
                <w:rFonts w:asciiTheme="minorHAnsi" w:hAnsiTheme="minorHAnsi"/>
                <w:szCs w:val="20"/>
              </w:rPr>
            </w:pPr>
            <w:r w:rsidRPr="00681907">
              <w:rPr>
                <w:rFonts w:asciiTheme="minorHAnsi" w:eastAsia="ITCFranklinGothicStd-Book" w:hAnsiTheme="minorHAnsi" w:cs="ITCFranklinGothicStd-Book"/>
                <w:szCs w:val="20"/>
              </w:rPr>
              <w:t xml:space="preserve"> </w:t>
            </w:r>
            <w:r w:rsidR="00C512BC" w:rsidRPr="00681907">
              <w:rPr>
                <w:rFonts w:asciiTheme="minorHAnsi" w:eastAsia="ITCFranklinGothicStd-Book" w:hAnsiTheme="minorHAnsi" w:cs="ITCFranklinGothicStd-Book"/>
                <w:szCs w:val="20"/>
              </w:rPr>
              <w:t>1.95-2.10</w:t>
            </w:r>
          </w:p>
        </w:tc>
        <w:tc>
          <w:tcPr>
            <w:tcW w:w="1667" w:type="pct"/>
            <w:tcBorders>
              <w:bottom w:val="single" w:sz="8" w:space="0" w:color="000000"/>
              <w:right w:val="single" w:sz="8" w:space="0" w:color="000000"/>
            </w:tcBorders>
            <w:tcMar>
              <w:top w:w="100" w:type="dxa"/>
              <w:left w:w="100" w:type="dxa"/>
              <w:bottom w:w="100" w:type="dxa"/>
              <w:right w:w="100" w:type="dxa"/>
            </w:tcMar>
          </w:tcPr>
          <w:p w14:paraId="5190EEC7" w14:textId="1113E0C2" w:rsidR="00F83DD1" w:rsidRPr="00681907" w:rsidRDefault="00F83DD1">
            <w:pPr>
              <w:pStyle w:val="Normal1"/>
              <w:keepNext/>
              <w:keepLines/>
              <w:widowControl/>
              <w:jc w:val="both"/>
              <w:rPr>
                <w:rFonts w:asciiTheme="minorHAnsi" w:hAnsiTheme="minorHAnsi"/>
                <w:szCs w:val="20"/>
              </w:rPr>
            </w:pPr>
            <w:r w:rsidRPr="00681907">
              <w:rPr>
                <w:rFonts w:asciiTheme="minorHAnsi" w:eastAsia="ITCFranklinGothicStd-Book" w:hAnsiTheme="minorHAnsi" w:cs="ITCFranklinGothicStd-Book"/>
                <w:szCs w:val="20"/>
              </w:rPr>
              <w:t xml:space="preserve">500 mg </w:t>
            </w:r>
            <w:r w:rsidR="002971A5" w:rsidRPr="00681907">
              <w:rPr>
                <w:rFonts w:asciiTheme="minorHAnsi" w:eastAsia="ITCFranklinGothicStd-Book" w:hAnsiTheme="minorHAnsi" w:cs="ITCFranklinGothicStd-Book"/>
                <w:szCs w:val="20"/>
              </w:rPr>
              <w:t xml:space="preserve">PO </w:t>
            </w:r>
            <w:r w:rsidRPr="00681907">
              <w:rPr>
                <w:rFonts w:asciiTheme="minorHAnsi" w:eastAsia="ITCFranklinGothicStd-Book" w:hAnsiTheme="minorHAnsi" w:cs="ITCFranklinGothicStd-Book"/>
                <w:szCs w:val="20"/>
              </w:rPr>
              <w:t>three times a day</w:t>
            </w:r>
          </w:p>
        </w:tc>
        <w:tc>
          <w:tcPr>
            <w:tcW w:w="1667" w:type="pct"/>
            <w:tcBorders>
              <w:bottom w:val="single" w:sz="8" w:space="0" w:color="000000"/>
              <w:right w:val="single" w:sz="8" w:space="0" w:color="000000"/>
            </w:tcBorders>
            <w:tcMar>
              <w:top w:w="100" w:type="dxa"/>
              <w:left w:w="100" w:type="dxa"/>
              <w:bottom w:w="100" w:type="dxa"/>
              <w:right w:w="100" w:type="dxa"/>
            </w:tcMar>
          </w:tcPr>
          <w:p w14:paraId="40253145" w14:textId="71110A80" w:rsidR="00F83DD1" w:rsidRPr="00681907" w:rsidRDefault="002971A5">
            <w:pPr>
              <w:pStyle w:val="Normal1"/>
              <w:keepNext/>
              <w:keepLines/>
              <w:widowControl/>
              <w:jc w:val="both"/>
              <w:rPr>
                <w:rFonts w:asciiTheme="minorHAnsi" w:hAnsiTheme="minorHAnsi"/>
                <w:szCs w:val="20"/>
              </w:rPr>
            </w:pPr>
            <w:r w:rsidRPr="00681907">
              <w:rPr>
                <w:rFonts w:asciiTheme="minorHAnsi" w:hAnsiTheme="minorHAnsi"/>
                <w:szCs w:val="20"/>
              </w:rPr>
              <w:t>2 weeks</w:t>
            </w:r>
          </w:p>
        </w:tc>
      </w:tr>
      <w:tr w:rsidR="00F83DD1" w:rsidRPr="00681907" w14:paraId="68E0BB9F" w14:textId="77777777" w:rsidTr="00BC76BB">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21D017C" w14:textId="7D0A4ADC" w:rsidR="00F83DD1" w:rsidRPr="00681907" w:rsidRDefault="002B30FE" w:rsidP="00F1254D">
            <w:pPr>
              <w:pStyle w:val="Normal1"/>
              <w:keepNext/>
              <w:keepLines/>
              <w:widowControl/>
              <w:jc w:val="both"/>
              <w:rPr>
                <w:rFonts w:asciiTheme="minorHAnsi" w:hAnsiTheme="minorHAnsi"/>
                <w:szCs w:val="20"/>
              </w:rPr>
            </w:pPr>
            <w:r>
              <w:rPr>
                <w:rFonts w:asciiTheme="minorHAnsi" w:eastAsia="ITCFranklinGothicStd-Book" w:hAnsiTheme="minorHAnsi" w:cs="ITCFranklinGothicStd-Book"/>
                <w:szCs w:val="20"/>
              </w:rPr>
              <w:t>1.75-</w:t>
            </w:r>
            <w:r w:rsidR="00C512BC" w:rsidRPr="00681907">
              <w:rPr>
                <w:rFonts w:asciiTheme="minorHAnsi" w:eastAsia="ITCFranklinGothicStd-Book" w:hAnsiTheme="minorHAnsi" w:cs="ITCFranklinGothicStd-Book"/>
                <w:szCs w:val="20"/>
              </w:rPr>
              <w:t>1.</w:t>
            </w:r>
            <w:r w:rsidR="002971A5" w:rsidRPr="00681907">
              <w:rPr>
                <w:rFonts w:asciiTheme="minorHAnsi" w:eastAsia="ITCFranklinGothicStd-Book" w:hAnsiTheme="minorHAnsi" w:cs="ITCFranklinGothicStd-Book"/>
                <w:szCs w:val="20"/>
              </w:rPr>
              <w:t>94</w:t>
            </w:r>
          </w:p>
        </w:tc>
        <w:tc>
          <w:tcPr>
            <w:tcW w:w="1667" w:type="pct"/>
            <w:tcBorders>
              <w:bottom w:val="single" w:sz="8" w:space="0" w:color="000000"/>
              <w:right w:val="single" w:sz="8" w:space="0" w:color="000000"/>
            </w:tcBorders>
            <w:tcMar>
              <w:top w:w="100" w:type="dxa"/>
              <w:left w:w="100" w:type="dxa"/>
              <w:bottom w:w="100" w:type="dxa"/>
              <w:right w:w="100" w:type="dxa"/>
            </w:tcMar>
          </w:tcPr>
          <w:p w14:paraId="6DCEBF4C" w14:textId="42A22E45" w:rsidR="00F83DD1" w:rsidRPr="00681907" w:rsidRDefault="00F83DD1">
            <w:pPr>
              <w:pStyle w:val="Normal1"/>
              <w:keepNext/>
              <w:keepLines/>
              <w:widowControl/>
              <w:jc w:val="both"/>
              <w:rPr>
                <w:rFonts w:asciiTheme="minorHAnsi" w:hAnsiTheme="minorHAnsi"/>
                <w:szCs w:val="20"/>
              </w:rPr>
            </w:pPr>
            <w:r w:rsidRPr="00681907">
              <w:rPr>
                <w:rFonts w:asciiTheme="minorHAnsi" w:eastAsia="ITCFranklinGothicStd-Book" w:hAnsiTheme="minorHAnsi" w:cs="ITCFranklinGothicStd-Book"/>
                <w:szCs w:val="20"/>
              </w:rPr>
              <w:t xml:space="preserve">1000 mg three times </w:t>
            </w:r>
            <w:r w:rsidR="002971A5" w:rsidRPr="00681907">
              <w:rPr>
                <w:rFonts w:asciiTheme="minorHAnsi" w:eastAsia="ITCFranklinGothicStd-Book" w:hAnsiTheme="minorHAnsi" w:cs="ITCFranklinGothicStd-Book"/>
                <w:szCs w:val="20"/>
              </w:rPr>
              <w:t xml:space="preserve">PO </w:t>
            </w:r>
            <w:r w:rsidRPr="00681907">
              <w:rPr>
                <w:rFonts w:asciiTheme="minorHAnsi" w:eastAsia="ITCFranklinGothicStd-Book" w:hAnsiTheme="minorHAnsi" w:cs="ITCFranklinGothicStd-Book"/>
                <w:szCs w:val="20"/>
              </w:rPr>
              <w:t>a day</w:t>
            </w:r>
          </w:p>
        </w:tc>
        <w:tc>
          <w:tcPr>
            <w:tcW w:w="1667" w:type="pct"/>
            <w:tcBorders>
              <w:bottom w:val="single" w:sz="8" w:space="0" w:color="000000"/>
              <w:right w:val="single" w:sz="8" w:space="0" w:color="000000"/>
            </w:tcBorders>
            <w:tcMar>
              <w:top w:w="100" w:type="dxa"/>
              <w:left w:w="100" w:type="dxa"/>
              <w:bottom w:w="100" w:type="dxa"/>
              <w:right w:w="100" w:type="dxa"/>
            </w:tcMar>
          </w:tcPr>
          <w:p w14:paraId="2F8DAADD" w14:textId="1A322BD5" w:rsidR="00F83DD1" w:rsidRPr="00681907" w:rsidRDefault="00F83DD1">
            <w:pPr>
              <w:pStyle w:val="Normal1"/>
              <w:keepNext/>
              <w:keepLines/>
              <w:widowControl/>
              <w:jc w:val="both"/>
              <w:rPr>
                <w:rFonts w:asciiTheme="minorHAnsi" w:hAnsiTheme="minorHAnsi"/>
                <w:szCs w:val="20"/>
              </w:rPr>
            </w:pPr>
            <w:r w:rsidRPr="00681907">
              <w:rPr>
                <w:rFonts w:asciiTheme="minorHAnsi" w:hAnsiTheme="minorHAnsi"/>
                <w:szCs w:val="20"/>
              </w:rPr>
              <w:t>One to 2 weeks</w:t>
            </w:r>
          </w:p>
        </w:tc>
      </w:tr>
      <w:tr w:rsidR="00F83DD1" w:rsidRPr="00681907" w14:paraId="033FF635" w14:textId="77777777" w:rsidTr="00BC76BB">
        <w:tc>
          <w:tcPr>
            <w:tcW w:w="1666" w:type="pct"/>
            <w:tcBorders>
              <w:left w:val="single" w:sz="8" w:space="0" w:color="000000"/>
              <w:right w:val="single" w:sz="8" w:space="0" w:color="000000"/>
            </w:tcBorders>
            <w:tcMar>
              <w:top w:w="100" w:type="dxa"/>
              <w:left w:w="100" w:type="dxa"/>
              <w:bottom w:w="100" w:type="dxa"/>
              <w:right w:w="100" w:type="dxa"/>
            </w:tcMar>
          </w:tcPr>
          <w:p w14:paraId="108AACB7" w14:textId="0EE6D2A2" w:rsidR="00F83DD1" w:rsidRPr="00681907" w:rsidRDefault="00F83DD1" w:rsidP="00F1254D">
            <w:pPr>
              <w:pStyle w:val="Normal1"/>
              <w:keepNext/>
              <w:keepLines/>
              <w:widowControl/>
              <w:jc w:val="both"/>
              <w:rPr>
                <w:rFonts w:asciiTheme="minorHAnsi" w:hAnsiTheme="minorHAnsi"/>
                <w:szCs w:val="20"/>
              </w:rPr>
            </w:pPr>
            <w:r w:rsidRPr="00681907">
              <w:rPr>
                <w:rFonts w:asciiTheme="minorHAnsi" w:eastAsia="ITCFranklinGothicStd-Book" w:hAnsiTheme="minorHAnsi" w:cs="ITCFranklinGothicStd-Book"/>
                <w:szCs w:val="20"/>
              </w:rPr>
              <w:t>&lt;</w:t>
            </w:r>
            <w:r w:rsidR="002971A5" w:rsidRPr="00681907">
              <w:rPr>
                <w:rFonts w:asciiTheme="minorHAnsi" w:eastAsia="ITCFranklinGothicStd-Book" w:hAnsiTheme="minorHAnsi" w:cs="ITCFranklinGothicStd-Book"/>
                <w:szCs w:val="20"/>
              </w:rPr>
              <w:t>1.75</w:t>
            </w:r>
          </w:p>
        </w:tc>
        <w:tc>
          <w:tcPr>
            <w:tcW w:w="1667" w:type="pct"/>
            <w:tcBorders>
              <w:right w:val="single" w:sz="8" w:space="0" w:color="000000"/>
            </w:tcBorders>
            <w:tcMar>
              <w:top w:w="100" w:type="dxa"/>
              <w:left w:w="100" w:type="dxa"/>
              <w:bottom w:w="100" w:type="dxa"/>
              <w:right w:w="100" w:type="dxa"/>
            </w:tcMar>
          </w:tcPr>
          <w:p w14:paraId="331095D0" w14:textId="560936AE" w:rsidR="00F83DD1" w:rsidRPr="00681907" w:rsidRDefault="005D5259">
            <w:pPr>
              <w:keepNext/>
              <w:keepLines/>
              <w:autoSpaceDE w:val="0"/>
              <w:autoSpaceDN w:val="0"/>
              <w:adjustRightInd w:val="0"/>
              <w:spacing w:after="0" w:line="240" w:lineRule="auto"/>
              <w:jc w:val="both"/>
              <w:rPr>
                <w:rFonts w:asciiTheme="minorHAnsi" w:eastAsia="ITCFranklinGothicStd-Book" w:hAnsiTheme="minorHAnsi" w:cs="ITCFranklinGothicStd-Book"/>
                <w:sz w:val="20"/>
                <w:szCs w:val="20"/>
                <w:lang w:val="en-US"/>
              </w:rPr>
            </w:pPr>
            <w:r w:rsidRPr="00DE0C72">
              <w:rPr>
                <w:sz w:val="20"/>
                <w:szCs w:val="20"/>
                <w:lang w:val="en-US"/>
              </w:rPr>
              <w:t xml:space="preserve">One 10 ml ampoule of 10% calcium gluconate diluted in 100 ml of </w:t>
            </w:r>
            <w:r w:rsidR="009B1269" w:rsidRPr="00DE0C72">
              <w:rPr>
                <w:sz w:val="20"/>
                <w:szCs w:val="20"/>
                <w:lang w:val="en-US"/>
              </w:rPr>
              <w:t>normal saline 0,9</w:t>
            </w:r>
            <w:r w:rsidRPr="00DE0C72">
              <w:rPr>
                <w:sz w:val="20"/>
                <w:szCs w:val="20"/>
                <w:lang w:val="en-US"/>
              </w:rPr>
              <w:t xml:space="preserve">% and infused slowly over 10 minutes. </w:t>
            </w:r>
            <w:r w:rsidR="00C12F24" w:rsidRPr="00DE0C72">
              <w:rPr>
                <w:sz w:val="20"/>
                <w:szCs w:val="20"/>
                <w:shd w:val="clear" w:color="auto" w:fill="FFFFFF"/>
                <w:lang w:val="en-US"/>
              </w:rPr>
              <w:t xml:space="preserve"> </w:t>
            </w:r>
            <w:r w:rsidRPr="00DE0C72">
              <w:rPr>
                <w:sz w:val="20"/>
                <w:szCs w:val="20"/>
                <w:shd w:val="clear" w:color="auto" w:fill="FFFFFF"/>
                <w:lang w:val="en-US"/>
              </w:rPr>
              <w:t xml:space="preserve">Can be repeated </w:t>
            </w:r>
            <w:r w:rsidRPr="00681907">
              <w:rPr>
                <w:rFonts w:asciiTheme="minorHAnsi" w:eastAsia="ITCFranklinGothicStd-Book" w:hAnsiTheme="minorHAnsi" w:cs="ITCFranklinGothicStd-Book"/>
                <w:sz w:val="20"/>
                <w:szCs w:val="20"/>
                <w:lang w:val="en-US"/>
              </w:rPr>
              <w:t xml:space="preserve">if required. </w:t>
            </w:r>
            <w:r w:rsidRPr="00DE0C72">
              <w:rPr>
                <w:sz w:val="20"/>
                <w:szCs w:val="20"/>
                <w:lang w:val="en-US"/>
              </w:rPr>
              <w:t xml:space="preserve">Oral calcium supplements should be given concurrently. </w:t>
            </w:r>
          </w:p>
        </w:tc>
        <w:tc>
          <w:tcPr>
            <w:tcW w:w="1667" w:type="pct"/>
            <w:tcBorders>
              <w:right w:val="single" w:sz="8" w:space="0" w:color="000000"/>
            </w:tcBorders>
            <w:tcMar>
              <w:top w:w="100" w:type="dxa"/>
              <w:left w:w="100" w:type="dxa"/>
              <w:bottom w:w="100" w:type="dxa"/>
              <w:right w:w="100" w:type="dxa"/>
            </w:tcMar>
          </w:tcPr>
          <w:p w14:paraId="2350709D" w14:textId="77777777" w:rsidR="00F83DD1" w:rsidRPr="00681907" w:rsidRDefault="00F83DD1">
            <w:pPr>
              <w:pStyle w:val="Normal1"/>
              <w:keepNext/>
              <w:keepLines/>
              <w:widowControl/>
              <w:jc w:val="both"/>
              <w:rPr>
                <w:rFonts w:asciiTheme="minorHAnsi" w:hAnsiTheme="minorHAnsi"/>
                <w:szCs w:val="20"/>
              </w:rPr>
            </w:pPr>
            <w:r w:rsidRPr="00681907">
              <w:rPr>
                <w:rFonts w:asciiTheme="minorHAnsi" w:hAnsiTheme="minorHAnsi"/>
                <w:szCs w:val="20"/>
              </w:rPr>
              <w:t>Daily</w:t>
            </w:r>
          </w:p>
          <w:p w14:paraId="1E502248" w14:textId="77777777" w:rsidR="005D5259" w:rsidRPr="00681907" w:rsidRDefault="005D5259">
            <w:pPr>
              <w:pStyle w:val="Normal1"/>
              <w:keepNext/>
              <w:keepLines/>
              <w:widowControl/>
              <w:jc w:val="both"/>
              <w:rPr>
                <w:rFonts w:asciiTheme="minorHAnsi" w:hAnsiTheme="minorHAnsi"/>
                <w:szCs w:val="20"/>
              </w:rPr>
            </w:pPr>
          </w:p>
        </w:tc>
      </w:tr>
    </w:tbl>
    <w:p w14:paraId="27A1B13D" w14:textId="77777777" w:rsidR="009E4951" w:rsidRDefault="009E4951" w:rsidP="00F1254D">
      <w:pPr>
        <w:keepNext/>
        <w:keepLines/>
        <w:autoSpaceDE w:val="0"/>
        <w:autoSpaceDN w:val="0"/>
        <w:adjustRightInd w:val="0"/>
        <w:spacing w:after="0" w:line="240" w:lineRule="auto"/>
        <w:jc w:val="both"/>
        <w:rPr>
          <w:rFonts w:asciiTheme="minorHAnsi" w:eastAsia="ITCFranklinGothicStd-Book" w:hAnsiTheme="minorHAnsi" w:cs="ITCFranklinGothicStd-Book"/>
          <w:i/>
          <w:iCs/>
          <w:sz w:val="20"/>
          <w:szCs w:val="20"/>
          <w:lang w:val="en-US"/>
        </w:rPr>
      </w:pPr>
    </w:p>
    <w:p w14:paraId="7381E228" w14:textId="5FED2497" w:rsidR="00F644B7" w:rsidRPr="00F22D35" w:rsidRDefault="00480B7F" w:rsidP="00F1254D">
      <w:pPr>
        <w:keepNext/>
        <w:keepLines/>
        <w:autoSpaceDE w:val="0"/>
        <w:autoSpaceDN w:val="0"/>
        <w:adjustRightInd w:val="0"/>
        <w:spacing w:after="0" w:line="240" w:lineRule="auto"/>
        <w:jc w:val="both"/>
        <w:rPr>
          <w:rFonts w:asciiTheme="minorHAnsi" w:eastAsia="ITCFranklinGothicStd-Book" w:hAnsiTheme="minorHAnsi" w:cs="ITCFranklinGothicStd-Book"/>
          <w:i/>
          <w:iCs/>
          <w:sz w:val="20"/>
          <w:szCs w:val="20"/>
          <w:lang w:val="en-US"/>
        </w:rPr>
      </w:pPr>
      <w:r w:rsidRPr="00F22D35">
        <w:rPr>
          <w:rFonts w:asciiTheme="minorHAnsi" w:eastAsia="ITCFranklinGothicStd-Book" w:hAnsiTheme="minorHAnsi" w:cs="ITCFranklinGothicStd-Book"/>
          <w:i/>
          <w:iCs/>
          <w:sz w:val="20"/>
          <w:szCs w:val="20"/>
          <w:lang w:val="en-US"/>
        </w:rPr>
        <w:t>Note:</w:t>
      </w:r>
    </w:p>
    <w:p w14:paraId="42C28DED" w14:textId="6FC00341" w:rsidR="00480B7F" w:rsidRPr="009701EE" w:rsidRDefault="00E212C4">
      <w:pPr>
        <w:keepNext/>
        <w:keepLines/>
        <w:autoSpaceDE w:val="0"/>
        <w:autoSpaceDN w:val="0"/>
        <w:adjustRightInd w:val="0"/>
        <w:spacing w:after="0" w:line="240" w:lineRule="auto"/>
        <w:ind w:left="720" w:hanging="720"/>
        <w:rPr>
          <w:rFonts w:asciiTheme="minorHAnsi" w:eastAsia="ITCFranklinGothicStd-Book" w:hAnsiTheme="minorHAnsi" w:cs="ITCFranklinGothicStd-Book"/>
          <w:b/>
          <w:sz w:val="20"/>
          <w:szCs w:val="20"/>
          <w:lang w:val="en-US"/>
        </w:rPr>
      </w:pPr>
      <w:r>
        <w:rPr>
          <w:rFonts w:asciiTheme="minorHAnsi" w:eastAsia="ITCFranklinGothicStd-Book" w:hAnsiTheme="minorHAnsi" w:cs="ITCFranklinGothicStd-Book"/>
          <w:sz w:val="20"/>
          <w:szCs w:val="20"/>
          <w:lang w:val="en-US"/>
        </w:rPr>
        <w:t xml:space="preserve">1. </w:t>
      </w:r>
      <w:r w:rsidR="00A9134C">
        <w:rPr>
          <w:rFonts w:asciiTheme="minorHAnsi" w:eastAsia="ITCFranklinGothicStd-Book" w:hAnsiTheme="minorHAnsi" w:cs="ITCFranklinGothicStd-Book"/>
          <w:sz w:val="20"/>
          <w:szCs w:val="20"/>
          <w:lang w:val="en-US"/>
        </w:rPr>
        <w:t>If albumin dosing has been performed,</w:t>
      </w:r>
      <w:r w:rsidR="00480B7F" w:rsidRPr="00681907">
        <w:rPr>
          <w:rFonts w:asciiTheme="minorHAnsi" w:eastAsia="ITCFranklinGothicStd-Book" w:hAnsiTheme="minorHAnsi" w:cs="ITCFranklinGothicStd-Book"/>
          <w:sz w:val="20"/>
          <w:szCs w:val="20"/>
          <w:lang w:val="en-US"/>
        </w:rPr>
        <w:t xml:space="preserve"> </w:t>
      </w:r>
      <w:r w:rsidR="00A9134C">
        <w:rPr>
          <w:rFonts w:asciiTheme="minorHAnsi" w:eastAsia="ITCFranklinGothicStd-Book" w:hAnsiTheme="minorHAnsi" w:cs="ITCFranklinGothicStd-Book"/>
          <w:sz w:val="20"/>
          <w:szCs w:val="20"/>
          <w:lang w:val="en-US"/>
        </w:rPr>
        <w:t xml:space="preserve">this formula can be used to </w:t>
      </w:r>
      <w:r w:rsidR="00A773DF">
        <w:rPr>
          <w:rFonts w:asciiTheme="minorHAnsi" w:eastAsia="ITCFranklinGothicStd-Book" w:hAnsiTheme="minorHAnsi" w:cs="ITCFranklinGothicStd-Book"/>
          <w:sz w:val="20"/>
          <w:szCs w:val="20"/>
          <w:lang w:val="en-US"/>
        </w:rPr>
        <w:t>correct</w:t>
      </w:r>
      <w:r w:rsidR="00A9134C">
        <w:rPr>
          <w:rFonts w:asciiTheme="minorHAnsi" w:eastAsia="ITCFranklinGothicStd-Book" w:hAnsiTheme="minorHAnsi" w:cs="ITCFranklinGothicStd-Book"/>
          <w:sz w:val="20"/>
          <w:szCs w:val="20"/>
          <w:lang w:val="en-US"/>
        </w:rPr>
        <w:t xml:space="preserve"> total</w:t>
      </w:r>
      <w:r w:rsidR="00652B64">
        <w:rPr>
          <w:rFonts w:asciiTheme="minorHAnsi" w:eastAsia="ITCFranklinGothicStd-Book" w:hAnsiTheme="minorHAnsi" w:cs="ITCFranklinGothicStd-Book"/>
          <w:sz w:val="20"/>
          <w:szCs w:val="20"/>
          <w:lang w:val="en-US"/>
        </w:rPr>
        <w:t xml:space="preserve"> </w:t>
      </w:r>
      <w:r w:rsidR="00427E2A" w:rsidRPr="00681907">
        <w:rPr>
          <w:rFonts w:asciiTheme="minorHAnsi" w:eastAsia="ITCFranklinGothicStd-Book" w:hAnsiTheme="minorHAnsi" w:cs="ITCFranklinGothicStd-Book"/>
          <w:sz w:val="20"/>
          <w:szCs w:val="20"/>
          <w:lang w:val="en-US"/>
        </w:rPr>
        <w:t>values of calcium:</w:t>
      </w:r>
      <w:r w:rsidR="004921F2">
        <w:rPr>
          <w:rFonts w:asciiTheme="minorHAnsi" w:eastAsia="ITCFranklinGothicStd-Book" w:hAnsiTheme="minorHAnsi" w:cs="ITCFranklinGothicStd-Book"/>
          <w:sz w:val="20"/>
          <w:szCs w:val="20"/>
          <w:lang w:val="en-US"/>
        </w:rPr>
        <w:br/>
      </w:r>
      <w:r w:rsidR="00480B7F" w:rsidRPr="009701EE">
        <w:rPr>
          <w:rFonts w:asciiTheme="minorHAnsi" w:eastAsia="ITCFranklinGothicStd-Book" w:hAnsiTheme="minorHAnsi" w:cs="ITCFranklinGothicStd-Book"/>
          <w:b/>
          <w:sz w:val="20"/>
          <w:szCs w:val="20"/>
          <w:lang w:val="en-US"/>
        </w:rPr>
        <w:t xml:space="preserve">Corrected </w:t>
      </w:r>
      <w:r w:rsidR="00C12949" w:rsidRPr="009701EE">
        <w:rPr>
          <w:rFonts w:asciiTheme="minorHAnsi" w:eastAsia="ITCFranklinGothicStd-Book" w:hAnsiTheme="minorHAnsi" w:cs="ITCFranklinGothicStd-Book"/>
          <w:b/>
          <w:sz w:val="20"/>
          <w:szCs w:val="20"/>
          <w:lang w:val="en-US"/>
        </w:rPr>
        <w:t xml:space="preserve">total </w:t>
      </w:r>
      <w:r w:rsidR="00480B7F" w:rsidRPr="009701EE">
        <w:rPr>
          <w:rFonts w:asciiTheme="minorHAnsi" w:eastAsia="ITCFranklinGothicStd-Book" w:hAnsiTheme="minorHAnsi" w:cs="ITCFranklinGothicStd-Book"/>
          <w:b/>
          <w:sz w:val="20"/>
          <w:szCs w:val="20"/>
          <w:lang w:val="en-US"/>
        </w:rPr>
        <w:t xml:space="preserve">calcium = 0.8 x (4.0 – measured albumin) + </w:t>
      </w:r>
      <w:r w:rsidR="00C12949" w:rsidRPr="009701EE">
        <w:rPr>
          <w:rFonts w:asciiTheme="minorHAnsi" w:eastAsia="ITCFranklinGothicStd-Book" w:hAnsiTheme="minorHAnsi" w:cs="ITCFranklinGothicStd-Book"/>
          <w:b/>
          <w:sz w:val="20"/>
          <w:szCs w:val="20"/>
          <w:lang w:val="en-US"/>
        </w:rPr>
        <w:t xml:space="preserve">uncorrected </w:t>
      </w:r>
      <w:r w:rsidR="00261D6A" w:rsidRPr="009701EE">
        <w:rPr>
          <w:rFonts w:asciiTheme="minorHAnsi" w:eastAsia="ITCFranklinGothicStd-Book" w:hAnsiTheme="minorHAnsi" w:cs="ITCFranklinGothicStd-Book"/>
          <w:b/>
          <w:sz w:val="20"/>
          <w:szCs w:val="20"/>
          <w:lang w:val="en-US"/>
        </w:rPr>
        <w:t xml:space="preserve">total </w:t>
      </w:r>
      <w:r w:rsidR="00926747" w:rsidRPr="009701EE">
        <w:rPr>
          <w:rFonts w:asciiTheme="minorHAnsi" w:eastAsia="ITCFranklinGothicStd-Book" w:hAnsiTheme="minorHAnsi" w:cs="ITCFranklinGothicStd-Book"/>
          <w:b/>
          <w:sz w:val="20"/>
          <w:szCs w:val="20"/>
          <w:lang w:val="en-US"/>
        </w:rPr>
        <w:t>calcium</w:t>
      </w:r>
    </w:p>
    <w:p w14:paraId="36AF77E7" w14:textId="6E6159A0" w:rsidR="00F644B7" w:rsidRPr="00681907" w:rsidRDefault="00E212C4">
      <w:pPr>
        <w:keepNext/>
        <w:keepLines/>
        <w:autoSpaceDE w:val="0"/>
        <w:autoSpaceDN w:val="0"/>
        <w:adjustRightInd w:val="0"/>
        <w:spacing w:after="0" w:line="240" w:lineRule="auto"/>
        <w:jc w:val="both"/>
        <w:rPr>
          <w:rFonts w:asciiTheme="minorHAnsi" w:eastAsia="ITCFranklinGothicStd-Book" w:hAnsiTheme="minorHAnsi" w:cs="ITCFranklinGothicStd-Book"/>
          <w:sz w:val="20"/>
          <w:szCs w:val="20"/>
          <w:lang w:val="en-US"/>
        </w:rPr>
      </w:pPr>
      <w:r>
        <w:rPr>
          <w:rFonts w:asciiTheme="minorHAnsi" w:eastAsia="ITCFranklinGothicStd-Book" w:hAnsiTheme="minorHAnsi" w:cs="ITCFranklinGothicStd-Book"/>
          <w:sz w:val="20"/>
          <w:szCs w:val="20"/>
          <w:lang w:val="en-US"/>
        </w:rPr>
        <w:t xml:space="preserve">2. </w:t>
      </w:r>
      <w:r w:rsidR="00F644B7" w:rsidRPr="00681907">
        <w:rPr>
          <w:rFonts w:asciiTheme="minorHAnsi" w:eastAsia="ITCFranklinGothicStd-Book" w:hAnsiTheme="minorHAnsi" w:cs="ITCFranklinGothicStd-Book"/>
          <w:sz w:val="20"/>
          <w:szCs w:val="20"/>
          <w:lang w:val="en-US"/>
        </w:rPr>
        <w:t>The half-life of albumin in serum is approximately 20 days. In the setting of hypocalcemia,</w:t>
      </w:r>
      <w:r w:rsidR="00806B42">
        <w:rPr>
          <w:rFonts w:asciiTheme="minorHAnsi" w:eastAsia="ITCFranklinGothicStd-Book" w:hAnsiTheme="minorHAnsi" w:cs="ITCFranklinGothicStd-Book"/>
          <w:sz w:val="20"/>
          <w:szCs w:val="20"/>
          <w:lang w:val="en-US"/>
        </w:rPr>
        <w:t xml:space="preserve"> it is preferable to</w:t>
      </w:r>
      <w:r w:rsidR="00F644B7" w:rsidRPr="00681907">
        <w:rPr>
          <w:rFonts w:asciiTheme="minorHAnsi" w:eastAsia="ITCFranklinGothicStd-Book" w:hAnsiTheme="minorHAnsi" w:cs="ITCFranklinGothicStd-Book"/>
          <w:sz w:val="20"/>
          <w:szCs w:val="20"/>
          <w:lang w:val="en-US"/>
        </w:rPr>
        <w:t xml:space="preserve"> recheck serum albumin</w:t>
      </w:r>
      <w:r w:rsidR="00261D6A">
        <w:rPr>
          <w:rFonts w:asciiTheme="minorHAnsi" w:eastAsia="ITCFranklinGothicStd-Book" w:hAnsiTheme="minorHAnsi" w:cs="ITCFranklinGothicStd-Book"/>
          <w:sz w:val="20"/>
          <w:szCs w:val="20"/>
          <w:lang w:val="en-US"/>
        </w:rPr>
        <w:t xml:space="preserve"> </w:t>
      </w:r>
      <w:r w:rsidR="00806B42">
        <w:rPr>
          <w:rFonts w:asciiTheme="minorHAnsi" w:eastAsia="ITCFranklinGothicStd-Book" w:hAnsiTheme="minorHAnsi" w:cs="ITCFranklinGothicStd-Book"/>
          <w:sz w:val="20"/>
          <w:szCs w:val="20"/>
          <w:lang w:val="en-US"/>
        </w:rPr>
        <w:t>(</w:t>
      </w:r>
      <w:r w:rsidR="00261D6A">
        <w:rPr>
          <w:rFonts w:asciiTheme="minorHAnsi" w:eastAsia="ITCFranklinGothicStd-Book" w:hAnsiTheme="minorHAnsi" w:cs="ITCFranklinGothicStd-Book"/>
          <w:sz w:val="20"/>
          <w:szCs w:val="20"/>
          <w:lang w:val="en-US"/>
        </w:rPr>
        <w:t>if possible</w:t>
      </w:r>
      <w:r w:rsidR="00806B42">
        <w:rPr>
          <w:rFonts w:asciiTheme="minorHAnsi" w:eastAsia="ITCFranklinGothicStd-Book" w:hAnsiTheme="minorHAnsi" w:cs="ITCFranklinGothicStd-Book"/>
          <w:sz w:val="20"/>
          <w:szCs w:val="20"/>
          <w:lang w:val="en-US"/>
        </w:rPr>
        <w:t>)</w:t>
      </w:r>
      <w:r w:rsidR="00F644B7" w:rsidRPr="00681907">
        <w:rPr>
          <w:rFonts w:asciiTheme="minorHAnsi" w:eastAsia="ITCFranklinGothicStd-Book" w:hAnsiTheme="minorHAnsi" w:cs="ITCFranklinGothicStd-Book"/>
          <w:sz w:val="20"/>
          <w:szCs w:val="20"/>
          <w:lang w:val="en-US"/>
        </w:rPr>
        <w:t xml:space="preserve"> to </w:t>
      </w:r>
      <w:r w:rsidR="00E74CAA" w:rsidRPr="00681907">
        <w:rPr>
          <w:rFonts w:asciiTheme="minorHAnsi" w:eastAsia="ITCFranklinGothicStd-Book" w:hAnsiTheme="minorHAnsi" w:cs="ITCFranklinGothicStd-Book"/>
          <w:sz w:val="20"/>
          <w:szCs w:val="20"/>
          <w:lang w:val="en-US"/>
        </w:rPr>
        <w:t xml:space="preserve">correct the value of </w:t>
      </w:r>
      <w:r w:rsidR="00A16CE4">
        <w:rPr>
          <w:rFonts w:asciiTheme="minorHAnsi" w:eastAsia="ITCFranklinGothicStd-Book" w:hAnsiTheme="minorHAnsi" w:cs="ITCFranklinGothicStd-Book"/>
          <w:sz w:val="20"/>
          <w:szCs w:val="20"/>
          <w:lang w:val="en-US"/>
        </w:rPr>
        <w:t xml:space="preserve">total </w:t>
      </w:r>
      <w:r w:rsidR="00E74CAA" w:rsidRPr="00681907">
        <w:rPr>
          <w:rFonts w:asciiTheme="minorHAnsi" w:eastAsia="ITCFranklinGothicStd-Book" w:hAnsiTheme="minorHAnsi" w:cs="ITCFranklinGothicStd-Book"/>
          <w:sz w:val="20"/>
          <w:szCs w:val="20"/>
          <w:lang w:val="en-US"/>
        </w:rPr>
        <w:t>calcium</w:t>
      </w:r>
      <w:r w:rsidR="00F644B7" w:rsidRPr="00681907">
        <w:rPr>
          <w:rFonts w:asciiTheme="minorHAnsi" w:eastAsia="ITCFranklinGothicStd-Book" w:hAnsiTheme="minorHAnsi" w:cs="ITCFranklinGothicStd-Book"/>
          <w:sz w:val="20"/>
          <w:szCs w:val="20"/>
          <w:lang w:val="en-US"/>
        </w:rPr>
        <w:t xml:space="preserve"> </w:t>
      </w:r>
      <w:r w:rsidR="00D01A24">
        <w:rPr>
          <w:rFonts w:asciiTheme="minorHAnsi" w:eastAsia="ITCFranklinGothicStd-Book" w:hAnsiTheme="minorHAnsi" w:cs="ITCFranklinGothicStd-Book"/>
          <w:sz w:val="20"/>
          <w:szCs w:val="20"/>
          <w:lang w:val="en-US"/>
        </w:rPr>
        <w:t>using</w:t>
      </w:r>
      <w:r w:rsidR="00F644B7" w:rsidRPr="00681907">
        <w:rPr>
          <w:rFonts w:asciiTheme="minorHAnsi" w:eastAsia="ITCFranklinGothicStd-Book" w:hAnsiTheme="minorHAnsi" w:cs="ITCFranklinGothicStd-Book"/>
          <w:sz w:val="20"/>
          <w:szCs w:val="20"/>
          <w:lang w:val="en-US"/>
        </w:rPr>
        <w:t xml:space="preserve"> the formula above if </w:t>
      </w:r>
      <w:r w:rsidR="00E74CAA" w:rsidRPr="00681907">
        <w:rPr>
          <w:rFonts w:asciiTheme="minorHAnsi" w:eastAsia="ITCFranklinGothicStd-Book" w:hAnsiTheme="minorHAnsi" w:cs="ITCFranklinGothicStd-Book"/>
          <w:sz w:val="20"/>
          <w:szCs w:val="20"/>
          <w:lang w:val="en-US"/>
        </w:rPr>
        <w:t xml:space="preserve">the </w:t>
      </w:r>
      <w:r w:rsidR="00E33CF3" w:rsidRPr="00681907">
        <w:rPr>
          <w:rFonts w:asciiTheme="minorHAnsi" w:eastAsia="ITCFranklinGothicStd-Book" w:hAnsiTheme="minorHAnsi" w:cs="ITCFranklinGothicStd-Book"/>
          <w:sz w:val="20"/>
          <w:szCs w:val="20"/>
          <w:lang w:val="en-US"/>
        </w:rPr>
        <w:t xml:space="preserve">serum </w:t>
      </w:r>
      <w:r w:rsidR="00E74CAA" w:rsidRPr="00681907">
        <w:rPr>
          <w:rFonts w:asciiTheme="minorHAnsi" w:eastAsia="ITCFranklinGothicStd-Book" w:hAnsiTheme="minorHAnsi" w:cs="ITCFranklinGothicStd-Book"/>
          <w:sz w:val="20"/>
          <w:szCs w:val="20"/>
          <w:lang w:val="en-US"/>
        </w:rPr>
        <w:t>albumin</w:t>
      </w:r>
      <w:r w:rsidR="00F644B7" w:rsidRPr="00681907">
        <w:rPr>
          <w:rFonts w:asciiTheme="minorHAnsi" w:eastAsia="ITCFranklinGothicStd-Book" w:hAnsiTheme="minorHAnsi" w:cs="ITCFranklinGothicStd-Book"/>
          <w:sz w:val="20"/>
          <w:szCs w:val="20"/>
          <w:lang w:val="en-US"/>
        </w:rPr>
        <w:t xml:space="preserve"> has not been checked in the previous 3-4 weeks.</w:t>
      </w:r>
    </w:p>
    <w:p w14:paraId="31CF0B3C" w14:textId="5AE4B828" w:rsidR="00480B7F" w:rsidRPr="002568A1" w:rsidRDefault="00E212C4">
      <w:pPr>
        <w:keepNext/>
        <w:keepLines/>
        <w:autoSpaceDE w:val="0"/>
        <w:autoSpaceDN w:val="0"/>
        <w:adjustRightInd w:val="0"/>
        <w:spacing w:after="0" w:line="240" w:lineRule="auto"/>
        <w:rPr>
          <w:rFonts w:cs="Arial"/>
          <w:sz w:val="20"/>
          <w:szCs w:val="20"/>
          <w:lang w:val="en-US"/>
        </w:rPr>
      </w:pPr>
      <w:r>
        <w:rPr>
          <w:rFonts w:asciiTheme="minorHAnsi" w:eastAsia="ITCFranklinGothicStd-Book" w:hAnsiTheme="minorHAnsi" w:cs="ITCFranklinGothicStd-Book"/>
          <w:sz w:val="20"/>
          <w:szCs w:val="20"/>
          <w:lang w:val="en-US"/>
        </w:rPr>
        <w:t xml:space="preserve">3. </w:t>
      </w:r>
      <w:r w:rsidR="00480B7F" w:rsidRPr="00681907">
        <w:rPr>
          <w:rFonts w:asciiTheme="minorHAnsi" w:eastAsia="ITCFranklinGothicStd-Book" w:hAnsiTheme="minorHAnsi" w:cs="ITCFranklinGothicStd-Book"/>
          <w:sz w:val="20"/>
          <w:szCs w:val="20"/>
          <w:lang w:val="en-US"/>
        </w:rPr>
        <w:t xml:space="preserve">If ionized calcium is being tested, it does not need to be </w:t>
      </w:r>
      <w:r w:rsidR="00A773DF">
        <w:rPr>
          <w:rFonts w:asciiTheme="minorHAnsi" w:eastAsia="ITCFranklinGothicStd-Book" w:hAnsiTheme="minorHAnsi" w:cs="ITCFranklinGothicStd-Book"/>
          <w:sz w:val="20"/>
          <w:szCs w:val="20"/>
          <w:lang w:val="en-US"/>
        </w:rPr>
        <w:t>corrected</w:t>
      </w:r>
      <w:r w:rsidR="00A773DF" w:rsidRPr="00681907">
        <w:rPr>
          <w:rFonts w:asciiTheme="minorHAnsi" w:eastAsia="ITCFranklinGothicStd-Book" w:hAnsiTheme="minorHAnsi" w:cs="ITCFranklinGothicStd-Book"/>
          <w:sz w:val="20"/>
          <w:szCs w:val="20"/>
          <w:lang w:val="en-US"/>
        </w:rPr>
        <w:t xml:space="preserve"> </w:t>
      </w:r>
      <w:r w:rsidR="00480B7F" w:rsidRPr="00681907">
        <w:rPr>
          <w:rFonts w:asciiTheme="minorHAnsi" w:eastAsia="ITCFranklinGothicStd-Book" w:hAnsiTheme="minorHAnsi" w:cs="ITCFranklinGothicStd-Book"/>
          <w:sz w:val="20"/>
          <w:szCs w:val="20"/>
          <w:lang w:val="en-US"/>
        </w:rPr>
        <w:t xml:space="preserve">for low albumin and </w:t>
      </w:r>
      <w:r w:rsidR="00C12949">
        <w:rPr>
          <w:rFonts w:asciiTheme="minorHAnsi" w:eastAsia="ITCFranklinGothicStd-Book" w:hAnsiTheme="minorHAnsi" w:cs="ITCFranklinGothicStd-Book"/>
          <w:sz w:val="20"/>
          <w:szCs w:val="20"/>
          <w:lang w:val="en-US"/>
        </w:rPr>
        <w:t xml:space="preserve">its </w:t>
      </w:r>
      <w:r w:rsidR="00480B7F" w:rsidRPr="00681907">
        <w:rPr>
          <w:rFonts w:asciiTheme="minorHAnsi" w:eastAsia="ITCFranklinGothicStd-Book" w:hAnsiTheme="minorHAnsi" w:cs="ITCFranklinGothicStd-Book"/>
          <w:sz w:val="20"/>
          <w:szCs w:val="20"/>
          <w:lang w:val="en-US"/>
        </w:rPr>
        <w:t>normal</w:t>
      </w:r>
      <w:r w:rsidR="00D01A24">
        <w:rPr>
          <w:rFonts w:asciiTheme="minorHAnsi" w:eastAsia="ITCFranklinGothicStd-Book" w:hAnsiTheme="minorHAnsi" w:cs="ITCFranklinGothicStd-Book"/>
          <w:sz w:val="20"/>
          <w:szCs w:val="20"/>
          <w:lang w:val="en-US"/>
        </w:rPr>
        <w:t xml:space="preserve"> </w:t>
      </w:r>
      <w:r w:rsidR="00480B7F" w:rsidRPr="002568A1">
        <w:rPr>
          <w:sz w:val="20"/>
          <w:szCs w:val="20"/>
          <w:lang w:val="en-US"/>
        </w:rPr>
        <w:t>value is 1.11–1.30 mmol/</w:t>
      </w:r>
      <w:r w:rsidR="00926747" w:rsidRPr="002568A1">
        <w:rPr>
          <w:sz w:val="20"/>
          <w:szCs w:val="20"/>
          <w:lang w:val="en-US"/>
        </w:rPr>
        <w:t>L</w:t>
      </w:r>
      <w:r w:rsidR="00480B7F" w:rsidRPr="002568A1">
        <w:rPr>
          <w:sz w:val="20"/>
          <w:szCs w:val="20"/>
          <w:lang w:val="en-US"/>
        </w:rPr>
        <w:t>.</w:t>
      </w:r>
    </w:p>
    <w:p w14:paraId="47983C68" w14:textId="77777777" w:rsidR="00423914" w:rsidRPr="00681907" w:rsidRDefault="00423914">
      <w:pPr>
        <w:pStyle w:val="NormalWeb"/>
        <w:keepNext/>
        <w:keepLines/>
        <w:shd w:val="clear" w:color="auto" w:fill="FFFFFF"/>
        <w:spacing w:before="0" w:beforeAutospacing="0" w:after="120" w:afterAutospacing="0"/>
        <w:jc w:val="both"/>
        <w:rPr>
          <w:rFonts w:ascii="Arial" w:hAnsi="Arial" w:cs="Arial"/>
          <w:b/>
          <w:color w:val="FF0000"/>
          <w:sz w:val="19"/>
          <w:szCs w:val="19"/>
        </w:rPr>
      </w:pPr>
    </w:p>
    <w:p w14:paraId="340A0B1E" w14:textId="6F7232EE" w:rsidR="00CE137D" w:rsidRPr="00681907" w:rsidRDefault="00CE137D" w:rsidP="00462589">
      <w:pPr>
        <w:pStyle w:val="Heading4"/>
        <w:spacing w:before="0" w:after="120" w:line="240" w:lineRule="auto"/>
        <w:jc w:val="both"/>
        <w:rPr>
          <w:bCs/>
          <w:iCs/>
          <w:lang w:val="en-US"/>
        </w:rPr>
      </w:pPr>
      <w:r w:rsidRPr="00681907">
        <w:rPr>
          <w:lang w:val="en-US"/>
        </w:rPr>
        <w:t xml:space="preserve"> Management of </w:t>
      </w:r>
      <w:r w:rsidR="00F50320" w:rsidRPr="00681907">
        <w:rPr>
          <w:bCs/>
          <w:iCs/>
          <w:lang w:val="en-US"/>
        </w:rPr>
        <w:t>hypothyroidism</w:t>
      </w:r>
    </w:p>
    <w:p w14:paraId="42FC5880" w14:textId="0889828F" w:rsidR="00A258DA" w:rsidRPr="00DE0C72" w:rsidRDefault="00A258DA" w:rsidP="00462589">
      <w:pPr>
        <w:keepNext/>
        <w:keepLines/>
        <w:spacing w:line="240" w:lineRule="auto"/>
        <w:jc w:val="both"/>
        <w:rPr>
          <w:b/>
          <w:lang w:val="en-US"/>
        </w:rPr>
      </w:pPr>
      <w:r w:rsidRPr="00681907">
        <w:rPr>
          <w:b/>
          <w:i/>
          <w:lang w:val="en-US"/>
        </w:rPr>
        <w:t>Suspected anti-TB drugs:</w:t>
      </w:r>
      <w:r w:rsidRPr="00DE0C72">
        <w:rPr>
          <w:b/>
          <w:lang w:val="en-US"/>
        </w:rPr>
        <w:t xml:space="preserve"> </w:t>
      </w:r>
      <w:r w:rsidR="00225DB0" w:rsidRPr="00DE0C72">
        <w:rPr>
          <w:b/>
          <w:lang w:val="en-US"/>
        </w:rPr>
        <w:t>Eto/Pto, PAS</w:t>
      </w:r>
    </w:p>
    <w:p w14:paraId="00593AD2" w14:textId="6CF24FDB" w:rsidR="00CE137D" w:rsidRPr="00681907" w:rsidRDefault="00E177DC" w:rsidP="00462589">
      <w:pPr>
        <w:keepNext/>
        <w:keepLines/>
        <w:spacing w:line="240" w:lineRule="auto"/>
        <w:jc w:val="both"/>
        <w:rPr>
          <w:lang w:val="en-US"/>
        </w:rPr>
      </w:pPr>
      <w:r>
        <w:rPr>
          <w:b/>
          <w:i/>
          <w:lang w:val="en-US"/>
        </w:rPr>
        <w:t>Site</w:t>
      </w:r>
      <w:r w:rsidR="00ED12D6">
        <w:rPr>
          <w:b/>
          <w:i/>
          <w:lang w:val="en-US"/>
        </w:rPr>
        <w:t xml:space="preserve"> </w:t>
      </w:r>
      <w:r>
        <w:rPr>
          <w:b/>
          <w:i/>
          <w:lang w:val="en-US"/>
        </w:rPr>
        <w:t xml:space="preserve">PI or </w:t>
      </w:r>
      <w:r w:rsidR="00A258DA" w:rsidRPr="00681907">
        <w:rPr>
          <w:b/>
          <w:i/>
          <w:lang w:val="en-US"/>
        </w:rPr>
        <w:t>Site</w:t>
      </w:r>
      <w:r w:rsidR="00ED12D6">
        <w:rPr>
          <w:b/>
          <w:i/>
          <w:lang w:val="en-US"/>
        </w:rPr>
        <w:t xml:space="preserve"> </w:t>
      </w:r>
      <w:r w:rsidR="00A258DA" w:rsidRPr="00681907">
        <w:rPr>
          <w:b/>
          <w:i/>
          <w:lang w:val="en-US"/>
        </w:rPr>
        <w:t>C</w:t>
      </w:r>
      <w:r w:rsidR="00F65EA5" w:rsidRPr="00681907">
        <w:rPr>
          <w:b/>
          <w:i/>
          <w:lang w:val="en-US"/>
        </w:rPr>
        <w:t>I</w:t>
      </w:r>
      <w:r w:rsidR="00CE137D" w:rsidRPr="00681907">
        <w:rPr>
          <w:lang w:val="en-US"/>
        </w:rPr>
        <w:t xml:space="preserve"> manage</w:t>
      </w:r>
      <w:r w:rsidR="00A258DA" w:rsidRPr="00681907">
        <w:rPr>
          <w:lang w:val="en-US"/>
        </w:rPr>
        <w:t>s</w:t>
      </w:r>
      <w:r w:rsidR="00CE137D" w:rsidRPr="00681907">
        <w:rPr>
          <w:lang w:val="en-US"/>
        </w:rPr>
        <w:t xml:space="preserve"> this AE according to its severity:</w:t>
      </w:r>
    </w:p>
    <w:p w14:paraId="672D5CD8" w14:textId="77EA87D6" w:rsidR="00D23408" w:rsidRPr="00681907" w:rsidRDefault="00CE137D" w:rsidP="00F1254D">
      <w:pPr>
        <w:pStyle w:val="ListParagraph"/>
        <w:keepNext/>
        <w:keepLines/>
        <w:numPr>
          <w:ilvl w:val="0"/>
          <w:numId w:val="6"/>
        </w:numPr>
        <w:ind w:left="720"/>
        <w:jc w:val="both"/>
        <w:rPr>
          <w:lang w:val="en-US"/>
        </w:rPr>
      </w:pPr>
      <w:r w:rsidRPr="00681907">
        <w:rPr>
          <w:b/>
          <w:lang w:val="en-US"/>
        </w:rPr>
        <w:t xml:space="preserve">Grade 1: </w:t>
      </w:r>
      <w:r w:rsidR="00D23408" w:rsidRPr="00DE0C72">
        <w:rPr>
          <w:lang w:val="en-US"/>
        </w:rPr>
        <w:t>Continue anti-</w:t>
      </w:r>
      <w:r w:rsidR="00DC7F38" w:rsidRPr="00DE0C72">
        <w:rPr>
          <w:lang w:val="en-US"/>
        </w:rPr>
        <w:t>tuberculosis</w:t>
      </w:r>
      <w:r w:rsidR="00D23408" w:rsidRPr="00DE0C72">
        <w:rPr>
          <w:lang w:val="en-US"/>
        </w:rPr>
        <w:t xml:space="preserve"> drugs.</w:t>
      </w:r>
    </w:p>
    <w:p w14:paraId="72984F79" w14:textId="4A62F1B8" w:rsidR="00CE137D" w:rsidRPr="00681907" w:rsidRDefault="00CE137D" w:rsidP="004022C9">
      <w:pPr>
        <w:pStyle w:val="ListParagraph"/>
        <w:keepNext/>
        <w:keepLines/>
        <w:numPr>
          <w:ilvl w:val="0"/>
          <w:numId w:val="6"/>
        </w:numPr>
        <w:ind w:left="720"/>
        <w:jc w:val="both"/>
        <w:rPr>
          <w:lang w:val="en-US"/>
        </w:rPr>
      </w:pPr>
      <w:r w:rsidRPr="00681907">
        <w:rPr>
          <w:b/>
          <w:lang w:val="en-US"/>
        </w:rPr>
        <w:t>Grade 2</w:t>
      </w:r>
      <w:r w:rsidR="00094605" w:rsidRPr="00681907">
        <w:rPr>
          <w:b/>
          <w:lang w:val="en-US"/>
        </w:rPr>
        <w:t>-3</w:t>
      </w:r>
      <w:r w:rsidRPr="00681907">
        <w:rPr>
          <w:b/>
          <w:lang w:val="en-US"/>
        </w:rPr>
        <w:t xml:space="preserve">: </w:t>
      </w:r>
      <w:r w:rsidR="00D23408" w:rsidRPr="00DE0C72">
        <w:rPr>
          <w:lang w:val="en-US"/>
        </w:rPr>
        <w:t>Continue anti-</w:t>
      </w:r>
      <w:r w:rsidR="00DC7F38" w:rsidRPr="00DE0C72">
        <w:rPr>
          <w:lang w:val="en-US"/>
        </w:rPr>
        <w:t xml:space="preserve"> tuberculosis </w:t>
      </w:r>
      <w:r w:rsidR="00D23408" w:rsidRPr="00DE0C72">
        <w:rPr>
          <w:lang w:val="en-US"/>
        </w:rPr>
        <w:t>drugs. Start</w:t>
      </w:r>
      <w:r w:rsidR="00413FF4" w:rsidRPr="00DE0C72">
        <w:rPr>
          <w:lang w:val="en-US"/>
        </w:rPr>
        <w:t xml:space="preserve"> treatment with</w:t>
      </w:r>
      <w:r w:rsidR="00D23408" w:rsidRPr="00DE0C72">
        <w:rPr>
          <w:lang w:val="en-US"/>
        </w:rPr>
        <w:t xml:space="preserve"> thyroxine.</w:t>
      </w:r>
    </w:p>
    <w:p w14:paraId="42C71260" w14:textId="0C4516D1" w:rsidR="00094605" w:rsidRPr="00681907" w:rsidRDefault="00094605" w:rsidP="004022C9">
      <w:pPr>
        <w:pStyle w:val="ListParagraph"/>
        <w:keepNext/>
        <w:keepLines/>
        <w:numPr>
          <w:ilvl w:val="0"/>
          <w:numId w:val="6"/>
        </w:numPr>
        <w:ind w:left="720"/>
        <w:jc w:val="both"/>
        <w:rPr>
          <w:lang w:val="en-US"/>
        </w:rPr>
      </w:pPr>
      <w:r w:rsidRPr="00681907">
        <w:rPr>
          <w:b/>
          <w:lang w:val="en-US"/>
        </w:rPr>
        <w:t>Grade 4:</w:t>
      </w:r>
      <w:r w:rsidR="00225DB0" w:rsidRPr="00681907">
        <w:rPr>
          <w:lang w:val="en-US"/>
        </w:rPr>
        <w:t xml:space="preserve"> S</w:t>
      </w:r>
      <w:r w:rsidRPr="00681907">
        <w:rPr>
          <w:lang w:val="en-US"/>
        </w:rPr>
        <w:t xml:space="preserve">top </w:t>
      </w:r>
      <w:r w:rsidR="00A258DA" w:rsidRPr="00681907">
        <w:rPr>
          <w:lang w:val="en-US"/>
        </w:rPr>
        <w:t>all anti-TB drugs</w:t>
      </w:r>
      <w:r w:rsidRPr="00681907">
        <w:rPr>
          <w:lang w:val="en-US"/>
        </w:rPr>
        <w:t xml:space="preserve">. Start </w:t>
      </w:r>
      <w:r w:rsidRPr="00DE0C72">
        <w:rPr>
          <w:lang w:val="en-US"/>
        </w:rPr>
        <w:t>treatment with thyroxine</w:t>
      </w:r>
      <w:r w:rsidR="00A258DA" w:rsidRPr="00DE0C72">
        <w:rPr>
          <w:lang w:val="en-US"/>
        </w:rPr>
        <w:t>. Restart anti-</w:t>
      </w:r>
      <w:r w:rsidR="00060525" w:rsidRPr="00DE0C72">
        <w:rPr>
          <w:lang w:val="en-US"/>
        </w:rPr>
        <w:t>TB drugs when severity decreased</w:t>
      </w:r>
      <w:r w:rsidR="00A258DA" w:rsidRPr="00DE0C72">
        <w:rPr>
          <w:lang w:val="en-US"/>
        </w:rPr>
        <w:t xml:space="preserve"> to grade 3. </w:t>
      </w:r>
    </w:p>
    <w:p w14:paraId="0F0CF2A8" w14:textId="4C3AE755" w:rsidR="00486ACC" w:rsidRPr="00681907" w:rsidRDefault="00486ACC" w:rsidP="00462589">
      <w:pPr>
        <w:keepNext/>
        <w:keepLines/>
        <w:spacing w:line="240" w:lineRule="auto"/>
        <w:jc w:val="both"/>
        <w:rPr>
          <w:b/>
          <w:lang w:val="en-US"/>
        </w:rPr>
      </w:pPr>
      <w:r w:rsidRPr="00681907">
        <w:rPr>
          <w:b/>
          <w:lang w:val="en-US"/>
        </w:rPr>
        <w:t xml:space="preserve">In all cases of detected </w:t>
      </w:r>
      <w:r w:rsidR="00CB4FEA" w:rsidRPr="00681907">
        <w:rPr>
          <w:b/>
          <w:lang w:val="en-US"/>
        </w:rPr>
        <w:t>hypothyroidism (Grade 1-4)</w:t>
      </w:r>
      <w:r w:rsidRPr="00681907">
        <w:rPr>
          <w:b/>
          <w:lang w:val="en-US"/>
        </w:rPr>
        <w:t xml:space="preserve"> obtain an ECG as soon as possible and if normal continue ECG monitoring</w:t>
      </w:r>
      <w:r w:rsidR="00DD719C">
        <w:rPr>
          <w:b/>
          <w:lang w:val="en-US"/>
        </w:rPr>
        <w:t xml:space="preserve"> as defined in the protocol</w:t>
      </w:r>
      <w:r w:rsidRPr="00681907">
        <w:rPr>
          <w:b/>
          <w:lang w:val="en-US"/>
        </w:rPr>
        <w:t>, if abnormal obtain a cardiac consultation for guidance on management.</w:t>
      </w:r>
    </w:p>
    <w:p w14:paraId="5FAAE41D" w14:textId="7B28C4B7" w:rsidR="00413FF4" w:rsidRPr="00681907" w:rsidRDefault="00CE137D" w:rsidP="00DD719C">
      <w:pPr>
        <w:keepNext/>
        <w:keepLines/>
        <w:spacing w:after="120"/>
        <w:contextualSpacing/>
        <w:jc w:val="both"/>
        <w:rPr>
          <w:rFonts w:asciiTheme="minorHAnsi" w:hAnsiTheme="minorHAnsi"/>
          <w:lang w:val="en-US"/>
        </w:rPr>
      </w:pPr>
      <w:r w:rsidRPr="00681907">
        <w:rPr>
          <w:rFonts w:asciiTheme="minorHAnsi" w:hAnsiTheme="minorHAnsi"/>
          <w:lang w:val="en-US"/>
        </w:rPr>
        <w:t>In</w:t>
      </w:r>
      <w:r w:rsidR="00D23408" w:rsidRPr="00681907">
        <w:rPr>
          <w:rFonts w:asciiTheme="minorHAnsi" w:hAnsiTheme="minorHAnsi"/>
          <w:lang w:val="en-US"/>
        </w:rPr>
        <w:t>dependent</w:t>
      </w:r>
      <w:r w:rsidR="00C63963">
        <w:rPr>
          <w:rFonts w:asciiTheme="minorHAnsi" w:hAnsiTheme="minorHAnsi"/>
          <w:lang w:val="en-US"/>
        </w:rPr>
        <w:t xml:space="preserve"> of</w:t>
      </w:r>
      <w:r w:rsidR="00D23408" w:rsidRPr="00681907">
        <w:rPr>
          <w:rFonts w:asciiTheme="minorHAnsi" w:hAnsiTheme="minorHAnsi"/>
          <w:lang w:val="en-US"/>
        </w:rPr>
        <w:t xml:space="preserve"> the presence of cl</w:t>
      </w:r>
      <w:r w:rsidR="00413FF4" w:rsidRPr="00681907">
        <w:rPr>
          <w:rFonts w:asciiTheme="minorHAnsi" w:hAnsiTheme="minorHAnsi"/>
          <w:lang w:val="en-US"/>
        </w:rPr>
        <w:t>inical signs</w:t>
      </w:r>
      <w:r w:rsidR="00B414B1" w:rsidRPr="00681907">
        <w:rPr>
          <w:rFonts w:asciiTheme="minorHAnsi" w:hAnsiTheme="minorHAnsi"/>
          <w:lang w:val="en-US"/>
        </w:rPr>
        <w:t xml:space="preserve"> or symptoms</w:t>
      </w:r>
      <w:r w:rsidR="00413FF4" w:rsidRPr="00681907">
        <w:rPr>
          <w:rFonts w:asciiTheme="minorHAnsi" w:hAnsiTheme="minorHAnsi"/>
          <w:lang w:val="en-US"/>
        </w:rPr>
        <w:t xml:space="preserve"> of hypothyroidism, treatment with thyroxine should be considered whenever </w:t>
      </w:r>
      <w:r w:rsidR="00D67536" w:rsidRPr="00681907">
        <w:rPr>
          <w:rFonts w:asciiTheme="minorHAnsi" w:hAnsiTheme="minorHAnsi"/>
          <w:lang w:val="en-US"/>
        </w:rPr>
        <w:t xml:space="preserve">serum </w:t>
      </w:r>
      <w:r w:rsidR="00225DB0" w:rsidRPr="00681907">
        <w:rPr>
          <w:rFonts w:asciiTheme="minorHAnsi" w:hAnsiTheme="minorHAnsi"/>
          <w:lang w:val="en-US"/>
        </w:rPr>
        <w:t>level of TSH greater than 10.0 mU/L is</w:t>
      </w:r>
      <w:r w:rsidR="00413FF4" w:rsidRPr="00681907">
        <w:rPr>
          <w:rFonts w:asciiTheme="minorHAnsi" w:hAnsiTheme="minorHAnsi"/>
          <w:lang w:val="en-US"/>
        </w:rPr>
        <w:t xml:space="preserve"> recorded</w:t>
      </w:r>
      <w:r w:rsidR="00CB4FEA" w:rsidRPr="00681907">
        <w:rPr>
          <w:rFonts w:asciiTheme="minorHAnsi" w:hAnsiTheme="minorHAnsi"/>
          <w:lang w:val="en-US"/>
        </w:rPr>
        <w:t>:</w:t>
      </w:r>
    </w:p>
    <w:p w14:paraId="4B5EF10A" w14:textId="059A6EF2" w:rsidR="00A258DA" w:rsidRPr="00DE0C72" w:rsidRDefault="00A258DA" w:rsidP="00F1254D">
      <w:pPr>
        <w:pStyle w:val="ListNumber"/>
        <w:keepNext/>
        <w:keepLines/>
        <w:numPr>
          <w:ilvl w:val="0"/>
          <w:numId w:val="18"/>
        </w:numPr>
        <w:spacing w:after="120" w:line="240" w:lineRule="auto"/>
        <w:ind w:left="720"/>
        <w:jc w:val="both"/>
        <w:rPr>
          <w:rFonts w:asciiTheme="minorHAnsi" w:hAnsiTheme="minorHAnsi"/>
          <w:lang w:val="en-US"/>
        </w:rPr>
      </w:pPr>
      <w:r w:rsidRPr="00DE0C72">
        <w:rPr>
          <w:rFonts w:asciiTheme="minorHAnsi" w:hAnsiTheme="minorHAnsi"/>
          <w:lang w:val="en-US"/>
        </w:rPr>
        <w:t>Most adults will require 100 to 150 mcg of levothyroxine daily.</w:t>
      </w:r>
    </w:p>
    <w:p w14:paraId="1451E4AD" w14:textId="2194FC00" w:rsidR="00A258DA" w:rsidRPr="00681907" w:rsidRDefault="00A258DA">
      <w:pPr>
        <w:pStyle w:val="ListNumber2"/>
        <w:keepNext/>
        <w:keepLines/>
        <w:numPr>
          <w:ilvl w:val="1"/>
          <w:numId w:val="18"/>
        </w:numPr>
        <w:rPr>
          <w:rFonts w:asciiTheme="minorHAnsi" w:hAnsiTheme="minorHAnsi"/>
        </w:rPr>
      </w:pPr>
      <w:r w:rsidRPr="00681907">
        <w:rPr>
          <w:rFonts w:asciiTheme="minorHAnsi" w:hAnsiTheme="minorHAnsi"/>
        </w:rPr>
        <w:t>Young adults can be started on 75 to 100 mcg daily.</w:t>
      </w:r>
    </w:p>
    <w:p w14:paraId="24BE84BC" w14:textId="77777777" w:rsidR="00A258DA" w:rsidRPr="00681907" w:rsidRDefault="00A258DA">
      <w:pPr>
        <w:pStyle w:val="ListNumber2"/>
        <w:keepNext/>
        <w:keepLines/>
        <w:numPr>
          <w:ilvl w:val="1"/>
          <w:numId w:val="18"/>
        </w:numPr>
        <w:rPr>
          <w:rFonts w:asciiTheme="minorHAnsi" w:hAnsiTheme="minorHAnsi"/>
        </w:rPr>
      </w:pPr>
      <w:r w:rsidRPr="00681907">
        <w:rPr>
          <w:rFonts w:asciiTheme="minorHAnsi" w:hAnsiTheme="minorHAnsi"/>
        </w:rPr>
        <w:t>Older patients should begin treatment with 50 mcg daily.</w:t>
      </w:r>
    </w:p>
    <w:p w14:paraId="51FFD681" w14:textId="109EE60D" w:rsidR="00A258DA" w:rsidRPr="00DE0C72" w:rsidRDefault="00A258DA">
      <w:pPr>
        <w:pStyle w:val="ListNumber"/>
        <w:keepNext/>
        <w:keepLines/>
        <w:numPr>
          <w:ilvl w:val="0"/>
          <w:numId w:val="18"/>
        </w:numPr>
        <w:spacing w:before="120" w:after="120" w:line="240" w:lineRule="auto"/>
        <w:ind w:left="720"/>
        <w:contextualSpacing w:val="0"/>
        <w:jc w:val="both"/>
        <w:rPr>
          <w:rFonts w:asciiTheme="minorHAnsi" w:hAnsiTheme="minorHAnsi"/>
          <w:lang w:val="en-US"/>
        </w:rPr>
      </w:pPr>
      <w:r w:rsidRPr="00DE0C72">
        <w:rPr>
          <w:rFonts w:asciiTheme="minorHAnsi" w:hAnsiTheme="minorHAnsi"/>
          <w:lang w:val="en-US"/>
        </w:rPr>
        <w:lastRenderedPageBreak/>
        <w:t>Monitor TSH at least every month and increase dose by 25 to 50 mcg until TSH is in normal range. Adjust dose more slowly in the elderly and patients with cardiac conditions.</w:t>
      </w:r>
    </w:p>
    <w:p w14:paraId="451DF88E" w14:textId="23DC1F15" w:rsidR="00B40429" w:rsidRPr="009E4951" w:rsidRDefault="00A258DA" w:rsidP="009E4951">
      <w:pPr>
        <w:pStyle w:val="ListParagraph"/>
        <w:keepNext/>
        <w:keepLines/>
        <w:numPr>
          <w:ilvl w:val="0"/>
          <w:numId w:val="18"/>
        </w:numPr>
        <w:ind w:left="720"/>
        <w:jc w:val="both"/>
        <w:rPr>
          <w:rFonts w:asciiTheme="minorHAnsi" w:hAnsiTheme="minorHAnsi"/>
          <w:lang w:val="en-US"/>
        </w:rPr>
      </w:pPr>
      <w:r w:rsidRPr="00DE0C72">
        <w:rPr>
          <w:rFonts w:asciiTheme="minorHAnsi" w:hAnsiTheme="minorHAnsi"/>
          <w:lang w:val="en-US"/>
        </w:rPr>
        <w:t>Hypothyroidism is reversible upon discontinuation of ethionamide/prothionamide or PAS. As a result, thyroid hormone replacement may be stopped several months after completion of MDR-TB treatment</w:t>
      </w:r>
    </w:p>
    <w:p w14:paraId="783F80E7" w14:textId="4F1A251D" w:rsidR="00CE137D" w:rsidRPr="00681907" w:rsidRDefault="00CE137D" w:rsidP="00462589">
      <w:pPr>
        <w:pStyle w:val="Heading4"/>
        <w:spacing w:before="0" w:after="120" w:line="240" w:lineRule="auto"/>
        <w:jc w:val="both"/>
        <w:rPr>
          <w:lang w:val="en-US"/>
        </w:rPr>
      </w:pPr>
      <w:r w:rsidRPr="00681907">
        <w:rPr>
          <w:lang w:val="en-US"/>
        </w:rPr>
        <w:t xml:space="preserve">Management of </w:t>
      </w:r>
      <w:r w:rsidR="0023394F" w:rsidRPr="00681907">
        <w:rPr>
          <w:lang w:val="en-US"/>
        </w:rPr>
        <w:t xml:space="preserve">allergic reaction </w:t>
      </w:r>
    </w:p>
    <w:p w14:paraId="10D332EC" w14:textId="3E33ABD2" w:rsidR="00D15C8B" w:rsidRPr="00681907" w:rsidRDefault="00D15C8B" w:rsidP="00462589">
      <w:pPr>
        <w:keepNext/>
        <w:keepLines/>
        <w:spacing w:line="240" w:lineRule="auto"/>
        <w:jc w:val="both"/>
        <w:rPr>
          <w:b/>
          <w:i/>
          <w:lang w:val="en-US"/>
        </w:rPr>
      </w:pPr>
      <w:r w:rsidRPr="00681907">
        <w:rPr>
          <w:b/>
          <w:i/>
          <w:lang w:val="en-US"/>
        </w:rPr>
        <w:t>Possible cause: all anti-TB drugs</w:t>
      </w:r>
      <w:r w:rsidR="00361F38">
        <w:rPr>
          <w:b/>
          <w:i/>
          <w:lang w:val="en-US"/>
        </w:rPr>
        <w:t>, NNRTI antiretrovirals (ie. efavirenz, nevirapine), cotrimoxazole</w:t>
      </w:r>
    </w:p>
    <w:p w14:paraId="28DF0FE9" w14:textId="442D7EAE" w:rsidR="005F3E82" w:rsidRPr="00DE0C72" w:rsidRDefault="00ED12D6" w:rsidP="00462589">
      <w:pPr>
        <w:keepNext/>
        <w:keepLines/>
        <w:spacing w:line="240" w:lineRule="auto"/>
        <w:jc w:val="both"/>
        <w:rPr>
          <w:lang w:val="en-US"/>
        </w:rPr>
      </w:pPr>
      <w:r>
        <w:rPr>
          <w:rFonts w:asciiTheme="minorHAnsi" w:hAnsiTheme="minorHAnsi"/>
          <w:b/>
          <w:i/>
          <w:lang w:val="en-US"/>
        </w:rPr>
        <w:t xml:space="preserve">Site </w:t>
      </w:r>
      <w:r w:rsidR="00E177DC">
        <w:rPr>
          <w:rFonts w:asciiTheme="minorHAnsi" w:hAnsiTheme="minorHAnsi"/>
          <w:b/>
          <w:i/>
          <w:lang w:val="en-US"/>
        </w:rPr>
        <w:t xml:space="preserve">PI or </w:t>
      </w:r>
      <w:r w:rsidR="0023394F" w:rsidRPr="00681907">
        <w:rPr>
          <w:rFonts w:asciiTheme="minorHAnsi" w:hAnsiTheme="minorHAnsi"/>
          <w:b/>
          <w:i/>
          <w:lang w:val="en-US"/>
        </w:rPr>
        <w:t>Site</w:t>
      </w:r>
      <w:r>
        <w:rPr>
          <w:rFonts w:asciiTheme="minorHAnsi" w:hAnsiTheme="minorHAnsi"/>
          <w:b/>
          <w:i/>
          <w:lang w:val="en-US"/>
        </w:rPr>
        <w:t xml:space="preserve"> </w:t>
      </w:r>
      <w:r w:rsidR="0023394F" w:rsidRPr="00681907">
        <w:rPr>
          <w:rFonts w:asciiTheme="minorHAnsi" w:hAnsiTheme="minorHAnsi"/>
          <w:b/>
          <w:i/>
          <w:lang w:val="en-US"/>
        </w:rPr>
        <w:t>C</w:t>
      </w:r>
      <w:r w:rsidR="00F65EA5" w:rsidRPr="00681907">
        <w:rPr>
          <w:rFonts w:asciiTheme="minorHAnsi" w:hAnsiTheme="minorHAnsi"/>
          <w:b/>
          <w:i/>
          <w:lang w:val="en-US"/>
        </w:rPr>
        <w:t>I</w:t>
      </w:r>
      <w:r w:rsidR="00A27911" w:rsidRPr="00681907">
        <w:rPr>
          <w:rFonts w:asciiTheme="minorHAnsi" w:hAnsiTheme="minorHAnsi"/>
          <w:lang w:val="en-US"/>
        </w:rPr>
        <w:t xml:space="preserve"> manage</w:t>
      </w:r>
      <w:r w:rsidR="0023394F" w:rsidRPr="00681907">
        <w:rPr>
          <w:rFonts w:asciiTheme="minorHAnsi" w:hAnsiTheme="minorHAnsi"/>
          <w:lang w:val="en-US"/>
        </w:rPr>
        <w:t>s</w:t>
      </w:r>
      <w:r w:rsidR="00A27911" w:rsidRPr="00681907">
        <w:rPr>
          <w:rFonts w:asciiTheme="minorHAnsi" w:hAnsiTheme="minorHAnsi"/>
          <w:lang w:val="en-US"/>
        </w:rPr>
        <w:t xml:space="preserve"> this AE according to its severity:</w:t>
      </w:r>
    </w:p>
    <w:p w14:paraId="7A2DA353" w14:textId="77777777" w:rsidR="005F3E82" w:rsidRPr="00DE0C72" w:rsidRDefault="005F3E82" w:rsidP="00462589">
      <w:pPr>
        <w:pStyle w:val="BodyText24"/>
        <w:keepNext/>
        <w:keepLines/>
        <w:numPr>
          <w:ilvl w:val="0"/>
          <w:numId w:val="22"/>
        </w:numPr>
        <w:jc w:val="both"/>
        <w:rPr>
          <w:rFonts w:asciiTheme="minorHAnsi" w:hAnsiTheme="minorHAnsi"/>
          <w:b/>
          <w:sz w:val="22"/>
          <w:szCs w:val="22"/>
        </w:rPr>
      </w:pPr>
      <w:r w:rsidRPr="00DE0C72">
        <w:rPr>
          <w:rFonts w:asciiTheme="minorHAnsi" w:hAnsiTheme="minorHAnsi"/>
          <w:b/>
          <w:sz w:val="22"/>
          <w:szCs w:val="22"/>
        </w:rPr>
        <w:t>Grade 1-2:</w:t>
      </w:r>
    </w:p>
    <w:p w14:paraId="37173B59" w14:textId="408D2A18" w:rsidR="00D55B99" w:rsidRPr="00DE0C72" w:rsidRDefault="005F3E82" w:rsidP="00462589">
      <w:pPr>
        <w:pStyle w:val="BodyText24"/>
        <w:keepNext/>
        <w:keepLines/>
        <w:ind w:firstLine="720"/>
        <w:jc w:val="both"/>
        <w:rPr>
          <w:rFonts w:asciiTheme="minorHAnsi" w:eastAsia="Calibri" w:hAnsiTheme="minorHAnsi" w:cs="Calibri"/>
          <w:color w:val="000000"/>
          <w:sz w:val="22"/>
          <w:szCs w:val="22"/>
          <w:lang w:eastAsia="it-IT"/>
        </w:rPr>
      </w:pPr>
      <w:r w:rsidRPr="00DE0C72">
        <w:rPr>
          <w:rFonts w:asciiTheme="minorHAnsi" w:hAnsiTheme="minorHAnsi"/>
          <w:sz w:val="22"/>
          <w:szCs w:val="22"/>
        </w:rPr>
        <w:t xml:space="preserve">In case of localized and mild skin rash: </w:t>
      </w:r>
    </w:p>
    <w:p w14:paraId="5BDF4FA1" w14:textId="77777777" w:rsidR="00D55B99" w:rsidRPr="00DE0C72" w:rsidRDefault="00D55B99" w:rsidP="00F1254D">
      <w:pPr>
        <w:pStyle w:val="Default"/>
        <w:numPr>
          <w:ilvl w:val="0"/>
          <w:numId w:val="23"/>
        </w:numPr>
        <w:ind w:left="1440"/>
        <w:rPr>
          <w:rFonts w:asciiTheme="minorHAnsi" w:hAnsiTheme="minorHAnsi"/>
          <w:sz w:val="22"/>
          <w:szCs w:val="22"/>
        </w:rPr>
      </w:pPr>
      <w:r w:rsidRPr="00DE0C72">
        <w:rPr>
          <w:rFonts w:asciiTheme="minorHAnsi" w:hAnsiTheme="minorHAnsi"/>
          <w:sz w:val="22"/>
          <w:szCs w:val="22"/>
        </w:rPr>
        <w:t>Rule out other possible causes not related to drugs (i.e., scabies, contact dermatitis due to an environmental allergen).</w:t>
      </w:r>
    </w:p>
    <w:p w14:paraId="0CD30BDD" w14:textId="77777777" w:rsidR="00D55B99" w:rsidRPr="00DE0C72" w:rsidRDefault="00D55B99" w:rsidP="00462589">
      <w:pPr>
        <w:pStyle w:val="BodyText24"/>
        <w:keepNext/>
        <w:keepLines/>
        <w:numPr>
          <w:ilvl w:val="0"/>
          <w:numId w:val="23"/>
        </w:numPr>
        <w:ind w:left="1440"/>
        <w:jc w:val="both"/>
        <w:rPr>
          <w:rFonts w:asciiTheme="minorHAnsi" w:hAnsiTheme="minorHAnsi"/>
          <w:sz w:val="22"/>
          <w:szCs w:val="22"/>
        </w:rPr>
      </w:pPr>
      <w:r w:rsidRPr="00DE0C72">
        <w:rPr>
          <w:rFonts w:asciiTheme="minorHAnsi" w:hAnsiTheme="minorHAnsi"/>
          <w:sz w:val="22"/>
          <w:szCs w:val="22"/>
        </w:rPr>
        <w:t>If no obvious cause, stop all anti-TB drugs.</w:t>
      </w:r>
    </w:p>
    <w:p w14:paraId="43C90199" w14:textId="77777777" w:rsidR="00D55B99" w:rsidRPr="00DE0C72" w:rsidRDefault="00D55B99" w:rsidP="00F1254D">
      <w:pPr>
        <w:pStyle w:val="Default"/>
        <w:numPr>
          <w:ilvl w:val="0"/>
          <w:numId w:val="23"/>
        </w:numPr>
        <w:ind w:left="1440"/>
        <w:rPr>
          <w:rFonts w:ascii="Calibri" w:hAnsi="Calibri"/>
          <w:sz w:val="22"/>
          <w:szCs w:val="22"/>
        </w:rPr>
      </w:pPr>
      <w:r w:rsidRPr="00DE0C72">
        <w:rPr>
          <w:rFonts w:ascii="Calibri" w:hAnsi="Calibri"/>
          <w:sz w:val="22"/>
          <w:szCs w:val="22"/>
        </w:rPr>
        <w:t>Give an antihistamine PO up to 3 to 4 times daily.</w:t>
      </w:r>
    </w:p>
    <w:p w14:paraId="692FA2AE" w14:textId="2CFE7043" w:rsidR="006C0EBF" w:rsidRDefault="00D55B99">
      <w:pPr>
        <w:pStyle w:val="Default"/>
        <w:numPr>
          <w:ilvl w:val="0"/>
          <w:numId w:val="23"/>
        </w:numPr>
        <w:ind w:left="1440"/>
        <w:rPr>
          <w:rFonts w:ascii="Calibri" w:hAnsi="Calibri"/>
          <w:sz w:val="22"/>
          <w:szCs w:val="22"/>
        </w:rPr>
      </w:pPr>
      <w:r w:rsidRPr="00DE0C72">
        <w:rPr>
          <w:rFonts w:ascii="Calibri" w:hAnsi="Calibri"/>
          <w:sz w:val="22"/>
          <w:szCs w:val="22"/>
        </w:rPr>
        <w:t xml:space="preserve">Try to determine which drug caused the reaction </w:t>
      </w:r>
    </w:p>
    <w:p w14:paraId="59DDAFA8" w14:textId="77777777" w:rsidR="00B378F6" w:rsidRDefault="00B378F6">
      <w:pPr>
        <w:pStyle w:val="Default"/>
        <w:rPr>
          <w:rFonts w:ascii="Calibri" w:hAnsi="Calibri"/>
          <w:sz w:val="22"/>
          <w:szCs w:val="22"/>
        </w:rPr>
      </w:pPr>
    </w:p>
    <w:p w14:paraId="4E04E628" w14:textId="3664FCFF" w:rsidR="006C0EBF" w:rsidRDefault="00E362F8" w:rsidP="00462589">
      <w:pPr>
        <w:pStyle w:val="Default"/>
        <w:jc w:val="both"/>
        <w:rPr>
          <w:rFonts w:asciiTheme="minorHAnsi" w:hAnsiTheme="minorHAnsi"/>
          <w:sz w:val="22"/>
          <w:szCs w:val="22"/>
        </w:rPr>
      </w:pPr>
      <w:r w:rsidRPr="006C0EBF">
        <w:rPr>
          <w:rFonts w:asciiTheme="minorHAnsi" w:hAnsiTheme="minorHAnsi"/>
          <w:sz w:val="22"/>
          <w:szCs w:val="22"/>
        </w:rPr>
        <w:t>Once the reaction has resolved</w:t>
      </w:r>
      <w:r w:rsidR="00B378F6">
        <w:rPr>
          <w:rFonts w:asciiTheme="minorHAnsi" w:hAnsiTheme="minorHAnsi"/>
          <w:sz w:val="22"/>
          <w:szCs w:val="22"/>
        </w:rPr>
        <w:t>,</w:t>
      </w:r>
      <w:r w:rsidRPr="006C0EBF">
        <w:rPr>
          <w:rFonts w:asciiTheme="minorHAnsi" w:hAnsiTheme="minorHAnsi"/>
          <w:sz w:val="22"/>
          <w:szCs w:val="22"/>
        </w:rPr>
        <w:t xml:space="preserve"> anti-TB drugs can be reinstated as a “challenge”– a partial dose – in the following order:  H - Z - Eto/Pto – FQ - Cs - E - PAS - Cm and the aminoglycoside</w:t>
      </w:r>
      <w:r w:rsidR="00806B42" w:rsidRPr="006C0EBF">
        <w:rPr>
          <w:rFonts w:asciiTheme="minorHAnsi" w:hAnsiTheme="minorHAnsi"/>
          <w:sz w:val="22"/>
          <w:szCs w:val="22"/>
        </w:rPr>
        <w:t>s – Lzd – Dlm – Cfz – Bdq.</w:t>
      </w:r>
      <w:r w:rsidRPr="006C0EBF">
        <w:rPr>
          <w:rFonts w:asciiTheme="minorHAnsi" w:hAnsiTheme="minorHAnsi"/>
          <w:sz w:val="22"/>
          <w:szCs w:val="22"/>
        </w:rPr>
        <w:t xml:space="preserve">  Add the most likely culprit last in the challenge. If the most likely culprit drug is not essential, consider not re-introducing it in the challenge. If the rash recurs after resumption of an agent, then its discontinuation may be required and another agent should be substituted. </w:t>
      </w:r>
    </w:p>
    <w:p w14:paraId="38258B1D" w14:textId="77777777" w:rsidR="006C0EBF" w:rsidRDefault="006C0EBF">
      <w:pPr>
        <w:pStyle w:val="Default"/>
        <w:ind w:firstLine="360"/>
        <w:jc w:val="both"/>
        <w:rPr>
          <w:rFonts w:asciiTheme="minorHAnsi" w:hAnsiTheme="minorHAnsi"/>
          <w:sz w:val="22"/>
          <w:szCs w:val="22"/>
        </w:rPr>
      </w:pPr>
    </w:p>
    <w:p w14:paraId="23755BF1" w14:textId="0DC4AF5B" w:rsidR="006C0EBF" w:rsidRDefault="00E362F8">
      <w:pPr>
        <w:pStyle w:val="Default"/>
        <w:numPr>
          <w:ilvl w:val="0"/>
          <w:numId w:val="30"/>
        </w:numPr>
        <w:jc w:val="both"/>
        <w:rPr>
          <w:rFonts w:asciiTheme="minorHAnsi" w:hAnsiTheme="minorHAnsi"/>
          <w:b/>
          <w:sz w:val="22"/>
          <w:szCs w:val="22"/>
        </w:rPr>
      </w:pPr>
      <w:r w:rsidRPr="0077226F">
        <w:rPr>
          <w:rFonts w:asciiTheme="minorHAnsi" w:hAnsiTheme="minorHAnsi"/>
          <w:b/>
          <w:sz w:val="22"/>
          <w:szCs w:val="22"/>
        </w:rPr>
        <w:t>Grade 3-4:</w:t>
      </w:r>
    </w:p>
    <w:p w14:paraId="038028B7" w14:textId="69EA0A33" w:rsidR="002E61F8" w:rsidRPr="002E61F8" w:rsidRDefault="00F71699" w:rsidP="002E61F8">
      <w:pPr>
        <w:pStyle w:val="ListParagraph"/>
        <w:numPr>
          <w:ilvl w:val="0"/>
          <w:numId w:val="35"/>
        </w:numPr>
        <w:tabs>
          <w:tab w:val="left" w:pos="1640"/>
        </w:tabs>
        <w:spacing w:after="0"/>
        <w:rPr>
          <w:rFonts w:asciiTheme="minorHAnsi" w:hAnsiTheme="minorHAnsi"/>
        </w:rPr>
      </w:pPr>
      <w:r w:rsidRPr="002E61F8">
        <w:rPr>
          <w:rFonts w:asciiTheme="minorHAnsi" w:hAnsiTheme="minorHAnsi"/>
        </w:rPr>
        <w:t>S</w:t>
      </w:r>
      <w:r w:rsidR="00E362F8" w:rsidRPr="002E61F8">
        <w:rPr>
          <w:rFonts w:asciiTheme="minorHAnsi" w:hAnsiTheme="minorHAnsi"/>
        </w:rPr>
        <w:t>top all anti-TB drugs</w:t>
      </w:r>
    </w:p>
    <w:p w14:paraId="1E1FFE34" w14:textId="77777777" w:rsidR="002E61F8" w:rsidRPr="002E61F8" w:rsidRDefault="00E362F8" w:rsidP="002E61F8">
      <w:pPr>
        <w:pStyle w:val="ListParagraph"/>
        <w:numPr>
          <w:ilvl w:val="0"/>
          <w:numId w:val="35"/>
        </w:numPr>
        <w:tabs>
          <w:tab w:val="left" w:pos="1640"/>
        </w:tabs>
        <w:spacing w:after="0"/>
        <w:rPr>
          <w:rFonts w:asciiTheme="minorHAnsi" w:hAnsiTheme="minorHAnsi"/>
        </w:rPr>
      </w:pPr>
      <w:r w:rsidRPr="002E61F8">
        <w:rPr>
          <w:rFonts w:asciiTheme="minorHAnsi" w:hAnsiTheme="minorHAnsi"/>
        </w:rPr>
        <w:t xml:space="preserve">In the case of anaphylaxis (grade 4), manage with standard emergency protocols, including the use of epinephrine (adrenaline). </w:t>
      </w:r>
    </w:p>
    <w:p w14:paraId="33810D02" w14:textId="400515BE" w:rsidR="00E362F8" w:rsidRPr="002E61F8" w:rsidRDefault="00E362F8" w:rsidP="002E61F8">
      <w:pPr>
        <w:pStyle w:val="ListParagraph"/>
        <w:numPr>
          <w:ilvl w:val="0"/>
          <w:numId w:val="35"/>
        </w:numPr>
        <w:tabs>
          <w:tab w:val="left" w:pos="1640"/>
        </w:tabs>
        <w:spacing w:after="0"/>
        <w:rPr>
          <w:rFonts w:asciiTheme="minorHAnsi" w:hAnsiTheme="minorHAnsi"/>
        </w:rPr>
      </w:pPr>
      <w:r w:rsidRPr="002E61F8">
        <w:rPr>
          <w:rFonts w:asciiTheme="minorHAnsi" w:hAnsiTheme="minorHAnsi"/>
        </w:rPr>
        <w:t xml:space="preserve">In the event of severe generalized rash, a parenteral corticosteroid (i.e., dexamethasone IM or IV: 2 to 4 mg 4 times daily) may be needed. </w:t>
      </w:r>
    </w:p>
    <w:p w14:paraId="5902164C" w14:textId="39547780" w:rsidR="006C0EBF" w:rsidRDefault="00E362F8" w:rsidP="002E61F8">
      <w:pPr>
        <w:pStyle w:val="BodyText24"/>
        <w:keepNext/>
        <w:keepLines/>
        <w:numPr>
          <w:ilvl w:val="0"/>
          <w:numId w:val="25"/>
        </w:numPr>
        <w:ind w:left="1440"/>
        <w:jc w:val="both"/>
        <w:rPr>
          <w:rFonts w:asciiTheme="minorHAnsi" w:hAnsiTheme="minorHAnsi"/>
          <w:sz w:val="22"/>
          <w:szCs w:val="22"/>
        </w:rPr>
      </w:pPr>
      <w:r w:rsidRPr="00DE0C72">
        <w:rPr>
          <w:rFonts w:asciiTheme="minorHAnsi" w:hAnsiTheme="minorHAnsi"/>
          <w:sz w:val="22"/>
          <w:szCs w:val="22"/>
        </w:rPr>
        <w:t>Once the reaction has resolved, try to determine which drug caused the reaction: see re-challenge of anti-TB drugs below.</w:t>
      </w:r>
    </w:p>
    <w:p w14:paraId="27324FD7" w14:textId="698C856F" w:rsidR="006C0EBF" w:rsidRPr="006C0EBF" w:rsidRDefault="006C0EBF" w:rsidP="00527ED5">
      <w:pPr>
        <w:pStyle w:val="Default"/>
        <w:tabs>
          <w:tab w:val="left" w:pos="2550"/>
        </w:tabs>
      </w:pPr>
    </w:p>
    <w:p w14:paraId="4A1B0AA3" w14:textId="76B07E4E" w:rsidR="00E362F8" w:rsidRPr="00DE0C72" w:rsidRDefault="00E362F8" w:rsidP="006F29C0">
      <w:pPr>
        <w:pStyle w:val="BodyText24"/>
        <w:keepNext/>
        <w:keepLines/>
        <w:spacing w:line="288" w:lineRule="auto"/>
        <w:jc w:val="both"/>
        <w:rPr>
          <w:rFonts w:asciiTheme="minorHAnsi" w:hAnsiTheme="minorHAnsi"/>
          <w:sz w:val="22"/>
          <w:szCs w:val="22"/>
        </w:rPr>
      </w:pPr>
      <w:r w:rsidRPr="00DE0C72">
        <w:rPr>
          <w:rFonts w:asciiTheme="minorHAnsi" w:hAnsiTheme="minorHAnsi"/>
          <w:sz w:val="22"/>
          <w:szCs w:val="22"/>
        </w:rPr>
        <w:lastRenderedPageBreak/>
        <w:t xml:space="preserve">Any drug resulting in Stevens-Johnson syndrome or grade 3-4 reaction should never be re-introduced. </w:t>
      </w:r>
    </w:p>
    <w:p w14:paraId="17617238" w14:textId="77777777" w:rsidR="00FF02F4" w:rsidRPr="00DE0C72" w:rsidRDefault="00FF02F4" w:rsidP="00462589">
      <w:pPr>
        <w:pStyle w:val="BodyText24"/>
        <w:keepNext/>
        <w:keepLines/>
        <w:jc w:val="both"/>
        <w:rPr>
          <w:rFonts w:asciiTheme="minorHAnsi" w:hAnsiTheme="minorHAnsi"/>
          <w:sz w:val="22"/>
          <w:szCs w:val="22"/>
        </w:rPr>
      </w:pPr>
    </w:p>
    <w:p w14:paraId="10679F92" w14:textId="77777777" w:rsidR="00FF02F4" w:rsidRPr="00DE0C72" w:rsidRDefault="00FF02F4" w:rsidP="00462589">
      <w:pPr>
        <w:keepNext/>
        <w:keepLines/>
        <w:spacing w:line="240" w:lineRule="auto"/>
        <w:jc w:val="both"/>
        <w:rPr>
          <w:lang w:val="en-US"/>
        </w:rPr>
      </w:pPr>
      <w:r w:rsidRPr="00DE0C72">
        <w:rPr>
          <w:rFonts w:asciiTheme="minorHAnsi" w:hAnsiTheme="minorHAnsi"/>
          <w:b/>
          <w:lang w:val="en-US"/>
        </w:rPr>
        <w:t>Re-challenge of anti-TB drugs: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0"/>
        <w:gridCol w:w="12"/>
        <w:gridCol w:w="1753"/>
        <w:gridCol w:w="1890"/>
        <w:gridCol w:w="1350"/>
      </w:tblGrid>
      <w:tr w:rsidR="00FF02F4" w:rsidRPr="00681907" w14:paraId="4263F235" w14:textId="77777777" w:rsidTr="00B2735A">
        <w:trPr>
          <w:trHeight w:val="252"/>
          <w:jc w:val="center"/>
        </w:trPr>
        <w:tc>
          <w:tcPr>
            <w:tcW w:w="1380" w:type="dxa"/>
            <w:shd w:val="clear" w:color="auto" w:fill="1F497D"/>
          </w:tcPr>
          <w:p w14:paraId="7261539E" w14:textId="77777777" w:rsidR="00FF02F4" w:rsidRPr="00DE0C72" w:rsidRDefault="00FF02F4" w:rsidP="00462589">
            <w:pPr>
              <w:pStyle w:val="BodyText24"/>
              <w:keepNext/>
              <w:keepLines/>
              <w:jc w:val="both"/>
              <w:rPr>
                <w:rFonts w:asciiTheme="minorHAnsi" w:hAnsiTheme="minorHAnsi"/>
                <w:b/>
                <w:color w:val="FFFFFF"/>
                <w:sz w:val="22"/>
                <w:szCs w:val="22"/>
              </w:rPr>
            </w:pPr>
            <w:r w:rsidRPr="00DE0C72">
              <w:rPr>
                <w:rFonts w:asciiTheme="minorHAnsi" w:hAnsiTheme="minorHAnsi"/>
                <w:b/>
                <w:color w:val="FFFFFF"/>
                <w:sz w:val="22"/>
                <w:szCs w:val="22"/>
              </w:rPr>
              <w:t>Drug</w:t>
            </w:r>
          </w:p>
        </w:tc>
        <w:tc>
          <w:tcPr>
            <w:tcW w:w="1765" w:type="dxa"/>
            <w:gridSpan w:val="2"/>
            <w:shd w:val="clear" w:color="auto" w:fill="1F497D"/>
          </w:tcPr>
          <w:p w14:paraId="1AD1BB5A" w14:textId="77777777" w:rsidR="00FF02F4" w:rsidRPr="00DE0C72" w:rsidRDefault="00FF02F4" w:rsidP="00462589">
            <w:pPr>
              <w:pStyle w:val="BodyText24"/>
              <w:keepNext/>
              <w:keepLines/>
              <w:jc w:val="both"/>
              <w:rPr>
                <w:rFonts w:asciiTheme="minorHAnsi" w:hAnsiTheme="minorHAnsi"/>
                <w:b/>
                <w:color w:val="FFFFFF"/>
                <w:sz w:val="22"/>
                <w:szCs w:val="22"/>
              </w:rPr>
            </w:pPr>
            <w:r w:rsidRPr="00DE0C72">
              <w:rPr>
                <w:rFonts w:asciiTheme="minorHAnsi" w:hAnsiTheme="minorHAnsi"/>
                <w:b/>
                <w:color w:val="FFFFFF"/>
                <w:sz w:val="22"/>
                <w:szCs w:val="22"/>
              </w:rPr>
              <w:t>Day 1</w:t>
            </w:r>
          </w:p>
        </w:tc>
        <w:tc>
          <w:tcPr>
            <w:tcW w:w="1890" w:type="dxa"/>
            <w:shd w:val="clear" w:color="auto" w:fill="1F497D"/>
          </w:tcPr>
          <w:p w14:paraId="7B0D3559" w14:textId="77777777" w:rsidR="00FF02F4" w:rsidRPr="00DE0C72" w:rsidRDefault="00FF02F4" w:rsidP="00462589">
            <w:pPr>
              <w:pStyle w:val="BodyText24"/>
              <w:keepNext/>
              <w:keepLines/>
              <w:jc w:val="both"/>
              <w:rPr>
                <w:rFonts w:asciiTheme="minorHAnsi" w:hAnsiTheme="minorHAnsi"/>
                <w:b/>
                <w:color w:val="FFFFFF"/>
                <w:sz w:val="22"/>
                <w:szCs w:val="22"/>
              </w:rPr>
            </w:pPr>
            <w:r w:rsidRPr="00DE0C72">
              <w:rPr>
                <w:rFonts w:asciiTheme="minorHAnsi" w:hAnsiTheme="minorHAnsi"/>
                <w:b/>
                <w:color w:val="FFFFFF"/>
                <w:sz w:val="22"/>
                <w:szCs w:val="22"/>
              </w:rPr>
              <w:t>Day 2</w:t>
            </w:r>
          </w:p>
        </w:tc>
        <w:tc>
          <w:tcPr>
            <w:tcW w:w="1350" w:type="dxa"/>
            <w:shd w:val="clear" w:color="auto" w:fill="1F497D"/>
          </w:tcPr>
          <w:p w14:paraId="44C48660" w14:textId="77777777" w:rsidR="00FF02F4" w:rsidRPr="00DE0C72" w:rsidRDefault="00FF02F4" w:rsidP="00462589">
            <w:pPr>
              <w:pStyle w:val="BodyText24"/>
              <w:keepNext/>
              <w:keepLines/>
              <w:jc w:val="both"/>
              <w:rPr>
                <w:rFonts w:asciiTheme="minorHAnsi" w:hAnsiTheme="minorHAnsi"/>
                <w:b/>
                <w:color w:val="FFFFFF"/>
                <w:sz w:val="22"/>
                <w:szCs w:val="22"/>
              </w:rPr>
            </w:pPr>
            <w:r w:rsidRPr="00DE0C72">
              <w:rPr>
                <w:rFonts w:asciiTheme="minorHAnsi" w:hAnsiTheme="minorHAnsi"/>
                <w:b/>
                <w:color w:val="FFFFFF"/>
                <w:sz w:val="22"/>
                <w:szCs w:val="22"/>
              </w:rPr>
              <w:t>Day 3</w:t>
            </w:r>
          </w:p>
        </w:tc>
      </w:tr>
      <w:tr w:rsidR="00FF02F4" w:rsidRPr="00681907" w14:paraId="7B8EC710" w14:textId="77777777" w:rsidTr="00B2735A">
        <w:trPr>
          <w:trHeight w:val="236"/>
          <w:jc w:val="center"/>
        </w:trPr>
        <w:tc>
          <w:tcPr>
            <w:tcW w:w="1392" w:type="dxa"/>
            <w:gridSpan w:val="2"/>
          </w:tcPr>
          <w:p w14:paraId="0F4FB339" w14:textId="77777777" w:rsidR="00FF02F4" w:rsidRPr="00681907" w:rsidRDefault="00FF02F4" w:rsidP="00462589">
            <w:pPr>
              <w:pStyle w:val="BodyText24"/>
              <w:keepNext/>
              <w:keepLines/>
              <w:jc w:val="both"/>
              <w:rPr>
                <w:rFonts w:asciiTheme="minorHAnsi" w:hAnsiTheme="minorHAnsi"/>
                <w:sz w:val="22"/>
                <w:szCs w:val="22"/>
              </w:rPr>
            </w:pPr>
            <w:r w:rsidRPr="00681907">
              <w:rPr>
                <w:rFonts w:asciiTheme="minorHAnsi" w:hAnsiTheme="minorHAnsi"/>
                <w:sz w:val="22"/>
                <w:szCs w:val="22"/>
              </w:rPr>
              <w:t>H</w:t>
            </w:r>
          </w:p>
        </w:tc>
        <w:tc>
          <w:tcPr>
            <w:tcW w:w="1753" w:type="dxa"/>
          </w:tcPr>
          <w:p w14:paraId="7F9B4E9F" w14:textId="77777777" w:rsidR="00FF02F4" w:rsidRPr="00681907" w:rsidRDefault="00FF02F4" w:rsidP="00462589">
            <w:pPr>
              <w:pStyle w:val="BodyText24"/>
              <w:keepNext/>
              <w:keepLines/>
              <w:jc w:val="both"/>
              <w:rPr>
                <w:rFonts w:asciiTheme="minorHAnsi" w:hAnsiTheme="minorHAnsi"/>
                <w:sz w:val="22"/>
                <w:szCs w:val="22"/>
              </w:rPr>
            </w:pPr>
            <w:r w:rsidRPr="00681907">
              <w:rPr>
                <w:rFonts w:asciiTheme="minorHAnsi" w:hAnsiTheme="minorHAnsi"/>
                <w:sz w:val="22"/>
                <w:szCs w:val="22"/>
              </w:rPr>
              <w:t>50 mg</w:t>
            </w:r>
          </w:p>
        </w:tc>
        <w:tc>
          <w:tcPr>
            <w:tcW w:w="1890" w:type="dxa"/>
          </w:tcPr>
          <w:p w14:paraId="04241D74" w14:textId="77777777" w:rsidR="00FF02F4" w:rsidRPr="00681907" w:rsidRDefault="00FF02F4" w:rsidP="00462589">
            <w:pPr>
              <w:pStyle w:val="BodyText24"/>
              <w:keepNext/>
              <w:keepLines/>
              <w:jc w:val="both"/>
              <w:rPr>
                <w:rFonts w:asciiTheme="minorHAnsi" w:hAnsiTheme="minorHAnsi"/>
                <w:sz w:val="22"/>
                <w:szCs w:val="22"/>
              </w:rPr>
            </w:pPr>
            <w:r w:rsidRPr="00681907">
              <w:rPr>
                <w:rFonts w:asciiTheme="minorHAnsi" w:hAnsiTheme="minorHAnsi"/>
                <w:sz w:val="22"/>
                <w:szCs w:val="22"/>
              </w:rPr>
              <w:t>Full dose</w:t>
            </w:r>
          </w:p>
        </w:tc>
        <w:tc>
          <w:tcPr>
            <w:tcW w:w="1350" w:type="dxa"/>
          </w:tcPr>
          <w:p w14:paraId="788AAFFF" w14:textId="77777777" w:rsidR="00FF02F4" w:rsidRPr="00681907" w:rsidRDefault="00FF02F4" w:rsidP="00462589">
            <w:pPr>
              <w:pStyle w:val="BodyText24"/>
              <w:keepNext/>
              <w:keepLines/>
              <w:jc w:val="both"/>
              <w:rPr>
                <w:rFonts w:asciiTheme="minorHAnsi" w:hAnsiTheme="minorHAnsi"/>
                <w:sz w:val="22"/>
                <w:szCs w:val="22"/>
              </w:rPr>
            </w:pPr>
            <w:r w:rsidRPr="00681907">
              <w:rPr>
                <w:rFonts w:asciiTheme="minorHAnsi" w:hAnsiTheme="minorHAnsi"/>
                <w:sz w:val="22"/>
                <w:szCs w:val="22"/>
              </w:rPr>
              <w:t>Full dose</w:t>
            </w:r>
          </w:p>
        </w:tc>
      </w:tr>
      <w:tr w:rsidR="00FF02F4" w:rsidRPr="00681907" w14:paraId="7DAF0872" w14:textId="77777777" w:rsidTr="00B2735A">
        <w:trPr>
          <w:jc w:val="center"/>
        </w:trPr>
        <w:tc>
          <w:tcPr>
            <w:tcW w:w="1392" w:type="dxa"/>
            <w:gridSpan w:val="2"/>
          </w:tcPr>
          <w:p w14:paraId="2F77B3B7" w14:textId="77777777" w:rsidR="00FF02F4" w:rsidRPr="00681907" w:rsidRDefault="00FF02F4" w:rsidP="00462589">
            <w:pPr>
              <w:pStyle w:val="BodyText24"/>
              <w:keepNext/>
              <w:keepLines/>
              <w:jc w:val="both"/>
              <w:rPr>
                <w:rFonts w:asciiTheme="minorHAnsi" w:hAnsiTheme="minorHAnsi"/>
                <w:sz w:val="22"/>
                <w:szCs w:val="22"/>
              </w:rPr>
            </w:pPr>
            <w:r w:rsidRPr="00681907">
              <w:rPr>
                <w:rFonts w:asciiTheme="minorHAnsi" w:hAnsiTheme="minorHAnsi"/>
                <w:sz w:val="22"/>
                <w:szCs w:val="22"/>
              </w:rPr>
              <w:t>Z</w:t>
            </w:r>
          </w:p>
        </w:tc>
        <w:tc>
          <w:tcPr>
            <w:tcW w:w="1753" w:type="dxa"/>
          </w:tcPr>
          <w:p w14:paraId="1E36338C" w14:textId="77777777" w:rsidR="00FF02F4" w:rsidRPr="00681907" w:rsidRDefault="00FF02F4" w:rsidP="00462589">
            <w:pPr>
              <w:pStyle w:val="BodyText24"/>
              <w:keepNext/>
              <w:keepLines/>
              <w:jc w:val="both"/>
              <w:rPr>
                <w:rFonts w:asciiTheme="minorHAnsi" w:hAnsiTheme="minorHAnsi"/>
                <w:sz w:val="22"/>
                <w:szCs w:val="22"/>
              </w:rPr>
            </w:pPr>
            <w:r w:rsidRPr="00681907">
              <w:rPr>
                <w:rFonts w:asciiTheme="minorHAnsi" w:hAnsiTheme="minorHAnsi"/>
                <w:sz w:val="22"/>
                <w:szCs w:val="22"/>
              </w:rPr>
              <w:t>250 mg</w:t>
            </w:r>
          </w:p>
        </w:tc>
        <w:tc>
          <w:tcPr>
            <w:tcW w:w="1890" w:type="dxa"/>
          </w:tcPr>
          <w:p w14:paraId="206440F4" w14:textId="77777777" w:rsidR="00FF02F4" w:rsidRPr="00681907" w:rsidRDefault="00FF02F4" w:rsidP="00462589">
            <w:pPr>
              <w:pStyle w:val="BodyText24"/>
              <w:keepNext/>
              <w:keepLines/>
              <w:jc w:val="both"/>
              <w:rPr>
                <w:rFonts w:asciiTheme="minorHAnsi" w:hAnsiTheme="minorHAnsi"/>
                <w:sz w:val="22"/>
                <w:szCs w:val="22"/>
              </w:rPr>
            </w:pPr>
            <w:r w:rsidRPr="00681907">
              <w:rPr>
                <w:rFonts w:asciiTheme="minorHAnsi" w:hAnsiTheme="minorHAnsi"/>
                <w:sz w:val="22"/>
                <w:szCs w:val="22"/>
              </w:rPr>
              <w:t>1000 mg</w:t>
            </w:r>
          </w:p>
        </w:tc>
        <w:tc>
          <w:tcPr>
            <w:tcW w:w="1350" w:type="dxa"/>
          </w:tcPr>
          <w:p w14:paraId="411C81DE" w14:textId="77777777" w:rsidR="00FF02F4" w:rsidRPr="00681907" w:rsidRDefault="00FF02F4" w:rsidP="00462589">
            <w:pPr>
              <w:pStyle w:val="BodyText24"/>
              <w:keepNext/>
              <w:keepLines/>
              <w:jc w:val="both"/>
              <w:rPr>
                <w:rFonts w:asciiTheme="minorHAnsi" w:hAnsiTheme="minorHAnsi"/>
                <w:sz w:val="22"/>
                <w:szCs w:val="22"/>
              </w:rPr>
            </w:pPr>
            <w:r w:rsidRPr="00681907">
              <w:rPr>
                <w:rFonts w:asciiTheme="minorHAnsi" w:hAnsiTheme="minorHAnsi"/>
                <w:sz w:val="22"/>
                <w:szCs w:val="22"/>
              </w:rPr>
              <w:t>Full dose</w:t>
            </w:r>
          </w:p>
        </w:tc>
      </w:tr>
      <w:tr w:rsidR="00FF02F4" w:rsidRPr="00681907" w14:paraId="55681ABE" w14:textId="77777777" w:rsidTr="00B2735A">
        <w:trPr>
          <w:jc w:val="center"/>
        </w:trPr>
        <w:tc>
          <w:tcPr>
            <w:tcW w:w="1392" w:type="dxa"/>
            <w:gridSpan w:val="2"/>
          </w:tcPr>
          <w:p w14:paraId="3EE405B6" w14:textId="77777777" w:rsidR="00FF02F4" w:rsidRPr="00681907"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Eto/Pto</w:t>
            </w:r>
          </w:p>
        </w:tc>
        <w:tc>
          <w:tcPr>
            <w:tcW w:w="1753" w:type="dxa"/>
          </w:tcPr>
          <w:p w14:paraId="4CBBDA2D" w14:textId="77777777" w:rsidR="00FF02F4" w:rsidRPr="00681907"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 xml:space="preserve">125 mg </w:t>
            </w:r>
          </w:p>
        </w:tc>
        <w:tc>
          <w:tcPr>
            <w:tcW w:w="1890" w:type="dxa"/>
          </w:tcPr>
          <w:p w14:paraId="5DADDFFD" w14:textId="77777777" w:rsidR="00FF02F4" w:rsidRPr="00681907"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 xml:space="preserve">250 mg </w:t>
            </w:r>
          </w:p>
        </w:tc>
        <w:tc>
          <w:tcPr>
            <w:tcW w:w="1350" w:type="dxa"/>
          </w:tcPr>
          <w:p w14:paraId="7276DF79" w14:textId="77777777" w:rsidR="00FF02F4" w:rsidRPr="00681907"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 xml:space="preserve">500-750 mg </w:t>
            </w:r>
          </w:p>
        </w:tc>
      </w:tr>
      <w:tr w:rsidR="00FF02F4" w:rsidRPr="00681907" w14:paraId="456B03D6" w14:textId="77777777" w:rsidTr="00B2735A">
        <w:trPr>
          <w:jc w:val="center"/>
        </w:trPr>
        <w:tc>
          <w:tcPr>
            <w:tcW w:w="1392" w:type="dxa"/>
            <w:gridSpan w:val="2"/>
          </w:tcPr>
          <w:p w14:paraId="15D6D98C"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FQ</w:t>
            </w:r>
          </w:p>
        </w:tc>
        <w:tc>
          <w:tcPr>
            <w:tcW w:w="1753" w:type="dxa"/>
          </w:tcPr>
          <w:p w14:paraId="6E648043"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50 mg</w:t>
            </w:r>
          </w:p>
        </w:tc>
        <w:tc>
          <w:tcPr>
            <w:tcW w:w="1890" w:type="dxa"/>
          </w:tcPr>
          <w:p w14:paraId="20997138"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200-250 mg</w:t>
            </w:r>
          </w:p>
        </w:tc>
        <w:tc>
          <w:tcPr>
            <w:tcW w:w="1350" w:type="dxa"/>
          </w:tcPr>
          <w:p w14:paraId="399933F5"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Full dose</w:t>
            </w:r>
          </w:p>
        </w:tc>
      </w:tr>
      <w:tr w:rsidR="00FF02F4" w:rsidRPr="00681907" w14:paraId="512BDFF4" w14:textId="77777777" w:rsidTr="00B2735A">
        <w:trPr>
          <w:jc w:val="center"/>
        </w:trPr>
        <w:tc>
          <w:tcPr>
            <w:tcW w:w="1392" w:type="dxa"/>
            <w:gridSpan w:val="2"/>
          </w:tcPr>
          <w:p w14:paraId="357F0DAC"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Cs</w:t>
            </w:r>
          </w:p>
        </w:tc>
        <w:tc>
          <w:tcPr>
            <w:tcW w:w="1753" w:type="dxa"/>
          </w:tcPr>
          <w:p w14:paraId="663C4CA9"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 xml:space="preserve">125 mg </w:t>
            </w:r>
          </w:p>
        </w:tc>
        <w:tc>
          <w:tcPr>
            <w:tcW w:w="1890" w:type="dxa"/>
          </w:tcPr>
          <w:p w14:paraId="3255CCAE"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 xml:space="preserve">250 mg </w:t>
            </w:r>
          </w:p>
        </w:tc>
        <w:tc>
          <w:tcPr>
            <w:tcW w:w="1350" w:type="dxa"/>
          </w:tcPr>
          <w:p w14:paraId="209A0E86"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 xml:space="preserve">500-750 mg </w:t>
            </w:r>
          </w:p>
        </w:tc>
      </w:tr>
      <w:tr w:rsidR="00FF02F4" w:rsidRPr="00681907" w14:paraId="2AE445DE" w14:textId="77777777" w:rsidTr="00B2735A">
        <w:trPr>
          <w:jc w:val="center"/>
        </w:trPr>
        <w:tc>
          <w:tcPr>
            <w:tcW w:w="1392" w:type="dxa"/>
            <w:gridSpan w:val="2"/>
          </w:tcPr>
          <w:p w14:paraId="1B3B731A"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E</w:t>
            </w:r>
          </w:p>
        </w:tc>
        <w:tc>
          <w:tcPr>
            <w:tcW w:w="1753" w:type="dxa"/>
          </w:tcPr>
          <w:p w14:paraId="52BB6FA8" w14:textId="77777777" w:rsidR="00FF02F4" w:rsidRPr="00DE0C72" w:rsidRDefault="00FF02F4" w:rsidP="00462589">
            <w:pPr>
              <w:pStyle w:val="BodyText24"/>
              <w:keepNext/>
              <w:keepLines/>
              <w:jc w:val="both"/>
              <w:rPr>
                <w:rFonts w:asciiTheme="minorHAnsi" w:hAnsiTheme="minorHAnsi"/>
                <w:sz w:val="22"/>
                <w:szCs w:val="22"/>
              </w:rPr>
            </w:pPr>
            <w:r w:rsidRPr="00681907">
              <w:rPr>
                <w:rFonts w:asciiTheme="minorHAnsi" w:hAnsiTheme="minorHAnsi"/>
                <w:sz w:val="22"/>
                <w:szCs w:val="22"/>
              </w:rPr>
              <w:t>100 mg</w:t>
            </w:r>
          </w:p>
        </w:tc>
        <w:tc>
          <w:tcPr>
            <w:tcW w:w="1890" w:type="dxa"/>
          </w:tcPr>
          <w:p w14:paraId="7BB7573F" w14:textId="77777777" w:rsidR="00FF02F4" w:rsidRPr="00DE0C72" w:rsidRDefault="00FF02F4" w:rsidP="00462589">
            <w:pPr>
              <w:pStyle w:val="BodyText24"/>
              <w:keepNext/>
              <w:keepLines/>
              <w:jc w:val="both"/>
              <w:rPr>
                <w:rFonts w:asciiTheme="minorHAnsi" w:hAnsiTheme="minorHAnsi"/>
                <w:sz w:val="22"/>
                <w:szCs w:val="22"/>
              </w:rPr>
            </w:pPr>
            <w:r w:rsidRPr="00681907">
              <w:rPr>
                <w:rFonts w:asciiTheme="minorHAnsi" w:hAnsiTheme="minorHAnsi"/>
                <w:sz w:val="22"/>
                <w:szCs w:val="22"/>
              </w:rPr>
              <w:t>500 mg</w:t>
            </w:r>
          </w:p>
        </w:tc>
        <w:tc>
          <w:tcPr>
            <w:tcW w:w="1350" w:type="dxa"/>
          </w:tcPr>
          <w:p w14:paraId="439AF636" w14:textId="77777777" w:rsidR="00FF02F4" w:rsidRPr="00DE0C72" w:rsidRDefault="00FF02F4" w:rsidP="00462589">
            <w:pPr>
              <w:pStyle w:val="BodyText24"/>
              <w:keepNext/>
              <w:keepLines/>
              <w:jc w:val="both"/>
              <w:rPr>
                <w:rFonts w:asciiTheme="minorHAnsi" w:hAnsiTheme="minorHAnsi"/>
                <w:sz w:val="22"/>
                <w:szCs w:val="22"/>
              </w:rPr>
            </w:pPr>
            <w:r w:rsidRPr="00681907">
              <w:rPr>
                <w:rFonts w:asciiTheme="minorHAnsi" w:hAnsiTheme="minorHAnsi"/>
                <w:sz w:val="22"/>
                <w:szCs w:val="22"/>
              </w:rPr>
              <w:t>Full dose</w:t>
            </w:r>
          </w:p>
        </w:tc>
      </w:tr>
      <w:tr w:rsidR="00FF02F4" w:rsidRPr="00681907" w14:paraId="4077FC4C" w14:textId="77777777" w:rsidTr="00220FFA">
        <w:trPr>
          <w:trHeight w:val="242"/>
          <w:jc w:val="center"/>
        </w:trPr>
        <w:tc>
          <w:tcPr>
            <w:tcW w:w="1392" w:type="dxa"/>
            <w:gridSpan w:val="2"/>
          </w:tcPr>
          <w:p w14:paraId="12591DBC"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PAS</w:t>
            </w:r>
          </w:p>
        </w:tc>
        <w:tc>
          <w:tcPr>
            <w:tcW w:w="1753" w:type="dxa"/>
          </w:tcPr>
          <w:p w14:paraId="7FD65EBB" w14:textId="709584C9" w:rsidR="00FF02F4" w:rsidRPr="00DE0C72" w:rsidRDefault="00FF02F4" w:rsidP="00B2735A">
            <w:pPr>
              <w:keepNext/>
              <w:keepLines/>
              <w:tabs>
                <w:tab w:val="left" w:pos="567"/>
                <w:tab w:val="left" w:pos="4536"/>
              </w:tabs>
              <w:spacing w:after="0" w:line="240" w:lineRule="auto"/>
              <w:jc w:val="both"/>
              <w:rPr>
                <w:rFonts w:asciiTheme="minorHAnsi" w:hAnsiTheme="minorHAnsi"/>
                <w:lang w:val="en-US"/>
              </w:rPr>
            </w:pPr>
            <w:r w:rsidRPr="2C7D2031">
              <w:rPr>
                <w:rFonts w:asciiTheme="minorHAnsi" w:hAnsiTheme="minorHAnsi"/>
                <w:lang w:val="en-US"/>
              </w:rPr>
              <w:t>1 g</w:t>
            </w:r>
            <w:r w:rsidR="00926747" w:rsidRPr="2C7D2031">
              <w:rPr>
                <w:rFonts w:asciiTheme="minorHAnsi" w:hAnsiTheme="minorHAnsi"/>
                <w:lang w:val="en-US"/>
              </w:rPr>
              <w:t>ram</w:t>
            </w:r>
          </w:p>
        </w:tc>
        <w:tc>
          <w:tcPr>
            <w:tcW w:w="1890" w:type="dxa"/>
          </w:tcPr>
          <w:p w14:paraId="5DFD16EE" w14:textId="00521235" w:rsidR="00FF02F4" w:rsidRPr="00DE0C72" w:rsidRDefault="00FF02F4" w:rsidP="00220FFA">
            <w:pPr>
              <w:keepNext/>
              <w:keepLines/>
              <w:tabs>
                <w:tab w:val="left" w:pos="567"/>
                <w:tab w:val="left" w:pos="4536"/>
              </w:tabs>
              <w:spacing w:after="0" w:line="240" w:lineRule="auto"/>
              <w:jc w:val="both"/>
              <w:rPr>
                <w:rFonts w:asciiTheme="minorHAnsi" w:hAnsiTheme="minorHAnsi"/>
                <w:lang w:val="en-US"/>
              </w:rPr>
            </w:pPr>
            <w:r w:rsidRPr="2C7D2031">
              <w:rPr>
                <w:rFonts w:asciiTheme="minorHAnsi" w:hAnsiTheme="minorHAnsi"/>
                <w:lang w:val="en-US"/>
              </w:rPr>
              <w:t>4 g</w:t>
            </w:r>
            <w:r w:rsidR="00926747" w:rsidRPr="2C7D2031">
              <w:rPr>
                <w:rFonts w:asciiTheme="minorHAnsi" w:hAnsiTheme="minorHAnsi"/>
                <w:lang w:val="en-US"/>
              </w:rPr>
              <w:t>rams</w:t>
            </w:r>
          </w:p>
        </w:tc>
        <w:tc>
          <w:tcPr>
            <w:tcW w:w="1350" w:type="dxa"/>
          </w:tcPr>
          <w:p w14:paraId="516590FC" w14:textId="67912E34" w:rsidR="00FF02F4" w:rsidRPr="00DE0C72" w:rsidRDefault="00FF02F4" w:rsidP="00220FFA">
            <w:pPr>
              <w:keepNext/>
              <w:keepLines/>
              <w:tabs>
                <w:tab w:val="left" w:pos="567"/>
                <w:tab w:val="left" w:pos="4536"/>
              </w:tabs>
              <w:spacing w:after="0" w:line="240" w:lineRule="auto"/>
              <w:jc w:val="both"/>
              <w:rPr>
                <w:rFonts w:asciiTheme="minorHAnsi" w:hAnsiTheme="minorHAnsi"/>
                <w:lang w:val="en-US"/>
              </w:rPr>
            </w:pPr>
            <w:r w:rsidRPr="2C7D2031">
              <w:rPr>
                <w:rFonts w:asciiTheme="minorHAnsi" w:hAnsiTheme="minorHAnsi"/>
                <w:lang w:val="en-US"/>
              </w:rPr>
              <w:t>6-8 g</w:t>
            </w:r>
            <w:r w:rsidR="00926747" w:rsidRPr="2C7D2031">
              <w:rPr>
                <w:rFonts w:asciiTheme="minorHAnsi" w:hAnsiTheme="minorHAnsi"/>
                <w:lang w:val="en-US"/>
              </w:rPr>
              <w:t>rams</w:t>
            </w:r>
          </w:p>
        </w:tc>
      </w:tr>
      <w:tr w:rsidR="00FF02F4" w:rsidRPr="00681907" w14:paraId="627F7009" w14:textId="77777777" w:rsidTr="00B2735A">
        <w:trPr>
          <w:jc w:val="center"/>
        </w:trPr>
        <w:tc>
          <w:tcPr>
            <w:tcW w:w="1392" w:type="dxa"/>
            <w:gridSpan w:val="2"/>
          </w:tcPr>
          <w:p w14:paraId="5616C6E6"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Cm</w:t>
            </w:r>
          </w:p>
        </w:tc>
        <w:tc>
          <w:tcPr>
            <w:tcW w:w="1753" w:type="dxa"/>
          </w:tcPr>
          <w:p w14:paraId="42D956D9"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125 mg</w:t>
            </w:r>
          </w:p>
        </w:tc>
        <w:tc>
          <w:tcPr>
            <w:tcW w:w="1890" w:type="dxa"/>
          </w:tcPr>
          <w:p w14:paraId="26E58EE3"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500 mg</w:t>
            </w:r>
          </w:p>
        </w:tc>
        <w:tc>
          <w:tcPr>
            <w:tcW w:w="1350" w:type="dxa"/>
          </w:tcPr>
          <w:p w14:paraId="4FA75BF4"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Full dose</w:t>
            </w:r>
          </w:p>
        </w:tc>
      </w:tr>
      <w:tr w:rsidR="00FF02F4" w:rsidRPr="00681907" w14:paraId="54DAD1AA" w14:textId="77777777" w:rsidTr="00B2735A">
        <w:trPr>
          <w:jc w:val="center"/>
        </w:trPr>
        <w:tc>
          <w:tcPr>
            <w:tcW w:w="1392" w:type="dxa"/>
            <w:gridSpan w:val="2"/>
          </w:tcPr>
          <w:p w14:paraId="4DFA05A6"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Km</w:t>
            </w:r>
          </w:p>
        </w:tc>
        <w:tc>
          <w:tcPr>
            <w:tcW w:w="1753" w:type="dxa"/>
          </w:tcPr>
          <w:p w14:paraId="0BB79F3A"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125 mg</w:t>
            </w:r>
          </w:p>
        </w:tc>
        <w:tc>
          <w:tcPr>
            <w:tcW w:w="1890" w:type="dxa"/>
          </w:tcPr>
          <w:p w14:paraId="1E643975"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500 mg</w:t>
            </w:r>
          </w:p>
        </w:tc>
        <w:tc>
          <w:tcPr>
            <w:tcW w:w="1350" w:type="dxa"/>
          </w:tcPr>
          <w:p w14:paraId="05FCF8A0"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Full dose</w:t>
            </w:r>
          </w:p>
        </w:tc>
      </w:tr>
      <w:tr w:rsidR="00FF02F4" w:rsidRPr="00681907" w14:paraId="05FE1084" w14:textId="77777777" w:rsidTr="00B2735A">
        <w:trPr>
          <w:jc w:val="center"/>
        </w:trPr>
        <w:tc>
          <w:tcPr>
            <w:tcW w:w="1392" w:type="dxa"/>
            <w:gridSpan w:val="2"/>
          </w:tcPr>
          <w:p w14:paraId="69AA41CB"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Amk</w:t>
            </w:r>
          </w:p>
        </w:tc>
        <w:tc>
          <w:tcPr>
            <w:tcW w:w="1753" w:type="dxa"/>
          </w:tcPr>
          <w:p w14:paraId="43AAFD2F"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125 mg</w:t>
            </w:r>
          </w:p>
        </w:tc>
        <w:tc>
          <w:tcPr>
            <w:tcW w:w="1890" w:type="dxa"/>
          </w:tcPr>
          <w:p w14:paraId="11BFD842"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500 mg</w:t>
            </w:r>
          </w:p>
        </w:tc>
        <w:tc>
          <w:tcPr>
            <w:tcW w:w="1350" w:type="dxa"/>
          </w:tcPr>
          <w:p w14:paraId="07D809D6" w14:textId="77777777" w:rsidR="00FF02F4" w:rsidRPr="00DE0C72" w:rsidRDefault="00FF02F4" w:rsidP="00462589">
            <w:pPr>
              <w:pStyle w:val="BodyText24"/>
              <w:keepNext/>
              <w:keepLines/>
              <w:jc w:val="both"/>
              <w:rPr>
                <w:rFonts w:asciiTheme="minorHAnsi" w:hAnsiTheme="minorHAnsi"/>
                <w:sz w:val="22"/>
                <w:szCs w:val="22"/>
              </w:rPr>
            </w:pPr>
            <w:r w:rsidRPr="00DE0C72">
              <w:rPr>
                <w:rFonts w:asciiTheme="minorHAnsi" w:hAnsiTheme="minorHAnsi"/>
                <w:sz w:val="22"/>
                <w:szCs w:val="22"/>
              </w:rPr>
              <w:t>Full dose</w:t>
            </w:r>
          </w:p>
        </w:tc>
      </w:tr>
      <w:tr w:rsidR="00D01A24" w:rsidRPr="00681907" w14:paraId="1F249853" w14:textId="77777777" w:rsidTr="00B2735A">
        <w:trPr>
          <w:jc w:val="center"/>
        </w:trPr>
        <w:tc>
          <w:tcPr>
            <w:tcW w:w="1392" w:type="dxa"/>
            <w:gridSpan w:val="2"/>
          </w:tcPr>
          <w:p w14:paraId="06AD89C4" w14:textId="5657556E" w:rsidR="00D01A24" w:rsidRPr="00DE0C72" w:rsidRDefault="00D01A24" w:rsidP="00462589">
            <w:pPr>
              <w:pStyle w:val="BodyText24"/>
              <w:keepNext/>
              <w:keepLines/>
              <w:jc w:val="both"/>
              <w:rPr>
                <w:rFonts w:asciiTheme="minorHAnsi" w:hAnsiTheme="minorHAnsi"/>
                <w:sz w:val="22"/>
                <w:szCs w:val="22"/>
              </w:rPr>
            </w:pPr>
            <w:r>
              <w:rPr>
                <w:rFonts w:asciiTheme="minorHAnsi" w:hAnsiTheme="minorHAnsi"/>
                <w:sz w:val="22"/>
                <w:szCs w:val="22"/>
              </w:rPr>
              <w:t>Lzd</w:t>
            </w:r>
          </w:p>
        </w:tc>
        <w:tc>
          <w:tcPr>
            <w:tcW w:w="1753" w:type="dxa"/>
          </w:tcPr>
          <w:p w14:paraId="4A8AE5D7" w14:textId="40D0891B" w:rsidR="00D01A24" w:rsidRPr="00DE0C72" w:rsidRDefault="00BB015E" w:rsidP="00462589">
            <w:pPr>
              <w:pStyle w:val="BodyText24"/>
              <w:keepNext/>
              <w:keepLines/>
              <w:jc w:val="both"/>
              <w:rPr>
                <w:rFonts w:asciiTheme="minorHAnsi" w:hAnsiTheme="minorHAnsi"/>
                <w:sz w:val="22"/>
                <w:szCs w:val="22"/>
              </w:rPr>
            </w:pPr>
            <w:r>
              <w:rPr>
                <w:rFonts w:asciiTheme="minorHAnsi" w:hAnsiTheme="minorHAnsi"/>
                <w:sz w:val="22"/>
                <w:szCs w:val="22"/>
              </w:rPr>
              <w:t>150</w:t>
            </w:r>
            <w:r w:rsidR="00B70C69">
              <w:rPr>
                <w:rFonts w:asciiTheme="minorHAnsi" w:hAnsiTheme="minorHAnsi"/>
                <w:sz w:val="22"/>
                <w:szCs w:val="22"/>
              </w:rPr>
              <w:t xml:space="preserve"> mg</w:t>
            </w:r>
          </w:p>
        </w:tc>
        <w:tc>
          <w:tcPr>
            <w:tcW w:w="1890" w:type="dxa"/>
          </w:tcPr>
          <w:p w14:paraId="4DA04771" w14:textId="46BBB07F" w:rsidR="00D01A24" w:rsidRPr="00DE0C72" w:rsidRDefault="00B70C69" w:rsidP="00462589">
            <w:pPr>
              <w:pStyle w:val="BodyText24"/>
              <w:keepNext/>
              <w:keepLines/>
              <w:jc w:val="both"/>
              <w:rPr>
                <w:rFonts w:asciiTheme="minorHAnsi" w:hAnsiTheme="minorHAnsi"/>
                <w:sz w:val="22"/>
                <w:szCs w:val="22"/>
              </w:rPr>
            </w:pPr>
            <w:r>
              <w:rPr>
                <w:rFonts w:asciiTheme="minorHAnsi" w:hAnsiTheme="minorHAnsi"/>
                <w:sz w:val="22"/>
                <w:szCs w:val="22"/>
              </w:rPr>
              <w:t>300 mg</w:t>
            </w:r>
          </w:p>
        </w:tc>
        <w:tc>
          <w:tcPr>
            <w:tcW w:w="1350" w:type="dxa"/>
          </w:tcPr>
          <w:p w14:paraId="18E187D4" w14:textId="7C18FCA0" w:rsidR="00D01A24" w:rsidRPr="00DE0C72" w:rsidRDefault="00BB015E" w:rsidP="00462589">
            <w:pPr>
              <w:pStyle w:val="BodyText24"/>
              <w:keepNext/>
              <w:keepLines/>
              <w:jc w:val="both"/>
              <w:rPr>
                <w:rFonts w:asciiTheme="minorHAnsi" w:hAnsiTheme="minorHAnsi"/>
                <w:sz w:val="22"/>
                <w:szCs w:val="22"/>
              </w:rPr>
            </w:pPr>
            <w:r>
              <w:rPr>
                <w:rFonts w:asciiTheme="minorHAnsi" w:hAnsiTheme="minorHAnsi"/>
                <w:sz w:val="22"/>
                <w:szCs w:val="22"/>
              </w:rPr>
              <w:t>Full dose</w:t>
            </w:r>
          </w:p>
        </w:tc>
      </w:tr>
      <w:tr w:rsidR="00D01A24" w:rsidRPr="00681907" w14:paraId="487E7F67" w14:textId="77777777" w:rsidTr="00B2735A">
        <w:trPr>
          <w:jc w:val="center"/>
        </w:trPr>
        <w:tc>
          <w:tcPr>
            <w:tcW w:w="1392" w:type="dxa"/>
            <w:gridSpan w:val="2"/>
          </w:tcPr>
          <w:p w14:paraId="0FD91AC1" w14:textId="4238EA7D" w:rsidR="00D01A24" w:rsidRPr="00DE0C72" w:rsidRDefault="00D01A24" w:rsidP="00462589">
            <w:pPr>
              <w:pStyle w:val="BodyText24"/>
              <w:keepNext/>
              <w:keepLines/>
              <w:jc w:val="both"/>
              <w:rPr>
                <w:rFonts w:asciiTheme="minorHAnsi" w:hAnsiTheme="minorHAnsi"/>
                <w:sz w:val="22"/>
                <w:szCs w:val="22"/>
              </w:rPr>
            </w:pPr>
            <w:r>
              <w:rPr>
                <w:rFonts w:asciiTheme="minorHAnsi" w:hAnsiTheme="minorHAnsi"/>
                <w:sz w:val="22"/>
                <w:szCs w:val="22"/>
              </w:rPr>
              <w:t>Dlm</w:t>
            </w:r>
          </w:p>
        </w:tc>
        <w:tc>
          <w:tcPr>
            <w:tcW w:w="1753" w:type="dxa"/>
          </w:tcPr>
          <w:p w14:paraId="16E41304" w14:textId="1128FB76" w:rsidR="00D01A24" w:rsidRPr="00DE0C72" w:rsidRDefault="00BB015E" w:rsidP="00462589">
            <w:pPr>
              <w:pStyle w:val="BodyText24"/>
              <w:keepNext/>
              <w:keepLines/>
              <w:jc w:val="both"/>
              <w:rPr>
                <w:rFonts w:asciiTheme="minorHAnsi" w:hAnsiTheme="minorHAnsi"/>
                <w:sz w:val="22"/>
                <w:szCs w:val="22"/>
              </w:rPr>
            </w:pPr>
            <w:r>
              <w:rPr>
                <w:rFonts w:asciiTheme="minorHAnsi" w:hAnsiTheme="minorHAnsi"/>
                <w:sz w:val="22"/>
                <w:szCs w:val="22"/>
              </w:rPr>
              <w:t>50 mg once a day</w:t>
            </w:r>
          </w:p>
        </w:tc>
        <w:tc>
          <w:tcPr>
            <w:tcW w:w="1890" w:type="dxa"/>
          </w:tcPr>
          <w:p w14:paraId="46BA3D12" w14:textId="4D435E3A" w:rsidR="00D01A24" w:rsidRPr="00DE0C72" w:rsidRDefault="00BB015E" w:rsidP="00462589">
            <w:pPr>
              <w:pStyle w:val="BodyText24"/>
              <w:keepNext/>
              <w:keepLines/>
              <w:jc w:val="both"/>
              <w:rPr>
                <w:rFonts w:asciiTheme="minorHAnsi" w:hAnsiTheme="minorHAnsi"/>
                <w:sz w:val="22"/>
                <w:szCs w:val="22"/>
              </w:rPr>
            </w:pPr>
            <w:r>
              <w:rPr>
                <w:rFonts w:asciiTheme="minorHAnsi" w:hAnsiTheme="minorHAnsi"/>
                <w:sz w:val="22"/>
                <w:szCs w:val="22"/>
              </w:rPr>
              <w:t>100 mg once a day</w:t>
            </w:r>
          </w:p>
        </w:tc>
        <w:tc>
          <w:tcPr>
            <w:tcW w:w="1350" w:type="dxa"/>
          </w:tcPr>
          <w:p w14:paraId="71C5B35A" w14:textId="00BB1206" w:rsidR="00D01A24" w:rsidRPr="00DE0C72" w:rsidRDefault="00BB015E" w:rsidP="00462589">
            <w:pPr>
              <w:pStyle w:val="BodyText24"/>
              <w:keepNext/>
              <w:keepLines/>
              <w:jc w:val="both"/>
              <w:rPr>
                <w:rFonts w:asciiTheme="minorHAnsi" w:hAnsiTheme="minorHAnsi"/>
                <w:sz w:val="22"/>
                <w:szCs w:val="22"/>
              </w:rPr>
            </w:pPr>
            <w:r>
              <w:rPr>
                <w:rFonts w:asciiTheme="minorHAnsi" w:hAnsiTheme="minorHAnsi"/>
                <w:sz w:val="22"/>
                <w:szCs w:val="22"/>
              </w:rPr>
              <w:t>Full dose</w:t>
            </w:r>
          </w:p>
        </w:tc>
      </w:tr>
      <w:tr w:rsidR="00D01A24" w:rsidRPr="00681907" w14:paraId="0CFD190A" w14:textId="77777777" w:rsidTr="00B2735A">
        <w:trPr>
          <w:jc w:val="center"/>
        </w:trPr>
        <w:tc>
          <w:tcPr>
            <w:tcW w:w="1392" w:type="dxa"/>
            <w:gridSpan w:val="2"/>
          </w:tcPr>
          <w:p w14:paraId="7E5621EA" w14:textId="42E5CF41" w:rsidR="00D01A24" w:rsidRPr="00DE0C72" w:rsidRDefault="00D01A24" w:rsidP="00462589">
            <w:pPr>
              <w:pStyle w:val="BodyText24"/>
              <w:keepNext/>
              <w:keepLines/>
              <w:jc w:val="both"/>
              <w:rPr>
                <w:rFonts w:asciiTheme="minorHAnsi" w:hAnsiTheme="minorHAnsi"/>
                <w:sz w:val="22"/>
                <w:szCs w:val="22"/>
              </w:rPr>
            </w:pPr>
            <w:r>
              <w:rPr>
                <w:rFonts w:asciiTheme="minorHAnsi" w:hAnsiTheme="minorHAnsi"/>
                <w:sz w:val="22"/>
                <w:szCs w:val="22"/>
              </w:rPr>
              <w:t>Cfz</w:t>
            </w:r>
          </w:p>
        </w:tc>
        <w:tc>
          <w:tcPr>
            <w:tcW w:w="1753" w:type="dxa"/>
          </w:tcPr>
          <w:p w14:paraId="49600358" w14:textId="7FABA658" w:rsidR="00D01A24" w:rsidRPr="00DE0C72" w:rsidRDefault="00BB015E" w:rsidP="00462589">
            <w:pPr>
              <w:pStyle w:val="BodyText24"/>
              <w:keepNext/>
              <w:keepLines/>
              <w:jc w:val="both"/>
              <w:rPr>
                <w:rFonts w:asciiTheme="minorHAnsi" w:hAnsiTheme="minorHAnsi"/>
                <w:sz w:val="22"/>
                <w:szCs w:val="22"/>
              </w:rPr>
            </w:pPr>
            <w:r>
              <w:rPr>
                <w:rFonts w:asciiTheme="minorHAnsi" w:hAnsiTheme="minorHAnsi"/>
                <w:sz w:val="22"/>
                <w:szCs w:val="22"/>
              </w:rPr>
              <w:t>Full dose</w:t>
            </w:r>
          </w:p>
        </w:tc>
        <w:tc>
          <w:tcPr>
            <w:tcW w:w="1890" w:type="dxa"/>
          </w:tcPr>
          <w:p w14:paraId="036D3232" w14:textId="7719874F" w:rsidR="00D01A24" w:rsidRPr="00DE0C72" w:rsidRDefault="00BB015E" w:rsidP="00462589">
            <w:pPr>
              <w:pStyle w:val="BodyText24"/>
              <w:keepNext/>
              <w:keepLines/>
              <w:jc w:val="both"/>
              <w:rPr>
                <w:rFonts w:asciiTheme="minorHAnsi" w:hAnsiTheme="minorHAnsi"/>
                <w:sz w:val="22"/>
                <w:szCs w:val="22"/>
              </w:rPr>
            </w:pPr>
            <w:r>
              <w:rPr>
                <w:rFonts w:asciiTheme="minorHAnsi" w:hAnsiTheme="minorHAnsi"/>
                <w:sz w:val="22"/>
                <w:szCs w:val="22"/>
              </w:rPr>
              <w:t>Full dose</w:t>
            </w:r>
          </w:p>
        </w:tc>
        <w:tc>
          <w:tcPr>
            <w:tcW w:w="1350" w:type="dxa"/>
          </w:tcPr>
          <w:p w14:paraId="0F2B58DF" w14:textId="2968EB7E" w:rsidR="00D01A24" w:rsidRPr="00DE0C72" w:rsidRDefault="00BB015E" w:rsidP="00462589">
            <w:pPr>
              <w:pStyle w:val="BodyText24"/>
              <w:keepNext/>
              <w:keepLines/>
              <w:jc w:val="both"/>
              <w:rPr>
                <w:rFonts w:asciiTheme="minorHAnsi" w:hAnsiTheme="minorHAnsi"/>
                <w:sz w:val="22"/>
                <w:szCs w:val="22"/>
              </w:rPr>
            </w:pPr>
            <w:r>
              <w:rPr>
                <w:rFonts w:asciiTheme="minorHAnsi" w:hAnsiTheme="minorHAnsi"/>
                <w:sz w:val="22"/>
                <w:szCs w:val="22"/>
              </w:rPr>
              <w:t>Full dose</w:t>
            </w:r>
          </w:p>
        </w:tc>
      </w:tr>
      <w:tr w:rsidR="00D01A24" w:rsidRPr="00681907" w14:paraId="385CAFE0" w14:textId="77777777" w:rsidTr="00B2735A">
        <w:trPr>
          <w:jc w:val="center"/>
        </w:trPr>
        <w:tc>
          <w:tcPr>
            <w:tcW w:w="1392" w:type="dxa"/>
            <w:gridSpan w:val="2"/>
          </w:tcPr>
          <w:p w14:paraId="63B8758B" w14:textId="182AF2F1" w:rsidR="00D01A24" w:rsidRPr="00DE0C72" w:rsidRDefault="00D01A24" w:rsidP="00462589">
            <w:pPr>
              <w:pStyle w:val="BodyText24"/>
              <w:keepNext/>
              <w:keepLines/>
              <w:jc w:val="both"/>
              <w:rPr>
                <w:rFonts w:asciiTheme="minorHAnsi" w:hAnsiTheme="minorHAnsi"/>
                <w:sz w:val="22"/>
                <w:szCs w:val="22"/>
              </w:rPr>
            </w:pPr>
            <w:r>
              <w:rPr>
                <w:rFonts w:asciiTheme="minorHAnsi" w:hAnsiTheme="minorHAnsi"/>
                <w:sz w:val="22"/>
                <w:szCs w:val="22"/>
              </w:rPr>
              <w:t>Bdq</w:t>
            </w:r>
          </w:p>
        </w:tc>
        <w:tc>
          <w:tcPr>
            <w:tcW w:w="1753" w:type="dxa"/>
          </w:tcPr>
          <w:p w14:paraId="36824FB4" w14:textId="7986481E" w:rsidR="00D01A24" w:rsidRPr="00DE0C72" w:rsidRDefault="00BB015E" w:rsidP="00462589">
            <w:pPr>
              <w:pStyle w:val="BodyText24"/>
              <w:keepNext/>
              <w:keepLines/>
              <w:jc w:val="both"/>
              <w:rPr>
                <w:rFonts w:asciiTheme="minorHAnsi" w:hAnsiTheme="minorHAnsi"/>
                <w:sz w:val="22"/>
                <w:szCs w:val="22"/>
              </w:rPr>
            </w:pPr>
            <w:r>
              <w:rPr>
                <w:rFonts w:asciiTheme="minorHAnsi" w:hAnsiTheme="minorHAnsi"/>
                <w:sz w:val="22"/>
                <w:szCs w:val="22"/>
              </w:rPr>
              <w:t>Full dose</w:t>
            </w:r>
          </w:p>
        </w:tc>
        <w:tc>
          <w:tcPr>
            <w:tcW w:w="1890" w:type="dxa"/>
          </w:tcPr>
          <w:p w14:paraId="4038900C" w14:textId="2F89A0F5" w:rsidR="00D01A24" w:rsidRPr="00DE0C72" w:rsidRDefault="00BB015E" w:rsidP="00462589">
            <w:pPr>
              <w:pStyle w:val="BodyText24"/>
              <w:keepNext/>
              <w:keepLines/>
              <w:jc w:val="both"/>
              <w:rPr>
                <w:rFonts w:asciiTheme="minorHAnsi" w:hAnsiTheme="minorHAnsi"/>
                <w:sz w:val="22"/>
                <w:szCs w:val="22"/>
              </w:rPr>
            </w:pPr>
            <w:r>
              <w:rPr>
                <w:rFonts w:asciiTheme="minorHAnsi" w:hAnsiTheme="minorHAnsi"/>
                <w:sz w:val="22"/>
                <w:szCs w:val="22"/>
              </w:rPr>
              <w:t>Full dose</w:t>
            </w:r>
          </w:p>
        </w:tc>
        <w:tc>
          <w:tcPr>
            <w:tcW w:w="1350" w:type="dxa"/>
          </w:tcPr>
          <w:p w14:paraId="54FAE62A" w14:textId="391F1C1D" w:rsidR="00D01A24" w:rsidRPr="00DE0C72" w:rsidRDefault="00BB015E" w:rsidP="00462589">
            <w:pPr>
              <w:pStyle w:val="BodyText24"/>
              <w:keepNext/>
              <w:keepLines/>
              <w:jc w:val="both"/>
              <w:rPr>
                <w:rFonts w:asciiTheme="minorHAnsi" w:hAnsiTheme="minorHAnsi"/>
                <w:sz w:val="22"/>
                <w:szCs w:val="22"/>
              </w:rPr>
            </w:pPr>
            <w:r>
              <w:rPr>
                <w:rFonts w:asciiTheme="minorHAnsi" w:hAnsiTheme="minorHAnsi"/>
                <w:sz w:val="22"/>
                <w:szCs w:val="22"/>
              </w:rPr>
              <w:t>Full dose</w:t>
            </w:r>
          </w:p>
        </w:tc>
      </w:tr>
    </w:tbl>
    <w:p w14:paraId="0248FEDF" w14:textId="77777777" w:rsidR="006C0EBF" w:rsidRPr="006C0EBF" w:rsidRDefault="006C0EBF" w:rsidP="00F1254D">
      <w:pPr>
        <w:pStyle w:val="Default"/>
      </w:pPr>
    </w:p>
    <w:p w14:paraId="240141C1" w14:textId="77777777" w:rsidR="00DD0899" w:rsidRDefault="00DD0899" w:rsidP="00462589">
      <w:pPr>
        <w:pStyle w:val="Heading4"/>
        <w:spacing w:before="0" w:after="120" w:line="240" w:lineRule="auto"/>
        <w:jc w:val="both"/>
        <w:rPr>
          <w:lang w:val="en-US"/>
        </w:rPr>
      </w:pPr>
      <w:r>
        <w:rPr>
          <w:lang w:val="en-US"/>
        </w:rPr>
        <w:t>Management of DVT/PE</w:t>
      </w:r>
    </w:p>
    <w:p w14:paraId="5F444880" w14:textId="77777777" w:rsidR="00DD0899" w:rsidRDefault="00DD0899" w:rsidP="00462589">
      <w:pPr>
        <w:spacing w:after="0" w:line="240" w:lineRule="auto"/>
        <w:jc w:val="both"/>
        <w:rPr>
          <w:lang w:val="en-US"/>
        </w:rPr>
      </w:pPr>
      <w:r>
        <w:rPr>
          <w:lang w:val="en-US"/>
        </w:rPr>
        <w:t>Please see Appendix 2 for additional information on the clinical manifestation, prevention, and diagnosis of DVT/PE.</w:t>
      </w:r>
    </w:p>
    <w:p w14:paraId="599E49F7" w14:textId="77777777" w:rsidR="00DD0899" w:rsidRPr="00EF445F" w:rsidRDefault="00DD0899" w:rsidP="00462589">
      <w:pPr>
        <w:spacing w:after="0" w:line="240" w:lineRule="auto"/>
        <w:jc w:val="both"/>
        <w:rPr>
          <w:lang w:val="en-US"/>
        </w:rPr>
      </w:pPr>
    </w:p>
    <w:p w14:paraId="28885F0D" w14:textId="77777777" w:rsidR="00DD0899" w:rsidRPr="00383212" w:rsidRDefault="00DD0899" w:rsidP="00462589">
      <w:pPr>
        <w:spacing w:after="0" w:line="240" w:lineRule="auto"/>
        <w:jc w:val="both"/>
        <w:rPr>
          <w:b/>
          <w:lang w:val="en-US"/>
        </w:rPr>
      </w:pPr>
      <w:r w:rsidRPr="00383212">
        <w:rPr>
          <w:b/>
          <w:lang w:val="en-US"/>
        </w:rPr>
        <w:t>Treatment of DVT/PE:</w:t>
      </w:r>
    </w:p>
    <w:p w14:paraId="12B332CB" w14:textId="77777777" w:rsidR="00DD0899" w:rsidRDefault="00DD0899" w:rsidP="00F1254D">
      <w:pPr>
        <w:pStyle w:val="ListParagraph"/>
        <w:numPr>
          <w:ilvl w:val="0"/>
          <w:numId w:val="28"/>
        </w:numPr>
        <w:spacing w:after="0"/>
        <w:jc w:val="both"/>
        <w:rPr>
          <w:lang w:val="en-US"/>
        </w:rPr>
      </w:pPr>
      <w:r w:rsidRPr="00E52F02">
        <w:rPr>
          <w:lang w:val="en-US"/>
        </w:rPr>
        <w:t>The goal of treatment of DVT is to prevent PE. Patients generally should be hospitalized for treatment of DVT</w:t>
      </w:r>
      <w:r>
        <w:rPr>
          <w:lang w:val="en-US"/>
        </w:rPr>
        <w:t xml:space="preserve">, especially during the first few days after initiating treatment. Prolonged hospitalization </w:t>
      </w:r>
      <w:r w:rsidRPr="00E52F02">
        <w:rPr>
          <w:lang w:val="en-US"/>
        </w:rPr>
        <w:t>is not obligatory if the patient can be monitored carefully as an outpatient.</w:t>
      </w:r>
    </w:p>
    <w:p w14:paraId="7FB04AA4" w14:textId="29569EB6" w:rsidR="00DD0899" w:rsidRDefault="00DD0899" w:rsidP="00CB19AC">
      <w:pPr>
        <w:pStyle w:val="ListParagraph"/>
        <w:numPr>
          <w:ilvl w:val="0"/>
          <w:numId w:val="28"/>
        </w:numPr>
        <w:spacing w:after="0"/>
        <w:jc w:val="both"/>
        <w:rPr>
          <w:lang w:val="en-US"/>
        </w:rPr>
      </w:pPr>
      <w:r w:rsidRPr="0040283A">
        <w:rPr>
          <w:lang w:val="en-US"/>
        </w:rPr>
        <w:t xml:space="preserve">Start </w:t>
      </w:r>
      <w:r w:rsidRPr="00383212">
        <w:rPr>
          <w:b/>
          <w:lang w:val="en-US"/>
        </w:rPr>
        <w:t>enoxaparin (LMWH) and warfarin</w:t>
      </w:r>
      <w:r w:rsidRPr="0040283A">
        <w:rPr>
          <w:lang w:val="en-US"/>
        </w:rPr>
        <w:t xml:space="preserve"> at the same time. </w:t>
      </w:r>
      <w:r>
        <w:rPr>
          <w:lang w:val="en-US"/>
        </w:rPr>
        <w:t xml:space="preserve">If partial thromboplastin time (PTT) is available and can be checked quickly and reliably every 6 hours, then a </w:t>
      </w:r>
      <w:r w:rsidRPr="00383212">
        <w:rPr>
          <w:b/>
          <w:lang w:val="en-US"/>
        </w:rPr>
        <w:t>heparin IV drip</w:t>
      </w:r>
      <w:r>
        <w:rPr>
          <w:lang w:val="en-US"/>
        </w:rPr>
        <w:t xml:space="preserve"> can be used instead of </w:t>
      </w:r>
      <w:r w:rsidRPr="00383212">
        <w:rPr>
          <w:b/>
          <w:lang w:val="en-US"/>
        </w:rPr>
        <w:t>enoxaparin</w:t>
      </w:r>
      <w:r>
        <w:rPr>
          <w:lang w:val="en-US"/>
        </w:rPr>
        <w:t xml:space="preserve">. Therapeutic doses of </w:t>
      </w:r>
      <w:r w:rsidRPr="00442895">
        <w:rPr>
          <w:b/>
          <w:lang w:val="en-US"/>
        </w:rPr>
        <w:t>enoxaparin</w:t>
      </w:r>
      <w:r w:rsidRPr="008977B1">
        <w:rPr>
          <w:lang w:val="en-US"/>
        </w:rPr>
        <w:t xml:space="preserve"> </w:t>
      </w:r>
      <w:r>
        <w:rPr>
          <w:lang w:val="en-US"/>
        </w:rPr>
        <w:t xml:space="preserve">or </w:t>
      </w:r>
      <w:r w:rsidRPr="00383212">
        <w:rPr>
          <w:b/>
          <w:lang w:val="en-US"/>
        </w:rPr>
        <w:t>heparin IV drip</w:t>
      </w:r>
      <w:r>
        <w:rPr>
          <w:lang w:val="en-US"/>
        </w:rPr>
        <w:t xml:space="preserve"> </w:t>
      </w:r>
      <w:r w:rsidRPr="008977B1">
        <w:rPr>
          <w:lang w:val="en-US"/>
        </w:rPr>
        <w:t>are shown below</w:t>
      </w:r>
      <w:r>
        <w:rPr>
          <w:lang w:val="en-US"/>
        </w:rPr>
        <w:t>.</w:t>
      </w:r>
    </w:p>
    <w:p w14:paraId="6FC1E530" w14:textId="77777777" w:rsidR="006C0EBF" w:rsidRDefault="006C0EBF" w:rsidP="00462589">
      <w:pPr>
        <w:spacing w:after="0" w:line="240" w:lineRule="auto"/>
        <w:rPr>
          <w:lang w:val="en-US"/>
        </w:rPr>
      </w:pPr>
    </w:p>
    <w:p w14:paraId="2B0DFBA0" w14:textId="77777777" w:rsidR="00DD0899" w:rsidRPr="008977B1" w:rsidRDefault="00DD0899" w:rsidP="00462589">
      <w:pPr>
        <w:spacing w:after="0" w:line="240" w:lineRule="auto"/>
        <w:rPr>
          <w:b/>
          <w:lang w:val="en-US"/>
        </w:rPr>
      </w:pPr>
      <w:r>
        <w:rPr>
          <w:b/>
          <w:lang w:val="en-US"/>
        </w:rPr>
        <w:t>Therapeutic</w:t>
      </w:r>
      <w:r w:rsidRPr="008977B1">
        <w:rPr>
          <w:b/>
          <w:lang w:val="en-US"/>
        </w:rPr>
        <w:t xml:space="preserve"> dosin</w:t>
      </w:r>
      <w:r>
        <w:rPr>
          <w:b/>
          <w:lang w:val="en-US"/>
        </w:rPr>
        <w:t>g</w:t>
      </w:r>
      <w:r w:rsidRPr="008977B1">
        <w:rPr>
          <w:b/>
          <w:lang w:val="en-US"/>
        </w:rPr>
        <w:t xml:space="preserve"> of </w:t>
      </w:r>
      <w:r>
        <w:rPr>
          <w:b/>
          <w:lang w:val="en-US"/>
        </w:rPr>
        <w:t xml:space="preserve">intravenous </w:t>
      </w:r>
      <w:r w:rsidRPr="008977B1">
        <w:rPr>
          <w:b/>
          <w:lang w:val="en-US"/>
        </w:rPr>
        <w:t xml:space="preserve">heparin and </w:t>
      </w:r>
      <w:r>
        <w:rPr>
          <w:b/>
          <w:lang w:val="en-US"/>
        </w:rPr>
        <w:t xml:space="preserve">subcutaneous </w:t>
      </w:r>
      <w:r w:rsidRPr="008977B1">
        <w:rPr>
          <w:b/>
          <w:lang w:val="en-US"/>
        </w:rPr>
        <w:t>enoxaparin</w:t>
      </w:r>
      <w:r>
        <w:rPr>
          <w:b/>
          <w:lang w:val="en-US"/>
        </w:rPr>
        <w:t xml:space="preserve"> for the </w:t>
      </w:r>
      <w:r w:rsidRPr="009E3DC3">
        <w:rPr>
          <w:b/>
          <w:i/>
          <w:lang w:val="en-US"/>
        </w:rPr>
        <w:t>treatment</w:t>
      </w:r>
      <w:r>
        <w:rPr>
          <w:b/>
          <w:lang w:val="en-US"/>
        </w:rPr>
        <w:t xml:space="preserve"> of DVT/PE</w:t>
      </w:r>
    </w:p>
    <w:tbl>
      <w:tblPr>
        <w:tblStyle w:val="TableGrid"/>
        <w:tblW w:w="0" w:type="auto"/>
        <w:jc w:val="center"/>
        <w:tblLayout w:type="fixed"/>
        <w:tblLook w:val="04A0" w:firstRow="1" w:lastRow="0" w:firstColumn="1" w:lastColumn="0" w:noHBand="0" w:noVBand="1"/>
      </w:tblPr>
      <w:tblGrid>
        <w:gridCol w:w="1668"/>
        <w:gridCol w:w="1559"/>
        <w:gridCol w:w="6349"/>
      </w:tblGrid>
      <w:tr w:rsidR="00DD0899" w:rsidRPr="00EB7C6E" w14:paraId="7F50991D" w14:textId="77777777" w:rsidTr="00CD2C4B">
        <w:trPr>
          <w:jc w:val="center"/>
        </w:trPr>
        <w:tc>
          <w:tcPr>
            <w:tcW w:w="1668" w:type="dxa"/>
            <w:shd w:val="clear" w:color="auto" w:fill="2F5496" w:themeFill="accent5" w:themeFillShade="BF"/>
          </w:tcPr>
          <w:p w14:paraId="527B0570" w14:textId="77777777" w:rsidR="00DD0899" w:rsidRPr="00EB7C6E" w:rsidRDefault="00DD0899" w:rsidP="00F1254D">
            <w:pPr>
              <w:pStyle w:val="ListBullet"/>
              <w:numPr>
                <w:ilvl w:val="0"/>
                <w:numId w:val="0"/>
              </w:numPr>
              <w:rPr>
                <w:rFonts w:ascii="Calibri" w:hAnsi="Calibri" w:cs="Calibri"/>
                <w:b/>
                <w:color w:val="FFFFFF" w:themeColor="background1"/>
                <w:sz w:val="22"/>
                <w:szCs w:val="22"/>
              </w:rPr>
            </w:pPr>
            <w:r w:rsidRPr="00EB7C6E">
              <w:rPr>
                <w:rFonts w:ascii="Calibri" w:hAnsi="Calibri" w:cs="Calibri"/>
                <w:b/>
                <w:color w:val="FFFFFF" w:themeColor="background1"/>
                <w:sz w:val="22"/>
                <w:szCs w:val="22"/>
              </w:rPr>
              <w:t>Agent</w:t>
            </w:r>
          </w:p>
        </w:tc>
        <w:tc>
          <w:tcPr>
            <w:tcW w:w="1559" w:type="dxa"/>
            <w:shd w:val="clear" w:color="auto" w:fill="2F5496" w:themeFill="accent5" w:themeFillShade="BF"/>
          </w:tcPr>
          <w:p w14:paraId="548C6B22" w14:textId="77777777" w:rsidR="00DD0899" w:rsidRPr="00EB7C6E" w:rsidRDefault="00DD0899">
            <w:pPr>
              <w:pStyle w:val="ListBullet"/>
              <w:numPr>
                <w:ilvl w:val="0"/>
                <w:numId w:val="0"/>
              </w:numPr>
              <w:rPr>
                <w:rFonts w:ascii="Calibri" w:hAnsi="Calibri" w:cs="Calibri"/>
                <w:b/>
                <w:color w:val="FFFFFF" w:themeColor="background1"/>
                <w:sz w:val="22"/>
                <w:szCs w:val="22"/>
              </w:rPr>
            </w:pPr>
            <w:r w:rsidRPr="00EB7C6E">
              <w:rPr>
                <w:rFonts w:ascii="Calibri" w:hAnsi="Calibri" w:cs="Calibri"/>
                <w:b/>
                <w:color w:val="FFFFFF" w:themeColor="background1"/>
                <w:sz w:val="22"/>
                <w:szCs w:val="22"/>
              </w:rPr>
              <w:t>Route</w:t>
            </w:r>
          </w:p>
        </w:tc>
        <w:tc>
          <w:tcPr>
            <w:tcW w:w="6349" w:type="dxa"/>
            <w:shd w:val="clear" w:color="auto" w:fill="2F5496" w:themeFill="accent5" w:themeFillShade="BF"/>
          </w:tcPr>
          <w:p w14:paraId="29F6E233" w14:textId="77777777" w:rsidR="00DD0899" w:rsidRPr="00EB7C6E" w:rsidRDefault="00DD0899">
            <w:pPr>
              <w:pStyle w:val="ListBullet"/>
              <w:numPr>
                <w:ilvl w:val="0"/>
                <w:numId w:val="0"/>
              </w:numPr>
              <w:rPr>
                <w:rFonts w:ascii="Calibri" w:hAnsi="Calibri" w:cs="Calibri"/>
                <w:b/>
                <w:color w:val="FFFFFF" w:themeColor="background1"/>
                <w:sz w:val="22"/>
                <w:szCs w:val="22"/>
              </w:rPr>
            </w:pPr>
            <w:r w:rsidRPr="00EB7C6E">
              <w:rPr>
                <w:rFonts w:ascii="Calibri" w:hAnsi="Calibri" w:cs="Calibri"/>
                <w:b/>
                <w:color w:val="FFFFFF" w:themeColor="background1"/>
                <w:sz w:val="22"/>
                <w:szCs w:val="22"/>
              </w:rPr>
              <w:t>Dose</w:t>
            </w:r>
          </w:p>
        </w:tc>
      </w:tr>
      <w:tr w:rsidR="00A35BB8" w:rsidRPr="00F050A7" w14:paraId="0B585643" w14:textId="77777777" w:rsidTr="00CD2C4B">
        <w:trPr>
          <w:jc w:val="center"/>
        </w:trPr>
        <w:tc>
          <w:tcPr>
            <w:tcW w:w="1668" w:type="dxa"/>
          </w:tcPr>
          <w:p w14:paraId="0CD5715D" w14:textId="77777777" w:rsidR="00A35BB8" w:rsidRPr="007F0F8F" w:rsidRDefault="00A35BB8" w:rsidP="00F1254D">
            <w:pPr>
              <w:pStyle w:val="ListBullet"/>
              <w:numPr>
                <w:ilvl w:val="0"/>
                <w:numId w:val="0"/>
              </w:numPr>
              <w:rPr>
                <w:rFonts w:ascii="Calibri" w:hAnsi="Calibri" w:cs="Calibri"/>
                <w:sz w:val="22"/>
                <w:szCs w:val="22"/>
              </w:rPr>
            </w:pPr>
            <w:r w:rsidRPr="007F0F8F">
              <w:rPr>
                <w:rFonts w:ascii="Calibri" w:hAnsi="Calibri" w:cs="Calibri"/>
                <w:sz w:val="22"/>
                <w:szCs w:val="22"/>
              </w:rPr>
              <w:t>Enoxaparin</w:t>
            </w:r>
          </w:p>
          <w:p w14:paraId="15652791" w14:textId="736AA4DE" w:rsidR="00A35BB8" w:rsidRPr="007F0F8F" w:rsidRDefault="00A35BB8">
            <w:pPr>
              <w:pStyle w:val="ListBullet"/>
              <w:numPr>
                <w:ilvl w:val="0"/>
                <w:numId w:val="0"/>
              </w:numPr>
            </w:pPr>
            <w:r w:rsidRPr="00FC5C62">
              <w:rPr>
                <w:rFonts w:ascii="Calibri" w:hAnsi="Calibri" w:cs="Calibri"/>
                <w:sz w:val="22"/>
                <w:szCs w:val="22"/>
              </w:rPr>
              <w:t>(low molecular weight heparin, LMWH)</w:t>
            </w:r>
          </w:p>
        </w:tc>
        <w:tc>
          <w:tcPr>
            <w:tcW w:w="1559" w:type="dxa"/>
          </w:tcPr>
          <w:p w14:paraId="64ABAFEE" w14:textId="5D43DFAB" w:rsidR="00A35BB8" w:rsidRPr="007F0F8F" w:rsidRDefault="00A35BB8">
            <w:pPr>
              <w:pStyle w:val="ListBullet"/>
              <w:numPr>
                <w:ilvl w:val="0"/>
                <w:numId w:val="0"/>
              </w:numPr>
            </w:pPr>
            <w:r w:rsidRPr="00FC5C62">
              <w:rPr>
                <w:rFonts w:ascii="Calibri" w:hAnsi="Calibri" w:cs="Calibri"/>
                <w:sz w:val="22"/>
                <w:szCs w:val="22"/>
              </w:rPr>
              <w:t>Subcutaneous</w:t>
            </w:r>
          </w:p>
        </w:tc>
        <w:tc>
          <w:tcPr>
            <w:tcW w:w="6349" w:type="dxa"/>
          </w:tcPr>
          <w:p w14:paraId="0FE88940" w14:textId="77777777" w:rsidR="00A35BB8" w:rsidRPr="00FC5C62" w:rsidRDefault="00A35BB8">
            <w:pPr>
              <w:pStyle w:val="ListBullet"/>
              <w:numPr>
                <w:ilvl w:val="0"/>
                <w:numId w:val="0"/>
              </w:numPr>
              <w:rPr>
                <w:rFonts w:ascii="Calibri" w:hAnsi="Calibri" w:cs="Calibri"/>
                <w:sz w:val="22"/>
                <w:szCs w:val="22"/>
              </w:rPr>
            </w:pPr>
            <w:r w:rsidRPr="00FC5C62">
              <w:rPr>
                <w:rFonts w:ascii="Calibri" w:hAnsi="Calibri" w:cs="Calibri"/>
                <w:sz w:val="22"/>
                <w:szCs w:val="22"/>
              </w:rPr>
              <w:t>40 mg once daily</w:t>
            </w:r>
            <w:r w:rsidRPr="00FC5C62">
              <w:rPr>
                <w:rFonts w:ascii="Calibri" w:hAnsi="Calibri" w:cs="Calibri"/>
                <w:sz w:val="22"/>
                <w:szCs w:val="22"/>
              </w:rPr>
              <w:br/>
              <w:t>(For GFR &lt; 30, dose at 30 mg once daily;</w:t>
            </w:r>
          </w:p>
          <w:p w14:paraId="29891787" w14:textId="66E625D4" w:rsidR="00A35BB8" w:rsidRPr="007F0F8F" w:rsidRDefault="00A35BB8">
            <w:pPr>
              <w:pStyle w:val="ListBullet"/>
              <w:numPr>
                <w:ilvl w:val="0"/>
                <w:numId w:val="0"/>
              </w:numPr>
              <w:rPr>
                <w:u w:val="single"/>
              </w:rPr>
            </w:pPr>
            <w:r w:rsidRPr="00FC5C62">
              <w:rPr>
                <w:rFonts w:ascii="Calibri" w:hAnsi="Calibri" w:cs="Calibri"/>
                <w:sz w:val="22"/>
                <w:szCs w:val="22"/>
              </w:rPr>
              <w:t>Avoid in patients with hepatic impairment)</w:t>
            </w:r>
          </w:p>
        </w:tc>
      </w:tr>
      <w:tr w:rsidR="00DD0899" w:rsidRPr="00F050A7" w14:paraId="335FAFA2" w14:textId="77777777" w:rsidTr="00CD2C4B">
        <w:trPr>
          <w:jc w:val="center"/>
        </w:trPr>
        <w:tc>
          <w:tcPr>
            <w:tcW w:w="1668" w:type="dxa"/>
          </w:tcPr>
          <w:p w14:paraId="520EDE87" w14:textId="77777777" w:rsidR="00DD0899" w:rsidRPr="007F0F8F" w:rsidRDefault="00DD0899" w:rsidP="00F1254D">
            <w:pPr>
              <w:pStyle w:val="ListBullet"/>
              <w:numPr>
                <w:ilvl w:val="0"/>
                <w:numId w:val="0"/>
              </w:numPr>
              <w:rPr>
                <w:rFonts w:ascii="Calibri" w:hAnsi="Calibri" w:cs="Calibri"/>
                <w:sz w:val="22"/>
                <w:szCs w:val="22"/>
              </w:rPr>
            </w:pPr>
            <w:r w:rsidRPr="007F0F8F">
              <w:rPr>
                <w:rFonts w:ascii="Calibri" w:hAnsi="Calibri" w:cs="Calibri"/>
                <w:sz w:val="22"/>
                <w:szCs w:val="22"/>
              </w:rPr>
              <w:t>Heparin</w:t>
            </w:r>
          </w:p>
        </w:tc>
        <w:tc>
          <w:tcPr>
            <w:tcW w:w="1559" w:type="dxa"/>
          </w:tcPr>
          <w:p w14:paraId="1F7BB796" w14:textId="77777777" w:rsidR="00DD0899" w:rsidRPr="007F0F8F" w:rsidRDefault="00DD0899">
            <w:pPr>
              <w:pStyle w:val="ListBullet"/>
              <w:numPr>
                <w:ilvl w:val="0"/>
                <w:numId w:val="0"/>
              </w:numPr>
              <w:rPr>
                <w:rFonts w:ascii="Calibri" w:hAnsi="Calibri" w:cs="Calibri"/>
                <w:sz w:val="22"/>
                <w:szCs w:val="22"/>
              </w:rPr>
            </w:pPr>
            <w:r w:rsidRPr="007F0F8F">
              <w:rPr>
                <w:rFonts w:ascii="Calibri" w:hAnsi="Calibri" w:cs="Calibri"/>
                <w:sz w:val="22"/>
                <w:szCs w:val="22"/>
              </w:rPr>
              <w:t>Intravenous</w:t>
            </w:r>
          </w:p>
        </w:tc>
        <w:tc>
          <w:tcPr>
            <w:tcW w:w="6349" w:type="dxa"/>
          </w:tcPr>
          <w:p w14:paraId="683EC776" w14:textId="77777777" w:rsidR="00DD0899" w:rsidRPr="007F0F8F" w:rsidRDefault="00DD0899">
            <w:pPr>
              <w:pStyle w:val="ListBullet"/>
              <w:numPr>
                <w:ilvl w:val="0"/>
                <w:numId w:val="0"/>
              </w:numPr>
              <w:rPr>
                <w:rFonts w:ascii="Calibri" w:hAnsi="Calibri" w:cs="Calibri"/>
                <w:sz w:val="22"/>
                <w:szCs w:val="22"/>
              </w:rPr>
            </w:pPr>
            <w:r w:rsidRPr="007F0F8F">
              <w:rPr>
                <w:sz w:val="22"/>
                <w:szCs w:val="22"/>
                <w:u w:val="single"/>
              </w:rPr>
              <w:t>Initial dose</w:t>
            </w:r>
            <w:r w:rsidRPr="007F0F8F">
              <w:rPr>
                <w:rFonts w:ascii="Calibri" w:hAnsi="Calibri" w:cs="Calibri"/>
                <w:sz w:val="22"/>
                <w:szCs w:val="22"/>
              </w:rPr>
              <w:t>: 80 units/kg bolus, then start rate at 18 units/kg/hour</w:t>
            </w:r>
          </w:p>
          <w:p w14:paraId="4B76EF21" w14:textId="77777777" w:rsidR="00DD0899" w:rsidRPr="00FC5C62" w:rsidRDefault="00DD0899">
            <w:pPr>
              <w:pStyle w:val="ListBullet"/>
              <w:numPr>
                <w:ilvl w:val="0"/>
                <w:numId w:val="0"/>
              </w:numPr>
              <w:rPr>
                <w:rFonts w:ascii="Calibri" w:hAnsi="Calibri" w:cs="Calibri"/>
                <w:sz w:val="22"/>
                <w:szCs w:val="22"/>
              </w:rPr>
            </w:pPr>
            <w:r w:rsidRPr="00FC5C62">
              <w:rPr>
                <w:rFonts w:ascii="Calibri" w:hAnsi="Calibri" w:cs="Calibri"/>
                <w:sz w:val="22"/>
                <w:szCs w:val="22"/>
              </w:rPr>
              <w:t>(Consider no bolus if at high risk of bleeding)</w:t>
            </w:r>
          </w:p>
          <w:p w14:paraId="2CC0A918" w14:textId="77777777" w:rsidR="00DD0899" w:rsidRPr="00CD2C4B" w:rsidRDefault="00DD0899">
            <w:pPr>
              <w:pStyle w:val="ListBullet"/>
              <w:numPr>
                <w:ilvl w:val="0"/>
                <w:numId w:val="0"/>
              </w:numPr>
              <w:rPr>
                <w:rFonts w:ascii="Calibri" w:hAnsi="Calibri" w:cs="Calibri"/>
                <w:sz w:val="4"/>
                <w:szCs w:val="22"/>
              </w:rPr>
            </w:pPr>
          </w:p>
          <w:p w14:paraId="7623CAF8" w14:textId="77777777" w:rsidR="00DD0899" w:rsidRPr="007F0F8F" w:rsidRDefault="00DD0899">
            <w:pPr>
              <w:pStyle w:val="ListBullet"/>
              <w:numPr>
                <w:ilvl w:val="0"/>
                <w:numId w:val="0"/>
              </w:numPr>
              <w:rPr>
                <w:rFonts w:ascii="Calibri" w:hAnsi="Calibri" w:cs="Calibri"/>
                <w:sz w:val="22"/>
                <w:szCs w:val="22"/>
              </w:rPr>
            </w:pPr>
            <w:r w:rsidRPr="007F0F8F">
              <w:rPr>
                <w:sz w:val="22"/>
                <w:szCs w:val="22"/>
                <w:u w:val="single"/>
              </w:rPr>
              <w:t>Subsequent dosing based on PTT</w:t>
            </w:r>
            <w:r w:rsidRPr="007F0F8F">
              <w:rPr>
                <w:rFonts w:ascii="Calibri" w:hAnsi="Calibri" w:cs="Calibri"/>
                <w:sz w:val="22"/>
                <w:szCs w:val="22"/>
                <w:u w:val="single"/>
              </w:rPr>
              <w:t xml:space="preserve"> q6hours*</w:t>
            </w:r>
            <w:r w:rsidRPr="007F0F8F">
              <w:rPr>
                <w:rFonts w:ascii="Calibri" w:hAnsi="Calibri" w:cs="Calibri"/>
                <w:sz w:val="22"/>
                <w:szCs w:val="22"/>
              </w:rPr>
              <w:t>:</w:t>
            </w:r>
          </w:p>
          <w:p w14:paraId="562E7059" w14:textId="77777777" w:rsidR="00DD0899" w:rsidRPr="007F0F8F" w:rsidRDefault="00DD0899" w:rsidP="004022C9">
            <w:pPr>
              <w:pStyle w:val="ListBullet"/>
              <w:numPr>
                <w:ilvl w:val="0"/>
                <w:numId w:val="29"/>
              </w:numPr>
              <w:ind w:left="360"/>
              <w:rPr>
                <w:rFonts w:ascii="Calibri" w:hAnsi="Calibri" w:cs="Calibri"/>
                <w:sz w:val="22"/>
                <w:szCs w:val="22"/>
              </w:rPr>
            </w:pPr>
            <w:r w:rsidRPr="007F0F8F">
              <w:rPr>
                <w:sz w:val="22"/>
                <w:szCs w:val="22"/>
                <w:u w:val="single"/>
              </w:rPr>
              <w:t>PTT &lt;35</w:t>
            </w:r>
            <w:r w:rsidRPr="007F0F8F">
              <w:rPr>
                <w:rFonts w:ascii="Calibri" w:hAnsi="Calibri" w:cs="Calibri"/>
                <w:sz w:val="22"/>
                <w:szCs w:val="22"/>
              </w:rPr>
              <w:t>: 80 units/kg bolus, increase rate by 4 units/kg/hour</w:t>
            </w:r>
          </w:p>
          <w:p w14:paraId="4E98E1AB" w14:textId="77777777" w:rsidR="00DD0899" w:rsidRPr="007F0F8F" w:rsidRDefault="00DD0899" w:rsidP="004022C9">
            <w:pPr>
              <w:pStyle w:val="ListBullet"/>
              <w:numPr>
                <w:ilvl w:val="0"/>
                <w:numId w:val="29"/>
              </w:numPr>
              <w:ind w:left="360"/>
              <w:rPr>
                <w:rFonts w:ascii="Calibri" w:hAnsi="Calibri" w:cs="Calibri"/>
                <w:sz w:val="22"/>
                <w:szCs w:val="22"/>
              </w:rPr>
            </w:pPr>
            <w:r w:rsidRPr="007F0F8F">
              <w:rPr>
                <w:rFonts w:ascii="Calibri" w:hAnsi="Calibri" w:cs="Calibri"/>
                <w:sz w:val="22"/>
                <w:szCs w:val="22"/>
                <w:u w:val="single"/>
              </w:rPr>
              <w:t>PTT 35</w:t>
            </w:r>
            <w:r w:rsidRPr="007F0F8F">
              <w:rPr>
                <w:sz w:val="22"/>
                <w:szCs w:val="22"/>
                <w:u w:val="single"/>
              </w:rPr>
              <w:t>-</w:t>
            </w:r>
            <w:r w:rsidRPr="007F0F8F">
              <w:rPr>
                <w:rFonts w:ascii="Calibri" w:hAnsi="Calibri" w:cs="Calibri"/>
                <w:sz w:val="22"/>
                <w:szCs w:val="22"/>
                <w:u w:val="single"/>
              </w:rPr>
              <w:t>59</w:t>
            </w:r>
            <w:r w:rsidRPr="007F0F8F">
              <w:rPr>
                <w:rFonts w:ascii="Calibri" w:hAnsi="Calibri" w:cs="Calibri"/>
                <w:sz w:val="22"/>
                <w:szCs w:val="22"/>
              </w:rPr>
              <w:t>: 40 units/kg bolus, increase rate by 2 units/kg/hour</w:t>
            </w:r>
          </w:p>
          <w:p w14:paraId="5A164712" w14:textId="77777777" w:rsidR="00DD0899" w:rsidRPr="00FC5C62" w:rsidRDefault="00DD0899" w:rsidP="004022C9">
            <w:pPr>
              <w:pStyle w:val="ListBullet"/>
              <w:numPr>
                <w:ilvl w:val="0"/>
                <w:numId w:val="29"/>
              </w:numPr>
              <w:ind w:left="360"/>
              <w:rPr>
                <w:rFonts w:ascii="Calibri" w:hAnsi="Calibri" w:cs="Calibri"/>
                <w:sz w:val="22"/>
                <w:szCs w:val="22"/>
              </w:rPr>
            </w:pPr>
            <w:r w:rsidRPr="007F0F8F">
              <w:rPr>
                <w:sz w:val="22"/>
                <w:szCs w:val="22"/>
                <w:u w:val="single"/>
              </w:rPr>
              <w:t xml:space="preserve">PTT </w:t>
            </w:r>
            <w:r w:rsidRPr="007F0F8F">
              <w:rPr>
                <w:rFonts w:ascii="Calibri" w:hAnsi="Calibri" w:cs="Calibri"/>
                <w:sz w:val="22"/>
                <w:szCs w:val="22"/>
                <w:u w:val="single"/>
              </w:rPr>
              <w:t>60</w:t>
            </w:r>
            <w:r w:rsidRPr="007F0F8F">
              <w:rPr>
                <w:sz w:val="22"/>
                <w:szCs w:val="22"/>
                <w:u w:val="single"/>
              </w:rPr>
              <w:t>-</w:t>
            </w:r>
            <w:r w:rsidRPr="007F0F8F">
              <w:rPr>
                <w:rFonts w:ascii="Calibri" w:hAnsi="Calibri" w:cs="Calibri"/>
                <w:sz w:val="22"/>
                <w:szCs w:val="22"/>
                <w:u w:val="single"/>
              </w:rPr>
              <w:t>89</w:t>
            </w:r>
            <w:r w:rsidRPr="007F0F8F">
              <w:rPr>
                <w:rFonts w:ascii="Calibri" w:hAnsi="Calibri" w:cs="Calibri"/>
                <w:sz w:val="22"/>
                <w:szCs w:val="22"/>
              </w:rPr>
              <w:t>: No change, at therapeutic range</w:t>
            </w:r>
          </w:p>
          <w:p w14:paraId="23B1513C" w14:textId="77777777" w:rsidR="00DD0899" w:rsidRPr="00FC5C62" w:rsidRDefault="00DD0899" w:rsidP="004022C9">
            <w:pPr>
              <w:pStyle w:val="ListBullet"/>
              <w:numPr>
                <w:ilvl w:val="0"/>
                <w:numId w:val="29"/>
              </w:numPr>
              <w:ind w:left="360"/>
              <w:rPr>
                <w:rFonts w:ascii="Calibri" w:hAnsi="Calibri" w:cs="Calibri"/>
                <w:sz w:val="22"/>
                <w:szCs w:val="22"/>
              </w:rPr>
            </w:pPr>
            <w:r w:rsidRPr="00FC5C62">
              <w:rPr>
                <w:sz w:val="22"/>
                <w:szCs w:val="22"/>
                <w:u w:val="single"/>
              </w:rPr>
              <w:lastRenderedPageBreak/>
              <w:t xml:space="preserve">PTT </w:t>
            </w:r>
            <w:r w:rsidRPr="007F0F8F">
              <w:rPr>
                <w:rFonts w:ascii="Calibri" w:hAnsi="Calibri" w:cs="Calibri"/>
                <w:sz w:val="22"/>
                <w:szCs w:val="22"/>
                <w:u w:val="single"/>
              </w:rPr>
              <w:t>90</w:t>
            </w:r>
            <w:r w:rsidRPr="00FC5C62">
              <w:rPr>
                <w:sz w:val="22"/>
                <w:szCs w:val="22"/>
                <w:u w:val="single"/>
              </w:rPr>
              <w:t>-</w:t>
            </w:r>
            <w:r w:rsidRPr="007F0F8F">
              <w:rPr>
                <w:rFonts w:ascii="Calibri" w:hAnsi="Calibri" w:cs="Calibri"/>
                <w:sz w:val="22"/>
                <w:szCs w:val="22"/>
                <w:u w:val="single"/>
              </w:rPr>
              <w:t>100</w:t>
            </w:r>
            <w:r w:rsidRPr="007F0F8F">
              <w:rPr>
                <w:rFonts w:ascii="Calibri" w:hAnsi="Calibri" w:cs="Calibri"/>
                <w:sz w:val="22"/>
                <w:szCs w:val="22"/>
              </w:rPr>
              <w:t>: Decrease infusion rate by 3 units/kg/hour</w:t>
            </w:r>
          </w:p>
          <w:p w14:paraId="64864083" w14:textId="77777777" w:rsidR="00DD0899" w:rsidRPr="007F0F8F" w:rsidRDefault="00DD0899" w:rsidP="004022C9">
            <w:pPr>
              <w:pStyle w:val="ListBullet"/>
              <w:numPr>
                <w:ilvl w:val="0"/>
                <w:numId w:val="29"/>
              </w:numPr>
              <w:ind w:left="360"/>
              <w:rPr>
                <w:rFonts w:ascii="Calibri" w:hAnsi="Calibri" w:cs="Calibri"/>
                <w:sz w:val="22"/>
                <w:szCs w:val="22"/>
              </w:rPr>
            </w:pPr>
            <w:r w:rsidRPr="00FC5C62">
              <w:rPr>
                <w:rFonts w:ascii="Calibri" w:hAnsi="Calibri" w:cs="Calibri"/>
                <w:sz w:val="22"/>
                <w:szCs w:val="22"/>
                <w:u w:val="single"/>
              </w:rPr>
              <w:t>PTT &gt;100</w:t>
            </w:r>
            <w:r w:rsidRPr="00FC5C62">
              <w:rPr>
                <w:sz w:val="22"/>
                <w:szCs w:val="22"/>
              </w:rPr>
              <w:t>:</w:t>
            </w:r>
            <w:r w:rsidRPr="007F0F8F">
              <w:rPr>
                <w:rFonts w:ascii="Calibri" w:hAnsi="Calibri" w:cs="Calibri"/>
                <w:sz w:val="22"/>
                <w:szCs w:val="22"/>
              </w:rPr>
              <w:t xml:space="preserve"> Hold infusion by 1 hour, decrease infusion rate by 4 units/kg/hour</w:t>
            </w:r>
          </w:p>
          <w:p w14:paraId="0D65DA01" w14:textId="77777777" w:rsidR="00DD0899" w:rsidRPr="00CD2C4B" w:rsidRDefault="00DD0899">
            <w:pPr>
              <w:pStyle w:val="ListBullet"/>
              <w:numPr>
                <w:ilvl w:val="0"/>
                <w:numId w:val="0"/>
              </w:numPr>
              <w:rPr>
                <w:rFonts w:ascii="Calibri" w:hAnsi="Calibri" w:cs="Calibri"/>
                <w:sz w:val="6"/>
                <w:szCs w:val="22"/>
              </w:rPr>
            </w:pPr>
          </w:p>
          <w:p w14:paraId="176907DF" w14:textId="5C0B9F39" w:rsidR="00DD0899" w:rsidRPr="003E31E5" w:rsidRDefault="00DD0899">
            <w:pPr>
              <w:pStyle w:val="ListBullet"/>
              <w:numPr>
                <w:ilvl w:val="0"/>
                <w:numId w:val="0"/>
              </w:numPr>
              <w:rPr>
                <w:rFonts w:ascii="Calibri" w:hAnsi="Calibri" w:cs="Calibri"/>
                <w:sz w:val="22"/>
                <w:szCs w:val="22"/>
              </w:rPr>
            </w:pPr>
            <w:r w:rsidRPr="00FC5C62">
              <w:rPr>
                <w:rFonts w:ascii="Calibri" w:hAnsi="Calibri" w:cs="Calibri"/>
                <w:sz w:val="22"/>
                <w:szCs w:val="22"/>
              </w:rPr>
              <w:t xml:space="preserve">* Once PTT has been therapeutic </w:t>
            </w:r>
            <w:r w:rsidR="005E269C">
              <w:rPr>
                <w:rFonts w:ascii="Calibri" w:hAnsi="Calibri" w:cs="Calibri"/>
                <w:sz w:val="22"/>
                <w:szCs w:val="22"/>
              </w:rPr>
              <w:t xml:space="preserve">at 60-89 </w:t>
            </w:r>
            <w:r w:rsidRPr="00FC5C62">
              <w:rPr>
                <w:rFonts w:ascii="Calibri" w:hAnsi="Calibri" w:cs="Calibri"/>
                <w:sz w:val="22"/>
                <w:szCs w:val="22"/>
              </w:rPr>
              <w:t xml:space="preserve">on two consecutive </w:t>
            </w:r>
            <w:r w:rsidR="005E269C">
              <w:rPr>
                <w:rFonts w:ascii="Calibri" w:hAnsi="Calibri" w:cs="Calibri"/>
                <w:sz w:val="22"/>
                <w:szCs w:val="22"/>
              </w:rPr>
              <w:t>PTT checks</w:t>
            </w:r>
            <w:r>
              <w:rPr>
                <w:rFonts w:ascii="Calibri" w:hAnsi="Calibri" w:cs="Calibri"/>
                <w:sz w:val="22"/>
                <w:szCs w:val="22"/>
              </w:rPr>
              <w:t xml:space="preserve"> 6 hours apart</w:t>
            </w:r>
            <w:r w:rsidRPr="00FC5C62">
              <w:rPr>
                <w:rFonts w:ascii="Calibri" w:hAnsi="Calibri" w:cs="Calibri"/>
                <w:sz w:val="22"/>
                <w:szCs w:val="22"/>
              </w:rPr>
              <w:t xml:space="preserve">, </w:t>
            </w:r>
            <w:r w:rsidR="005E269C">
              <w:rPr>
                <w:rFonts w:ascii="Calibri" w:hAnsi="Calibri" w:cs="Calibri"/>
                <w:sz w:val="22"/>
                <w:szCs w:val="22"/>
              </w:rPr>
              <w:t xml:space="preserve">heparin dosing can be assumed to have reached steady state and the </w:t>
            </w:r>
            <w:r w:rsidRPr="00FC5C62">
              <w:rPr>
                <w:rFonts w:ascii="Calibri" w:hAnsi="Calibri" w:cs="Calibri"/>
                <w:sz w:val="22"/>
                <w:szCs w:val="22"/>
              </w:rPr>
              <w:t xml:space="preserve">PTT </w:t>
            </w:r>
            <w:r w:rsidR="005E269C">
              <w:rPr>
                <w:rFonts w:ascii="Calibri" w:hAnsi="Calibri" w:cs="Calibri"/>
                <w:sz w:val="22"/>
                <w:szCs w:val="22"/>
              </w:rPr>
              <w:t xml:space="preserve">can be checked </w:t>
            </w:r>
            <w:r w:rsidR="001F0567">
              <w:rPr>
                <w:rFonts w:ascii="Calibri" w:hAnsi="Calibri" w:cs="Calibri"/>
                <w:sz w:val="22"/>
                <w:szCs w:val="22"/>
              </w:rPr>
              <w:t>once daily thereafter</w:t>
            </w:r>
            <w:r w:rsidR="009A59CC">
              <w:rPr>
                <w:rFonts w:ascii="Calibri" w:hAnsi="Calibri" w:cs="Calibri"/>
                <w:sz w:val="22"/>
                <w:szCs w:val="22"/>
              </w:rPr>
              <w:t>.</w:t>
            </w:r>
          </w:p>
        </w:tc>
      </w:tr>
    </w:tbl>
    <w:p w14:paraId="6B3CE2B9" w14:textId="77777777" w:rsidR="00DD0899" w:rsidRPr="00A16BAD" w:rsidRDefault="00DD0899" w:rsidP="00462589">
      <w:pPr>
        <w:spacing w:after="0" w:line="240" w:lineRule="auto"/>
        <w:rPr>
          <w:lang w:val="en-US"/>
        </w:rPr>
      </w:pPr>
    </w:p>
    <w:p w14:paraId="43118E00" w14:textId="47C6CF07" w:rsidR="00DD0899" w:rsidRDefault="00DD0899" w:rsidP="00F1254D">
      <w:pPr>
        <w:pStyle w:val="ListParagraph"/>
        <w:numPr>
          <w:ilvl w:val="0"/>
          <w:numId w:val="28"/>
        </w:numPr>
        <w:spacing w:after="120"/>
        <w:ind w:hanging="357"/>
        <w:jc w:val="both"/>
        <w:rPr>
          <w:lang w:val="en-US"/>
        </w:rPr>
      </w:pPr>
      <w:r w:rsidRPr="00383212">
        <w:rPr>
          <w:b/>
          <w:lang w:val="en-US"/>
        </w:rPr>
        <w:t>Enoxaparin</w:t>
      </w:r>
      <w:r w:rsidRPr="00B5019B">
        <w:rPr>
          <w:lang w:val="en-US"/>
        </w:rPr>
        <w:t xml:space="preserve"> or </w:t>
      </w:r>
      <w:r w:rsidRPr="00383212">
        <w:rPr>
          <w:b/>
          <w:lang w:val="en-US"/>
        </w:rPr>
        <w:t>heparin IV drip</w:t>
      </w:r>
      <w:r w:rsidRPr="00B5019B">
        <w:rPr>
          <w:lang w:val="en-US"/>
        </w:rPr>
        <w:t xml:space="preserve"> should be continued until </w:t>
      </w:r>
      <w:r w:rsidRPr="00FC5C62">
        <w:rPr>
          <w:b/>
          <w:lang w:val="en-US"/>
        </w:rPr>
        <w:t>warfarin</w:t>
      </w:r>
      <w:r>
        <w:rPr>
          <w:lang w:val="en-US"/>
        </w:rPr>
        <w:t xml:space="preserve"> (as measured by the </w:t>
      </w:r>
      <w:r w:rsidRPr="00B5019B">
        <w:rPr>
          <w:lang w:val="en-US"/>
        </w:rPr>
        <w:t>INR</w:t>
      </w:r>
      <w:r>
        <w:rPr>
          <w:lang w:val="en-US"/>
        </w:rPr>
        <w:t>)</w:t>
      </w:r>
      <w:r w:rsidRPr="00B5019B">
        <w:rPr>
          <w:lang w:val="en-US"/>
        </w:rPr>
        <w:t xml:space="preserve"> is therapeutic per the schedule below. Adjust </w:t>
      </w:r>
      <w:r w:rsidRPr="00383212">
        <w:rPr>
          <w:b/>
          <w:lang w:val="en-US"/>
        </w:rPr>
        <w:t>warfarin</w:t>
      </w:r>
      <w:r w:rsidRPr="00B5019B">
        <w:rPr>
          <w:lang w:val="en-US"/>
        </w:rPr>
        <w:t xml:space="preserve"> according to protocol. There are many similar protocols. If your hospital does not have one, you can use the </w:t>
      </w:r>
      <w:r w:rsidR="001F0567">
        <w:rPr>
          <w:lang w:val="en-US"/>
        </w:rPr>
        <w:t>tables</w:t>
      </w:r>
      <w:r w:rsidRPr="00B5019B">
        <w:rPr>
          <w:lang w:val="en-US"/>
        </w:rPr>
        <w:t xml:space="preserve"> below (</w:t>
      </w:r>
      <w:r w:rsidR="002B78FB">
        <w:rPr>
          <w:lang w:val="en-US"/>
        </w:rPr>
        <w:t xml:space="preserve">adapted from </w:t>
      </w:r>
      <w:r w:rsidRPr="00B5019B">
        <w:rPr>
          <w:lang w:val="en-US"/>
        </w:rPr>
        <w:t>U</w:t>
      </w:r>
      <w:r w:rsidR="002B78FB">
        <w:rPr>
          <w:lang w:val="en-US"/>
        </w:rPr>
        <w:t>pToDate</w:t>
      </w:r>
      <w:r w:rsidRPr="00B5019B">
        <w:rPr>
          <w:lang w:val="en-US"/>
        </w:rPr>
        <w:t>).</w:t>
      </w:r>
    </w:p>
    <w:p w14:paraId="13816547" w14:textId="086D76F9" w:rsidR="00DD0899" w:rsidRPr="00FB5364" w:rsidRDefault="00DD0899" w:rsidP="00462589">
      <w:pPr>
        <w:pStyle w:val="ListBullet"/>
        <w:numPr>
          <w:ilvl w:val="0"/>
          <w:numId w:val="0"/>
        </w:numPr>
        <w:spacing w:after="120" w:line="240" w:lineRule="auto"/>
        <w:ind w:left="360" w:hanging="357"/>
        <w:rPr>
          <w:b/>
          <w:lang w:val="en-US"/>
        </w:rPr>
      </w:pPr>
      <w:r w:rsidRPr="2C7D2031">
        <w:rPr>
          <w:b/>
          <w:bCs/>
          <w:lang w:val="en-US"/>
        </w:rPr>
        <w:t xml:space="preserve">Initial therapeutic dosing of oral warfarin for the </w:t>
      </w:r>
      <w:r w:rsidRPr="2C7D2031">
        <w:rPr>
          <w:b/>
          <w:bCs/>
          <w:i/>
          <w:iCs/>
          <w:lang w:val="en-US"/>
        </w:rPr>
        <w:t>treatment</w:t>
      </w:r>
      <w:r w:rsidRPr="2C7D2031">
        <w:rPr>
          <w:b/>
          <w:bCs/>
          <w:lang w:val="en-US"/>
        </w:rPr>
        <w:t xml:space="preserve"> of DVT/PE (Week 1) targeting INR goal 2-3</w:t>
      </w:r>
    </w:p>
    <w:tbl>
      <w:tblPr>
        <w:tblStyle w:val="TableGrid"/>
        <w:tblW w:w="9535" w:type="dxa"/>
        <w:jc w:val="center"/>
        <w:tblLook w:val="04A0" w:firstRow="1" w:lastRow="0" w:firstColumn="1" w:lastColumn="0" w:noHBand="0" w:noVBand="1"/>
      </w:tblPr>
      <w:tblGrid>
        <w:gridCol w:w="2938"/>
        <w:gridCol w:w="2141"/>
        <w:gridCol w:w="4456"/>
      </w:tblGrid>
      <w:tr w:rsidR="00DD0899" w:rsidRPr="00E16219" w14:paraId="08C97F33" w14:textId="77777777" w:rsidTr="00C54AAD">
        <w:trPr>
          <w:jc w:val="center"/>
        </w:trPr>
        <w:tc>
          <w:tcPr>
            <w:tcW w:w="2938" w:type="dxa"/>
            <w:shd w:val="clear" w:color="auto" w:fill="2F5496" w:themeFill="accent5" w:themeFillShade="BF"/>
          </w:tcPr>
          <w:p w14:paraId="66170F03" w14:textId="77777777" w:rsidR="00DD0899" w:rsidRPr="00E16219" w:rsidRDefault="00DD0899" w:rsidP="00F1254D">
            <w:pPr>
              <w:pStyle w:val="ListBullet"/>
              <w:numPr>
                <w:ilvl w:val="0"/>
                <w:numId w:val="0"/>
              </w:numPr>
              <w:rPr>
                <w:rFonts w:ascii="Calibri" w:hAnsi="Calibri" w:cs="Calibri"/>
                <w:b/>
                <w:color w:val="FFFFFF" w:themeColor="background1"/>
                <w:sz w:val="22"/>
                <w:szCs w:val="22"/>
              </w:rPr>
            </w:pPr>
            <w:r w:rsidRPr="00E16219">
              <w:rPr>
                <w:rFonts w:ascii="Calibri" w:hAnsi="Calibri" w:cs="Calibri"/>
                <w:b/>
                <w:color w:val="FFFFFF" w:themeColor="background1"/>
                <w:sz w:val="22"/>
                <w:szCs w:val="22"/>
              </w:rPr>
              <w:t>Day of therapy</w:t>
            </w:r>
          </w:p>
        </w:tc>
        <w:tc>
          <w:tcPr>
            <w:tcW w:w="2141" w:type="dxa"/>
            <w:shd w:val="clear" w:color="auto" w:fill="2F5496" w:themeFill="accent5" w:themeFillShade="BF"/>
          </w:tcPr>
          <w:p w14:paraId="1DA7C51A" w14:textId="77777777" w:rsidR="00DD0899" w:rsidRPr="00E16219" w:rsidRDefault="00DD0899">
            <w:pPr>
              <w:pStyle w:val="ListBullet"/>
              <w:numPr>
                <w:ilvl w:val="0"/>
                <w:numId w:val="0"/>
              </w:numPr>
              <w:rPr>
                <w:rFonts w:ascii="Calibri" w:hAnsi="Calibri" w:cs="Calibri"/>
                <w:b/>
                <w:color w:val="FFFFFF" w:themeColor="background1"/>
                <w:sz w:val="22"/>
                <w:szCs w:val="22"/>
              </w:rPr>
            </w:pPr>
            <w:r w:rsidRPr="00E16219">
              <w:rPr>
                <w:rFonts w:ascii="Calibri" w:hAnsi="Calibri" w:cs="Calibri"/>
                <w:b/>
                <w:color w:val="FFFFFF" w:themeColor="background1"/>
                <w:sz w:val="22"/>
                <w:szCs w:val="22"/>
              </w:rPr>
              <w:t>INR value</w:t>
            </w:r>
          </w:p>
        </w:tc>
        <w:tc>
          <w:tcPr>
            <w:tcW w:w="4456" w:type="dxa"/>
            <w:shd w:val="clear" w:color="auto" w:fill="2F5496" w:themeFill="accent5" w:themeFillShade="BF"/>
          </w:tcPr>
          <w:p w14:paraId="48413636" w14:textId="0050644D" w:rsidR="00DD0899" w:rsidRPr="00E16219" w:rsidRDefault="00DD0899">
            <w:pPr>
              <w:pStyle w:val="ListBullet"/>
              <w:numPr>
                <w:ilvl w:val="0"/>
                <w:numId w:val="0"/>
              </w:numPr>
              <w:rPr>
                <w:rFonts w:ascii="Calibri" w:hAnsi="Calibri" w:cs="Calibri"/>
                <w:b/>
                <w:color w:val="FFFFFF" w:themeColor="background1"/>
                <w:sz w:val="22"/>
                <w:szCs w:val="22"/>
              </w:rPr>
            </w:pPr>
            <w:r w:rsidRPr="00E16219">
              <w:rPr>
                <w:rFonts w:ascii="Calibri" w:hAnsi="Calibri" w:cs="Calibri"/>
                <w:b/>
                <w:color w:val="FFFFFF" w:themeColor="background1"/>
                <w:sz w:val="22"/>
                <w:szCs w:val="22"/>
              </w:rPr>
              <w:t>Total daily dose</w:t>
            </w:r>
            <w:r w:rsidR="003E6D0A">
              <w:rPr>
                <w:rFonts w:ascii="Calibri" w:hAnsi="Calibri" w:cs="Calibri"/>
                <w:b/>
                <w:color w:val="FFFFFF" w:themeColor="background1"/>
                <w:sz w:val="22"/>
                <w:szCs w:val="22"/>
              </w:rPr>
              <w:t xml:space="preserve"> (mg)</w:t>
            </w:r>
          </w:p>
        </w:tc>
      </w:tr>
      <w:tr w:rsidR="00DD0899" w:rsidRPr="00B56AAE" w14:paraId="6863F125" w14:textId="77777777" w:rsidTr="00C54AAD">
        <w:trPr>
          <w:jc w:val="center"/>
        </w:trPr>
        <w:tc>
          <w:tcPr>
            <w:tcW w:w="2938" w:type="dxa"/>
          </w:tcPr>
          <w:p w14:paraId="3521893E" w14:textId="77777777" w:rsidR="00DD0899" w:rsidRPr="00FC5C62" w:rsidRDefault="00DD0899" w:rsidP="00F1254D">
            <w:pPr>
              <w:pStyle w:val="ListBullet"/>
              <w:numPr>
                <w:ilvl w:val="0"/>
                <w:numId w:val="0"/>
              </w:numPr>
              <w:rPr>
                <w:rFonts w:ascii="Calibri" w:hAnsi="Calibri" w:cs="Calibri"/>
                <w:sz w:val="22"/>
                <w:szCs w:val="22"/>
              </w:rPr>
            </w:pPr>
            <w:r w:rsidRPr="007843FA">
              <w:rPr>
                <w:rFonts w:ascii="Calibri" w:hAnsi="Calibri" w:cs="Calibri"/>
                <w:sz w:val="22"/>
                <w:szCs w:val="22"/>
              </w:rPr>
              <w:t>Day 1</w:t>
            </w:r>
          </w:p>
        </w:tc>
        <w:tc>
          <w:tcPr>
            <w:tcW w:w="2141" w:type="dxa"/>
          </w:tcPr>
          <w:p w14:paraId="629ACE76" w14:textId="70BC2E56" w:rsidR="00DD0899" w:rsidRPr="00FC5C62" w:rsidRDefault="00847847">
            <w:pPr>
              <w:pStyle w:val="ListBullet"/>
              <w:numPr>
                <w:ilvl w:val="0"/>
                <w:numId w:val="0"/>
              </w:numPr>
              <w:rPr>
                <w:rFonts w:ascii="Calibri" w:hAnsi="Calibri" w:cs="Calibri"/>
                <w:sz w:val="22"/>
                <w:szCs w:val="22"/>
              </w:rPr>
            </w:pPr>
            <w:r>
              <w:rPr>
                <w:rFonts w:ascii="Calibri" w:hAnsi="Calibri" w:cs="Calibri"/>
                <w:sz w:val="22"/>
                <w:szCs w:val="22"/>
              </w:rPr>
              <w:t>Not checked</w:t>
            </w:r>
          </w:p>
        </w:tc>
        <w:tc>
          <w:tcPr>
            <w:tcW w:w="4456" w:type="dxa"/>
          </w:tcPr>
          <w:p w14:paraId="67EF74E2" w14:textId="3EBB8331" w:rsidR="00DD0899" w:rsidRPr="00FC5C62" w:rsidRDefault="00DD0899">
            <w:pPr>
              <w:pStyle w:val="ListBullet"/>
              <w:numPr>
                <w:ilvl w:val="0"/>
                <w:numId w:val="0"/>
              </w:numPr>
              <w:rPr>
                <w:rFonts w:ascii="Calibri" w:hAnsi="Calibri" w:cs="Calibri"/>
                <w:sz w:val="22"/>
                <w:szCs w:val="22"/>
              </w:rPr>
            </w:pPr>
            <w:r w:rsidRPr="007843FA">
              <w:rPr>
                <w:rFonts w:ascii="Calibri" w:hAnsi="Calibri" w:cs="Calibri"/>
                <w:sz w:val="22"/>
                <w:szCs w:val="22"/>
              </w:rPr>
              <w:t>5</w:t>
            </w:r>
            <w:r w:rsidR="003E6D0A">
              <w:rPr>
                <w:rFonts w:ascii="Calibri" w:hAnsi="Calibri" w:cs="Calibri"/>
                <w:sz w:val="22"/>
                <w:szCs w:val="22"/>
              </w:rPr>
              <w:t xml:space="preserve"> </w:t>
            </w:r>
            <w:r w:rsidRPr="007843FA">
              <w:rPr>
                <w:rFonts w:ascii="Calibri" w:hAnsi="Calibri" w:cs="Calibri"/>
                <w:sz w:val="22"/>
                <w:szCs w:val="22"/>
              </w:rPr>
              <w:t>(2.5 for high sensitivity)</w:t>
            </w:r>
          </w:p>
        </w:tc>
      </w:tr>
      <w:tr w:rsidR="00032DB9" w:rsidRPr="00B56AAE" w14:paraId="67D42AD7" w14:textId="77777777" w:rsidTr="00C54AAD">
        <w:trPr>
          <w:jc w:val="center"/>
        </w:trPr>
        <w:tc>
          <w:tcPr>
            <w:tcW w:w="2938" w:type="dxa"/>
          </w:tcPr>
          <w:p w14:paraId="25CC3006" w14:textId="0300CF75" w:rsidR="00032DB9" w:rsidRPr="00FB5364" w:rsidRDefault="00032DB9" w:rsidP="00F1254D">
            <w:pPr>
              <w:pStyle w:val="ListBullet"/>
              <w:numPr>
                <w:ilvl w:val="0"/>
                <w:numId w:val="0"/>
              </w:numPr>
              <w:rPr>
                <w:rFonts w:ascii="Calibri" w:hAnsi="Calibri" w:cs="Calibri"/>
                <w:sz w:val="22"/>
                <w:szCs w:val="22"/>
              </w:rPr>
            </w:pPr>
            <w:r w:rsidRPr="00032DB9">
              <w:t>Day 2</w:t>
            </w:r>
          </w:p>
        </w:tc>
        <w:tc>
          <w:tcPr>
            <w:tcW w:w="2141" w:type="dxa"/>
          </w:tcPr>
          <w:p w14:paraId="255B2874" w14:textId="655DB3B9" w:rsidR="00032DB9" w:rsidRPr="00FB5364" w:rsidRDefault="00847847">
            <w:pPr>
              <w:pStyle w:val="ListBullet"/>
              <w:numPr>
                <w:ilvl w:val="0"/>
                <w:numId w:val="0"/>
              </w:numPr>
              <w:rPr>
                <w:rFonts w:ascii="Calibri" w:hAnsi="Calibri" w:cs="Calibri"/>
                <w:sz w:val="22"/>
                <w:szCs w:val="22"/>
              </w:rPr>
            </w:pPr>
            <w:r>
              <w:rPr>
                <w:rFonts w:ascii="Calibri" w:hAnsi="Calibri" w:cs="Calibri"/>
                <w:sz w:val="22"/>
                <w:szCs w:val="22"/>
              </w:rPr>
              <w:t>Not checked</w:t>
            </w:r>
          </w:p>
        </w:tc>
        <w:tc>
          <w:tcPr>
            <w:tcW w:w="4456" w:type="dxa"/>
          </w:tcPr>
          <w:p w14:paraId="352BAE8D" w14:textId="770525AB" w:rsidR="00032DB9" w:rsidRPr="00FB5364" w:rsidRDefault="00032DB9">
            <w:pPr>
              <w:pStyle w:val="ListBullet"/>
              <w:numPr>
                <w:ilvl w:val="0"/>
                <w:numId w:val="0"/>
              </w:numPr>
              <w:rPr>
                <w:rFonts w:ascii="Calibri" w:hAnsi="Calibri" w:cs="Calibri"/>
                <w:sz w:val="22"/>
                <w:szCs w:val="22"/>
              </w:rPr>
            </w:pPr>
            <w:r w:rsidRPr="00032DB9">
              <w:t>5</w:t>
            </w:r>
          </w:p>
        </w:tc>
      </w:tr>
      <w:tr w:rsidR="00032DB9" w:rsidRPr="00032DB9" w14:paraId="7A5F43F8" w14:textId="77777777" w:rsidTr="00C54AAD">
        <w:trPr>
          <w:jc w:val="center"/>
        </w:trPr>
        <w:tc>
          <w:tcPr>
            <w:tcW w:w="2938" w:type="dxa"/>
          </w:tcPr>
          <w:p w14:paraId="6E2E509F" w14:textId="62B92004" w:rsidR="00032DB9" w:rsidRPr="00FB5364" w:rsidRDefault="00032DB9" w:rsidP="00F1254D">
            <w:pPr>
              <w:pStyle w:val="ListBullet"/>
              <w:numPr>
                <w:ilvl w:val="0"/>
                <w:numId w:val="0"/>
              </w:numPr>
              <w:rPr>
                <w:rFonts w:ascii="Calibri" w:hAnsi="Calibri" w:cs="Calibri"/>
                <w:sz w:val="22"/>
                <w:szCs w:val="22"/>
              </w:rPr>
            </w:pPr>
            <w:r w:rsidRPr="00032DB9">
              <w:t>Day 3</w:t>
            </w:r>
          </w:p>
        </w:tc>
        <w:tc>
          <w:tcPr>
            <w:tcW w:w="2141" w:type="dxa"/>
          </w:tcPr>
          <w:p w14:paraId="564811ED" w14:textId="77777777" w:rsidR="00032DB9" w:rsidRPr="00C83AC5" w:rsidRDefault="00032DB9">
            <w:pPr>
              <w:pStyle w:val="ListBullet"/>
              <w:numPr>
                <w:ilvl w:val="0"/>
                <w:numId w:val="0"/>
              </w:numPr>
              <w:rPr>
                <w:rFonts w:ascii="Calibri" w:hAnsi="Calibri" w:cs="Calibri"/>
                <w:sz w:val="22"/>
                <w:szCs w:val="22"/>
              </w:rPr>
            </w:pPr>
            <w:r w:rsidRPr="00D02226">
              <w:rPr>
                <w:rFonts w:ascii="Calibri" w:hAnsi="Calibri" w:cs="Calibri"/>
                <w:sz w:val="22"/>
                <w:szCs w:val="22"/>
              </w:rPr>
              <w:t>&lt; 1.5</w:t>
            </w:r>
          </w:p>
          <w:p w14:paraId="25E482D9" w14:textId="77777777" w:rsidR="00032DB9" w:rsidRPr="00032DB9" w:rsidRDefault="00032DB9">
            <w:pPr>
              <w:pStyle w:val="ListBullet"/>
              <w:numPr>
                <w:ilvl w:val="0"/>
                <w:numId w:val="0"/>
              </w:numPr>
              <w:rPr>
                <w:rFonts w:ascii="Calibri" w:hAnsi="Calibri" w:cs="Calibri"/>
                <w:sz w:val="22"/>
                <w:szCs w:val="22"/>
              </w:rPr>
            </w:pPr>
            <w:r w:rsidRPr="00032DB9">
              <w:t>1.5-1.9</w:t>
            </w:r>
          </w:p>
          <w:p w14:paraId="4A7C78D4" w14:textId="4CB3A3A7" w:rsidR="00032DB9" w:rsidRPr="00D02226" w:rsidRDefault="00032DB9">
            <w:pPr>
              <w:pStyle w:val="ListBullet"/>
              <w:numPr>
                <w:ilvl w:val="0"/>
                <w:numId w:val="0"/>
              </w:numPr>
              <w:rPr>
                <w:rFonts w:ascii="Calibri" w:hAnsi="Calibri" w:cs="Calibri"/>
                <w:sz w:val="22"/>
                <w:szCs w:val="22"/>
              </w:rPr>
            </w:pPr>
            <w:r w:rsidRPr="00032DB9">
              <w:t>2.0-</w:t>
            </w:r>
            <w:r>
              <w:rPr>
                <w:rFonts w:ascii="Calibri" w:hAnsi="Calibri" w:cs="Calibri"/>
                <w:sz w:val="22"/>
                <w:szCs w:val="22"/>
              </w:rPr>
              <w:t>3.0</w:t>
            </w:r>
          </w:p>
          <w:p w14:paraId="01D7E2FE" w14:textId="291581E7" w:rsidR="00032DB9" w:rsidRPr="00FB5364" w:rsidRDefault="00032DB9">
            <w:pPr>
              <w:pStyle w:val="ListBullet"/>
              <w:numPr>
                <w:ilvl w:val="0"/>
                <w:numId w:val="0"/>
              </w:numPr>
              <w:rPr>
                <w:rFonts w:ascii="Calibri" w:hAnsi="Calibri" w:cs="Calibri"/>
                <w:sz w:val="22"/>
                <w:szCs w:val="22"/>
              </w:rPr>
            </w:pPr>
            <w:r w:rsidRPr="00C83AC5">
              <w:rPr>
                <w:rFonts w:ascii="Calibri" w:hAnsi="Calibri" w:cs="Calibri"/>
                <w:sz w:val="22"/>
                <w:szCs w:val="22"/>
              </w:rPr>
              <w:t xml:space="preserve">&gt; </w:t>
            </w:r>
            <w:r>
              <w:rPr>
                <w:rFonts w:ascii="Calibri" w:hAnsi="Calibri" w:cs="Calibri"/>
                <w:sz w:val="22"/>
                <w:szCs w:val="22"/>
              </w:rPr>
              <w:t>3.0</w:t>
            </w:r>
          </w:p>
        </w:tc>
        <w:tc>
          <w:tcPr>
            <w:tcW w:w="4456" w:type="dxa"/>
          </w:tcPr>
          <w:p w14:paraId="2A5335A9" w14:textId="54CC3F6B" w:rsidR="00032DB9" w:rsidRPr="00FB5364" w:rsidRDefault="00032DB9">
            <w:pPr>
              <w:pStyle w:val="ListBullet"/>
              <w:numPr>
                <w:ilvl w:val="0"/>
                <w:numId w:val="0"/>
              </w:numPr>
              <w:rPr>
                <w:rFonts w:ascii="Calibri" w:hAnsi="Calibri" w:cs="Calibri"/>
                <w:sz w:val="22"/>
                <w:szCs w:val="22"/>
              </w:rPr>
            </w:pPr>
            <w:r w:rsidRPr="00032DB9">
              <w:t>10</w:t>
            </w:r>
          </w:p>
          <w:p w14:paraId="071BF53D" w14:textId="2B426EDC" w:rsidR="00032DB9" w:rsidRDefault="00032DB9">
            <w:pPr>
              <w:pStyle w:val="ListBullet"/>
              <w:numPr>
                <w:ilvl w:val="0"/>
                <w:numId w:val="0"/>
              </w:numPr>
              <w:rPr>
                <w:rFonts w:ascii="Calibri" w:hAnsi="Calibri" w:cs="Calibri"/>
                <w:sz w:val="22"/>
                <w:szCs w:val="22"/>
              </w:rPr>
            </w:pPr>
            <w:r>
              <w:rPr>
                <w:rFonts w:ascii="Calibri" w:hAnsi="Calibri" w:cs="Calibri"/>
                <w:sz w:val="22"/>
                <w:szCs w:val="22"/>
              </w:rPr>
              <w:t>5</w:t>
            </w:r>
          </w:p>
          <w:p w14:paraId="1525D5C4" w14:textId="77777777" w:rsidR="003E6D0A" w:rsidRDefault="00032DB9">
            <w:pPr>
              <w:pStyle w:val="ListBullet"/>
              <w:numPr>
                <w:ilvl w:val="0"/>
                <w:numId w:val="0"/>
              </w:numPr>
              <w:rPr>
                <w:rFonts w:ascii="Calibri" w:hAnsi="Calibri" w:cs="Calibri"/>
                <w:sz w:val="22"/>
                <w:szCs w:val="22"/>
              </w:rPr>
            </w:pPr>
            <w:r>
              <w:rPr>
                <w:rFonts w:ascii="Calibri" w:hAnsi="Calibri" w:cs="Calibri"/>
                <w:sz w:val="22"/>
                <w:szCs w:val="22"/>
              </w:rPr>
              <w:t>2.5</w:t>
            </w:r>
          </w:p>
          <w:p w14:paraId="522BEE3C" w14:textId="4D40963E" w:rsidR="003E6D0A" w:rsidRPr="00FB5364" w:rsidRDefault="00981C93">
            <w:pPr>
              <w:pStyle w:val="ListBullet"/>
              <w:numPr>
                <w:ilvl w:val="0"/>
                <w:numId w:val="0"/>
              </w:numPr>
              <w:rPr>
                <w:rFonts w:ascii="Calibri" w:hAnsi="Calibri" w:cs="Calibri"/>
                <w:sz w:val="22"/>
                <w:szCs w:val="22"/>
              </w:rPr>
            </w:pPr>
            <w:r>
              <w:rPr>
                <w:rFonts w:ascii="Calibri" w:hAnsi="Calibri" w:cs="Calibri"/>
                <w:sz w:val="22"/>
                <w:szCs w:val="22"/>
              </w:rPr>
              <w:t>0</w:t>
            </w:r>
          </w:p>
        </w:tc>
      </w:tr>
      <w:tr w:rsidR="003E6D0A" w:rsidRPr="003E6D0A" w14:paraId="56916DD3" w14:textId="77777777" w:rsidTr="00C54AAD">
        <w:trPr>
          <w:jc w:val="center"/>
        </w:trPr>
        <w:tc>
          <w:tcPr>
            <w:tcW w:w="2938" w:type="dxa"/>
          </w:tcPr>
          <w:p w14:paraId="75F16A0F" w14:textId="181C2CDD" w:rsidR="003E6D0A" w:rsidRPr="00FB5364" w:rsidRDefault="003E6D0A" w:rsidP="00F1254D">
            <w:pPr>
              <w:pStyle w:val="ListBullet"/>
              <w:numPr>
                <w:ilvl w:val="0"/>
                <w:numId w:val="0"/>
              </w:numPr>
              <w:rPr>
                <w:rFonts w:ascii="Calibri" w:hAnsi="Calibri" w:cs="Calibri"/>
                <w:sz w:val="22"/>
                <w:szCs w:val="22"/>
              </w:rPr>
            </w:pPr>
            <w:r w:rsidRPr="003E6D0A">
              <w:t>Day 4</w:t>
            </w:r>
          </w:p>
        </w:tc>
        <w:tc>
          <w:tcPr>
            <w:tcW w:w="2141" w:type="dxa"/>
          </w:tcPr>
          <w:p w14:paraId="5B5B3D18" w14:textId="77777777" w:rsidR="003E6D0A" w:rsidRPr="00C83AC5" w:rsidRDefault="003E6D0A">
            <w:pPr>
              <w:pStyle w:val="ListBullet"/>
              <w:numPr>
                <w:ilvl w:val="0"/>
                <w:numId w:val="0"/>
              </w:numPr>
              <w:rPr>
                <w:rFonts w:ascii="Calibri" w:hAnsi="Calibri" w:cs="Calibri"/>
                <w:sz w:val="22"/>
                <w:szCs w:val="22"/>
              </w:rPr>
            </w:pPr>
            <w:r w:rsidRPr="00D02226">
              <w:rPr>
                <w:rFonts w:ascii="Calibri" w:hAnsi="Calibri" w:cs="Calibri"/>
                <w:sz w:val="22"/>
                <w:szCs w:val="22"/>
              </w:rPr>
              <w:t>&lt; 1.5</w:t>
            </w:r>
          </w:p>
          <w:p w14:paraId="56439CD5" w14:textId="77777777" w:rsidR="003E6D0A" w:rsidRPr="003E6D0A" w:rsidRDefault="003E6D0A">
            <w:pPr>
              <w:pStyle w:val="ListBullet"/>
              <w:numPr>
                <w:ilvl w:val="0"/>
                <w:numId w:val="0"/>
              </w:numPr>
              <w:rPr>
                <w:rFonts w:ascii="Calibri" w:hAnsi="Calibri" w:cs="Calibri"/>
                <w:sz w:val="22"/>
                <w:szCs w:val="22"/>
              </w:rPr>
            </w:pPr>
            <w:r w:rsidRPr="003E6D0A">
              <w:t>1.5-1.9</w:t>
            </w:r>
          </w:p>
          <w:p w14:paraId="7AE46C6B" w14:textId="77777777" w:rsidR="003E6D0A" w:rsidRPr="003E6D0A" w:rsidRDefault="003E6D0A">
            <w:pPr>
              <w:pStyle w:val="ListBullet"/>
              <w:numPr>
                <w:ilvl w:val="0"/>
                <w:numId w:val="0"/>
              </w:numPr>
              <w:rPr>
                <w:rFonts w:ascii="Calibri" w:hAnsi="Calibri" w:cs="Calibri"/>
                <w:sz w:val="22"/>
                <w:szCs w:val="22"/>
              </w:rPr>
            </w:pPr>
            <w:r w:rsidRPr="003E6D0A">
              <w:t>2.0-3.0</w:t>
            </w:r>
          </w:p>
          <w:p w14:paraId="497EAD1F" w14:textId="28204B4B" w:rsidR="003E6D0A" w:rsidRPr="00FB5364" w:rsidRDefault="003E6D0A">
            <w:pPr>
              <w:pStyle w:val="ListBullet"/>
              <w:numPr>
                <w:ilvl w:val="0"/>
                <w:numId w:val="0"/>
              </w:numPr>
              <w:rPr>
                <w:rFonts w:ascii="Calibri" w:hAnsi="Calibri" w:cs="Calibri"/>
                <w:sz w:val="22"/>
                <w:szCs w:val="22"/>
              </w:rPr>
            </w:pPr>
            <w:r w:rsidRPr="003E6D0A">
              <w:t>&gt; 3.0</w:t>
            </w:r>
          </w:p>
        </w:tc>
        <w:tc>
          <w:tcPr>
            <w:tcW w:w="4456" w:type="dxa"/>
          </w:tcPr>
          <w:p w14:paraId="6C57849B" w14:textId="77777777" w:rsidR="003E6D0A" w:rsidRPr="00C83AC5" w:rsidRDefault="003E6D0A">
            <w:pPr>
              <w:pStyle w:val="ListBullet"/>
              <w:numPr>
                <w:ilvl w:val="0"/>
                <w:numId w:val="0"/>
              </w:numPr>
              <w:rPr>
                <w:rFonts w:ascii="Calibri" w:hAnsi="Calibri" w:cs="Calibri"/>
                <w:sz w:val="22"/>
                <w:szCs w:val="22"/>
              </w:rPr>
            </w:pPr>
            <w:r w:rsidRPr="00D02226">
              <w:rPr>
                <w:rFonts w:ascii="Calibri" w:hAnsi="Calibri" w:cs="Calibri"/>
                <w:sz w:val="22"/>
                <w:szCs w:val="22"/>
              </w:rPr>
              <w:t>1</w:t>
            </w:r>
            <w:r w:rsidRPr="00C83AC5">
              <w:rPr>
                <w:rFonts w:ascii="Calibri" w:hAnsi="Calibri" w:cs="Calibri"/>
                <w:sz w:val="22"/>
                <w:szCs w:val="22"/>
              </w:rPr>
              <w:t>0</w:t>
            </w:r>
          </w:p>
          <w:p w14:paraId="74872990" w14:textId="73BC9EFE" w:rsidR="003E6D0A" w:rsidRPr="003E6D0A" w:rsidRDefault="003E6D0A">
            <w:pPr>
              <w:pStyle w:val="ListBullet"/>
              <w:numPr>
                <w:ilvl w:val="0"/>
                <w:numId w:val="0"/>
              </w:numPr>
              <w:rPr>
                <w:rFonts w:ascii="Calibri" w:hAnsi="Calibri" w:cs="Calibri"/>
                <w:sz w:val="22"/>
                <w:szCs w:val="22"/>
              </w:rPr>
            </w:pPr>
            <w:r w:rsidRPr="003E6D0A">
              <w:t>7.5</w:t>
            </w:r>
          </w:p>
          <w:p w14:paraId="005271E0" w14:textId="7648EA34" w:rsidR="003E6D0A" w:rsidRPr="003E6D0A" w:rsidRDefault="003E6D0A">
            <w:pPr>
              <w:pStyle w:val="ListBullet"/>
              <w:numPr>
                <w:ilvl w:val="0"/>
                <w:numId w:val="0"/>
              </w:numPr>
              <w:rPr>
                <w:rFonts w:ascii="Calibri" w:hAnsi="Calibri" w:cs="Calibri"/>
                <w:sz w:val="22"/>
                <w:szCs w:val="22"/>
              </w:rPr>
            </w:pPr>
            <w:r w:rsidRPr="003E6D0A">
              <w:t>5</w:t>
            </w:r>
          </w:p>
          <w:p w14:paraId="1BC458DA" w14:textId="5D6164A6" w:rsidR="003E6D0A" w:rsidRPr="00FB5364" w:rsidRDefault="00981C93">
            <w:pPr>
              <w:pStyle w:val="ListBullet"/>
              <w:numPr>
                <w:ilvl w:val="0"/>
                <w:numId w:val="0"/>
              </w:numPr>
              <w:rPr>
                <w:rFonts w:ascii="Calibri" w:hAnsi="Calibri" w:cs="Calibri"/>
                <w:sz w:val="22"/>
                <w:szCs w:val="22"/>
              </w:rPr>
            </w:pPr>
            <w:r>
              <w:rPr>
                <w:rFonts w:ascii="Calibri" w:hAnsi="Calibri" w:cs="Calibri"/>
                <w:sz w:val="22"/>
                <w:szCs w:val="22"/>
              </w:rPr>
              <w:t>0</w:t>
            </w:r>
          </w:p>
        </w:tc>
      </w:tr>
      <w:tr w:rsidR="003E6D0A" w:rsidRPr="003E6D0A" w14:paraId="0F42CA86" w14:textId="77777777" w:rsidTr="00C54AAD">
        <w:trPr>
          <w:jc w:val="center"/>
        </w:trPr>
        <w:tc>
          <w:tcPr>
            <w:tcW w:w="2938" w:type="dxa"/>
          </w:tcPr>
          <w:p w14:paraId="773D9C4B" w14:textId="54CCFFBF" w:rsidR="003E6D0A" w:rsidRPr="00FB5364" w:rsidRDefault="003E6D0A" w:rsidP="00F1254D">
            <w:pPr>
              <w:pStyle w:val="ListBullet"/>
              <w:numPr>
                <w:ilvl w:val="0"/>
                <w:numId w:val="0"/>
              </w:numPr>
              <w:rPr>
                <w:rFonts w:ascii="Calibri" w:hAnsi="Calibri" w:cs="Calibri"/>
                <w:sz w:val="22"/>
                <w:szCs w:val="22"/>
              </w:rPr>
            </w:pPr>
            <w:r w:rsidRPr="003E6D0A">
              <w:t>Day 5</w:t>
            </w:r>
          </w:p>
        </w:tc>
        <w:tc>
          <w:tcPr>
            <w:tcW w:w="2141" w:type="dxa"/>
          </w:tcPr>
          <w:p w14:paraId="2EB7BD4D" w14:textId="7A2F5BA1" w:rsidR="003E6D0A" w:rsidRDefault="00981C93">
            <w:pPr>
              <w:pStyle w:val="ListBullet"/>
              <w:numPr>
                <w:ilvl w:val="0"/>
                <w:numId w:val="0"/>
              </w:numPr>
              <w:rPr>
                <w:rFonts w:ascii="Calibri" w:hAnsi="Calibri" w:cs="Calibri"/>
                <w:sz w:val="22"/>
                <w:szCs w:val="22"/>
              </w:rPr>
            </w:pPr>
            <w:r>
              <w:rPr>
                <w:rFonts w:ascii="Calibri" w:hAnsi="Calibri" w:cs="Calibri"/>
                <w:sz w:val="22"/>
                <w:szCs w:val="22"/>
              </w:rPr>
              <w:t>&lt; 2.0</w:t>
            </w:r>
          </w:p>
          <w:p w14:paraId="75DE674E" w14:textId="77777777" w:rsidR="00981C93" w:rsidRDefault="00981C93">
            <w:pPr>
              <w:pStyle w:val="ListBullet"/>
              <w:numPr>
                <w:ilvl w:val="0"/>
                <w:numId w:val="0"/>
              </w:numPr>
              <w:rPr>
                <w:rFonts w:ascii="Calibri" w:hAnsi="Calibri" w:cs="Calibri"/>
                <w:sz w:val="22"/>
                <w:szCs w:val="22"/>
              </w:rPr>
            </w:pPr>
            <w:r>
              <w:rPr>
                <w:rFonts w:ascii="Calibri" w:hAnsi="Calibri" w:cs="Calibri"/>
                <w:sz w:val="22"/>
                <w:szCs w:val="22"/>
              </w:rPr>
              <w:t>2.0-3.0</w:t>
            </w:r>
          </w:p>
          <w:p w14:paraId="11A1F092" w14:textId="0E489FA7" w:rsidR="00981C93" w:rsidRPr="00FB5364" w:rsidRDefault="00981C93">
            <w:pPr>
              <w:pStyle w:val="ListBullet"/>
              <w:numPr>
                <w:ilvl w:val="0"/>
                <w:numId w:val="0"/>
              </w:numPr>
              <w:rPr>
                <w:rFonts w:ascii="Calibri" w:hAnsi="Calibri" w:cs="Calibri"/>
                <w:sz w:val="22"/>
                <w:szCs w:val="22"/>
              </w:rPr>
            </w:pPr>
            <w:r>
              <w:rPr>
                <w:rFonts w:ascii="Calibri" w:hAnsi="Calibri" w:cs="Calibri"/>
                <w:sz w:val="22"/>
                <w:szCs w:val="22"/>
              </w:rPr>
              <w:t>&gt; 3.0</w:t>
            </w:r>
          </w:p>
        </w:tc>
        <w:tc>
          <w:tcPr>
            <w:tcW w:w="4456" w:type="dxa"/>
          </w:tcPr>
          <w:p w14:paraId="16DBC78F" w14:textId="77777777" w:rsidR="003E6D0A" w:rsidRDefault="00981C93">
            <w:pPr>
              <w:pStyle w:val="ListBullet"/>
              <w:numPr>
                <w:ilvl w:val="0"/>
                <w:numId w:val="0"/>
              </w:numPr>
              <w:rPr>
                <w:rFonts w:ascii="Calibri" w:hAnsi="Calibri" w:cs="Calibri"/>
                <w:sz w:val="22"/>
                <w:szCs w:val="22"/>
              </w:rPr>
            </w:pPr>
            <w:r>
              <w:rPr>
                <w:rFonts w:ascii="Calibri" w:hAnsi="Calibri" w:cs="Calibri"/>
                <w:sz w:val="22"/>
                <w:szCs w:val="22"/>
              </w:rPr>
              <w:t>10</w:t>
            </w:r>
          </w:p>
          <w:p w14:paraId="48E3BD49" w14:textId="77777777" w:rsidR="00981C93" w:rsidRDefault="00981C93">
            <w:pPr>
              <w:pStyle w:val="ListBullet"/>
              <w:numPr>
                <w:ilvl w:val="0"/>
                <w:numId w:val="0"/>
              </w:numPr>
              <w:rPr>
                <w:rFonts w:ascii="Calibri" w:hAnsi="Calibri" w:cs="Calibri"/>
                <w:sz w:val="22"/>
                <w:szCs w:val="22"/>
              </w:rPr>
            </w:pPr>
            <w:r>
              <w:rPr>
                <w:rFonts w:ascii="Calibri" w:hAnsi="Calibri" w:cs="Calibri"/>
                <w:sz w:val="22"/>
                <w:szCs w:val="22"/>
              </w:rPr>
              <w:t>5</w:t>
            </w:r>
          </w:p>
          <w:p w14:paraId="0C96C651" w14:textId="617AC088" w:rsidR="00981C93" w:rsidRPr="00FB5364" w:rsidRDefault="00981C93">
            <w:pPr>
              <w:pStyle w:val="ListBullet"/>
              <w:numPr>
                <w:ilvl w:val="0"/>
                <w:numId w:val="0"/>
              </w:numPr>
              <w:rPr>
                <w:rFonts w:ascii="Calibri" w:hAnsi="Calibri" w:cs="Calibri"/>
                <w:sz w:val="22"/>
                <w:szCs w:val="22"/>
              </w:rPr>
            </w:pPr>
            <w:r>
              <w:rPr>
                <w:rFonts w:ascii="Calibri" w:hAnsi="Calibri" w:cs="Calibri"/>
                <w:sz w:val="22"/>
                <w:szCs w:val="22"/>
              </w:rPr>
              <w:t>0</w:t>
            </w:r>
          </w:p>
        </w:tc>
      </w:tr>
      <w:tr w:rsidR="003E6D0A" w:rsidRPr="003E6D0A" w14:paraId="37B7D712" w14:textId="77777777" w:rsidTr="00C54AAD">
        <w:trPr>
          <w:jc w:val="center"/>
        </w:trPr>
        <w:tc>
          <w:tcPr>
            <w:tcW w:w="2938" w:type="dxa"/>
          </w:tcPr>
          <w:p w14:paraId="613DA2F4" w14:textId="289BB846" w:rsidR="003E6D0A" w:rsidRPr="00FB5364" w:rsidRDefault="003E6D0A" w:rsidP="00F1254D">
            <w:pPr>
              <w:pStyle w:val="ListBullet"/>
              <w:numPr>
                <w:ilvl w:val="0"/>
                <w:numId w:val="0"/>
              </w:numPr>
              <w:rPr>
                <w:rFonts w:ascii="Calibri" w:hAnsi="Calibri" w:cs="Calibri"/>
                <w:sz w:val="22"/>
                <w:szCs w:val="22"/>
              </w:rPr>
            </w:pPr>
            <w:r w:rsidRPr="003E6D0A">
              <w:t>Day 6</w:t>
            </w:r>
          </w:p>
        </w:tc>
        <w:tc>
          <w:tcPr>
            <w:tcW w:w="2141" w:type="dxa"/>
          </w:tcPr>
          <w:p w14:paraId="7578C680" w14:textId="77777777" w:rsidR="00981C93" w:rsidRPr="003F37AC" w:rsidRDefault="00981C93">
            <w:pPr>
              <w:pStyle w:val="ListBullet"/>
              <w:numPr>
                <w:ilvl w:val="0"/>
                <w:numId w:val="0"/>
              </w:numPr>
              <w:rPr>
                <w:rFonts w:ascii="Calibri" w:hAnsi="Calibri" w:cs="Calibri"/>
                <w:sz w:val="22"/>
                <w:szCs w:val="22"/>
              </w:rPr>
            </w:pPr>
            <w:r w:rsidRPr="003F37AC">
              <w:rPr>
                <w:rFonts w:ascii="Calibri" w:hAnsi="Calibri" w:cs="Calibri"/>
                <w:sz w:val="22"/>
                <w:szCs w:val="22"/>
              </w:rPr>
              <w:t>&lt; 1.5</w:t>
            </w:r>
          </w:p>
          <w:p w14:paraId="356401F4" w14:textId="77777777" w:rsidR="00981C93" w:rsidRPr="003F37AC" w:rsidRDefault="00981C93">
            <w:pPr>
              <w:pStyle w:val="ListBullet"/>
              <w:numPr>
                <w:ilvl w:val="0"/>
                <w:numId w:val="0"/>
              </w:numPr>
              <w:rPr>
                <w:rFonts w:ascii="Calibri" w:hAnsi="Calibri" w:cs="Calibri"/>
                <w:sz w:val="22"/>
                <w:szCs w:val="22"/>
              </w:rPr>
            </w:pPr>
            <w:r w:rsidRPr="003F37AC">
              <w:rPr>
                <w:rFonts w:ascii="Calibri" w:hAnsi="Calibri" w:cs="Calibri"/>
                <w:sz w:val="22"/>
                <w:szCs w:val="22"/>
              </w:rPr>
              <w:t>1.5-1.9</w:t>
            </w:r>
          </w:p>
          <w:p w14:paraId="58ABC561" w14:textId="77777777" w:rsidR="00981C93" w:rsidRPr="003F37AC" w:rsidRDefault="00981C93">
            <w:pPr>
              <w:pStyle w:val="ListBullet"/>
              <w:numPr>
                <w:ilvl w:val="0"/>
                <w:numId w:val="0"/>
              </w:numPr>
              <w:rPr>
                <w:rFonts w:ascii="Calibri" w:hAnsi="Calibri" w:cs="Calibri"/>
                <w:sz w:val="22"/>
                <w:szCs w:val="22"/>
              </w:rPr>
            </w:pPr>
            <w:r w:rsidRPr="003F37AC">
              <w:rPr>
                <w:rFonts w:ascii="Calibri" w:hAnsi="Calibri" w:cs="Calibri"/>
                <w:sz w:val="22"/>
                <w:szCs w:val="22"/>
              </w:rPr>
              <w:t>2.0-3.0</w:t>
            </w:r>
          </w:p>
          <w:p w14:paraId="14A159FD" w14:textId="50C00EFA" w:rsidR="003E6D0A" w:rsidRPr="00FB5364" w:rsidRDefault="00981C93">
            <w:pPr>
              <w:pStyle w:val="ListBullet"/>
              <w:numPr>
                <w:ilvl w:val="0"/>
                <w:numId w:val="0"/>
              </w:numPr>
              <w:rPr>
                <w:rFonts w:ascii="Calibri" w:hAnsi="Calibri" w:cs="Calibri"/>
                <w:sz w:val="22"/>
                <w:szCs w:val="22"/>
              </w:rPr>
            </w:pPr>
            <w:r w:rsidRPr="003F37AC">
              <w:rPr>
                <w:rFonts w:ascii="Calibri" w:hAnsi="Calibri" w:cs="Calibri"/>
                <w:sz w:val="22"/>
                <w:szCs w:val="22"/>
              </w:rPr>
              <w:t>&gt; 3.0</w:t>
            </w:r>
          </w:p>
        </w:tc>
        <w:tc>
          <w:tcPr>
            <w:tcW w:w="4456" w:type="dxa"/>
          </w:tcPr>
          <w:p w14:paraId="2B1B93ED" w14:textId="77777777" w:rsidR="003E6D0A" w:rsidRDefault="00981C93">
            <w:pPr>
              <w:pStyle w:val="ListBullet"/>
              <w:numPr>
                <w:ilvl w:val="0"/>
                <w:numId w:val="0"/>
              </w:numPr>
              <w:rPr>
                <w:rFonts w:ascii="Calibri" w:hAnsi="Calibri" w:cs="Calibri"/>
                <w:sz w:val="22"/>
                <w:szCs w:val="22"/>
              </w:rPr>
            </w:pPr>
            <w:r>
              <w:rPr>
                <w:rFonts w:ascii="Calibri" w:hAnsi="Calibri" w:cs="Calibri"/>
                <w:sz w:val="22"/>
                <w:szCs w:val="22"/>
              </w:rPr>
              <w:t>12.5</w:t>
            </w:r>
          </w:p>
          <w:p w14:paraId="01B5095C" w14:textId="77777777" w:rsidR="00981C93" w:rsidRDefault="00981C93">
            <w:pPr>
              <w:pStyle w:val="ListBullet"/>
              <w:numPr>
                <w:ilvl w:val="0"/>
                <w:numId w:val="0"/>
              </w:numPr>
              <w:rPr>
                <w:rFonts w:ascii="Calibri" w:hAnsi="Calibri" w:cs="Calibri"/>
                <w:sz w:val="22"/>
                <w:szCs w:val="22"/>
              </w:rPr>
            </w:pPr>
            <w:r>
              <w:rPr>
                <w:rFonts w:ascii="Calibri" w:hAnsi="Calibri" w:cs="Calibri"/>
                <w:sz w:val="22"/>
                <w:szCs w:val="22"/>
              </w:rPr>
              <w:t>10</w:t>
            </w:r>
          </w:p>
          <w:p w14:paraId="17A8C413" w14:textId="77777777" w:rsidR="00981C93" w:rsidRDefault="00981C93">
            <w:pPr>
              <w:pStyle w:val="ListBullet"/>
              <w:numPr>
                <w:ilvl w:val="0"/>
                <w:numId w:val="0"/>
              </w:numPr>
              <w:rPr>
                <w:rFonts w:ascii="Calibri" w:hAnsi="Calibri" w:cs="Calibri"/>
                <w:sz w:val="22"/>
                <w:szCs w:val="22"/>
              </w:rPr>
            </w:pPr>
            <w:r>
              <w:rPr>
                <w:rFonts w:ascii="Calibri" w:hAnsi="Calibri" w:cs="Calibri"/>
                <w:sz w:val="22"/>
                <w:szCs w:val="22"/>
              </w:rPr>
              <w:t>7.5</w:t>
            </w:r>
          </w:p>
          <w:p w14:paraId="0D05EF3E" w14:textId="659DD9CA" w:rsidR="00981C93" w:rsidRPr="00FB5364" w:rsidRDefault="00981C93">
            <w:pPr>
              <w:pStyle w:val="ListBullet"/>
              <w:numPr>
                <w:ilvl w:val="0"/>
                <w:numId w:val="0"/>
              </w:numPr>
              <w:rPr>
                <w:rFonts w:ascii="Calibri" w:hAnsi="Calibri" w:cs="Calibri"/>
                <w:sz w:val="22"/>
                <w:szCs w:val="22"/>
              </w:rPr>
            </w:pPr>
            <w:r>
              <w:rPr>
                <w:rFonts w:ascii="Calibri" w:hAnsi="Calibri" w:cs="Calibri"/>
                <w:sz w:val="22"/>
                <w:szCs w:val="22"/>
              </w:rPr>
              <w:t>0</w:t>
            </w:r>
          </w:p>
        </w:tc>
      </w:tr>
    </w:tbl>
    <w:p w14:paraId="1B23E0B7" w14:textId="3CAFCD8D" w:rsidR="0057336C" w:rsidRPr="003F37AC" w:rsidRDefault="0057336C" w:rsidP="00462589">
      <w:pPr>
        <w:pStyle w:val="ListBullet"/>
        <w:numPr>
          <w:ilvl w:val="0"/>
          <w:numId w:val="0"/>
        </w:numPr>
        <w:spacing w:line="240" w:lineRule="auto"/>
        <w:rPr>
          <w:b/>
          <w:lang w:val="en-US"/>
        </w:rPr>
      </w:pPr>
      <w:r w:rsidRPr="2C7D2031">
        <w:rPr>
          <w:b/>
          <w:bCs/>
          <w:lang w:val="en-US"/>
        </w:rPr>
        <w:t xml:space="preserve">Maintenance therapeutic dosing of oral warfarin for the </w:t>
      </w:r>
      <w:r w:rsidRPr="2C7D2031">
        <w:rPr>
          <w:b/>
          <w:bCs/>
          <w:i/>
          <w:iCs/>
          <w:lang w:val="en-US"/>
        </w:rPr>
        <w:t>treatment</w:t>
      </w:r>
      <w:r w:rsidRPr="2C7D2031">
        <w:rPr>
          <w:b/>
          <w:bCs/>
          <w:lang w:val="en-US"/>
        </w:rPr>
        <w:t xml:space="preserve"> of DVT/PE targeting INR goal 2-3</w:t>
      </w:r>
      <w:r w:rsidR="00206D56" w:rsidRPr="2C7D2031">
        <w:rPr>
          <w:b/>
          <w:bCs/>
          <w:lang w:val="en-US"/>
        </w:rPr>
        <w:t xml:space="preserve"> (after Week 1)</w:t>
      </w:r>
      <w:r w:rsidR="00E21D69" w:rsidRPr="2C7D2031">
        <w:rPr>
          <w:b/>
          <w:bCs/>
          <w:lang w:val="en-US"/>
        </w:rPr>
        <w:t>*</w:t>
      </w:r>
    </w:p>
    <w:tbl>
      <w:tblPr>
        <w:tblStyle w:val="TableGrid"/>
        <w:tblW w:w="0" w:type="auto"/>
        <w:jc w:val="center"/>
        <w:tblLook w:val="04A0" w:firstRow="1" w:lastRow="0" w:firstColumn="1" w:lastColumn="0" w:noHBand="0" w:noVBand="1"/>
      </w:tblPr>
      <w:tblGrid>
        <w:gridCol w:w="2160"/>
        <w:gridCol w:w="4045"/>
      </w:tblGrid>
      <w:tr w:rsidR="0057336C" w:rsidRPr="00E16219" w14:paraId="489391D5" w14:textId="77777777" w:rsidTr="00FB5364">
        <w:trPr>
          <w:jc w:val="center"/>
        </w:trPr>
        <w:tc>
          <w:tcPr>
            <w:tcW w:w="2160" w:type="dxa"/>
            <w:shd w:val="clear" w:color="auto" w:fill="2F5496" w:themeFill="accent5" w:themeFillShade="BF"/>
          </w:tcPr>
          <w:p w14:paraId="1192A6CA" w14:textId="77777777" w:rsidR="0057336C" w:rsidRPr="00E16219" w:rsidRDefault="0057336C" w:rsidP="00F1254D">
            <w:pPr>
              <w:pStyle w:val="ListBullet"/>
              <w:numPr>
                <w:ilvl w:val="0"/>
                <w:numId w:val="0"/>
              </w:numPr>
              <w:rPr>
                <w:rFonts w:ascii="Calibri" w:hAnsi="Calibri" w:cs="Calibri"/>
                <w:b/>
                <w:color w:val="FFFFFF" w:themeColor="background1"/>
                <w:sz w:val="22"/>
                <w:szCs w:val="22"/>
              </w:rPr>
            </w:pPr>
            <w:r w:rsidRPr="00E16219">
              <w:rPr>
                <w:rFonts w:ascii="Calibri" w:hAnsi="Calibri" w:cs="Calibri"/>
                <w:b/>
                <w:color w:val="FFFFFF" w:themeColor="background1"/>
                <w:sz w:val="22"/>
                <w:szCs w:val="22"/>
              </w:rPr>
              <w:t>INR value</w:t>
            </w:r>
          </w:p>
        </w:tc>
        <w:tc>
          <w:tcPr>
            <w:tcW w:w="4045" w:type="dxa"/>
            <w:shd w:val="clear" w:color="auto" w:fill="2F5496" w:themeFill="accent5" w:themeFillShade="BF"/>
          </w:tcPr>
          <w:p w14:paraId="42155CBD" w14:textId="77777777" w:rsidR="0057336C" w:rsidRPr="00E16219" w:rsidRDefault="0057336C">
            <w:pPr>
              <w:pStyle w:val="ListBullet"/>
              <w:numPr>
                <w:ilvl w:val="0"/>
                <w:numId w:val="0"/>
              </w:numPr>
              <w:rPr>
                <w:rFonts w:ascii="Calibri" w:hAnsi="Calibri" w:cs="Calibri"/>
                <w:b/>
                <w:color w:val="FFFFFF" w:themeColor="background1"/>
                <w:sz w:val="22"/>
                <w:szCs w:val="22"/>
              </w:rPr>
            </w:pPr>
            <w:r w:rsidRPr="00E16219">
              <w:rPr>
                <w:rFonts w:ascii="Calibri" w:hAnsi="Calibri" w:cs="Calibri"/>
                <w:b/>
                <w:color w:val="FFFFFF" w:themeColor="background1"/>
                <w:sz w:val="22"/>
                <w:szCs w:val="22"/>
              </w:rPr>
              <w:t>Total daily dose</w:t>
            </w:r>
            <w:r>
              <w:rPr>
                <w:rFonts w:ascii="Calibri" w:hAnsi="Calibri" w:cs="Calibri"/>
                <w:b/>
                <w:color w:val="FFFFFF" w:themeColor="background1"/>
                <w:sz w:val="22"/>
                <w:szCs w:val="22"/>
              </w:rPr>
              <w:t xml:space="preserve"> (mg)</w:t>
            </w:r>
          </w:p>
        </w:tc>
      </w:tr>
      <w:tr w:rsidR="0057336C" w:rsidRPr="003F37AC" w14:paraId="3B15B6F5" w14:textId="77777777" w:rsidTr="00FB5364">
        <w:trPr>
          <w:jc w:val="center"/>
        </w:trPr>
        <w:tc>
          <w:tcPr>
            <w:tcW w:w="2160" w:type="dxa"/>
          </w:tcPr>
          <w:p w14:paraId="177F54A4" w14:textId="3A31C51E" w:rsidR="0057336C" w:rsidRPr="003F37AC" w:rsidRDefault="00206D56" w:rsidP="00F1254D">
            <w:pPr>
              <w:pStyle w:val="ListBullet"/>
              <w:numPr>
                <w:ilvl w:val="0"/>
                <w:numId w:val="0"/>
              </w:numPr>
              <w:rPr>
                <w:rFonts w:ascii="Calibri" w:hAnsi="Calibri" w:cs="Calibri"/>
                <w:sz w:val="22"/>
                <w:szCs w:val="22"/>
              </w:rPr>
            </w:pPr>
            <w:r w:rsidRPr="00206D56">
              <w:rPr>
                <w:rFonts w:ascii="Calibri" w:hAnsi="Calibri" w:cs="Calibri"/>
                <w:sz w:val="22"/>
                <w:szCs w:val="22"/>
              </w:rPr>
              <w:t xml:space="preserve">≤ </w:t>
            </w:r>
            <w:r w:rsidR="0057336C" w:rsidRPr="00D02226">
              <w:rPr>
                <w:rFonts w:ascii="Calibri" w:hAnsi="Calibri" w:cs="Calibri"/>
                <w:sz w:val="22"/>
                <w:szCs w:val="22"/>
              </w:rPr>
              <w:t>1.5</w:t>
            </w:r>
          </w:p>
        </w:tc>
        <w:tc>
          <w:tcPr>
            <w:tcW w:w="4045" w:type="dxa"/>
          </w:tcPr>
          <w:p w14:paraId="4FEC6619" w14:textId="44DD8197" w:rsidR="0057336C" w:rsidRPr="003F37AC" w:rsidRDefault="00206D56">
            <w:pPr>
              <w:pStyle w:val="ListBullet"/>
              <w:numPr>
                <w:ilvl w:val="0"/>
                <w:numId w:val="0"/>
              </w:numPr>
              <w:rPr>
                <w:rFonts w:ascii="Calibri" w:hAnsi="Calibri" w:cs="Calibri"/>
                <w:sz w:val="22"/>
                <w:szCs w:val="22"/>
              </w:rPr>
            </w:pPr>
            <w:r>
              <w:rPr>
                <w:rFonts w:ascii="Calibri" w:hAnsi="Calibri" w:cs="Calibri"/>
                <w:sz w:val="22"/>
                <w:szCs w:val="22"/>
              </w:rPr>
              <w:t>Increase 15% per week</w:t>
            </w:r>
          </w:p>
        </w:tc>
      </w:tr>
      <w:tr w:rsidR="0057336C" w:rsidRPr="003F37AC" w14:paraId="3B032CF3" w14:textId="77777777" w:rsidTr="00FB5364">
        <w:trPr>
          <w:jc w:val="center"/>
        </w:trPr>
        <w:tc>
          <w:tcPr>
            <w:tcW w:w="2160" w:type="dxa"/>
          </w:tcPr>
          <w:p w14:paraId="5CE0BB77" w14:textId="3E206925" w:rsidR="0057336C" w:rsidRPr="003F37AC" w:rsidRDefault="0057336C" w:rsidP="00F1254D">
            <w:pPr>
              <w:pStyle w:val="ListBullet"/>
              <w:numPr>
                <w:ilvl w:val="0"/>
                <w:numId w:val="0"/>
              </w:numPr>
              <w:rPr>
                <w:rFonts w:ascii="Calibri" w:hAnsi="Calibri" w:cs="Calibri"/>
                <w:sz w:val="22"/>
                <w:szCs w:val="22"/>
              </w:rPr>
            </w:pPr>
            <w:r w:rsidRPr="00D02226">
              <w:rPr>
                <w:rFonts w:ascii="Calibri" w:hAnsi="Calibri" w:cs="Calibri"/>
                <w:sz w:val="22"/>
                <w:szCs w:val="22"/>
              </w:rPr>
              <w:t>1.5</w:t>
            </w:r>
            <w:r w:rsidR="00206D56">
              <w:rPr>
                <w:rFonts w:ascii="Calibri" w:hAnsi="Calibri" w:cs="Calibri"/>
                <w:sz w:val="22"/>
                <w:szCs w:val="22"/>
              </w:rPr>
              <w:t>1-1.99</w:t>
            </w:r>
          </w:p>
        </w:tc>
        <w:tc>
          <w:tcPr>
            <w:tcW w:w="4045" w:type="dxa"/>
          </w:tcPr>
          <w:p w14:paraId="45ADE3A6" w14:textId="4D763953" w:rsidR="0057336C" w:rsidRPr="003F37AC" w:rsidRDefault="00B051FB">
            <w:pPr>
              <w:pStyle w:val="ListBullet"/>
              <w:numPr>
                <w:ilvl w:val="0"/>
                <w:numId w:val="0"/>
              </w:numPr>
              <w:rPr>
                <w:rFonts w:ascii="Calibri" w:hAnsi="Calibri" w:cs="Calibri"/>
                <w:sz w:val="22"/>
                <w:szCs w:val="22"/>
              </w:rPr>
            </w:pPr>
            <w:r>
              <w:rPr>
                <w:rFonts w:ascii="Calibri" w:hAnsi="Calibri" w:cs="Calibri"/>
                <w:sz w:val="22"/>
                <w:szCs w:val="22"/>
              </w:rPr>
              <w:t>Increase 10% per week</w:t>
            </w:r>
          </w:p>
        </w:tc>
      </w:tr>
      <w:tr w:rsidR="0057336C" w:rsidRPr="003F37AC" w14:paraId="6123E949" w14:textId="77777777" w:rsidTr="00FB5364">
        <w:trPr>
          <w:jc w:val="center"/>
        </w:trPr>
        <w:tc>
          <w:tcPr>
            <w:tcW w:w="2160" w:type="dxa"/>
          </w:tcPr>
          <w:p w14:paraId="52A6343E" w14:textId="58DD3E4E" w:rsidR="0057336C" w:rsidRPr="003F37AC" w:rsidRDefault="00B051FB" w:rsidP="00F1254D">
            <w:pPr>
              <w:pStyle w:val="ListBullet"/>
              <w:numPr>
                <w:ilvl w:val="0"/>
                <w:numId w:val="0"/>
              </w:numPr>
              <w:rPr>
                <w:rFonts w:ascii="Calibri" w:hAnsi="Calibri" w:cs="Calibri"/>
                <w:sz w:val="22"/>
                <w:szCs w:val="22"/>
              </w:rPr>
            </w:pPr>
            <w:r>
              <w:rPr>
                <w:rFonts w:ascii="Calibri" w:hAnsi="Calibri" w:cs="Calibri"/>
                <w:sz w:val="22"/>
                <w:szCs w:val="22"/>
              </w:rPr>
              <w:t>2.0-3.0</w:t>
            </w:r>
          </w:p>
        </w:tc>
        <w:tc>
          <w:tcPr>
            <w:tcW w:w="4045" w:type="dxa"/>
          </w:tcPr>
          <w:p w14:paraId="432798F6" w14:textId="5204086A" w:rsidR="0057336C" w:rsidRPr="003F37AC" w:rsidRDefault="00111880">
            <w:pPr>
              <w:pStyle w:val="ListBullet"/>
              <w:numPr>
                <w:ilvl w:val="0"/>
                <w:numId w:val="0"/>
              </w:numPr>
              <w:rPr>
                <w:rFonts w:ascii="Calibri" w:hAnsi="Calibri" w:cs="Calibri"/>
                <w:sz w:val="22"/>
                <w:szCs w:val="22"/>
              </w:rPr>
            </w:pPr>
            <w:r>
              <w:rPr>
                <w:rFonts w:ascii="Calibri" w:hAnsi="Calibri" w:cs="Calibri"/>
                <w:sz w:val="22"/>
                <w:szCs w:val="22"/>
              </w:rPr>
              <w:t>No change</w:t>
            </w:r>
          </w:p>
        </w:tc>
      </w:tr>
      <w:tr w:rsidR="0057336C" w:rsidRPr="003F37AC" w14:paraId="220F3F17" w14:textId="77777777" w:rsidTr="00FB5364">
        <w:trPr>
          <w:jc w:val="center"/>
        </w:trPr>
        <w:tc>
          <w:tcPr>
            <w:tcW w:w="2160" w:type="dxa"/>
          </w:tcPr>
          <w:p w14:paraId="62C2AF76" w14:textId="015756C0" w:rsidR="0057336C" w:rsidRPr="003F37AC" w:rsidRDefault="00C72B7F" w:rsidP="00F1254D">
            <w:pPr>
              <w:pStyle w:val="ListBullet"/>
              <w:numPr>
                <w:ilvl w:val="0"/>
                <w:numId w:val="0"/>
              </w:numPr>
              <w:rPr>
                <w:rFonts w:ascii="Calibri" w:hAnsi="Calibri" w:cs="Calibri"/>
                <w:sz w:val="22"/>
                <w:szCs w:val="22"/>
              </w:rPr>
            </w:pPr>
            <w:r>
              <w:rPr>
                <w:rFonts w:ascii="Calibri" w:hAnsi="Calibri" w:cs="Calibri"/>
                <w:sz w:val="22"/>
                <w:szCs w:val="22"/>
              </w:rPr>
              <w:t>3.01-4.0</w:t>
            </w:r>
          </w:p>
        </w:tc>
        <w:tc>
          <w:tcPr>
            <w:tcW w:w="4045" w:type="dxa"/>
          </w:tcPr>
          <w:p w14:paraId="5DE47FFF" w14:textId="6928C5AB" w:rsidR="0057336C" w:rsidRPr="003F37AC" w:rsidRDefault="00C72B7F">
            <w:pPr>
              <w:pStyle w:val="ListBullet"/>
              <w:numPr>
                <w:ilvl w:val="0"/>
                <w:numId w:val="0"/>
              </w:numPr>
              <w:rPr>
                <w:rFonts w:ascii="Calibri" w:hAnsi="Calibri" w:cs="Calibri"/>
                <w:sz w:val="22"/>
                <w:szCs w:val="22"/>
              </w:rPr>
            </w:pPr>
            <w:r>
              <w:rPr>
                <w:rFonts w:ascii="Calibri" w:hAnsi="Calibri" w:cs="Calibri"/>
                <w:sz w:val="22"/>
                <w:szCs w:val="22"/>
              </w:rPr>
              <w:t>Decrease 10% per week</w:t>
            </w:r>
          </w:p>
        </w:tc>
      </w:tr>
      <w:tr w:rsidR="00C72B7F" w:rsidRPr="00F050A7" w14:paraId="44610B6D" w14:textId="77777777" w:rsidTr="0057336C">
        <w:trPr>
          <w:jc w:val="center"/>
        </w:trPr>
        <w:tc>
          <w:tcPr>
            <w:tcW w:w="2160" w:type="dxa"/>
          </w:tcPr>
          <w:p w14:paraId="1EC64861" w14:textId="1F03C72B" w:rsidR="00C72B7F" w:rsidRPr="00FB5364" w:rsidRDefault="00C72B7F" w:rsidP="00F1254D">
            <w:pPr>
              <w:pStyle w:val="ListBullet"/>
              <w:numPr>
                <w:ilvl w:val="0"/>
                <w:numId w:val="0"/>
              </w:numPr>
              <w:rPr>
                <w:rFonts w:ascii="Calibri" w:hAnsi="Calibri" w:cs="Calibri"/>
                <w:sz w:val="22"/>
                <w:szCs w:val="22"/>
              </w:rPr>
            </w:pPr>
            <w:r w:rsidRPr="00CA2D8C">
              <w:t>4.01-4.99</w:t>
            </w:r>
          </w:p>
        </w:tc>
        <w:tc>
          <w:tcPr>
            <w:tcW w:w="4045" w:type="dxa"/>
          </w:tcPr>
          <w:p w14:paraId="37D3689C" w14:textId="1D8A5972" w:rsidR="00C72B7F" w:rsidRPr="00FB5364" w:rsidRDefault="00C72B7F">
            <w:pPr>
              <w:pStyle w:val="ListBullet"/>
              <w:numPr>
                <w:ilvl w:val="0"/>
                <w:numId w:val="0"/>
              </w:numPr>
              <w:rPr>
                <w:rFonts w:ascii="Calibri" w:hAnsi="Calibri" w:cs="Calibri"/>
                <w:sz w:val="22"/>
                <w:szCs w:val="22"/>
              </w:rPr>
            </w:pPr>
            <w:r w:rsidRPr="00CA2D8C">
              <w:t>Hold one dose, restart with dose decreased by 10% per week</w:t>
            </w:r>
          </w:p>
        </w:tc>
      </w:tr>
      <w:tr w:rsidR="00576719" w:rsidRPr="00F050A7" w14:paraId="407790F0" w14:textId="77777777" w:rsidTr="0057336C">
        <w:trPr>
          <w:jc w:val="center"/>
        </w:trPr>
        <w:tc>
          <w:tcPr>
            <w:tcW w:w="2160" w:type="dxa"/>
          </w:tcPr>
          <w:p w14:paraId="72089ECE" w14:textId="1F48F6EA" w:rsidR="00576719" w:rsidRPr="00FB5364" w:rsidRDefault="00576719" w:rsidP="00F1254D">
            <w:pPr>
              <w:pStyle w:val="ListBullet"/>
              <w:numPr>
                <w:ilvl w:val="0"/>
                <w:numId w:val="0"/>
              </w:numPr>
              <w:rPr>
                <w:rFonts w:ascii="Calibri" w:hAnsi="Calibri" w:cs="Calibri"/>
                <w:sz w:val="22"/>
                <w:szCs w:val="22"/>
              </w:rPr>
            </w:pPr>
            <w:r w:rsidRPr="00CA2D8C">
              <w:t>5-8.99</w:t>
            </w:r>
          </w:p>
        </w:tc>
        <w:tc>
          <w:tcPr>
            <w:tcW w:w="4045" w:type="dxa"/>
          </w:tcPr>
          <w:p w14:paraId="4FC12A10" w14:textId="43664D64" w:rsidR="00576719" w:rsidRPr="00FB5364" w:rsidRDefault="00576719">
            <w:pPr>
              <w:pStyle w:val="ListBullet"/>
              <w:numPr>
                <w:ilvl w:val="0"/>
                <w:numId w:val="0"/>
              </w:numPr>
              <w:rPr>
                <w:rFonts w:ascii="Calibri" w:hAnsi="Calibri" w:cs="Calibri"/>
                <w:sz w:val="22"/>
                <w:szCs w:val="22"/>
              </w:rPr>
            </w:pPr>
            <w:r w:rsidRPr="00CA2D8C">
              <w:t xml:space="preserve">Hold </w:t>
            </w:r>
            <w:r w:rsidR="00667BA2" w:rsidRPr="004A4C71">
              <w:rPr>
                <w:rFonts w:ascii="Calibri" w:hAnsi="Calibri" w:cs="Calibri"/>
                <w:sz w:val="22"/>
                <w:szCs w:val="22"/>
              </w:rPr>
              <w:t xml:space="preserve">until </w:t>
            </w:r>
            <w:r w:rsidRPr="00CA2D8C">
              <w:t>INR is 2 to 3, restart with dose decreased by 15% per week</w:t>
            </w:r>
          </w:p>
        </w:tc>
      </w:tr>
    </w:tbl>
    <w:p w14:paraId="4698E739" w14:textId="5B2BD82B" w:rsidR="0057336C" w:rsidRDefault="00E21D69" w:rsidP="00462589">
      <w:pPr>
        <w:pStyle w:val="ListBullet"/>
        <w:numPr>
          <w:ilvl w:val="0"/>
          <w:numId w:val="0"/>
        </w:numPr>
        <w:spacing w:line="240" w:lineRule="auto"/>
        <w:rPr>
          <w:lang w:val="en-US"/>
        </w:rPr>
      </w:pPr>
      <w:r w:rsidRPr="2C7D2031">
        <w:rPr>
          <w:lang w:val="en-US"/>
        </w:rPr>
        <w:t>* For example, a patient taking 35 mg of warfarin per week (5.0 mg daily</w:t>
      </w:r>
      <w:r w:rsidR="005759DA" w:rsidRPr="2C7D2031">
        <w:rPr>
          <w:lang w:val="en-US"/>
        </w:rPr>
        <w:t xml:space="preserve"> seven days per week</w:t>
      </w:r>
      <w:r w:rsidRPr="2C7D2031">
        <w:rPr>
          <w:lang w:val="en-US"/>
        </w:rPr>
        <w:t>) with an INR of 1.</w:t>
      </w:r>
      <w:r w:rsidR="002D18D2" w:rsidRPr="2C7D2031">
        <w:rPr>
          <w:lang w:val="en-US"/>
        </w:rPr>
        <w:t>6</w:t>
      </w:r>
      <w:r w:rsidRPr="2C7D2031">
        <w:rPr>
          <w:lang w:val="en-US"/>
        </w:rPr>
        <w:t xml:space="preserve"> would increase the </w:t>
      </w:r>
      <w:r w:rsidR="002D18D2" w:rsidRPr="2C7D2031">
        <w:rPr>
          <w:lang w:val="en-US"/>
        </w:rPr>
        <w:t xml:space="preserve">total weekly </w:t>
      </w:r>
      <w:r w:rsidRPr="2C7D2031">
        <w:rPr>
          <w:lang w:val="en-US"/>
        </w:rPr>
        <w:t>dose by 10</w:t>
      </w:r>
      <w:r w:rsidR="002D4642" w:rsidRPr="2C7D2031">
        <w:rPr>
          <w:lang w:val="en-US"/>
        </w:rPr>
        <w:t>%</w:t>
      </w:r>
      <w:r w:rsidRPr="2C7D2031">
        <w:rPr>
          <w:lang w:val="en-US"/>
        </w:rPr>
        <w:t xml:space="preserve"> (increase by 3</w:t>
      </w:r>
      <w:r w:rsidR="002D18D2" w:rsidRPr="2C7D2031">
        <w:rPr>
          <w:lang w:val="en-US"/>
        </w:rPr>
        <w:t>.5</w:t>
      </w:r>
      <w:r w:rsidRPr="2C7D2031">
        <w:rPr>
          <w:lang w:val="en-US"/>
        </w:rPr>
        <w:t xml:space="preserve"> mg to 3</w:t>
      </w:r>
      <w:r w:rsidR="002D18D2" w:rsidRPr="2C7D2031">
        <w:rPr>
          <w:lang w:val="en-US"/>
        </w:rPr>
        <w:t>8.5</w:t>
      </w:r>
      <w:r w:rsidRPr="2C7D2031">
        <w:rPr>
          <w:lang w:val="en-US"/>
        </w:rPr>
        <w:t xml:space="preserve"> mg per week). The </w:t>
      </w:r>
      <w:r w:rsidRPr="2C7D2031">
        <w:rPr>
          <w:lang w:val="en-US"/>
        </w:rPr>
        <w:lastRenderedPageBreak/>
        <w:t xml:space="preserve">new </w:t>
      </w:r>
      <w:r w:rsidR="008F75B2" w:rsidRPr="2C7D2031">
        <w:rPr>
          <w:lang w:val="en-US"/>
        </w:rPr>
        <w:t xml:space="preserve">total </w:t>
      </w:r>
      <w:r w:rsidRPr="2C7D2031">
        <w:rPr>
          <w:lang w:val="en-US"/>
        </w:rPr>
        <w:t xml:space="preserve">weekly dose could be distributed as 5 mg daily on </w:t>
      </w:r>
      <w:r w:rsidR="0034482A" w:rsidRPr="2C7D2031">
        <w:rPr>
          <w:lang w:val="en-US"/>
        </w:rPr>
        <w:t>five</w:t>
      </w:r>
      <w:r w:rsidRPr="2C7D2031">
        <w:rPr>
          <w:lang w:val="en-US"/>
        </w:rPr>
        <w:t xml:space="preserve"> days of the week and </w:t>
      </w:r>
      <w:r w:rsidR="0034482A" w:rsidRPr="2C7D2031">
        <w:rPr>
          <w:lang w:val="en-US"/>
        </w:rPr>
        <w:t>7</w:t>
      </w:r>
      <w:r w:rsidRPr="2C7D2031">
        <w:rPr>
          <w:lang w:val="en-US"/>
        </w:rPr>
        <w:t xml:space="preserve"> mg on the remaining </w:t>
      </w:r>
      <w:r w:rsidR="0034482A" w:rsidRPr="2C7D2031">
        <w:rPr>
          <w:lang w:val="en-US"/>
        </w:rPr>
        <w:t xml:space="preserve">two </w:t>
      </w:r>
      <w:r w:rsidRPr="2C7D2031">
        <w:rPr>
          <w:lang w:val="en-US"/>
        </w:rPr>
        <w:t>day</w:t>
      </w:r>
      <w:r w:rsidR="0034482A" w:rsidRPr="2C7D2031">
        <w:rPr>
          <w:lang w:val="en-US"/>
        </w:rPr>
        <w:t>s (39 mg</w:t>
      </w:r>
      <w:r w:rsidR="00714266" w:rsidRPr="2C7D2031">
        <w:rPr>
          <w:lang w:val="en-US"/>
        </w:rPr>
        <w:t xml:space="preserve"> per week</w:t>
      </w:r>
      <w:r w:rsidR="0034482A" w:rsidRPr="2C7D2031">
        <w:rPr>
          <w:lang w:val="en-US"/>
        </w:rPr>
        <w:t>)</w:t>
      </w:r>
      <w:r w:rsidRPr="2C7D2031">
        <w:rPr>
          <w:lang w:val="en-US"/>
        </w:rPr>
        <w:t xml:space="preserve">. Several alternate means of distributing the </w:t>
      </w:r>
      <w:r w:rsidR="0034482A" w:rsidRPr="2C7D2031">
        <w:rPr>
          <w:lang w:val="en-US"/>
        </w:rPr>
        <w:t xml:space="preserve">total weekly </w:t>
      </w:r>
      <w:r w:rsidRPr="2C7D2031">
        <w:rPr>
          <w:lang w:val="en-US"/>
        </w:rPr>
        <w:t>dose could also be used</w:t>
      </w:r>
      <w:r w:rsidR="00C725C8" w:rsidRPr="2C7D2031">
        <w:rPr>
          <w:lang w:val="en-US"/>
        </w:rPr>
        <w:t xml:space="preserve"> (e.g., 5 mg daily on five days of the week, 6 mg on one day, and 7</w:t>
      </w:r>
      <w:r w:rsidR="001A0E78" w:rsidRPr="2C7D2031">
        <w:rPr>
          <w:lang w:val="en-US"/>
        </w:rPr>
        <w:t>.5</w:t>
      </w:r>
      <w:r w:rsidR="00C725C8" w:rsidRPr="2C7D2031">
        <w:rPr>
          <w:lang w:val="en-US"/>
        </w:rPr>
        <w:t xml:space="preserve"> mg on one day [38.5 mg</w:t>
      </w:r>
      <w:r w:rsidR="00A02ACE" w:rsidRPr="2C7D2031">
        <w:rPr>
          <w:lang w:val="en-US"/>
        </w:rPr>
        <w:t xml:space="preserve"> per week</w:t>
      </w:r>
      <w:r w:rsidR="00C725C8" w:rsidRPr="2C7D2031">
        <w:rPr>
          <w:lang w:val="en-US"/>
        </w:rPr>
        <w:t>])</w:t>
      </w:r>
      <w:r w:rsidRPr="2C7D2031">
        <w:rPr>
          <w:lang w:val="en-US"/>
        </w:rPr>
        <w:t>.</w:t>
      </w:r>
      <w:r w:rsidR="00147349" w:rsidRPr="2C7D2031">
        <w:rPr>
          <w:lang w:val="en-US"/>
        </w:rPr>
        <w:t xml:space="preserve"> The INR would be </w:t>
      </w:r>
      <w:r w:rsidR="002E5164" w:rsidRPr="2C7D2031">
        <w:rPr>
          <w:lang w:val="en-US"/>
        </w:rPr>
        <w:t>re</w:t>
      </w:r>
      <w:r w:rsidR="00147349" w:rsidRPr="2C7D2031">
        <w:rPr>
          <w:lang w:val="en-US"/>
        </w:rPr>
        <w:t xml:space="preserve">checked 1 week </w:t>
      </w:r>
      <w:r w:rsidR="002E5164" w:rsidRPr="2C7D2031">
        <w:rPr>
          <w:lang w:val="en-US"/>
        </w:rPr>
        <w:t>after the dose change</w:t>
      </w:r>
      <w:r w:rsidR="00147349" w:rsidRPr="2C7D2031">
        <w:rPr>
          <w:lang w:val="en-US"/>
        </w:rPr>
        <w:t xml:space="preserve">, per the </w:t>
      </w:r>
      <w:r w:rsidR="00ED25D1" w:rsidRPr="2C7D2031">
        <w:rPr>
          <w:lang w:val="en-US"/>
        </w:rPr>
        <w:t>table</w:t>
      </w:r>
      <w:r w:rsidR="005B2144" w:rsidRPr="2C7D2031">
        <w:rPr>
          <w:lang w:val="en-US"/>
        </w:rPr>
        <w:t xml:space="preserve"> </w:t>
      </w:r>
      <w:r w:rsidR="00147349" w:rsidRPr="2C7D2031">
        <w:rPr>
          <w:lang w:val="en-US"/>
        </w:rPr>
        <w:t>below.</w:t>
      </w:r>
    </w:p>
    <w:p w14:paraId="5A931692" w14:textId="77777777" w:rsidR="00E21D69" w:rsidRPr="00FB5364" w:rsidRDefault="00E21D69" w:rsidP="00462589">
      <w:pPr>
        <w:pStyle w:val="ListBullet"/>
        <w:numPr>
          <w:ilvl w:val="0"/>
          <w:numId w:val="0"/>
        </w:numPr>
        <w:spacing w:line="240" w:lineRule="auto"/>
        <w:rPr>
          <w:lang w:val="en-US"/>
        </w:rPr>
      </w:pPr>
    </w:p>
    <w:p w14:paraId="08EF8F1B" w14:textId="4D7C946B" w:rsidR="00DD0899" w:rsidRPr="00FB5364" w:rsidRDefault="00DD0899" w:rsidP="00462589">
      <w:pPr>
        <w:pStyle w:val="ListBullet"/>
        <w:numPr>
          <w:ilvl w:val="0"/>
          <w:numId w:val="0"/>
        </w:numPr>
        <w:spacing w:line="240" w:lineRule="auto"/>
        <w:ind w:left="360" w:hanging="360"/>
        <w:rPr>
          <w:b/>
          <w:lang w:val="en-US"/>
        </w:rPr>
      </w:pPr>
      <w:r w:rsidRPr="2C7D2031">
        <w:rPr>
          <w:b/>
          <w:bCs/>
          <w:lang w:val="en-US"/>
        </w:rPr>
        <w:t xml:space="preserve">Frequency of INR monitoring for maintenance </w:t>
      </w:r>
      <w:r w:rsidR="00147349" w:rsidRPr="2C7D2031">
        <w:rPr>
          <w:b/>
          <w:bCs/>
          <w:lang w:val="en-US"/>
        </w:rPr>
        <w:t xml:space="preserve">therapeutic dosing </w:t>
      </w:r>
      <w:r w:rsidRPr="2C7D2031">
        <w:rPr>
          <w:b/>
          <w:bCs/>
          <w:lang w:val="en-US"/>
        </w:rPr>
        <w:t>of warfarin</w:t>
      </w:r>
    </w:p>
    <w:tbl>
      <w:tblPr>
        <w:tblStyle w:val="TableGrid"/>
        <w:tblW w:w="0" w:type="auto"/>
        <w:jc w:val="center"/>
        <w:tblLook w:val="04A0" w:firstRow="1" w:lastRow="0" w:firstColumn="1" w:lastColumn="0" w:noHBand="0" w:noVBand="1"/>
      </w:tblPr>
      <w:tblGrid>
        <w:gridCol w:w="2515"/>
        <w:gridCol w:w="6475"/>
      </w:tblGrid>
      <w:tr w:rsidR="00DD0899" w:rsidRPr="00F050A7" w14:paraId="573A7562" w14:textId="77777777" w:rsidTr="00FB5364">
        <w:trPr>
          <w:jc w:val="center"/>
        </w:trPr>
        <w:tc>
          <w:tcPr>
            <w:tcW w:w="2515" w:type="dxa"/>
          </w:tcPr>
          <w:p w14:paraId="6951A312" w14:textId="77777777" w:rsidR="00DD0899" w:rsidRPr="00FC5C62" w:rsidRDefault="00DD0899" w:rsidP="00F1254D">
            <w:pPr>
              <w:pStyle w:val="ListBullet"/>
              <w:numPr>
                <w:ilvl w:val="0"/>
                <w:numId w:val="0"/>
              </w:numPr>
              <w:rPr>
                <w:rFonts w:ascii="Calibri" w:hAnsi="Calibri" w:cs="Calibri"/>
                <w:sz w:val="22"/>
                <w:szCs w:val="22"/>
              </w:rPr>
            </w:pPr>
            <w:r w:rsidRPr="00870955">
              <w:rPr>
                <w:rFonts w:ascii="Calibri" w:hAnsi="Calibri" w:cs="Calibri"/>
                <w:sz w:val="22"/>
                <w:szCs w:val="22"/>
              </w:rPr>
              <w:t>Every 3-5 days</w:t>
            </w:r>
          </w:p>
        </w:tc>
        <w:tc>
          <w:tcPr>
            <w:tcW w:w="6475" w:type="dxa"/>
          </w:tcPr>
          <w:p w14:paraId="7BE9E671" w14:textId="2238F4E1" w:rsidR="00DD0899" w:rsidRPr="00FC5C62" w:rsidRDefault="009128ED">
            <w:pPr>
              <w:pStyle w:val="ListBullet"/>
              <w:numPr>
                <w:ilvl w:val="0"/>
                <w:numId w:val="0"/>
              </w:numPr>
              <w:rPr>
                <w:rFonts w:ascii="Calibri" w:hAnsi="Calibri" w:cs="Calibri"/>
                <w:sz w:val="22"/>
                <w:szCs w:val="22"/>
              </w:rPr>
            </w:pPr>
            <w:r>
              <w:rPr>
                <w:rFonts w:ascii="Calibri" w:hAnsi="Calibri" w:cs="Calibri"/>
                <w:sz w:val="22"/>
                <w:szCs w:val="22"/>
              </w:rPr>
              <w:t>If dose needed adjustment by 15%, i</w:t>
            </w:r>
            <w:r w:rsidR="00DD0899" w:rsidRPr="00870955">
              <w:rPr>
                <w:rFonts w:ascii="Calibri" w:hAnsi="Calibri" w:cs="Calibri"/>
                <w:sz w:val="22"/>
                <w:szCs w:val="22"/>
              </w:rPr>
              <w:t>f start/stop interacting medication, change in diet, change in activity level</w:t>
            </w:r>
            <w:r w:rsidR="007950CA">
              <w:rPr>
                <w:rFonts w:ascii="Calibri" w:hAnsi="Calibri" w:cs="Calibri"/>
                <w:sz w:val="22"/>
                <w:szCs w:val="22"/>
              </w:rPr>
              <w:t>,</w:t>
            </w:r>
            <w:r w:rsidR="00DD0899" w:rsidRPr="00870955">
              <w:rPr>
                <w:rFonts w:ascii="Calibri" w:hAnsi="Calibri" w:cs="Calibri"/>
                <w:sz w:val="22"/>
                <w:szCs w:val="22"/>
              </w:rPr>
              <w:t xml:space="preserve"> or other change that could affect INR</w:t>
            </w:r>
          </w:p>
        </w:tc>
      </w:tr>
      <w:tr w:rsidR="00DD0899" w:rsidRPr="00F050A7" w14:paraId="06FF6484" w14:textId="77777777" w:rsidTr="00FB5364">
        <w:trPr>
          <w:jc w:val="center"/>
        </w:trPr>
        <w:tc>
          <w:tcPr>
            <w:tcW w:w="2515" w:type="dxa"/>
          </w:tcPr>
          <w:p w14:paraId="78B62603" w14:textId="774A53D6" w:rsidR="00DD0899" w:rsidRPr="00FC5C62" w:rsidRDefault="00DD0899" w:rsidP="00F1254D">
            <w:pPr>
              <w:pStyle w:val="ListBullet"/>
              <w:numPr>
                <w:ilvl w:val="0"/>
                <w:numId w:val="0"/>
              </w:numPr>
              <w:rPr>
                <w:rFonts w:ascii="Calibri" w:hAnsi="Calibri" w:cs="Calibri"/>
                <w:sz w:val="22"/>
                <w:szCs w:val="22"/>
              </w:rPr>
            </w:pPr>
            <w:r w:rsidRPr="00870955">
              <w:rPr>
                <w:rFonts w:ascii="Calibri" w:hAnsi="Calibri" w:cs="Calibri"/>
                <w:sz w:val="22"/>
                <w:szCs w:val="22"/>
              </w:rPr>
              <w:t>Every 1 week</w:t>
            </w:r>
          </w:p>
        </w:tc>
        <w:tc>
          <w:tcPr>
            <w:tcW w:w="6475" w:type="dxa"/>
          </w:tcPr>
          <w:p w14:paraId="7EDD3321" w14:textId="04110964" w:rsidR="00DD0899" w:rsidRPr="00FC5C62" w:rsidRDefault="00DD0899">
            <w:pPr>
              <w:pStyle w:val="ListBullet"/>
              <w:numPr>
                <w:ilvl w:val="0"/>
                <w:numId w:val="0"/>
              </w:numPr>
              <w:rPr>
                <w:rFonts w:ascii="Calibri" w:hAnsi="Calibri" w:cs="Calibri"/>
                <w:sz w:val="22"/>
                <w:szCs w:val="22"/>
              </w:rPr>
            </w:pPr>
            <w:r w:rsidRPr="00870955">
              <w:rPr>
                <w:rFonts w:ascii="Calibri" w:hAnsi="Calibri" w:cs="Calibri"/>
                <w:sz w:val="22"/>
                <w:szCs w:val="22"/>
              </w:rPr>
              <w:t>If dose needed adjustment by 10%</w:t>
            </w:r>
          </w:p>
        </w:tc>
      </w:tr>
      <w:tr w:rsidR="00DD0899" w:rsidRPr="00F050A7" w14:paraId="1F3BD37D" w14:textId="77777777" w:rsidTr="00FB5364">
        <w:trPr>
          <w:jc w:val="center"/>
        </w:trPr>
        <w:tc>
          <w:tcPr>
            <w:tcW w:w="2515" w:type="dxa"/>
          </w:tcPr>
          <w:p w14:paraId="0EBFC23F" w14:textId="77777777" w:rsidR="00DD0899" w:rsidRPr="00FC5C62" w:rsidRDefault="00DD0899" w:rsidP="00F1254D">
            <w:pPr>
              <w:pStyle w:val="ListBullet"/>
              <w:numPr>
                <w:ilvl w:val="0"/>
                <w:numId w:val="0"/>
              </w:numPr>
              <w:rPr>
                <w:rFonts w:ascii="Calibri" w:hAnsi="Calibri" w:cs="Calibri"/>
                <w:sz w:val="22"/>
                <w:szCs w:val="22"/>
              </w:rPr>
            </w:pPr>
            <w:r w:rsidRPr="00870955">
              <w:rPr>
                <w:rFonts w:ascii="Calibri" w:hAnsi="Calibri" w:cs="Calibri"/>
                <w:sz w:val="22"/>
                <w:szCs w:val="22"/>
              </w:rPr>
              <w:t>Every 4 weeks</w:t>
            </w:r>
          </w:p>
        </w:tc>
        <w:tc>
          <w:tcPr>
            <w:tcW w:w="6475" w:type="dxa"/>
          </w:tcPr>
          <w:p w14:paraId="6D8B9764" w14:textId="77777777" w:rsidR="00DD0899" w:rsidRPr="00FC5C62" w:rsidRDefault="00DD0899">
            <w:pPr>
              <w:pStyle w:val="ListBullet"/>
              <w:numPr>
                <w:ilvl w:val="0"/>
                <w:numId w:val="0"/>
              </w:numPr>
              <w:rPr>
                <w:rFonts w:ascii="Calibri" w:hAnsi="Calibri" w:cs="Calibri"/>
                <w:sz w:val="22"/>
                <w:szCs w:val="22"/>
              </w:rPr>
            </w:pPr>
            <w:r w:rsidRPr="00870955">
              <w:rPr>
                <w:rFonts w:ascii="Calibri" w:hAnsi="Calibri" w:cs="Calibri"/>
                <w:sz w:val="22"/>
                <w:szCs w:val="22"/>
              </w:rPr>
              <w:t>If maintained on same stable dose &lt; 6 months</w:t>
            </w:r>
          </w:p>
        </w:tc>
      </w:tr>
      <w:tr w:rsidR="00DD0899" w:rsidRPr="00F050A7" w14:paraId="74003032" w14:textId="77777777" w:rsidTr="00FB5364">
        <w:trPr>
          <w:jc w:val="center"/>
        </w:trPr>
        <w:tc>
          <w:tcPr>
            <w:tcW w:w="2515" w:type="dxa"/>
          </w:tcPr>
          <w:p w14:paraId="552D1523" w14:textId="77777777" w:rsidR="00DD0899" w:rsidRPr="00FC5C62" w:rsidRDefault="00DD0899" w:rsidP="00F1254D">
            <w:pPr>
              <w:pStyle w:val="ListBullet"/>
              <w:numPr>
                <w:ilvl w:val="0"/>
                <w:numId w:val="0"/>
              </w:numPr>
              <w:rPr>
                <w:rFonts w:ascii="Calibri" w:hAnsi="Calibri" w:cs="Calibri"/>
                <w:sz w:val="22"/>
                <w:szCs w:val="22"/>
              </w:rPr>
            </w:pPr>
            <w:r w:rsidRPr="00870955">
              <w:rPr>
                <w:rFonts w:ascii="Calibri" w:hAnsi="Calibri" w:cs="Calibri"/>
                <w:sz w:val="22"/>
                <w:szCs w:val="22"/>
              </w:rPr>
              <w:t>Every 6-8 weeks</w:t>
            </w:r>
          </w:p>
        </w:tc>
        <w:tc>
          <w:tcPr>
            <w:tcW w:w="6475" w:type="dxa"/>
          </w:tcPr>
          <w:p w14:paraId="3D90B86E" w14:textId="77777777" w:rsidR="00DD0899" w:rsidRPr="00FC5C62" w:rsidRDefault="00DD0899">
            <w:pPr>
              <w:pStyle w:val="ListBullet"/>
              <w:numPr>
                <w:ilvl w:val="0"/>
                <w:numId w:val="0"/>
              </w:numPr>
              <w:rPr>
                <w:rFonts w:ascii="Calibri" w:hAnsi="Calibri" w:cs="Calibri"/>
                <w:sz w:val="22"/>
                <w:szCs w:val="22"/>
              </w:rPr>
            </w:pPr>
            <w:r w:rsidRPr="00870955">
              <w:rPr>
                <w:rFonts w:ascii="Calibri" w:hAnsi="Calibri" w:cs="Calibri"/>
                <w:sz w:val="22"/>
                <w:szCs w:val="22"/>
              </w:rPr>
              <w:t>If maintained on same stable dose for at least 6 months</w:t>
            </w:r>
          </w:p>
        </w:tc>
      </w:tr>
    </w:tbl>
    <w:p w14:paraId="4645DF02" w14:textId="77777777" w:rsidR="00DD0899" w:rsidRPr="00FB5364" w:rsidRDefault="00DD0899" w:rsidP="00462589">
      <w:pPr>
        <w:pStyle w:val="ListBullet"/>
        <w:numPr>
          <w:ilvl w:val="0"/>
          <w:numId w:val="0"/>
        </w:numPr>
        <w:spacing w:line="240" w:lineRule="auto"/>
        <w:ind w:left="360" w:hanging="360"/>
        <w:rPr>
          <w:lang w:val="en-US"/>
        </w:rPr>
      </w:pPr>
    </w:p>
    <w:p w14:paraId="0189187C" w14:textId="77777777" w:rsidR="00DD0899" w:rsidRPr="00383212" w:rsidRDefault="00DD0899" w:rsidP="00462589">
      <w:pPr>
        <w:pStyle w:val="ListBullet"/>
        <w:spacing w:line="240" w:lineRule="auto"/>
        <w:jc w:val="both"/>
        <w:rPr>
          <w:lang w:val="en-US"/>
        </w:rPr>
      </w:pPr>
      <w:r w:rsidRPr="00383212">
        <w:rPr>
          <w:lang w:val="en-US"/>
        </w:rPr>
        <w:t xml:space="preserve">Total duration of </w:t>
      </w:r>
      <w:r w:rsidRPr="00383212">
        <w:rPr>
          <w:b/>
          <w:lang w:val="en-US"/>
        </w:rPr>
        <w:t>warfarin</w:t>
      </w:r>
      <w:r w:rsidRPr="00383212">
        <w:rPr>
          <w:lang w:val="en-US"/>
        </w:rPr>
        <w:t xml:space="preserve"> should be at least three months.</w:t>
      </w:r>
    </w:p>
    <w:p w14:paraId="037D0ED7" w14:textId="77777777" w:rsidR="00DD0899" w:rsidRPr="00383212" w:rsidRDefault="00DD0899" w:rsidP="00462589">
      <w:pPr>
        <w:pStyle w:val="ListBullet"/>
        <w:spacing w:line="240" w:lineRule="auto"/>
        <w:jc w:val="both"/>
        <w:rPr>
          <w:lang w:val="en-US"/>
        </w:rPr>
      </w:pPr>
      <w:r>
        <w:rPr>
          <w:lang w:val="en-US"/>
        </w:rPr>
        <w:t xml:space="preserve">An </w:t>
      </w:r>
      <w:r w:rsidRPr="00383212">
        <w:rPr>
          <w:lang w:val="en-US"/>
        </w:rPr>
        <w:t xml:space="preserve">I-STAT INR cartridge can be used in </w:t>
      </w:r>
      <w:r>
        <w:rPr>
          <w:lang w:val="en-US"/>
        </w:rPr>
        <w:t>the</w:t>
      </w:r>
      <w:r w:rsidRPr="00383212">
        <w:rPr>
          <w:lang w:val="en-US"/>
        </w:rPr>
        <w:t xml:space="preserve"> outpatient setting to adjust </w:t>
      </w:r>
      <w:r w:rsidRPr="00383212">
        <w:rPr>
          <w:b/>
          <w:lang w:val="en-US"/>
        </w:rPr>
        <w:t>warfarin</w:t>
      </w:r>
      <w:r w:rsidRPr="00383212">
        <w:rPr>
          <w:lang w:val="en-US"/>
        </w:rPr>
        <w:t xml:space="preserve"> dosing.</w:t>
      </w:r>
    </w:p>
    <w:p w14:paraId="320AD09C" w14:textId="4A275178" w:rsidR="00462BF2" w:rsidRDefault="00DD0899" w:rsidP="00462589">
      <w:pPr>
        <w:pStyle w:val="ListBullet"/>
        <w:spacing w:line="240" w:lineRule="auto"/>
        <w:jc w:val="both"/>
        <w:rPr>
          <w:lang w:val="en-US"/>
        </w:rPr>
      </w:pPr>
      <w:r w:rsidRPr="00383212">
        <w:rPr>
          <w:lang w:val="en-US"/>
        </w:rPr>
        <w:t xml:space="preserve">If the patient is discharged to an outpatient clinic that does not have access to INR monitoring, then </w:t>
      </w:r>
      <w:r>
        <w:rPr>
          <w:lang w:val="en-US"/>
        </w:rPr>
        <w:t xml:space="preserve">consider stopping </w:t>
      </w:r>
      <w:r w:rsidRPr="00781840">
        <w:rPr>
          <w:b/>
          <w:lang w:val="en-US"/>
        </w:rPr>
        <w:t>warfarin</w:t>
      </w:r>
      <w:r>
        <w:rPr>
          <w:lang w:val="en-US"/>
        </w:rPr>
        <w:t xml:space="preserve"> and continuing therapeutic </w:t>
      </w:r>
      <w:r w:rsidRPr="00781840">
        <w:rPr>
          <w:b/>
          <w:lang w:val="en-US"/>
        </w:rPr>
        <w:t>enoxaparin</w:t>
      </w:r>
      <w:r>
        <w:rPr>
          <w:lang w:val="en-US"/>
        </w:rPr>
        <w:t>.</w:t>
      </w:r>
    </w:p>
    <w:p w14:paraId="472A1F3C" w14:textId="75B0F24E" w:rsidR="00640F5A" w:rsidRDefault="00640F5A" w:rsidP="00462589">
      <w:pPr>
        <w:pStyle w:val="ListBullet"/>
        <w:spacing w:line="240" w:lineRule="auto"/>
        <w:jc w:val="both"/>
        <w:rPr>
          <w:lang w:val="en-US"/>
        </w:rPr>
      </w:pPr>
      <w:r w:rsidRPr="00673BFA">
        <w:rPr>
          <w:u w:val="single"/>
          <w:lang w:val="en-US"/>
        </w:rPr>
        <w:t>Note</w:t>
      </w:r>
      <w:r>
        <w:rPr>
          <w:lang w:val="en-US"/>
        </w:rPr>
        <w:t xml:space="preserve">: Some antibiotics, </w:t>
      </w:r>
      <w:r w:rsidR="00CF09AB">
        <w:rPr>
          <w:lang w:val="en-US"/>
        </w:rPr>
        <w:t xml:space="preserve">such as linezolid, levofloxacin, and moxifloxacin </w:t>
      </w:r>
      <w:r w:rsidR="00160C2D">
        <w:rPr>
          <w:lang w:val="en-US"/>
        </w:rPr>
        <w:t xml:space="preserve">have been reported to enhance the anticoagulant effect of </w:t>
      </w:r>
      <w:r w:rsidR="00160C2D" w:rsidRPr="00673BFA">
        <w:rPr>
          <w:b/>
          <w:lang w:val="en-US"/>
        </w:rPr>
        <w:t>warfarin</w:t>
      </w:r>
      <w:r w:rsidR="00160C2D">
        <w:rPr>
          <w:lang w:val="en-US"/>
        </w:rPr>
        <w:t xml:space="preserve">. The mechanisms for this interaction </w:t>
      </w:r>
      <w:r w:rsidR="00673BFA">
        <w:rPr>
          <w:lang w:val="en-US"/>
        </w:rPr>
        <w:t xml:space="preserve">are not known. </w:t>
      </w:r>
      <w:r w:rsidR="00EE410F">
        <w:rPr>
          <w:lang w:val="en-US"/>
        </w:rPr>
        <w:t xml:space="preserve">As a result, caution should be used in dosing </w:t>
      </w:r>
      <w:r w:rsidR="00673BFA" w:rsidRPr="00673BFA">
        <w:rPr>
          <w:b/>
          <w:lang w:val="en-US"/>
        </w:rPr>
        <w:t>warfarin</w:t>
      </w:r>
      <w:r w:rsidR="00673BFA">
        <w:rPr>
          <w:lang w:val="en-US"/>
        </w:rPr>
        <w:t xml:space="preserve"> </w:t>
      </w:r>
      <w:r w:rsidR="00EE410F">
        <w:rPr>
          <w:lang w:val="en-US"/>
        </w:rPr>
        <w:t xml:space="preserve">for patients </w:t>
      </w:r>
      <w:r w:rsidR="00673BFA">
        <w:rPr>
          <w:lang w:val="en-US"/>
        </w:rPr>
        <w:t>in the endTB trial</w:t>
      </w:r>
      <w:r w:rsidR="00EE410F">
        <w:rPr>
          <w:lang w:val="en-US"/>
        </w:rPr>
        <w:t xml:space="preserve">, who </w:t>
      </w:r>
      <w:r w:rsidR="00673BFA">
        <w:rPr>
          <w:lang w:val="en-US"/>
        </w:rPr>
        <w:t xml:space="preserve">may require </w:t>
      </w:r>
      <w:r w:rsidR="00DA307C">
        <w:rPr>
          <w:lang w:val="en-US"/>
        </w:rPr>
        <w:t xml:space="preserve">lower typical doses </w:t>
      </w:r>
      <w:r w:rsidR="00673BFA">
        <w:rPr>
          <w:lang w:val="en-US"/>
        </w:rPr>
        <w:t>than patients not on antibiotics</w:t>
      </w:r>
      <w:r w:rsidR="00EE410F">
        <w:rPr>
          <w:lang w:val="en-US"/>
        </w:rPr>
        <w:t>.</w:t>
      </w:r>
    </w:p>
    <w:p w14:paraId="29A028E3" w14:textId="69D9260A" w:rsidR="0044798B" w:rsidRDefault="00DD0899" w:rsidP="00D11ABC">
      <w:pPr>
        <w:tabs>
          <w:tab w:val="left" w:pos="940"/>
        </w:tabs>
        <w:rPr>
          <w:iCs/>
          <w:lang w:val="en-US"/>
        </w:rPr>
      </w:pPr>
      <w:r w:rsidRPr="00673BFA">
        <w:rPr>
          <w:iCs/>
          <w:u w:val="single"/>
          <w:lang w:val="en-US"/>
        </w:rPr>
        <w:t>Note</w:t>
      </w:r>
      <w:r w:rsidRPr="00383212">
        <w:rPr>
          <w:iCs/>
          <w:lang w:val="en-US"/>
        </w:rPr>
        <w:t xml:space="preserve">: If the INR is supratherapeutic (INR &gt; </w:t>
      </w:r>
      <w:r w:rsidR="00C83AC5">
        <w:rPr>
          <w:iCs/>
          <w:lang w:val="en-US"/>
        </w:rPr>
        <w:t>5</w:t>
      </w:r>
      <w:r w:rsidRPr="00383212">
        <w:rPr>
          <w:iCs/>
          <w:lang w:val="en-US"/>
        </w:rPr>
        <w:t>.</w:t>
      </w:r>
      <w:r w:rsidR="00C83AC5">
        <w:rPr>
          <w:iCs/>
          <w:lang w:val="en-US"/>
        </w:rPr>
        <w:t>0</w:t>
      </w:r>
      <w:r w:rsidRPr="00383212">
        <w:rPr>
          <w:iCs/>
          <w:lang w:val="en-US"/>
        </w:rPr>
        <w:t>) but there is no bleeding, simply withhold warfarin for several days until the INR is within the correct range</w:t>
      </w:r>
      <w:r w:rsidR="00C83AC5">
        <w:rPr>
          <w:iCs/>
          <w:lang w:val="en-US"/>
        </w:rPr>
        <w:t xml:space="preserve"> as per the table above</w:t>
      </w:r>
      <w:r w:rsidRPr="00383212">
        <w:rPr>
          <w:iCs/>
          <w:lang w:val="en-US"/>
        </w:rPr>
        <w:t>. For INR &gt; 10</w:t>
      </w:r>
      <w:r w:rsidR="00F74F35">
        <w:rPr>
          <w:iCs/>
          <w:lang w:val="en-US"/>
        </w:rPr>
        <w:t>.0</w:t>
      </w:r>
      <w:r w:rsidRPr="00383212">
        <w:rPr>
          <w:iCs/>
          <w:lang w:val="en-US"/>
        </w:rPr>
        <w:t xml:space="preserve">, a small dose of </w:t>
      </w:r>
      <w:r w:rsidRPr="00383212">
        <w:rPr>
          <w:b/>
          <w:iCs/>
          <w:lang w:val="en-US"/>
        </w:rPr>
        <w:t>Vitamin K</w:t>
      </w:r>
      <w:r w:rsidRPr="00383212">
        <w:rPr>
          <w:iCs/>
          <w:lang w:val="en-US"/>
        </w:rPr>
        <w:t xml:space="preserve"> (2.5 mg</w:t>
      </w:r>
      <w:r>
        <w:rPr>
          <w:iCs/>
          <w:lang w:val="en-US"/>
        </w:rPr>
        <w:t xml:space="preserve"> once</w:t>
      </w:r>
      <w:r w:rsidRPr="00383212">
        <w:rPr>
          <w:iCs/>
          <w:lang w:val="en-US"/>
        </w:rPr>
        <w:t>) may be administered.</w:t>
      </w:r>
      <w:r>
        <w:rPr>
          <w:iCs/>
          <w:lang w:val="en-US"/>
        </w:rPr>
        <w:t xml:space="preserve"> </w:t>
      </w:r>
      <w:r w:rsidRPr="00383212">
        <w:rPr>
          <w:b/>
          <w:iCs/>
          <w:lang w:val="en-US"/>
        </w:rPr>
        <w:t>Vitamin K</w:t>
      </w:r>
      <w:r>
        <w:rPr>
          <w:iCs/>
          <w:lang w:val="en-US"/>
        </w:rPr>
        <w:t xml:space="preserve"> will reverse the INR quickly within 24 hours, and often it will take days to become therapeutic again. If a patient has been reversed and the INR is not rising, and there is no bleeding, consider restarting a </w:t>
      </w:r>
      <w:r w:rsidRPr="00383212">
        <w:rPr>
          <w:b/>
          <w:iCs/>
          <w:lang w:val="en-US"/>
        </w:rPr>
        <w:t>heparin IV drip</w:t>
      </w:r>
      <w:r>
        <w:rPr>
          <w:iCs/>
          <w:lang w:val="en-US"/>
        </w:rPr>
        <w:t xml:space="preserve"> or </w:t>
      </w:r>
      <w:r w:rsidRPr="00383212">
        <w:rPr>
          <w:b/>
          <w:iCs/>
          <w:lang w:val="en-US"/>
        </w:rPr>
        <w:t>enoxaparin</w:t>
      </w:r>
      <w:r>
        <w:rPr>
          <w:iCs/>
          <w:lang w:val="en-US"/>
        </w:rPr>
        <w:t xml:space="preserve"> until the INR is therapeutic as per the schedule above.</w:t>
      </w:r>
    </w:p>
    <w:p w14:paraId="749EDB6B" w14:textId="447D7C7D" w:rsidR="00E519F9" w:rsidRDefault="00D54BE6" w:rsidP="00D54BE6">
      <w:pPr>
        <w:tabs>
          <w:tab w:val="left" w:pos="2760"/>
        </w:tabs>
        <w:rPr>
          <w:b/>
          <w:iCs/>
          <w:lang w:val="en-US"/>
        </w:rPr>
      </w:pPr>
      <w:r>
        <w:rPr>
          <w:lang w:val="en-US"/>
        </w:rPr>
        <w:t xml:space="preserve">5.2.14 </w:t>
      </w:r>
      <w:r w:rsidR="00E519F9" w:rsidRPr="00681907">
        <w:rPr>
          <w:lang w:val="en-US"/>
        </w:rPr>
        <w:t xml:space="preserve">Management of </w:t>
      </w:r>
      <w:r w:rsidR="00E519F9" w:rsidRPr="00FD47EC">
        <w:rPr>
          <w:lang w:val="en-US"/>
        </w:rPr>
        <w:t>depression</w:t>
      </w:r>
      <w:r w:rsidR="00416D15" w:rsidRPr="00FD47EC">
        <w:rPr>
          <w:lang w:val="en-US"/>
        </w:rPr>
        <w:t xml:space="preserve"> and/or </w:t>
      </w:r>
      <w:r w:rsidR="00E519F9" w:rsidRPr="00FD47EC">
        <w:rPr>
          <w:lang w:val="en-US"/>
        </w:rPr>
        <w:t>anxiety</w:t>
      </w:r>
      <w:r>
        <w:rPr>
          <w:lang w:val="en-US"/>
        </w:rPr>
        <w:tab/>
      </w:r>
      <w:r w:rsidR="00E519F9" w:rsidRPr="0077226F">
        <w:rPr>
          <w:b/>
          <w:iCs/>
          <w:lang w:val="en-US"/>
        </w:rPr>
        <w:t>Suspected anti-TB drugs:</w:t>
      </w:r>
      <w:r w:rsidR="00E519F9" w:rsidRPr="00E519F9">
        <w:rPr>
          <w:b/>
          <w:iCs/>
          <w:lang w:val="en-US"/>
        </w:rPr>
        <w:t xml:space="preserve"> Cs</w:t>
      </w:r>
    </w:p>
    <w:p w14:paraId="01D0BD47" w14:textId="437E0DD7" w:rsidR="00E519F9" w:rsidRDefault="00E519F9" w:rsidP="00D54BE6">
      <w:pPr>
        <w:tabs>
          <w:tab w:val="left" w:pos="2490"/>
        </w:tabs>
        <w:rPr>
          <w:lang w:val="en-US"/>
        </w:rPr>
      </w:pPr>
      <w:r>
        <w:rPr>
          <w:b/>
          <w:i/>
          <w:lang w:val="en-US"/>
        </w:rPr>
        <w:t xml:space="preserve">Site PI or </w:t>
      </w:r>
      <w:r w:rsidRPr="00681907">
        <w:rPr>
          <w:b/>
          <w:i/>
          <w:lang w:val="en-US"/>
        </w:rPr>
        <w:t>Site</w:t>
      </w:r>
      <w:r>
        <w:rPr>
          <w:b/>
          <w:i/>
          <w:lang w:val="en-US"/>
        </w:rPr>
        <w:t xml:space="preserve"> </w:t>
      </w:r>
      <w:r w:rsidRPr="00681907">
        <w:rPr>
          <w:b/>
          <w:i/>
          <w:lang w:val="en-US"/>
        </w:rPr>
        <w:t>CI</w:t>
      </w:r>
      <w:r w:rsidRPr="00681907">
        <w:rPr>
          <w:lang w:val="en-US"/>
        </w:rPr>
        <w:t xml:space="preserve"> manages this AE according to its severity:</w:t>
      </w:r>
    </w:p>
    <w:p w14:paraId="5497CB57" w14:textId="262BFF80" w:rsidR="00CD2AC0" w:rsidRDefault="00E519F9" w:rsidP="00D54BE6">
      <w:pPr>
        <w:tabs>
          <w:tab w:val="left" w:pos="3190"/>
        </w:tabs>
        <w:rPr>
          <w:rFonts w:asciiTheme="minorHAnsi" w:hAnsiTheme="minorHAnsi"/>
          <w:bCs/>
          <w:lang w:val="en-US"/>
        </w:rPr>
      </w:pPr>
      <w:r w:rsidRPr="0077226F">
        <w:rPr>
          <w:rFonts w:asciiTheme="minorHAnsi" w:hAnsiTheme="minorHAnsi"/>
          <w:b/>
          <w:lang w:val="en-US"/>
        </w:rPr>
        <w:t>Grade 2 or higher (</w:t>
      </w:r>
      <w:r w:rsidR="00416D15">
        <w:rPr>
          <w:rFonts w:asciiTheme="minorHAnsi" w:hAnsiTheme="minorHAnsi"/>
          <w:b/>
          <w:lang w:val="en-US"/>
        </w:rPr>
        <w:t>GAD-7 and/or PHQ-9 scale</w:t>
      </w:r>
      <w:r w:rsidRPr="0077226F">
        <w:rPr>
          <w:rFonts w:asciiTheme="minorHAnsi" w:hAnsiTheme="minorHAnsi"/>
          <w:b/>
          <w:lang w:val="en-US"/>
        </w:rPr>
        <w:t xml:space="preserve">): </w:t>
      </w:r>
      <w:r w:rsidR="00CD2AC0" w:rsidRPr="0077226F">
        <w:rPr>
          <w:rFonts w:asciiTheme="minorHAnsi" w:hAnsiTheme="minorHAnsi"/>
          <w:bCs/>
          <w:lang w:val="en-US"/>
        </w:rPr>
        <w:t xml:space="preserve">Alert counsellors and treatment supporters. </w:t>
      </w:r>
      <w:r w:rsidR="00CD2AC0">
        <w:rPr>
          <w:rFonts w:asciiTheme="minorHAnsi" w:hAnsiTheme="minorHAnsi"/>
          <w:bCs/>
          <w:lang w:val="en-US"/>
        </w:rPr>
        <w:t>Evaluate</w:t>
      </w:r>
      <w:r w:rsidR="00CD2AC0" w:rsidRPr="0077226F">
        <w:rPr>
          <w:rFonts w:asciiTheme="minorHAnsi" w:hAnsiTheme="minorHAnsi"/>
          <w:bCs/>
          <w:lang w:val="en-US"/>
        </w:rPr>
        <w:t xml:space="preserve"> referral to </w:t>
      </w:r>
      <w:r w:rsidR="00CD2AC0">
        <w:rPr>
          <w:rFonts w:asciiTheme="minorHAnsi" w:hAnsiTheme="minorHAnsi"/>
          <w:bCs/>
          <w:lang w:val="en-US"/>
        </w:rPr>
        <w:t xml:space="preserve">a </w:t>
      </w:r>
      <w:r w:rsidR="00CD2AC0" w:rsidRPr="0077226F">
        <w:rPr>
          <w:rFonts w:asciiTheme="minorHAnsi" w:hAnsiTheme="minorHAnsi"/>
          <w:bCs/>
          <w:lang w:val="en-US"/>
        </w:rPr>
        <w:t>psychologist</w:t>
      </w:r>
      <w:r w:rsidR="00CD2AC0">
        <w:rPr>
          <w:rFonts w:asciiTheme="minorHAnsi" w:hAnsiTheme="minorHAnsi"/>
          <w:bCs/>
          <w:lang w:val="en-US"/>
        </w:rPr>
        <w:t xml:space="preserve"> and</w:t>
      </w:r>
      <w:r w:rsidR="00CD2AC0" w:rsidRPr="0077226F">
        <w:rPr>
          <w:rFonts w:asciiTheme="minorHAnsi" w:hAnsiTheme="minorHAnsi"/>
          <w:bCs/>
          <w:lang w:val="en-US"/>
        </w:rPr>
        <w:t>/</w:t>
      </w:r>
      <w:r w:rsidR="00CD2AC0">
        <w:rPr>
          <w:rFonts w:asciiTheme="minorHAnsi" w:hAnsiTheme="minorHAnsi"/>
          <w:bCs/>
          <w:lang w:val="en-US"/>
        </w:rPr>
        <w:t xml:space="preserve">or </w:t>
      </w:r>
      <w:r w:rsidR="00CD2AC0" w:rsidRPr="0077226F">
        <w:rPr>
          <w:rFonts w:asciiTheme="minorHAnsi" w:hAnsiTheme="minorHAnsi"/>
          <w:bCs/>
          <w:lang w:val="en-US"/>
        </w:rPr>
        <w:t>psychiatrist. Repeat</w:t>
      </w:r>
      <w:r w:rsidR="00CD2AC0" w:rsidRPr="00CD2AC0">
        <w:t xml:space="preserve"> </w:t>
      </w:r>
      <w:r w:rsidR="00CD2AC0" w:rsidRPr="00CD2AC0">
        <w:rPr>
          <w:rFonts w:asciiTheme="minorHAnsi" w:hAnsiTheme="minorHAnsi"/>
          <w:bCs/>
          <w:lang w:val="en-US"/>
        </w:rPr>
        <w:t>GAD-7 and PHQ-9</w:t>
      </w:r>
      <w:r w:rsidR="00CD2AC0" w:rsidRPr="0077226F">
        <w:rPr>
          <w:rFonts w:asciiTheme="minorHAnsi" w:hAnsiTheme="minorHAnsi"/>
          <w:bCs/>
          <w:lang w:val="en-US"/>
        </w:rPr>
        <w:t xml:space="preserve"> after four weeks (i.e. Week 4 visit for baseline depression/anxiety): in case of worsening, refer urgently to a psychologist</w:t>
      </w:r>
      <w:r w:rsidR="00CD2AC0">
        <w:rPr>
          <w:rFonts w:asciiTheme="minorHAnsi" w:hAnsiTheme="minorHAnsi"/>
          <w:bCs/>
          <w:lang w:val="en-US"/>
        </w:rPr>
        <w:t xml:space="preserve"> and</w:t>
      </w:r>
      <w:r w:rsidR="00CD2AC0" w:rsidRPr="0077226F">
        <w:rPr>
          <w:rFonts w:asciiTheme="minorHAnsi" w:hAnsiTheme="minorHAnsi"/>
          <w:bCs/>
          <w:lang w:val="en-US"/>
        </w:rPr>
        <w:t>/</w:t>
      </w:r>
      <w:r w:rsidR="00CD2AC0">
        <w:rPr>
          <w:rFonts w:asciiTheme="minorHAnsi" w:hAnsiTheme="minorHAnsi"/>
          <w:bCs/>
          <w:lang w:val="en-US"/>
        </w:rPr>
        <w:t xml:space="preserve">or </w:t>
      </w:r>
      <w:r w:rsidR="00CD2AC0" w:rsidRPr="0077226F">
        <w:rPr>
          <w:rFonts w:asciiTheme="minorHAnsi" w:hAnsiTheme="minorHAnsi"/>
          <w:bCs/>
          <w:lang w:val="en-US"/>
        </w:rPr>
        <w:t xml:space="preserve">psychiatrist. </w:t>
      </w:r>
    </w:p>
    <w:p w14:paraId="4558EDE5" w14:textId="47D0604D" w:rsidR="00E519F9" w:rsidRPr="0077226F" w:rsidRDefault="00CD2AC0" w:rsidP="00D54BE6">
      <w:pPr>
        <w:tabs>
          <w:tab w:val="left" w:pos="1630"/>
        </w:tabs>
        <w:rPr>
          <w:rFonts w:asciiTheme="minorHAnsi" w:hAnsiTheme="minorHAnsi"/>
          <w:lang w:val="en-US"/>
        </w:rPr>
      </w:pPr>
      <w:r w:rsidRPr="0077226F">
        <w:rPr>
          <w:rFonts w:asciiTheme="minorHAnsi" w:hAnsiTheme="minorHAnsi"/>
          <w:bCs/>
          <w:lang w:val="en-US"/>
        </w:rPr>
        <w:t xml:space="preserve">If the treatment includes </w:t>
      </w:r>
      <w:r>
        <w:rPr>
          <w:rFonts w:asciiTheme="minorHAnsi" w:hAnsiTheme="minorHAnsi"/>
          <w:bCs/>
          <w:lang w:val="en-US"/>
        </w:rPr>
        <w:t>Cs</w:t>
      </w:r>
      <w:r w:rsidRPr="0077226F">
        <w:rPr>
          <w:rFonts w:asciiTheme="minorHAnsi" w:hAnsiTheme="minorHAnsi"/>
          <w:bCs/>
          <w:lang w:val="en-US"/>
        </w:rPr>
        <w:t>: reassess the risk/benefit balance</w:t>
      </w:r>
      <w:r>
        <w:rPr>
          <w:rFonts w:asciiTheme="minorHAnsi" w:hAnsiTheme="minorHAnsi"/>
          <w:bCs/>
          <w:lang w:val="en-US"/>
        </w:rPr>
        <w:t xml:space="preserve"> and consider discontinuing/r</w:t>
      </w:r>
      <w:r w:rsidR="00D30C4C">
        <w:rPr>
          <w:rFonts w:asciiTheme="minorHAnsi" w:hAnsiTheme="minorHAnsi"/>
          <w:bCs/>
          <w:lang w:val="en-US"/>
        </w:rPr>
        <w:t>e</w:t>
      </w:r>
      <w:r>
        <w:rPr>
          <w:rFonts w:asciiTheme="minorHAnsi" w:hAnsiTheme="minorHAnsi"/>
          <w:bCs/>
          <w:lang w:val="en-US"/>
        </w:rPr>
        <w:t>placing the drug</w:t>
      </w:r>
      <w:r w:rsidRPr="0077226F">
        <w:rPr>
          <w:rFonts w:asciiTheme="minorHAnsi" w:hAnsiTheme="minorHAnsi"/>
          <w:bCs/>
          <w:lang w:val="en-US"/>
        </w:rPr>
        <w:t xml:space="preserve">. </w:t>
      </w:r>
      <w:r w:rsidRPr="00CD2AC0">
        <w:rPr>
          <w:rFonts w:asciiTheme="minorHAnsi" w:hAnsiTheme="minorHAnsi"/>
          <w:bCs/>
          <w:lang w:val="en-US"/>
        </w:rPr>
        <w:t>Repeat GAD-7 and PHQ-9</w:t>
      </w:r>
      <w:r>
        <w:rPr>
          <w:rFonts w:asciiTheme="minorHAnsi" w:hAnsiTheme="minorHAnsi"/>
          <w:bCs/>
          <w:lang w:val="en-US"/>
        </w:rPr>
        <w:t xml:space="preserve"> monthly: in case of worsening,</w:t>
      </w:r>
      <w:r w:rsidR="00D30C4C">
        <w:rPr>
          <w:rFonts w:asciiTheme="minorHAnsi" w:hAnsiTheme="minorHAnsi"/>
          <w:bCs/>
          <w:lang w:val="en-US"/>
        </w:rPr>
        <w:t xml:space="preserve"> discontinue permanently Cs.</w:t>
      </w:r>
      <w:r>
        <w:rPr>
          <w:rFonts w:asciiTheme="minorHAnsi" w:hAnsiTheme="minorHAnsi"/>
          <w:bCs/>
          <w:lang w:val="en-US"/>
        </w:rPr>
        <w:t xml:space="preserve"> </w:t>
      </w:r>
    </w:p>
    <w:p w14:paraId="7EB8A9A8" w14:textId="2F2CFC64" w:rsidR="00FF02F4" w:rsidRPr="00681907" w:rsidRDefault="00FD47EC" w:rsidP="00FD47EC">
      <w:pPr>
        <w:pStyle w:val="Heading4"/>
        <w:numPr>
          <w:ilvl w:val="0"/>
          <w:numId w:val="0"/>
        </w:numPr>
        <w:spacing w:before="0" w:after="120" w:line="240" w:lineRule="auto"/>
        <w:ind w:left="1080"/>
        <w:jc w:val="both"/>
        <w:rPr>
          <w:lang w:val="en-US"/>
        </w:rPr>
      </w:pPr>
      <w:r>
        <w:rPr>
          <w:lang w:val="en-US"/>
        </w:rPr>
        <w:lastRenderedPageBreak/>
        <w:t xml:space="preserve">5.2.15 </w:t>
      </w:r>
      <w:r w:rsidR="5E0202A0" w:rsidRPr="3D385CB0">
        <w:rPr>
          <w:lang w:val="en-US"/>
        </w:rPr>
        <w:t>Management of other adverse events</w:t>
      </w:r>
    </w:p>
    <w:p w14:paraId="0D517FCE" w14:textId="6FDE38A3" w:rsidR="00FF02F4" w:rsidRPr="00681907" w:rsidRDefault="00E177DC" w:rsidP="00462589">
      <w:pPr>
        <w:keepNext/>
        <w:keepLines/>
        <w:spacing w:line="240" w:lineRule="auto"/>
        <w:jc w:val="both"/>
        <w:rPr>
          <w:lang w:val="en-US"/>
        </w:rPr>
      </w:pPr>
      <w:r>
        <w:rPr>
          <w:b/>
          <w:i/>
          <w:lang w:val="en-US"/>
        </w:rPr>
        <w:t>Site</w:t>
      </w:r>
      <w:r w:rsidR="00ED12D6">
        <w:rPr>
          <w:b/>
          <w:i/>
          <w:lang w:val="en-US"/>
        </w:rPr>
        <w:t xml:space="preserve"> </w:t>
      </w:r>
      <w:r>
        <w:rPr>
          <w:b/>
          <w:i/>
          <w:lang w:val="en-US"/>
        </w:rPr>
        <w:t xml:space="preserve">PI or </w:t>
      </w:r>
      <w:r w:rsidR="00FF02F4" w:rsidRPr="00681907">
        <w:rPr>
          <w:b/>
          <w:i/>
          <w:lang w:val="en-US"/>
        </w:rPr>
        <w:t>Site</w:t>
      </w:r>
      <w:r w:rsidR="00ED12D6">
        <w:rPr>
          <w:b/>
          <w:i/>
          <w:lang w:val="en-US"/>
        </w:rPr>
        <w:t xml:space="preserve"> </w:t>
      </w:r>
      <w:r w:rsidR="00FF02F4" w:rsidRPr="00681907">
        <w:rPr>
          <w:b/>
          <w:i/>
          <w:lang w:val="en-US"/>
        </w:rPr>
        <w:t>C</w:t>
      </w:r>
      <w:r w:rsidR="00F65EA5" w:rsidRPr="00681907">
        <w:rPr>
          <w:b/>
          <w:i/>
          <w:lang w:val="en-US"/>
        </w:rPr>
        <w:t>I</w:t>
      </w:r>
      <w:r w:rsidR="00FF02F4" w:rsidRPr="00681907">
        <w:rPr>
          <w:lang w:val="en-US"/>
        </w:rPr>
        <w:t xml:space="preserve"> manages any other AE according to their clinical expertise and to available guidance (see references). The PIH </w:t>
      </w:r>
      <w:r w:rsidR="00926747" w:rsidRPr="00681907">
        <w:rPr>
          <w:lang w:val="en-US"/>
        </w:rPr>
        <w:t>G</w:t>
      </w:r>
      <w:r w:rsidR="00FF02F4" w:rsidRPr="00681907">
        <w:rPr>
          <w:lang w:val="en-US"/>
        </w:rPr>
        <w:t xml:space="preserve">uide to Medical Management of </w:t>
      </w:r>
      <w:r w:rsidR="00926747" w:rsidRPr="00681907">
        <w:rPr>
          <w:lang w:val="en-US"/>
        </w:rPr>
        <w:t>M</w:t>
      </w:r>
      <w:r w:rsidR="00FF02F4" w:rsidRPr="00681907">
        <w:rPr>
          <w:lang w:val="en-US"/>
        </w:rPr>
        <w:t xml:space="preserve">ultidrug </w:t>
      </w:r>
      <w:r w:rsidR="00926747" w:rsidRPr="00681907">
        <w:rPr>
          <w:lang w:val="en-US"/>
        </w:rPr>
        <w:t>R</w:t>
      </w:r>
      <w:r w:rsidR="00FF02F4" w:rsidRPr="00681907">
        <w:rPr>
          <w:lang w:val="en-US"/>
        </w:rPr>
        <w:t xml:space="preserve">esistant </w:t>
      </w:r>
      <w:r w:rsidR="00926747" w:rsidRPr="00681907">
        <w:rPr>
          <w:lang w:val="en-US"/>
        </w:rPr>
        <w:t>T</w:t>
      </w:r>
      <w:r w:rsidR="00FF02F4" w:rsidRPr="00681907">
        <w:rPr>
          <w:lang w:val="en-US"/>
        </w:rPr>
        <w:t>uberculosis</w:t>
      </w:r>
      <w:r w:rsidR="00926747" w:rsidRPr="00681907">
        <w:rPr>
          <w:lang w:val="en-US"/>
        </w:rPr>
        <w:t>,</w:t>
      </w:r>
      <w:r w:rsidR="00FF02F4" w:rsidRPr="00681907">
        <w:rPr>
          <w:lang w:val="en-US"/>
        </w:rPr>
        <w:t xml:space="preserve"> 2</w:t>
      </w:r>
      <w:r w:rsidR="00FF02F4" w:rsidRPr="00681907">
        <w:rPr>
          <w:vertAlign w:val="superscript"/>
          <w:lang w:val="en-US"/>
        </w:rPr>
        <w:t>nd</w:t>
      </w:r>
      <w:r w:rsidR="00FF02F4" w:rsidRPr="00681907">
        <w:rPr>
          <w:lang w:val="en-US"/>
        </w:rPr>
        <w:t xml:space="preserve"> </w:t>
      </w:r>
      <w:r w:rsidR="00FF02F4" w:rsidRPr="00681907">
        <w:rPr>
          <w:i/>
          <w:lang w:val="en-US"/>
        </w:rPr>
        <w:t>edition</w:t>
      </w:r>
      <w:r w:rsidR="00FF02F4" w:rsidRPr="00681907">
        <w:rPr>
          <w:lang w:val="en-US"/>
        </w:rPr>
        <w:t xml:space="preserve"> (2013) is available in English and Russian with a complete chapter on managing adverse events (the 1</w:t>
      </w:r>
      <w:r w:rsidR="00FF02F4" w:rsidRPr="00681907">
        <w:rPr>
          <w:vertAlign w:val="superscript"/>
          <w:lang w:val="en-US"/>
        </w:rPr>
        <w:t>st</w:t>
      </w:r>
      <w:r w:rsidR="00FF02F4" w:rsidRPr="00681907">
        <w:rPr>
          <w:lang w:val="en-US"/>
        </w:rPr>
        <w:t xml:space="preserve"> edition, 2003 is available in Spanish).</w:t>
      </w:r>
    </w:p>
    <w:p w14:paraId="0AA0B95D" w14:textId="2F908FD5" w:rsidR="00FF02F4" w:rsidRPr="00681907" w:rsidRDefault="00FF02F4" w:rsidP="00462589">
      <w:pPr>
        <w:pStyle w:val="Heading3"/>
        <w:spacing w:line="240" w:lineRule="auto"/>
        <w:jc w:val="both"/>
        <w:rPr>
          <w:lang w:val="en-US"/>
        </w:rPr>
      </w:pPr>
      <w:bookmarkStart w:id="14" w:name="_Toc166238343"/>
      <w:r w:rsidRPr="2C7D2031">
        <w:rPr>
          <w:lang w:val="en-US"/>
        </w:rPr>
        <w:t>Management of complicated AE</w:t>
      </w:r>
      <w:bookmarkEnd w:id="14"/>
    </w:p>
    <w:p w14:paraId="52F3C8C0" w14:textId="3061D74F" w:rsidR="00FF02F4" w:rsidRDefault="00FF02F4" w:rsidP="00462589">
      <w:pPr>
        <w:keepNext/>
        <w:keepLines/>
        <w:spacing w:line="240" w:lineRule="auto"/>
        <w:jc w:val="both"/>
        <w:rPr>
          <w:rFonts w:asciiTheme="minorHAnsi" w:hAnsiTheme="minorHAnsi"/>
          <w:lang w:val="en-US"/>
        </w:rPr>
      </w:pPr>
      <w:r w:rsidRPr="00681907">
        <w:rPr>
          <w:rFonts w:asciiTheme="minorHAnsi" w:hAnsiTheme="minorHAnsi"/>
          <w:b/>
          <w:lang w:val="en-US"/>
        </w:rPr>
        <w:t>Site</w:t>
      </w:r>
      <w:r w:rsidR="00ED12D6">
        <w:rPr>
          <w:rFonts w:asciiTheme="minorHAnsi" w:hAnsiTheme="minorHAnsi"/>
          <w:b/>
          <w:lang w:val="en-US"/>
        </w:rPr>
        <w:t xml:space="preserve"> </w:t>
      </w:r>
      <w:r w:rsidRPr="00681907">
        <w:rPr>
          <w:rFonts w:asciiTheme="minorHAnsi" w:hAnsiTheme="minorHAnsi"/>
          <w:b/>
          <w:lang w:val="en-US"/>
        </w:rPr>
        <w:t>PI</w:t>
      </w:r>
      <w:r w:rsidRPr="00681907">
        <w:rPr>
          <w:rFonts w:asciiTheme="minorHAnsi" w:hAnsiTheme="minorHAnsi"/>
          <w:lang w:val="en-US"/>
        </w:rPr>
        <w:t xml:space="preserve"> will contact the </w:t>
      </w:r>
      <w:r w:rsidRPr="00681907">
        <w:rPr>
          <w:rFonts w:asciiTheme="minorHAnsi" w:hAnsiTheme="minorHAnsi"/>
          <w:b/>
          <w:lang w:val="en-US"/>
        </w:rPr>
        <w:t>Clinical Advisory Committee (CAC)</w:t>
      </w:r>
      <w:r w:rsidRPr="00681907">
        <w:rPr>
          <w:rFonts w:asciiTheme="minorHAnsi" w:hAnsiTheme="minorHAnsi"/>
          <w:lang w:val="en-US"/>
        </w:rPr>
        <w:t xml:space="preserve"> to ask for advice regarding complicated and/or difficult to manage AE. The </w:t>
      </w:r>
      <w:r w:rsidRPr="00681907">
        <w:rPr>
          <w:rFonts w:asciiTheme="minorHAnsi" w:hAnsiTheme="minorHAnsi"/>
          <w:b/>
          <w:lang w:val="en-US"/>
        </w:rPr>
        <w:t>CAC</w:t>
      </w:r>
      <w:r w:rsidRPr="00681907">
        <w:rPr>
          <w:rFonts w:asciiTheme="minorHAnsi" w:hAnsiTheme="minorHAnsi"/>
          <w:lang w:val="en-US"/>
        </w:rPr>
        <w:t xml:space="preserve"> will provide guidance about individual cases.</w:t>
      </w:r>
    </w:p>
    <w:p w14:paraId="348DB450" w14:textId="55FBA7DF" w:rsidR="00E3527A" w:rsidRPr="00681907" w:rsidRDefault="00E3527A" w:rsidP="004022C9">
      <w:pPr>
        <w:keepNext/>
        <w:keepLines/>
        <w:spacing w:line="240" w:lineRule="auto"/>
        <w:jc w:val="both"/>
        <w:rPr>
          <w:rFonts w:asciiTheme="minorHAnsi" w:hAnsiTheme="minorHAnsi"/>
          <w:lang w:val="en-US"/>
        </w:rPr>
      </w:pPr>
      <w:r w:rsidRPr="00EA27F2">
        <w:rPr>
          <w:rFonts w:asciiTheme="minorHAnsi" w:hAnsiTheme="minorHAnsi"/>
          <w:b/>
          <w:bCs/>
          <w:lang w:val="en-US"/>
        </w:rPr>
        <w:t>Note</w:t>
      </w:r>
      <w:r>
        <w:rPr>
          <w:rFonts w:asciiTheme="minorHAnsi" w:hAnsiTheme="minorHAnsi"/>
          <w:lang w:val="en-US"/>
        </w:rPr>
        <w:t xml:space="preserve">: </w:t>
      </w:r>
      <w:r w:rsidR="00EA27F2">
        <w:rPr>
          <w:rFonts w:asciiTheme="minorHAnsi" w:hAnsiTheme="minorHAnsi"/>
          <w:lang w:val="en-US"/>
        </w:rPr>
        <w:t xml:space="preserve">As per </w:t>
      </w:r>
      <w:r w:rsidR="00EA27F2" w:rsidRPr="00D43349">
        <w:rPr>
          <w:rFonts w:asciiTheme="minorHAnsi" w:hAnsiTheme="minorHAnsi"/>
          <w:b/>
          <w:bCs/>
          <w:i/>
          <w:iCs/>
          <w:lang w:val="en-US"/>
        </w:rPr>
        <w:t>SOP SP-024-CT</w:t>
      </w:r>
      <w:r w:rsidR="00EA27F2">
        <w:rPr>
          <w:rFonts w:asciiTheme="minorHAnsi" w:hAnsiTheme="minorHAnsi"/>
          <w:lang w:val="en-US"/>
        </w:rPr>
        <w:t xml:space="preserve"> </w:t>
      </w:r>
      <w:r w:rsidR="00D43349" w:rsidRPr="00D43349">
        <w:rPr>
          <w:rFonts w:eastAsia="PMingLiU"/>
          <w:b/>
          <w:i/>
          <w:color w:val="auto"/>
          <w:lang w:val="en-US" w:eastAsia="zh-TW"/>
        </w:rPr>
        <w:t xml:space="preserve">Modus Operandi and Communication with the </w:t>
      </w:r>
      <w:r w:rsidR="00D43349">
        <w:rPr>
          <w:rFonts w:eastAsia="PMingLiU"/>
          <w:b/>
          <w:i/>
          <w:color w:val="auto"/>
          <w:lang w:val="en-US" w:eastAsia="zh-TW"/>
        </w:rPr>
        <w:t>CAC,</w:t>
      </w:r>
      <w:r w:rsidR="00D43349" w:rsidRPr="00D43349">
        <w:rPr>
          <w:lang w:val="en-US"/>
        </w:rPr>
        <w:t xml:space="preserve"> </w:t>
      </w:r>
      <w:r>
        <w:rPr>
          <w:rFonts w:asciiTheme="minorHAnsi" w:hAnsiTheme="minorHAnsi"/>
          <w:lang w:val="en-US"/>
        </w:rPr>
        <w:t xml:space="preserve">CAC has to be consulted </w:t>
      </w:r>
      <w:r w:rsidR="00E235BC">
        <w:rPr>
          <w:rFonts w:asciiTheme="minorHAnsi" w:hAnsiTheme="minorHAnsi"/>
          <w:lang w:val="en-US"/>
        </w:rPr>
        <w:t xml:space="preserve">before any permanent regimen change </w:t>
      </w:r>
      <w:r w:rsidR="000802A3">
        <w:rPr>
          <w:rFonts w:asciiTheme="minorHAnsi" w:hAnsiTheme="minorHAnsi"/>
          <w:lang w:val="en-US"/>
        </w:rPr>
        <w:t>recommended in this SOP.</w:t>
      </w:r>
    </w:p>
    <w:p w14:paraId="6D694EC8" w14:textId="77777777" w:rsidR="00FF02F4" w:rsidRPr="00681907" w:rsidRDefault="00FF02F4" w:rsidP="00462589">
      <w:pPr>
        <w:pStyle w:val="Heading3"/>
        <w:spacing w:line="240" w:lineRule="auto"/>
        <w:jc w:val="both"/>
        <w:rPr>
          <w:lang w:val="en-US"/>
        </w:rPr>
      </w:pPr>
      <w:bookmarkStart w:id="15" w:name="_Toc166238344"/>
      <w:r w:rsidRPr="2C7D2031">
        <w:rPr>
          <w:lang w:val="en-US"/>
        </w:rPr>
        <w:t>Recording of AEs and AEs management</w:t>
      </w:r>
      <w:bookmarkEnd w:id="15"/>
    </w:p>
    <w:p w14:paraId="50AB3DD3" w14:textId="568767B6" w:rsidR="00CD2C4B" w:rsidRPr="00CD2C4B" w:rsidRDefault="00ED12D6" w:rsidP="00462589">
      <w:pPr>
        <w:keepNext/>
        <w:keepLines/>
        <w:spacing w:after="120" w:line="240" w:lineRule="auto"/>
        <w:jc w:val="both"/>
        <w:rPr>
          <w:lang w:val="en-US"/>
        </w:rPr>
      </w:pPr>
      <w:r w:rsidRPr="0021292E">
        <w:rPr>
          <w:b/>
          <w:lang w:val="en-US"/>
        </w:rPr>
        <w:t>Site PI</w:t>
      </w:r>
      <w:r>
        <w:rPr>
          <w:lang w:val="en-US"/>
        </w:rPr>
        <w:t xml:space="preserve"> </w:t>
      </w:r>
      <w:r w:rsidRPr="0021292E">
        <w:rPr>
          <w:b/>
          <w:lang w:val="en-US"/>
        </w:rPr>
        <w:t>or</w:t>
      </w:r>
      <w:r>
        <w:rPr>
          <w:lang w:val="en-US"/>
        </w:rPr>
        <w:t xml:space="preserve"> </w:t>
      </w:r>
      <w:r w:rsidRPr="0021292E">
        <w:rPr>
          <w:b/>
          <w:lang w:val="en-US"/>
        </w:rPr>
        <w:t xml:space="preserve">Site </w:t>
      </w:r>
      <w:r w:rsidR="00E177DC" w:rsidRPr="0021292E">
        <w:rPr>
          <w:b/>
          <w:lang w:val="en-US"/>
        </w:rPr>
        <w:t>CI</w:t>
      </w:r>
      <w:r w:rsidR="00FF02F4" w:rsidRPr="0021292E">
        <w:rPr>
          <w:b/>
          <w:lang w:val="en-US"/>
        </w:rPr>
        <w:t xml:space="preserve"> </w:t>
      </w:r>
      <w:r w:rsidR="00FF02F4" w:rsidRPr="00681907">
        <w:rPr>
          <w:lang w:val="en-US"/>
        </w:rPr>
        <w:t>will record each AE, possible study treatment changes and ancillary treatment, severity grade evolution and outcome in the source document</w:t>
      </w:r>
      <w:r w:rsidR="009701EE">
        <w:rPr>
          <w:lang w:val="en-US"/>
        </w:rPr>
        <w:t xml:space="preserve">s. </w:t>
      </w:r>
      <w:r w:rsidR="00FA4B89">
        <w:rPr>
          <w:lang w:val="en-US"/>
        </w:rPr>
        <w:t xml:space="preserve">The designated site staff will be in charge of capturing </w:t>
      </w:r>
      <w:r w:rsidR="009701EE">
        <w:rPr>
          <w:lang w:val="en-US"/>
        </w:rPr>
        <w:t xml:space="preserve">data in </w:t>
      </w:r>
      <w:r w:rsidR="00FF02F4" w:rsidRPr="00681907">
        <w:rPr>
          <w:lang w:val="en-US"/>
        </w:rPr>
        <w:t xml:space="preserve">the </w:t>
      </w:r>
      <w:r w:rsidR="00CB302D">
        <w:rPr>
          <w:lang w:val="en-US"/>
        </w:rPr>
        <w:t>case report form</w:t>
      </w:r>
      <w:r w:rsidR="00FF02F4" w:rsidRPr="00681907">
        <w:rPr>
          <w:lang w:val="en-US"/>
        </w:rPr>
        <w:t xml:space="preserve">. </w:t>
      </w:r>
    </w:p>
    <w:p w14:paraId="2E68F316" w14:textId="01E44F6A" w:rsidR="00FF02F4" w:rsidRPr="00DE0C72" w:rsidRDefault="00FF02F4" w:rsidP="00462589">
      <w:pPr>
        <w:pStyle w:val="Heading2"/>
        <w:spacing w:before="0" w:after="120" w:line="240" w:lineRule="auto"/>
        <w:jc w:val="both"/>
        <w:rPr>
          <w:lang w:val="en-US"/>
        </w:rPr>
      </w:pPr>
      <w:bookmarkStart w:id="16" w:name="_Toc166238345"/>
      <w:r w:rsidRPr="00DE0C72">
        <w:rPr>
          <w:lang w:val="en-US"/>
        </w:rPr>
        <w:t>REFERENCE</w:t>
      </w:r>
      <w:r w:rsidR="51FC0B55" w:rsidRPr="00DE0C72">
        <w:rPr>
          <w:lang w:val="en-US"/>
        </w:rPr>
        <w:t>S</w:t>
      </w:r>
      <w:bookmarkEnd w:id="16"/>
      <w:r w:rsidRPr="00DE0C72">
        <w:rPr>
          <w:lang w:val="en-US"/>
        </w:rPr>
        <w:tab/>
      </w:r>
    </w:p>
    <w:p w14:paraId="0B426CD6" w14:textId="0EB3BC95" w:rsidR="00FF02F4" w:rsidRDefault="00FF02F4" w:rsidP="00227A9F">
      <w:pPr>
        <w:pStyle w:val="ListParagraph"/>
        <w:keepNext/>
        <w:keepLines/>
        <w:numPr>
          <w:ilvl w:val="0"/>
          <w:numId w:val="9"/>
        </w:numPr>
        <w:spacing w:after="0"/>
        <w:jc w:val="both"/>
        <w:rPr>
          <w:lang w:val="en-US"/>
        </w:rPr>
      </w:pPr>
      <w:r w:rsidRPr="00681907">
        <w:rPr>
          <w:lang w:val="en-US"/>
        </w:rPr>
        <w:t>World Health Organi</w:t>
      </w:r>
      <w:r w:rsidR="00FF12E4">
        <w:rPr>
          <w:lang w:val="en-US"/>
        </w:rPr>
        <w:t>z</w:t>
      </w:r>
      <w:r w:rsidRPr="00681907">
        <w:rPr>
          <w:lang w:val="en-US"/>
        </w:rPr>
        <w:t>ation. Companion Handbook to the WHO Guidelines for the Programmatic Management of Drug-Resistant Tuberculosis. Geneva, Switzerland: World Health Organi</w:t>
      </w:r>
      <w:r w:rsidR="00FF12E4">
        <w:rPr>
          <w:lang w:val="en-US"/>
        </w:rPr>
        <w:t>z</w:t>
      </w:r>
      <w:r w:rsidRPr="00681907">
        <w:rPr>
          <w:lang w:val="en-US"/>
        </w:rPr>
        <w:t>ation; 2014</w:t>
      </w:r>
    </w:p>
    <w:p w14:paraId="471B7F41" w14:textId="662204E1" w:rsidR="009701EE" w:rsidRDefault="00220FFA" w:rsidP="00227A9F">
      <w:pPr>
        <w:pStyle w:val="ListParagraph"/>
        <w:keepNext/>
        <w:keepLines/>
        <w:spacing w:after="0"/>
        <w:ind w:left="360"/>
        <w:jc w:val="both"/>
        <w:rPr>
          <w:lang w:val="en-US"/>
        </w:rPr>
      </w:pPr>
      <w:hyperlink r:id="rId11" w:history="1">
        <w:r w:rsidR="009701EE" w:rsidRPr="00264256">
          <w:rPr>
            <w:rStyle w:val="Hyperlink"/>
            <w:lang w:val="en-US"/>
          </w:rPr>
          <w:t>http://apps.who.int/iris/bitstream/handle/10665/130918/9789241548809_eng.pdf;jsessionid=BBB62ABAA8E0E07C7B57DC06011742B2?sequence=1</w:t>
        </w:r>
      </w:hyperlink>
    </w:p>
    <w:p w14:paraId="716A8D79" w14:textId="4E6CC781" w:rsidR="00FA4B89" w:rsidRPr="00CD2C4B" w:rsidRDefault="00FF02F4" w:rsidP="00227A9F">
      <w:pPr>
        <w:pStyle w:val="ListParagraph"/>
        <w:keepNext/>
        <w:keepLines/>
        <w:numPr>
          <w:ilvl w:val="0"/>
          <w:numId w:val="9"/>
        </w:numPr>
        <w:spacing w:after="0"/>
        <w:jc w:val="both"/>
        <w:rPr>
          <w:lang w:val="en-US"/>
        </w:rPr>
      </w:pPr>
      <w:r w:rsidRPr="00681907">
        <w:rPr>
          <w:lang w:val="en-US"/>
        </w:rPr>
        <w:t xml:space="preserve">endTB Clinical and Programmatic Guide for Patient Management with New TB Drugs. Version </w:t>
      </w:r>
      <w:r w:rsidR="009701EE">
        <w:rPr>
          <w:lang w:val="en-US"/>
        </w:rPr>
        <w:t>4.0</w:t>
      </w:r>
      <w:r w:rsidR="00FA4B89">
        <w:rPr>
          <w:lang w:val="en-US"/>
        </w:rPr>
        <w:t>. January 2018</w:t>
      </w:r>
      <w:r w:rsidR="009701EE">
        <w:rPr>
          <w:lang w:val="en-US"/>
        </w:rPr>
        <w:t>.</w:t>
      </w:r>
      <w:r w:rsidR="00CD2C4B">
        <w:rPr>
          <w:lang w:val="en-US"/>
        </w:rPr>
        <w:t xml:space="preserve"> </w:t>
      </w:r>
      <w:hyperlink r:id="rId12" w:history="1">
        <w:r w:rsidR="00FA4B89" w:rsidRPr="00CD2C4B">
          <w:rPr>
            <w:rStyle w:val="Hyperlink"/>
            <w:lang w:val="en-US"/>
          </w:rPr>
          <w:t>http://endtb.org/guide</w:t>
        </w:r>
      </w:hyperlink>
    </w:p>
    <w:p w14:paraId="1340411D" w14:textId="77777777" w:rsidR="00FF02F4" w:rsidRDefault="00FF02F4" w:rsidP="00227A9F">
      <w:pPr>
        <w:pStyle w:val="ListParagraph"/>
        <w:keepNext/>
        <w:keepLines/>
        <w:numPr>
          <w:ilvl w:val="0"/>
          <w:numId w:val="9"/>
        </w:numPr>
        <w:spacing w:after="0"/>
        <w:jc w:val="both"/>
        <w:rPr>
          <w:lang w:val="en-US"/>
        </w:rPr>
      </w:pPr>
      <w:r w:rsidRPr="00681907">
        <w:rPr>
          <w:lang w:val="en-US"/>
        </w:rPr>
        <w:t>Médecins Sans Fronitères and Partners In Health. Tuberculosis: practical guide for clinicians, nurses, laboratory technicians and medical auxiliaries. 2014 edition.</w:t>
      </w:r>
    </w:p>
    <w:p w14:paraId="41912D19" w14:textId="72872931" w:rsidR="00FA4B89" w:rsidRDefault="00220FFA" w:rsidP="00227A9F">
      <w:pPr>
        <w:pStyle w:val="ListParagraph"/>
        <w:keepNext/>
        <w:keepLines/>
        <w:spacing w:after="0"/>
        <w:ind w:left="360"/>
        <w:jc w:val="both"/>
        <w:rPr>
          <w:lang w:val="en-US"/>
        </w:rPr>
      </w:pPr>
      <w:hyperlink r:id="rId13" w:history="1">
        <w:r w:rsidR="00FA4B89" w:rsidRPr="008B0457">
          <w:rPr>
            <w:rStyle w:val="Hyperlink"/>
            <w:lang w:val="en-US"/>
          </w:rPr>
          <w:t>http://refbooks.msf.org/msf_docs/en/tuberculosis/tuberculosis_en.pdf</w:t>
        </w:r>
      </w:hyperlink>
    </w:p>
    <w:p w14:paraId="230EC3C3" w14:textId="62486BDC" w:rsidR="00FF02F4" w:rsidRPr="00CB302D" w:rsidRDefault="00FF02F4" w:rsidP="00227A9F">
      <w:pPr>
        <w:pStyle w:val="ListParagraph"/>
        <w:keepNext/>
        <w:keepLines/>
        <w:numPr>
          <w:ilvl w:val="0"/>
          <w:numId w:val="9"/>
        </w:numPr>
        <w:spacing w:after="0"/>
        <w:jc w:val="both"/>
      </w:pPr>
      <w:r w:rsidRPr="00DE0C72">
        <w:rPr>
          <w:lang w:val="en-US"/>
        </w:rPr>
        <w:t xml:space="preserve">Diagnosis and management of hypocalcaemia Mark S Cooper, Neil J L Gittoes.BMJ. </w:t>
      </w:r>
      <w:hyperlink r:id="rId14" w:anchor="!po=61.1111" w:history="1">
        <w:r w:rsidR="009701EE" w:rsidRPr="00CB302D">
          <w:rPr>
            <w:rStyle w:val="Hyperlink"/>
          </w:rPr>
          <w:t>http://www.ncbi.nlm.nih.gov/pmc/articles/PMC2413335/#!po=61.1111</w:t>
        </w:r>
      </w:hyperlink>
    </w:p>
    <w:p w14:paraId="0878DB99" w14:textId="77777777" w:rsidR="00FF02F4" w:rsidRPr="00CB302D" w:rsidRDefault="00FF02F4" w:rsidP="00462589">
      <w:pPr>
        <w:keepNext/>
        <w:keepLines/>
        <w:spacing w:after="120" w:line="240" w:lineRule="auto"/>
        <w:jc w:val="both"/>
        <w:rPr>
          <w:rFonts w:asciiTheme="minorHAnsi" w:hAnsiTheme="minorHAnsi"/>
        </w:rPr>
      </w:pPr>
    </w:p>
    <w:p w14:paraId="4ED7E8AC" w14:textId="257CDEC2" w:rsidR="00F3425C" w:rsidRPr="002B688E" w:rsidRDefault="00DE139D" w:rsidP="00462589">
      <w:pPr>
        <w:pStyle w:val="Heading2"/>
        <w:spacing w:before="0" w:after="120" w:line="240" w:lineRule="auto"/>
        <w:jc w:val="both"/>
        <w:rPr>
          <w:lang w:val="en-US"/>
        </w:rPr>
      </w:pPr>
      <w:bookmarkStart w:id="17" w:name="_Toc166238346"/>
      <w:r>
        <w:rPr>
          <w:lang w:val="en-US"/>
        </w:rPr>
        <w:t>SUPPORTING DOCUMENTS</w:t>
      </w:r>
      <w:bookmarkEnd w:id="17"/>
    </w:p>
    <w:p w14:paraId="0851F0EA" w14:textId="3A49EEF4" w:rsidR="00DE139D" w:rsidRDefault="00E356FA" w:rsidP="00F1254D">
      <w:pPr>
        <w:pStyle w:val="ListParagraph"/>
        <w:numPr>
          <w:ilvl w:val="0"/>
          <w:numId w:val="9"/>
        </w:numPr>
        <w:rPr>
          <w:lang w:val="en-US"/>
        </w:rPr>
      </w:pPr>
      <w:r w:rsidRPr="006643F7">
        <w:rPr>
          <w:lang w:val="en-US"/>
        </w:rPr>
        <w:t>MSF severity</w:t>
      </w:r>
      <w:r w:rsidR="006643F7">
        <w:rPr>
          <w:lang w:val="en-US"/>
        </w:rPr>
        <w:t xml:space="preserve"> grading </w:t>
      </w:r>
      <w:r w:rsidR="006643F7" w:rsidRPr="00681907">
        <w:rPr>
          <w:lang w:val="en-US"/>
        </w:rPr>
        <w:t xml:space="preserve">scale </w:t>
      </w:r>
      <w:r w:rsidR="006643F7">
        <w:rPr>
          <w:lang w:val="en-US"/>
        </w:rPr>
        <w:t>(endTB Site Study Document)</w:t>
      </w:r>
    </w:p>
    <w:p w14:paraId="00D7D641" w14:textId="03834F75" w:rsidR="00706F6A" w:rsidRDefault="00706F6A">
      <w:pPr>
        <w:pStyle w:val="ListParagraph"/>
        <w:numPr>
          <w:ilvl w:val="0"/>
          <w:numId w:val="9"/>
        </w:numPr>
        <w:rPr>
          <w:lang w:val="en-US"/>
        </w:rPr>
      </w:pPr>
      <w:r>
        <w:rPr>
          <w:lang w:val="en-US"/>
        </w:rPr>
        <w:t>SOP PV-001-CT Safety data collection and reporting at trial sites</w:t>
      </w:r>
      <w:r w:rsidR="004022C9">
        <w:rPr>
          <w:lang w:val="en-US"/>
        </w:rPr>
        <w:t xml:space="preserve"> (endTB Site Study Document)</w:t>
      </w:r>
    </w:p>
    <w:p w14:paraId="053FAF5F" w14:textId="274AEF6E" w:rsidR="006968AF" w:rsidRDefault="006968AF">
      <w:pPr>
        <w:pStyle w:val="ListParagraph"/>
        <w:numPr>
          <w:ilvl w:val="0"/>
          <w:numId w:val="9"/>
        </w:numPr>
        <w:rPr>
          <w:lang w:val="en-US"/>
        </w:rPr>
      </w:pPr>
      <w:r w:rsidRPr="006968AF">
        <w:rPr>
          <w:lang w:val="en-US"/>
        </w:rPr>
        <w:t>SOP SP-002-ET Brief Peripheral Neuropathy Screening</w:t>
      </w:r>
      <w:r w:rsidR="004022C9">
        <w:rPr>
          <w:lang w:val="en-US"/>
        </w:rPr>
        <w:t xml:space="preserve"> (endTB Site Study Document)</w:t>
      </w:r>
    </w:p>
    <w:p w14:paraId="68C16783" w14:textId="68AC2171" w:rsidR="00E32CF3" w:rsidRDefault="00E32CF3">
      <w:pPr>
        <w:pStyle w:val="ListParagraph"/>
        <w:numPr>
          <w:ilvl w:val="0"/>
          <w:numId w:val="9"/>
        </w:numPr>
        <w:rPr>
          <w:lang w:val="en-US"/>
        </w:rPr>
      </w:pPr>
      <w:r w:rsidRPr="00E32CF3">
        <w:rPr>
          <w:bCs/>
          <w:iCs/>
          <w:lang w:val="en-US"/>
        </w:rPr>
        <w:t>SOP SP-008-CT ECG Reading</w:t>
      </w:r>
      <w:r w:rsidR="004022C9">
        <w:rPr>
          <w:bCs/>
          <w:iCs/>
          <w:lang w:val="en-US"/>
        </w:rPr>
        <w:t xml:space="preserve"> </w:t>
      </w:r>
      <w:r w:rsidR="004022C9">
        <w:rPr>
          <w:lang w:val="en-US"/>
        </w:rPr>
        <w:t>(endTB Site Study Document)</w:t>
      </w:r>
    </w:p>
    <w:p w14:paraId="2E8BD09B" w14:textId="2E38AFA5" w:rsidR="005C6A11" w:rsidRPr="005C6A11" w:rsidRDefault="005C6A11" w:rsidP="005C6A11">
      <w:pPr>
        <w:pStyle w:val="ListParagraph"/>
        <w:numPr>
          <w:ilvl w:val="0"/>
          <w:numId w:val="9"/>
        </w:numPr>
        <w:spacing w:line="276" w:lineRule="auto"/>
      </w:pPr>
      <w:r w:rsidRPr="0DAA7A45">
        <w:rPr>
          <w:rFonts w:asciiTheme="minorHAnsi" w:hAnsiTheme="minorHAnsi"/>
          <w:color w:val="auto"/>
        </w:rPr>
        <w:t>SOP</w:t>
      </w:r>
      <w:r w:rsidRPr="0DAA7A45">
        <w:rPr>
          <w:rFonts w:asciiTheme="minorHAnsi" w:hAnsiTheme="minorHAnsi"/>
          <w:b/>
          <w:bCs/>
          <w:i/>
          <w:iCs/>
          <w:color w:val="auto"/>
        </w:rPr>
        <w:t xml:space="preserve"> </w:t>
      </w:r>
      <w:r w:rsidRPr="0DAA7A45">
        <w:rPr>
          <w:rFonts w:asciiTheme="minorHAnsi" w:hAnsiTheme="minorHAnsi"/>
          <w:color w:val="auto"/>
        </w:rPr>
        <w:t xml:space="preserve">SP-024-CT </w:t>
      </w:r>
      <w:r w:rsidRPr="0DAA7A45">
        <w:rPr>
          <w:rFonts w:asciiTheme="minorHAnsi" w:hAnsiTheme="minorHAnsi"/>
          <w:i/>
          <w:iCs/>
          <w:color w:val="auto"/>
        </w:rPr>
        <w:t>Modus Operandi</w:t>
      </w:r>
      <w:r w:rsidRPr="0DAA7A45">
        <w:rPr>
          <w:rFonts w:asciiTheme="minorHAnsi" w:hAnsiTheme="minorHAnsi"/>
          <w:color w:val="auto"/>
        </w:rPr>
        <w:t xml:space="preserve"> and Communication with the Clinical Advisory Committee</w:t>
      </w:r>
      <w:r>
        <w:rPr>
          <w:rFonts w:asciiTheme="minorHAnsi" w:hAnsiTheme="minorHAnsi"/>
          <w:color w:val="auto"/>
        </w:rPr>
        <w:t xml:space="preserve"> </w:t>
      </w:r>
      <w:r>
        <w:t>(endTB Site Study Document)</w:t>
      </w:r>
    </w:p>
    <w:p w14:paraId="26A8B8FD" w14:textId="68CA07B1" w:rsidR="00EA27F2" w:rsidRPr="005C6A11" w:rsidRDefault="009647D3" w:rsidP="005C6A11">
      <w:pPr>
        <w:pStyle w:val="ListParagraph"/>
        <w:numPr>
          <w:ilvl w:val="0"/>
          <w:numId w:val="9"/>
        </w:numPr>
        <w:rPr>
          <w:lang w:val="en-US"/>
        </w:rPr>
      </w:pPr>
      <w:r w:rsidRPr="4E317D17">
        <w:rPr>
          <w:lang w:val="en-US"/>
        </w:rPr>
        <w:t>PV-TB-D22 Safety Reporting Guideline (endTB Site Study Document)</w:t>
      </w:r>
    </w:p>
    <w:p w14:paraId="1E3C6ED9" w14:textId="63FA9674" w:rsidR="4002E4D0" w:rsidRDefault="4002E4D0" w:rsidP="4E317D17">
      <w:pPr>
        <w:pStyle w:val="ListParagraph"/>
        <w:numPr>
          <w:ilvl w:val="0"/>
          <w:numId w:val="9"/>
        </w:numPr>
        <w:rPr>
          <w:lang w:val="en-US"/>
        </w:rPr>
      </w:pPr>
      <w:r w:rsidRPr="4E317D17">
        <w:rPr>
          <w:lang w:val="en-US"/>
        </w:rPr>
        <w:t>SOP SP-003-ET Visual Acuity Screening</w:t>
      </w:r>
      <w:r w:rsidR="003B0676">
        <w:rPr>
          <w:lang w:val="en-US"/>
        </w:rPr>
        <w:t xml:space="preserve"> (endTB Site Study Document)</w:t>
      </w:r>
    </w:p>
    <w:p w14:paraId="4DBDD314" w14:textId="51C46D55" w:rsidR="4E317D17" w:rsidRDefault="3E46F874" w:rsidP="4E317D17">
      <w:pPr>
        <w:pStyle w:val="ListParagraph"/>
        <w:numPr>
          <w:ilvl w:val="0"/>
          <w:numId w:val="9"/>
        </w:numPr>
        <w:rPr>
          <w:lang w:val="en-US"/>
        </w:rPr>
      </w:pPr>
      <w:r w:rsidRPr="3D385CB0">
        <w:rPr>
          <w:lang w:val="en-US"/>
        </w:rPr>
        <w:t>SOP SP-007-ET Audiometry Screening</w:t>
      </w:r>
      <w:r w:rsidR="003B0676">
        <w:rPr>
          <w:lang w:val="en-US"/>
        </w:rPr>
        <w:t xml:space="preserve"> (endTB Site Study Document)</w:t>
      </w:r>
    </w:p>
    <w:p w14:paraId="1F8D2233" w14:textId="77777777" w:rsidR="00FF02F4" w:rsidRPr="00DE0C72" w:rsidRDefault="00FF02F4" w:rsidP="00462589">
      <w:pPr>
        <w:pStyle w:val="Heading2"/>
        <w:spacing w:before="0" w:after="120" w:line="240" w:lineRule="auto"/>
        <w:jc w:val="both"/>
        <w:rPr>
          <w:lang w:val="en-US"/>
        </w:rPr>
      </w:pPr>
      <w:bookmarkStart w:id="18" w:name="_Toc166238347"/>
      <w:r w:rsidRPr="00DE0C72">
        <w:rPr>
          <w:lang w:val="en-US"/>
        </w:rPr>
        <w:lastRenderedPageBreak/>
        <w:t>APPENDIX</w:t>
      </w:r>
      <w:bookmarkEnd w:id="18"/>
    </w:p>
    <w:tbl>
      <w:tblPr>
        <w:tblStyle w:val="1"/>
        <w:tblW w:w="957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8385"/>
      </w:tblGrid>
      <w:tr w:rsidR="00FF02F4" w:rsidRPr="00681907" w14:paraId="69A81D33" w14:textId="77777777" w:rsidTr="006C35F2">
        <w:tc>
          <w:tcPr>
            <w:tcW w:w="1185" w:type="dxa"/>
            <w:shd w:val="clear" w:color="auto" w:fill="FFFFFF"/>
            <w:vAlign w:val="center"/>
          </w:tcPr>
          <w:p w14:paraId="2FB1EE62" w14:textId="77777777" w:rsidR="00FF02F4" w:rsidRPr="00DE0C72" w:rsidRDefault="00FF02F4" w:rsidP="00462589">
            <w:pPr>
              <w:keepNext/>
              <w:keepLines/>
              <w:spacing w:before="120" w:after="120" w:line="240" w:lineRule="auto"/>
              <w:contextualSpacing w:val="0"/>
              <w:jc w:val="both"/>
              <w:rPr>
                <w:lang w:val="en-US"/>
              </w:rPr>
            </w:pPr>
            <w:r w:rsidRPr="00DE0C72">
              <w:rPr>
                <w:b/>
                <w:sz w:val="24"/>
                <w:szCs w:val="24"/>
                <w:lang w:val="en-US"/>
              </w:rPr>
              <w:t>Number</w:t>
            </w:r>
          </w:p>
        </w:tc>
        <w:tc>
          <w:tcPr>
            <w:tcW w:w="8385" w:type="dxa"/>
            <w:shd w:val="clear" w:color="auto" w:fill="FFFFFF"/>
          </w:tcPr>
          <w:p w14:paraId="5812F0AE" w14:textId="77777777" w:rsidR="00FF02F4" w:rsidRPr="00DE0C72" w:rsidRDefault="00FF02F4" w:rsidP="00462589">
            <w:pPr>
              <w:keepNext/>
              <w:keepLines/>
              <w:spacing w:before="120" w:after="120" w:line="240" w:lineRule="auto"/>
              <w:contextualSpacing w:val="0"/>
              <w:jc w:val="both"/>
              <w:rPr>
                <w:lang w:val="en-US"/>
              </w:rPr>
            </w:pPr>
            <w:r w:rsidRPr="00DE0C72">
              <w:rPr>
                <w:b/>
                <w:sz w:val="24"/>
                <w:szCs w:val="24"/>
                <w:lang w:val="en-US"/>
              </w:rPr>
              <w:t>Title</w:t>
            </w:r>
          </w:p>
        </w:tc>
      </w:tr>
      <w:tr w:rsidR="00FC00AB" w:rsidRPr="00F050A7" w14:paraId="51779555" w14:textId="77777777" w:rsidTr="00462589">
        <w:trPr>
          <w:trHeight w:val="586"/>
        </w:trPr>
        <w:tc>
          <w:tcPr>
            <w:tcW w:w="1185" w:type="dxa"/>
            <w:shd w:val="clear" w:color="auto" w:fill="FFFFFF"/>
            <w:vAlign w:val="center"/>
          </w:tcPr>
          <w:p w14:paraId="71750D22" w14:textId="684B38E0" w:rsidR="00FC00AB" w:rsidRPr="00DE0C72" w:rsidRDefault="00FC00AB" w:rsidP="00462589">
            <w:pPr>
              <w:keepNext/>
              <w:keepLines/>
              <w:spacing w:before="120" w:after="120" w:line="240" w:lineRule="auto"/>
              <w:rPr>
                <w:lang w:val="en-US"/>
              </w:rPr>
            </w:pPr>
            <w:r>
              <w:rPr>
                <w:lang w:val="en-US"/>
              </w:rPr>
              <w:t>A</w:t>
            </w:r>
            <w:r w:rsidRPr="00DE0C72">
              <w:rPr>
                <w:lang w:val="en-US"/>
              </w:rPr>
              <w:t>1</w:t>
            </w:r>
          </w:p>
        </w:tc>
        <w:tc>
          <w:tcPr>
            <w:tcW w:w="8385" w:type="dxa"/>
            <w:shd w:val="clear" w:color="auto" w:fill="FFFFFF"/>
            <w:vAlign w:val="center"/>
          </w:tcPr>
          <w:p w14:paraId="3285C8DD" w14:textId="1B8FA121" w:rsidR="00FC00AB" w:rsidRPr="00DE0C72" w:rsidRDefault="00FC00AB" w:rsidP="00462589">
            <w:pPr>
              <w:keepNext/>
              <w:keepLines/>
              <w:spacing w:line="240" w:lineRule="auto"/>
              <w:rPr>
                <w:rFonts w:eastAsia="MS ??" w:cs="Times New Roman"/>
                <w:lang w:val="en-US" w:eastAsia="ja-JP"/>
              </w:rPr>
            </w:pPr>
            <w:r w:rsidRPr="00E10A5A">
              <w:rPr>
                <w:lang w:val="en-US"/>
              </w:rPr>
              <w:t xml:space="preserve">SP-018-CT_ A1- </w:t>
            </w:r>
            <w:r w:rsidRPr="00DE0C72">
              <w:rPr>
                <w:rFonts w:eastAsia="MS ??" w:cs="Times New Roman"/>
                <w:lang w:val="en-US" w:eastAsia="ja-JP"/>
              </w:rPr>
              <w:t>Adjustment of anti-TB drugs in renal insufficiency</w:t>
            </w:r>
          </w:p>
        </w:tc>
      </w:tr>
      <w:tr w:rsidR="00FC00AB" w:rsidRPr="00F050A7" w14:paraId="21CAD577" w14:textId="77777777" w:rsidTr="00462589">
        <w:trPr>
          <w:trHeight w:val="692"/>
        </w:trPr>
        <w:tc>
          <w:tcPr>
            <w:tcW w:w="1185" w:type="dxa"/>
            <w:shd w:val="clear" w:color="auto" w:fill="FFFFFF"/>
            <w:vAlign w:val="center"/>
          </w:tcPr>
          <w:p w14:paraId="6A53E07A" w14:textId="29DE40F6" w:rsidR="00FC00AB" w:rsidRDefault="00FC00AB" w:rsidP="00462589">
            <w:pPr>
              <w:keepNext/>
              <w:keepLines/>
              <w:spacing w:before="120" w:after="120" w:line="240" w:lineRule="auto"/>
              <w:rPr>
                <w:lang w:val="en-US"/>
              </w:rPr>
            </w:pPr>
            <w:r>
              <w:rPr>
                <w:lang w:val="en-US"/>
              </w:rPr>
              <w:t>A2</w:t>
            </w:r>
          </w:p>
        </w:tc>
        <w:tc>
          <w:tcPr>
            <w:tcW w:w="8385" w:type="dxa"/>
            <w:shd w:val="clear" w:color="auto" w:fill="FFFFFF"/>
            <w:vAlign w:val="center"/>
          </w:tcPr>
          <w:p w14:paraId="2ED7A467" w14:textId="6A8F0A4A" w:rsidR="00FC00AB" w:rsidRPr="00DE0C72" w:rsidRDefault="00091249" w:rsidP="00462589">
            <w:pPr>
              <w:keepNext/>
              <w:keepLines/>
              <w:spacing w:line="240" w:lineRule="auto"/>
              <w:rPr>
                <w:rFonts w:eastAsia="MS ??" w:cs="Times New Roman"/>
                <w:lang w:val="en-US" w:eastAsia="ja-JP"/>
              </w:rPr>
            </w:pPr>
            <w:r>
              <w:rPr>
                <w:rFonts w:eastAsia="MS ??" w:cs="Times New Roman"/>
                <w:lang w:val="en-US" w:eastAsia="ja-JP"/>
              </w:rPr>
              <w:t xml:space="preserve">SP-018-CT_A2- </w:t>
            </w:r>
            <w:r w:rsidR="00963300">
              <w:rPr>
                <w:rFonts w:eastAsia="MS ??" w:cs="Times New Roman"/>
                <w:lang w:val="en-US" w:eastAsia="ja-JP"/>
              </w:rPr>
              <w:t xml:space="preserve">Clinical manifestation, </w:t>
            </w:r>
            <w:r w:rsidR="00FC00AB">
              <w:rPr>
                <w:rFonts w:eastAsia="MS ??" w:cs="Times New Roman"/>
                <w:lang w:val="en-US" w:eastAsia="ja-JP"/>
              </w:rPr>
              <w:t xml:space="preserve">prevention </w:t>
            </w:r>
            <w:r w:rsidR="00963300">
              <w:rPr>
                <w:rFonts w:eastAsia="MS ??" w:cs="Times New Roman"/>
                <w:lang w:val="en-US" w:eastAsia="ja-JP"/>
              </w:rPr>
              <w:t xml:space="preserve">and diagnosis </w:t>
            </w:r>
            <w:r w:rsidR="00FC00AB">
              <w:rPr>
                <w:rFonts w:eastAsia="MS ??" w:cs="Times New Roman"/>
                <w:lang w:val="en-US" w:eastAsia="ja-JP"/>
              </w:rPr>
              <w:t>of DVT/PE</w:t>
            </w:r>
          </w:p>
        </w:tc>
      </w:tr>
    </w:tbl>
    <w:p w14:paraId="08CC0FDB" w14:textId="0569A55A" w:rsidR="00F20AEE" w:rsidRPr="002A586D" w:rsidRDefault="00F20AEE" w:rsidP="00462589">
      <w:pPr>
        <w:spacing w:after="0" w:line="240" w:lineRule="auto"/>
        <w:jc w:val="both"/>
        <w:rPr>
          <w:lang w:val="en-US"/>
        </w:rPr>
      </w:pPr>
      <w:bookmarkStart w:id="19" w:name="h.f5p88jtcd3zq" w:colFirst="0" w:colLast="0"/>
      <w:bookmarkStart w:id="20" w:name="h.wnmbjaxr6vkg" w:colFirst="0" w:colLast="0"/>
      <w:bookmarkEnd w:id="19"/>
      <w:bookmarkEnd w:id="20"/>
    </w:p>
    <w:sectPr w:rsidR="00F20AEE" w:rsidRPr="002A586D" w:rsidSect="00D11F4B">
      <w:headerReference w:type="default" r:id="rId15"/>
      <w:footerReference w:type="default" r:id="rId16"/>
      <w:pgSz w:w="12240" w:h="15840"/>
      <w:pgMar w:top="1276"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2FDB7" w14:textId="77777777" w:rsidR="007F3284" w:rsidRDefault="007F3284">
      <w:pPr>
        <w:spacing w:after="0" w:line="240" w:lineRule="auto"/>
      </w:pPr>
      <w:r>
        <w:separator/>
      </w:r>
    </w:p>
  </w:endnote>
  <w:endnote w:type="continuationSeparator" w:id="0">
    <w:p w14:paraId="0086DC90" w14:textId="77777777" w:rsidR="007F3284" w:rsidRDefault="007F3284">
      <w:pPr>
        <w:spacing w:after="0" w:line="240" w:lineRule="auto"/>
      </w:pPr>
      <w:r>
        <w:continuationSeparator/>
      </w:r>
    </w:p>
  </w:endnote>
  <w:endnote w:type="continuationNotice" w:id="1">
    <w:p w14:paraId="29BA121A" w14:textId="77777777" w:rsidR="007F3284" w:rsidRDefault="007F3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Klee One"/>
    <w:panose1 w:val="00000000000000000000"/>
    <w:charset w:val="80"/>
    <w:family w:val="auto"/>
    <w:notTrueType/>
    <w:pitch w:val="default"/>
    <w:sig w:usb0="00000000" w:usb1="08070000" w:usb2="00000010" w:usb3="00000000" w:csb0="00020001" w:csb1="00000000"/>
  </w:font>
  <w:font w:name="MS ??">
    <w:altName w:val="MS Mincho"/>
    <w:panose1 w:val="00000000000000000000"/>
    <w:charset w:val="80"/>
    <w:family w:val="auto"/>
    <w:notTrueType/>
    <w:pitch w:val="variable"/>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ITCFranklinGothicStd-Book">
    <w:altName w:val="MS Gothic"/>
    <w:panose1 w:val="00000000000000000000"/>
    <w:charset w:val="80"/>
    <w:family w:val="swiss"/>
    <w:notTrueType/>
    <w:pitch w:val="default"/>
    <w:sig w:usb0="00000001" w:usb1="08070000" w:usb2="00000010" w:usb3="00000000" w:csb0="00020000" w:csb1="00000000"/>
  </w:font>
  <w:font w:name="GaramondPremrPro">
    <w:altName w:val="MS Mincho"/>
    <w:panose1 w:val="00000000000000000000"/>
    <w:charset w:val="A1"/>
    <w:family w:val="roman"/>
    <w:notTrueType/>
    <w:pitch w:val="default"/>
    <w:sig w:usb0="00000000" w:usb1="08070000" w:usb2="00000010" w:usb3="00000000" w:csb0="00020008" w:csb1="00000000"/>
  </w:font>
  <w:font w:name="ITCFranklinGothicStd-Med">
    <w:altName w:val="MS Gothic"/>
    <w:panose1 w:val="00000000000000000000"/>
    <w:charset w:val="80"/>
    <w:family w:val="swiss"/>
    <w:notTrueType/>
    <w:pitch w:val="default"/>
    <w:sig w:usb0="00000000" w:usb1="08070000" w:usb2="00000010" w:usb3="00000000" w:csb0="00020000" w:csb1="00000000"/>
  </w:font>
  <w:font w:name="ITCFranklinGothicStd-Demi">
    <w:altName w:val="Arial"/>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A62A" w14:textId="77777777" w:rsidR="00D11F4B" w:rsidRDefault="00D11F4B" w:rsidP="00D11F4B">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3A7CAD34" w14:textId="77777777" w:rsidR="00B40429" w:rsidRDefault="00B40429">
    <w:pPr>
      <w:tabs>
        <w:tab w:val="center" w:pos="4680"/>
        <w:tab w:val="right" w:pos="9360"/>
      </w:tabs>
      <w:spacing w:after="0" w:line="240" w:lineRule="auto"/>
      <w:jc w:val="center"/>
    </w:pPr>
  </w:p>
  <w:p w14:paraId="5C0D6AB2" w14:textId="7078393E" w:rsidR="00B40429" w:rsidRDefault="00B40429">
    <w:pPr>
      <w:tabs>
        <w:tab w:val="center" w:pos="4680"/>
        <w:tab w:val="right" w:pos="9360"/>
      </w:tabs>
      <w:spacing w:after="720" w:line="240" w:lineRule="auto"/>
      <w:jc w:val="center"/>
    </w:pPr>
    <w:r>
      <w:t xml:space="preserve">Page </w:t>
    </w:r>
    <w:r w:rsidRPr="00E10A5A">
      <w:rPr>
        <w:b/>
      </w:rPr>
      <w:fldChar w:fldCharType="begin"/>
    </w:r>
    <w:r w:rsidRPr="00E10A5A">
      <w:rPr>
        <w:b/>
      </w:rPr>
      <w:instrText>PAGE</w:instrText>
    </w:r>
    <w:r w:rsidRPr="00E10A5A">
      <w:rPr>
        <w:b/>
      </w:rPr>
      <w:fldChar w:fldCharType="separate"/>
    </w:r>
    <w:r w:rsidR="00BF0A52">
      <w:rPr>
        <w:b/>
        <w:noProof/>
      </w:rPr>
      <w:t>4</w:t>
    </w:r>
    <w:r w:rsidRPr="00E10A5A">
      <w:rPr>
        <w:b/>
      </w:rPr>
      <w:fldChar w:fldCharType="end"/>
    </w:r>
    <w:r>
      <w:t xml:space="preserve"> of </w:t>
    </w:r>
    <w:r w:rsidRPr="00E10A5A">
      <w:rPr>
        <w:b/>
      </w:rPr>
      <w:fldChar w:fldCharType="begin"/>
    </w:r>
    <w:r w:rsidRPr="00E10A5A">
      <w:rPr>
        <w:b/>
      </w:rPr>
      <w:instrText xml:space="preserve"> SECTIONPAGES  \* MERGEFORMAT </w:instrText>
    </w:r>
    <w:r w:rsidRPr="00E10A5A">
      <w:rPr>
        <w:b/>
      </w:rPr>
      <w:fldChar w:fldCharType="separate"/>
    </w:r>
    <w:r w:rsidR="00220FFA">
      <w:rPr>
        <w:b/>
        <w:noProof/>
      </w:rPr>
      <w:t>18</w:t>
    </w:r>
    <w:r w:rsidRPr="00E10A5A">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779D1" w14:textId="77777777" w:rsidR="007F3284" w:rsidRDefault="007F3284">
      <w:pPr>
        <w:spacing w:after="0" w:line="240" w:lineRule="auto"/>
      </w:pPr>
      <w:r>
        <w:separator/>
      </w:r>
    </w:p>
  </w:footnote>
  <w:footnote w:type="continuationSeparator" w:id="0">
    <w:p w14:paraId="258241D2" w14:textId="77777777" w:rsidR="007F3284" w:rsidRDefault="007F3284">
      <w:pPr>
        <w:spacing w:after="0" w:line="240" w:lineRule="auto"/>
      </w:pPr>
      <w:r>
        <w:continuationSeparator/>
      </w:r>
    </w:p>
  </w:footnote>
  <w:footnote w:type="continuationNotice" w:id="1">
    <w:p w14:paraId="2532F4DE" w14:textId="77777777" w:rsidR="007F3284" w:rsidRDefault="007F32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F3BE" w14:textId="788FE4F9" w:rsidR="00B40429" w:rsidRPr="0035494D" w:rsidRDefault="003D0EA6" w:rsidP="00E356FA">
    <w:pPr>
      <w:tabs>
        <w:tab w:val="left" w:pos="2542"/>
        <w:tab w:val="center" w:pos="4680"/>
        <w:tab w:val="right" w:pos="9360"/>
      </w:tabs>
      <w:spacing w:before="720" w:after="0" w:line="240" w:lineRule="auto"/>
      <w:rPr>
        <w:lang w:val="en-US"/>
      </w:rPr>
    </w:pPr>
    <w:r>
      <w:rPr>
        <w:noProof/>
      </w:rPr>
      <w:drawing>
        <wp:anchor distT="0" distB="0" distL="114300" distR="114300" simplePos="0" relativeHeight="251659264" behindDoc="0" locked="0" layoutInCell="1" allowOverlap="1" wp14:anchorId="43502675" wp14:editId="3D1404AC">
          <wp:simplePos x="0" y="0"/>
          <wp:positionH relativeFrom="column">
            <wp:posOffset>-630382</wp:posOffset>
          </wp:positionH>
          <wp:positionV relativeFrom="paragraph">
            <wp:posOffset>401320</wp:posOffset>
          </wp:positionV>
          <wp:extent cx="498763" cy="308147"/>
          <wp:effectExtent l="0" t="0" r="0" b="0"/>
          <wp:wrapThrough wrapText="bothSides">
            <wp:wrapPolygon edited="0">
              <wp:start x="0" y="0"/>
              <wp:lineTo x="0" y="20041"/>
              <wp:lineTo x="20637" y="20041"/>
              <wp:lineTo x="20637" y="0"/>
              <wp:lineTo x="0" y="0"/>
            </wp:wrapPolygon>
          </wp:wrapThrough>
          <wp:docPr id="1586384366"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AEC924E" w:rsidRPr="0AEC924E">
      <w:rPr>
        <w:b/>
        <w:bCs/>
        <w:lang w:val="en-US"/>
      </w:rPr>
      <w:t xml:space="preserve">endTB Clinical Trials </w:t>
    </w:r>
    <w:r w:rsidR="00B40429">
      <w:tab/>
    </w:r>
    <w:r w:rsidR="00B40429">
      <w:tab/>
    </w:r>
    <w:r w:rsidR="00B40429">
      <w:tab/>
    </w:r>
    <w:r w:rsidR="0AEC924E" w:rsidRPr="0AEC924E">
      <w:rPr>
        <w:b/>
        <w:bCs/>
        <w:lang w:val="en-US"/>
      </w:rPr>
      <w:t xml:space="preserve">    SOP SP-018-CT Version 3.2, Date 20-Jun-2023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724578C"/>
    <w:lvl w:ilvl="0">
      <w:start w:val="1"/>
      <w:numFmt w:val="lowerLetter"/>
      <w:pStyle w:val="ListNumber3"/>
      <w:lvlText w:val="%1."/>
      <w:lvlJc w:val="left"/>
      <w:pPr>
        <w:ind w:left="720" w:hanging="360"/>
      </w:pPr>
      <w:rPr>
        <w:rFonts w:cs="Times New Roman"/>
      </w:rPr>
    </w:lvl>
  </w:abstractNum>
  <w:abstractNum w:abstractNumId="1" w15:restartNumberingAfterBreak="0">
    <w:nsid w:val="FFFFFF83"/>
    <w:multiLevelType w:val="singleLevel"/>
    <w:tmpl w:val="40E4C8E2"/>
    <w:lvl w:ilvl="0">
      <w:start w:val="1"/>
      <w:numFmt w:val="bullet"/>
      <w:pStyle w:val="ListBullet2"/>
      <w:lvlText w:val="o"/>
      <w:lvlJc w:val="left"/>
      <w:pPr>
        <w:ind w:left="720" w:hanging="360"/>
      </w:pPr>
      <w:rPr>
        <w:rFonts w:ascii="Courier New" w:hAnsi="Courier New" w:hint="default"/>
      </w:rPr>
    </w:lvl>
  </w:abstractNum>
  <w:abstractNum w:abstractNumId="2" w15:restartNumberingAfterBreak="0">
    <w:nsid w:val="FFFFFF88"/>
    <w:multiLevelType w:val="singleLevel"/>
    <w:tmpl w:val="3C68C578"/>
    <w:lvl w:ilvl="0">
      <w:start w:val="1"/>
      <w:numFmt w:val="decimal"/>
      <w:pStyle w:val="ListNumber"/>
      <w:lvlText w:val="%1."/>
      <w:lvlJc w:val="left"/>
      <w:pPr>
        <w:tabs>
          <w:tab w:val="num" w:pos="360"/>
        </w:tabs>
        <w:ind w:left="360" w:hanging="360"/>
      </w:pPr>
      <w:rPr>
        <w:rFonts w:cs="Times New Roman"/>
      </w:rPr>
    </w:lvl>
  </w:abstractNum>
  <w:abstractNum w:abstractNumId="3" w15:restartNumberingAfterBreak="0">
    <w:nsid w:val="FFFFFF89"/>
    <w:multiLevelType w:val="singleLevel"/>
    <w:tmpl w:val="261AF52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552FC1"/>
    <w:multiLevelType w:val="hybridMultilevel"/>
    <w:tmpl w:val="9A52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82956"/>
    <w:multiLevelType w:val="hybridMultilevel"/>
    <w:tmpl w:val="23666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8D4C96"/>
    <w:multiLevelType w:val="hybridMultilevel"/>
    <w:tmpl w:val="81EA9468"/>
    <w:lvl w:ilvl="0" w:tplc="FFFFFFFF">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3717BE"/>
    <w:multiLevelType w:val="hybridMultilevel"/>
    <w:tmpl w:val="0A5E03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FD62C16"/>
    <w:multiLevelType w:val="hybridMultilevel"/>
    <w:tmpl w:val="116A4C36"/>
    <w:lvl w:ilvl="0" w:tplc="528E71A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03B54AD"/>
    <w:multiLevelType w:val="multilevel"/>
    <w:tmpl w:val="6ED8D4FA"/>
    <w:numStyleLink w:val="SOPFormat"/>
  </w:abstractNum>
  <w:abstractNum w:abstractNumId="10" w15:restartNumberingAfterBreak="0">
    <w:nsid w:val="10624285"/>
    <w:multiLevelType w:val="hybridMultilevel"/>
    <w:tmpl w:val="47BA3F40"/>
    <w:lvl w:ilvl="0" w:tplc="040C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0D57906"/>
    <w:multiLevelType w:val="hybridMultilevel"/>
    <w:tmpl w:val="A12A72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522D58"/>
    <w:multiLevelType w:val="hybridMultilevel"/>
    <w:tmpl w:val="4C7A6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567EC4"/>
    <w:multiLevelType w:val="hybridMultilevel"/>
    <w:tmpl w:val="0B0AC0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78D3DA3"/>
    <w:multiLevelType w:val="hybridMultilevel"/>
    <w:tmpl w:val="90F45BD0"/>
    <w:lvl w:ilvl="0" w:tplc="FC9CB9D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3643D"/>
    <w:multiLevelType w:val="hybridMultilevel"/>
    <w:tmpl w:val="96641BCE"/>
    <w:lvl w:ilvl="0" w:tplc="FC9CB9D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B6D94"/>
    <w:multiLevelType w:val="multilevel"/>
    <w:tmpl w:val="2BA6CA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3241A1A"/>
    <w:multiLevelType w:val="hybridMultilevel"/>
    <w:tmpl w:val="86308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2164E1"/>
    <w:multiLevelType w:val="hybridMultilevel"/>
    <w:tmpl w:val="D138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1EBD"/>
    <w:multiLevelType w:val="multilevel"/>
    <w:tmpl w:val="6ED8D4FA"/>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lvlText w:val="%2."/>
      <w:lvlJc w:val="left"/>
      <w:pPr>
        <w:ind w:left="720" w:hanging="360"/>
      </w:pPr>
      <w:rPr>
        <w:b/>
        <w:i w:val="0"/>
        <w:sz w:val="24"/>
      </w:rPr>
    </w:lvl>
    <w:lvl w:ilvl="2">
      <w:start w:val="1"/>
      <w:numFmt w:val="decimal"/>
      <w:pStyle w:val="Heading3"/>
      <w:lvlText w:val="%2.%3"/>
      <w:lvlJc w:val="left"/>
      <w:pPr>
        <w:ind w:left="1080" w:hanging="360"/>
      </w:pPr>
      <w:rPr>
        <w:b/>
        <w:i/>
        <w:sz w:val="24"/>
      </w:rPr>
    </w:lvl>
    <w:lvl w:ilvl="3">
      <w:start w:val="1"/>
      <w:numFmt w:val="decimal"/>
      <w:pStyle w:val="Heading4"/>
      <w:lvlText w:val="%2.%3.%4"/>
      <w:lvlJc w:val="left"/>
      <w:pPr>
        <w:ind w:left="1440" w:hanging="360"/>
      </w:pPr>
      <w:rPr>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661DBB"/>
    <w:multiLevelType w:val="hybridMultilevel"/>
    <w:tmpl w:val="8DF43D52"/>
    <w:lvl w:ilvl="0" w:tplc="04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28FCAE92">
      <w:start w:val="12"/>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10A51"/>
    <w:multiLevelType w:val="hybridMultilevel"/>
    <w:tmpl w:val="C9DA4BC6"/>
    <w:lvl w:ilvl="0" w:tplc="28FCAE92">
      <w:start w:val="12"/>
      <w:numFmt w:val="bullet"/>
      <w:lvlText w:val="-"/>
      <w:lvlJc w:val="left"/>
      <w:pPr>
        <w:ind w:left="2880" w:hanging="360"/>
      </w:pPr>
      <w:rPr>
        <w:rFonts w:ascii="Calibri" w:eastAsia="Calibr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8B31954"/>
    <w:multiLevelType w:val="hybridMultilevel"/>
    <w:tmpl w:val="E59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77B81"/>
    <w:multiLevelType w:val="hybridMultilevel"/>
    <w:tmpl w:val="277ACA58"/>
    <w:lvl w:ilvl="0" w:tplc="FC9CB9D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EB0028"/>
    <w:multiLevelType w:val="hybridMultilevel"/>
    <w:tmpl w:val="3578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7153C"/>
    <w:multiLevelType w:val="hybridMultilevel"/>
    <w:tmpl w:val="A8567F32"/>
    <w:lvl w:ilvl="0" w:tplc="FFFFFFFF">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373797"/>
    <w:multiLevelType w:val="hybridMultilevel"/>
    <w:tmpl w:val="143ED83C"/>
    <w:lvl w:ilvl="0" w:tplc="040C0001">
      <w:start w:val="1"/>
      <w:numFmt w:val="bullet"/>
      <w:lvlText w:val=""/>
      <w:lvlJc w:val="left"/>
      <w:pPr>
        <w:ind w:left="81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DC6158A"/>
    <w:multiLevelType w:val="hybridMultilevel"/>
    <w:tmpl w:val="B4F6E0FE"/>
    <w:lvl w:ilvl="0" w:tplc="04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40" w:hanging="360"/>
      </w:pPr>
      <w:rPr>
        <w:rFonts w:ascii="Calibri" w:hAnsi="Calibri" w:hint="default"/>
      </w:rPr>
    </w:lvl>
    <w:lvl w:ilvl="3" w:tplc="28FCAE92">
      <w:start w:val="12"/>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7A65"/>
    <w:multiLevelType w:val="hybridMultilevel"/>
    <w:tmpl w:val="B0F68330"/>
    <w:lvl w:ilvl="0" w:tplc="FC9CB9D8">
      <w:start w:val="1"/>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73CD52BB"/>
    <w:multiLevelType w:val="hybridMultilevel"/>
    <w:tmpl w:val="3C76FA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4A667B8"/>
    <w:multiLevelType w:val="hybridMultilevel"/>
    <w:tmpl w:val="79FC48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8A63A38"/>
    <w:multiLevelType w:val="hybridMultilevel"/>
    <w:tmpl w:val="5874B4F2"/>
    <w:lvl w:ilvl="0" w:tplc="040C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7F57B7"/>
    <w:multiLevelType w:val="hybridMultilevel"/>
    <w:tmpl w:val="EFF40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9108F"/>
    <w:multiLevelType w:val="hybridMultilevel"/>
    <w:tmpl w:val="F11AF8F8"/>
    <w:lvl w:ilvl="0" w:tplc="040C0001">
      <w:start w:val="1"/>
      <w:numFmt w:val="bullet"/>
      <w:lvlText w:val=""/>
      <w:lvlJc w:val="left"/>
      <w:pPr>
        <w:ind w:left="2160" w:hanging="360"/>
      </w:pPr>
      <w:rPr>
        <w:rFonts w:ascii="Symbol" w:hAnsi="Symbol" w:hint="default"/>
      </w:rPr>
    </w:lvl>
    <w:lvl w:ilvl="1" w:tplc="28FCAE92">
      <w:start w:val="12"/>
      <w:numFmt w:val="bullet"/>
      <w:lvlText w:val="-"/>
      <w:lvlJc w:val="left"/>
      <w:pPr>
        <w:ind w:left="2880" w:hanging="360"/>
      </w:pPr>
      <w:rPr>
        <w:rFonts w:ascii="Calibri" w:eastAsia="Calibri" w:hAnsi="Calibri"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E1534D9"/>
    <w:multiLevelType w:val="hybridMultilevel"/>
    <w:tmpl w:val="5ACE2D1A"/>
    <w:lvl w:ilvl="0" w:tplc="0409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62192692">
    <w:abstractNumId w:val="12"/>
  </w:num>
  <w:num w:numId="2" w16cid:durableId="401374174">
    <w:abstractNumId w:val="29"/>
  </w:num>
  <w:num w:numId="3" w16cid:durableId="1775054621">
    <w:abstractNumId w:val="30"/>
  </w:num>
  <w:num w:numId="4" w16cid:durableId="1006636237">
    <w:abstractNumId w:val="11"/>
  </w:num>
  <w:num w:numId="5" w16cid:durableId="1710566821">
    <w:abstractNumId w:val="1"/>
  </w:num>
  <w:num w:numId="6" w16cid:durableId="1108550048">
    <w:abstractNumId w:val="26"/>
  </w:num>
  <w:num w:numId="7" w16cid:durableId="639116448">
    <w:abstractNumId w:val="3"/>
  </w:num>
  <w:num w:numId="8" w16cid:durableId="860241079">
    <w:abstractNumId w:val="2"/>
  </w:num>
  <w:num w:numId="9" w16cid:durableId="1205562287">
    <w:abstractNumId w:val="7"/>
  </w:num>
  <w:num w:numId="10" w16cid:durableId="577903087">
    <w:abstractNumId w:val="23"/>
  </w:num>
  <w:num w:numId="11" w16cid:durableId="1149400031">
    <w:abstractNumId w:val="6"/>
  </w:num>
  <w:num w:numId="12" w16cid:durableId="1237207390">
    <w:abstractNumId w:val="21"/>
  </w:num>
  <w:num w:numId="13" w16cid:durableId="921834921">
    <w:abstractNumId w:val="0"/>
  </w:num>
  <w:num w:numId="14" w16cid:durableId="1146437257">
    <w:abstractNumId w:val="20"/>
  </w:num>
  <w:num w:numId="15" w16cid:durableId="1482962632">
    <w:abstractNumId w:val="31"/>
  </w:num>
  <w:num w:numId="16" w16cid:durableId="2062777679">
    <w:abstractNumId w:val="17"/>
  </w:num>
  <w:num w:numId="17" w16cid:durableId="277413990">
    <w:abstractNumId w:val="33"/>
  </w:num>
  <w:num w:numId="18" w16cid:durableId="17508979">
    <w:abstractNumId w:val="10"/>
  </w:num>
  <w:num w:numId="19" w16cid:durableId="1379478656">
    <w:abstractNumId w:val="8"/>
  </w:num>
  <w:num w:numId="20" w16cid:durableId="1812020232">
    <w:abstractNumId w:val="19"/>
  </w:num>
  <w:num w:numId="21" w16cid:durableId="283736452">
    <w:abstractNumId w:val="9"/>
  </w:num>
  <w:num w:numId="22" w16cid:durableId="739794919">
    <w:abstractNumId w:val="22"/>
  </w:num>
  <w:num w:numId="23" w16cid:durableId="636958122">
    <w:abstractNumId w:val="14"/>
  </w:num>
  <w:num w:numId="24" w16cid:durableId="778261675">
    <w:abstractNumId w:val="32"/>
  </w:num>
  <w:num w:numId="25" w16cid:durableId="944534789">
    <w:abstractNumId w:val="15"/>
  </w:num>
  <w:num w:numId="26" w16cid:durableId="504176195">
    <w:abstractNumId w:val="16"/>
  </w:num>
  <w:num w:numId="27" w16cid:durableId="2110075716">
    <w:abstractNumId w:val="4"/>
  </w:num>
  <w:num w:numId="28" w16cid:durableId="1552305626">
    <w:abstractNumId w:val="24"/>
  </w:num>
  <w:num w:numId="29" w16cid:durableId="834413618">
    <w:abstractNumId w:val="18"/>
  </w:num>
  <w:num w:numId="30" w16cid:durableId="2146463825">
    <w:abstractNumId w:val="13"/>
  </w:num>
  <w:num w:numId="31" w16cid:durableId="365521788">
    <w:abstractNumId w:val="34"/>
  </w:num>
  <w:num w:numId="32" w16cid:durableId="149685822">
    <w:abstractNumId w:val="25"/>
  </w:num>
  <w:num w:numId="33" w16cid:durableId="1011762241">
    <w:abstractNumId w:val="27"/>
  </w:num>
  <w:num w:numId="34" w16cid:durableId="794952716">
    <w:abstractNumId w:val="5"/>
  </w:num>
  <w:num w:numId="35" w16cid:durableId="1284917413">
    <w:abstractNumId w:val="28"/>
  </w:num>
  <w:num w:numId="36" w16cid:durableId="61586752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2D"/>
    <w:rsid w:val="00003E81"/>
    <w:rsid w:val="0000482F"/>
    <w:rsid w:val="00005C99"/>
    <w:rsid w:val="000070B3"/>
    <w:rsid w:val="00011684"/>
    <w:rsid w:val="00015625"/>
    <w:rsid w:val="00015FA0"/>
    <w:rsid w:val="00020846"/>
    <w:rsid w:val="0002171E"/>
    <w:rsid w:val="000230D9"/>
    <w:rsid w:val="000239C3"/>
    <w:rsid w:val="00024FF0"/>
    <w:rsid w:val="00030748"/>
    <w:rsid w:val="00030A6C"/>
    <w:rsid w:val="00031CF2"/>
    <w:rsid w:val="00032DB9"/>
    <w:rsid w:val="000351DC"/>
    <w:rsid w:val="00036AAF"/>
    <w:rsid w:val="0003797C"/>
    <w:rsid w:val="00037D71"/>
    <w:rsid w:val="00043C68"/>
    <w:rsid w:val="00045B79"/>
    <w:rsid w:val="000468AC"/>
    <w:rsid w:val="00047576"/>
    <w:rsid w:val="00047D5F"/>
    <w:rsid w:val="00051B32"/>
    <w:rsid w:val="00053EB4"/>
    <w:rsid w:val="0005700C"/>
    <w:rsid w:val="00060525"/>
    <w:rsid w:val="000628CD"/>
    <w:rsid w:val="00062CCB"/>
    <w:rsid w:val="00063B90"/>
    <w:rsid w:val="0006749E"/>
    <w:rsid w:val="00070703"/>
    <w:rsid w:val="00076783"/>
    <w:rsid w:val="000802A3"/>
    <w:rsid w:val="00083497"/>
    <w:rsid w:val="00084AE2"/>
    <w:rsid w:val="00091213"/>
    <w:rsid w:val="00091249"/>
    <w:rsid w:val="00092A19"/>
    <w:rsid w:val="0009422A"/>
    <w:rsid w:val="00094605"/>
    <w:rsid w:val="00095504"/>
    <w:rsid w:val="000A0C9B"/>
    <w:rsid w:val="000A30DE"/>
    <w:rsid w:val="000A7971"/>
    <w:rsid w:val="000A7F52"/>
    <w:rsid w:val="000B35DD"/>
    <w:rsid w:val="000C3A9B"/>
    <w:rsid w:val="000C416C"/>
    <w:rsid w:val="000D0170"/>
    <w:rsid w:val="000D0C4C"/>
    <w:rsid w:val="000D3027"/>
    <w:rsid w:val="000E0D7E"/>
    <w:rsid w:val="000E11F0"/>
    <w:rsid w:val="000E3B2C"/>
    <w:rsid w:val="000F2FF9"/>
    <w:rsid w:val="00105FD3"/>
    <w:rsid w:val="00107979"/>
    <w:rsid w:val="00111880"/>
    <w:rsid w:val="0012278E"/>
    <w:rsid w:val="00122819"/>
    <w:rsid w:val="0012395D"/>
    <w:rsid w:val="001271EF"/>
    <w:rsid w:val="00135D38"/>
    <w:rsid w:val="001376A0"/>
    <w:rsid w:val="00147349"/>
    <w:rsid w:val="00150A7A"/>
    <w:rsid w:val="001552C5"/>
    <w:rsid w:val="00160C2D"/>
    <w:rsid w:val="00161F20"/>
    <w:rsid w:val="001642E0"/>
    <w:rsid w:val="001659EF"/>
    <w:rsid w:val="00165E5E"/>
    <w:rsid w:val="00167CB8"/>
    <w:rsid w:val="00167D58"/>
    <w:rsid w:val="00170F7B"/>
    <w:rsid w:val="0017260C"/>
    <w:rsid w:val="00172AE5"/>
    <w:rsid w:val="00180B8D"/>
    <w:rsid w:val="001816ED"/>
    <w:rsid w:val="001857A3"/>
    <w:rsid w:val="0019090A"/>
    <w:rsid w:val="001A0E78"/>
    <w:rsid w:val="001A475A"/>
    <w:rsid w:val="001B1C50"/>
    <w:rsid w:val="001C5D1C"/>
    <w:rsid w:val="001C7916"/>
    <w:rsid w:val="001D47D1"/>
    <w:rsid w:val="001D51C7"/>
    <w:rsid w:val="001D570A"/>
    <w:rsid w:val="001D6BE1"/>
    <w:rsid w:val="001D72BF"/>
    <w:rsid w:val="001E4EA1"/>
    <w:rsid w:val="001F0567"/>
    <w:rsid w:val="001F21D6"/>
    <w:rsid w:val="001F5631"/>
    <w:rsid w:val="001F6C53"/>
    <w:rsid w:val="00206D56"/>
    <w:rsid w:val="0020723C"/>
    <w:rsid w:val="00207D23"/>
    <w:rsid w:val="00207D26"/>
    <w:rsid w:val="00207E5E"/>
    <w:rsid w:val="0021080C"/>
    <w:rsid w:val="0021292E"/>
    <w:rsid w:val="00217A43"/>
    <w:rsid w:val="00220FFA"/>
    <w:rsid w:val="00221B3F"/>
    <w:rsid w:val="00221F9B"/>
    <w:rsid w:val="002253C8"/>
    <w:rsid w:val="00225DB0"/>
    <w:rsid w:val="00227506"/>
    <w:rsid w:val="00227A9F"/>
    <w:rsid w:val="0023394F"/>
    <w:rsid w:val="002356AE"/>
    <w:rsid w:val="00241CE6"/>
    <w:rsid w:val="00246E09"/>
    <w:rsid w:val="00247647"/>
    <w:rsid w:val="00250B33"/>
    <w:rsid w:val="0025323B"/>
    <w:rsid w:val="002563F7"/>
    <w:rsid w:val="002568A1"/>
    <w:rsid w:val="0026105F"/>
    <w:rsid w:val="00261D6A"/>
    <w:rsid w:val="0028004E"/>
    <w:rsid w:val="00283998"/>
    <w:rsid w:val="00284F1A"/>
    <w:rsid w:val="0029307B"/>
    <w:rsid w:val="00294B62"/>
    <w:rsid w:val="002961B3"/>
    <w:rsid w:val="002971A5"/>
    <w:rsid w:val="002A123E"/>
    <w:rsid w:val="002A586D"/>
    <w:rsid w:val="002A59D6"/>
    <w:rsid w:val="002A5DA1"/>
    <w:rsid w:val="002A711F"/>
    <w:rsid w:val="002B1022"/>
    <w:rsid w:val="002B30FE"/>
    <w:rsid w:val="002B44B9"/>
    <w:rsid w:val="002B482E"/>
    <w:rsid w:val="002B688E"/>
    <w:rsid w:val="002B6976"/>
    <w:rsid w:val="002B78FB"/>
    <w:rsid w:val="002C2D8B"/>
    <w:rsid w:val="002C34A6"/>
    <w:rsid w:val="002D18D2"/>
    <w:rsid w:val="002D4642"/>
    <w:rsid w:val="002D54BA"/>
    <w:rsid w:val="002D6CE0"/>
    <w:rsid w:val="002E37AF"/>
    <w:rsid w:val="002E4867"/>
    <w:rsid w:val="002E5164"/>
    <w:rsid w:val="002E5983"/>
    <w:rsid w:val="002E61F8"/>
    <w:rsid w:val="002F1DAC"/>
    <w:rsid w:val="002F2218"/>
    <w:rsid w:val="002F286D"/>
    <w:rsid w:val="002F3FE4"/>
    <w:rsid w:val="00307334"/>
    <w:rsid w:val="00311122"/>
    <w:rsid w:val="00311EEC"/>
    <w:rsid w:val="003123B8"/>
    <w:rsid w:val="00314574"/>
    <w:rsid w:val="00314FAF"/>
    <w:rsid w:val="00323A5A"/>
    <w:rsid w:val="003246F4"/>
    <w:rsid w:val="0033061D"/>
    <w:rsid w:val="0033323C"/>
    <w:rsid w:val="00337F9A"/>
    <w:rsid w:val="0034277C"/>
    <w:rsid w:val="00343050"/>
    <w:rsid w:val="003443A7"/>
    <w:rsid w:val="0034482A"/>
    <w:rsid w:val="0035494D"/>
    <w:rsid w:val="003551F3"/>
    <w:rsid w:val="00357931"/>
    <w:rsid w:val="00357C02"/>
    <w:rsid w:val="00361F38"/>
    <w:rsid w:val="003626EE"/>
    <w:rsid w:val="00364F3A"/>
    <w:rsid w:val="003671A9"/>
    <w:rsid w:val="00372E20"/>
    <w:rsid w:val="00374B60"/>
    <w:rsid w:val="00385889"/>
    <w:rsid w:val="00395B4B"/>
    <w:rsid w:val="00396643"/>
    <w:rsid w:val="003A40C5"/>
    <w:rsid w:val="003A4317"/>
    <w:rsid w:val="003A5830"/>
    <w:rsid w:val="003A59C9"/>
    <w:rsid w:val="003B065C"/>
    <w:rsid w:val="003B0676"/>
    <w:rsid w:val="003B092C"/>
    <w:rsid w:val="003B44E0"/>
    <w:rsid w:val="003C3E0E"/>
    <w:rsid w:val="003D0D6B"/>
    <w:rsid w:val="003D0EA6"/>
    <w:rsid w:val="003D240C"/>
    <w:rsid w:val="003D2EB3"/>
    <w:rsid w:val="003E31E5"/>
    <w:rsid w:val="003E6D0A"/>
    <w:rsid w:val="003F1AEB"/>
    <w:rsid w:val="003F4D06"/>
    <w:rsid w:val="003F68C7"/>
    <w:rsid w:val="00400974"/>
    <w:rsid w:val="004022C9"/>
    <w:rsid w:val="00402A0B"/>
    <w:rsid w:val="00407392"/>
    <w:rsid w:val="0041044C"/>
    <w:rsid w:val="00413B21"/>
    <w:rsid w:val="00413FF4"/>
    <w:rsid w:val="00415172"/>
    <w:rsid w:val="00416D15"/>
    <w:rsid w:val="00421ED6"/>
    <w:rsid w:val="004230EC"/>
    <w:rsid w:val="00423914"/>
    <w:rsid w:val="00423ABA"/>
    <w:rsid w:val="004241FD"/>
    <w:rsid w:val="00427E2A"/>
    <w:rsid w:val="00441102"/>
    <w:rsid w:val="0044414F"/>
    <w:rsid w:val="004464B6"/>
    <w:rsid w:val="0044798B"/>
    <w:rsid w:val="00447D1D"/>
    <w:rsid w:val="00451F6A"/>
    <w:rsid w:val="0045570F"/>
    <w:rsid w:val="00455951"/>
    <w:rsid w:val="00462589"/>
    <w:rsid w:val="00462BF2"/>
    <w:rsid w:val="00462C0B"/>
    <w:rsid w:val="00466185"/>
    <w:rsid w:val="0046734F"/>
    <w:rsid w:val="00470CF1"/>
    <w:rsid w:val="00474FD4"/>
    <w:rsid w:val="00480B7F"/>
    <w:rsid w:val="00483D80"/>
    <w:rsid w:val="004857AB"/>
    <w:rsid w:val="00486971"/>
    <w:rsid w:val="00486ACC"/>
    <w:rsid w:val="004921F2"/>
    <w:rsid w:val="004A0813"/>
    <w:rsid w:val="004A34D5"/>
    <w:rsid w:val="004A4C71"/>
    <w:rsid w:val="004A7861"/>
    <w:rsid w:val="004B0DB4"/>
    <w:rsid w:val="004B37EC"/>
    <w:rsid w:val="004B3FB6"/>
    <w:rsid w:val="004B4A4F"/>
    <w:rsid w:val="004B708F"/>
    <w:rsid w:val="004B7844"/>
    <w:rsid w:val="004C1D23"/>
    <w:rsid w:val="004C23D1"/>
    <w:rsid w:val="004C2FB6"/>
    <w:rsid w:val="004D2134"/>
    <w:rsid w:val="004D3525"/>
    <w:rsid w:val="004D5C9A"/>
    <w:rsid w:val="004D709A"/>
    <w:rsid w:val="004E44D6"/>
    <w:rsid w:val="004F1583"/>
    <w:rsid w:val="004F2676"/>
    <w:rsid w:val="004F4060"/>
    <w:rsid w:val="004F5AF6"/>
    <w:rsid w:val="004F6F43"/>
    <w:rsid w:val="005037CE"/>
    <w:rsid w:val="00504282"/>
    <w:rsid w:val="00506CF3"/>
    <w:rsid w:val="00507865"/>
    <w:rsid w:val="005103E7"/>
    <w:rsid w:val="005141C1"/>
    <w:rsid w:val="00520B63"/>
    <w:rsid w:val="00522057"/>
    <w:rsid w:val="005222AD"/>
    <w:rsid w:val="0052234E"/>
    <w:rsid w:val="00525ECE"/>
    <w:rsid w:val="00527ED5"/>
    <w:rsid w:val="00530488"/>
    <w:rsid w:val="00531404"/>
    <w:rsid w:val="00540C97"/>
    <w:rsid w:val="00543582"/>
    <w:rsid w:val="005448BE"/>
    <w:rsid w:val="005476D8"/>
    <w:rsid w:val="00547A81"/>
    <w:rsid w:val="00551C71"/>
    <w:rsid w:val="005553F0"/>
    <w:rsid w:val="00557D63"/>
    <w:rsid w:val="005670A5"/>
    <w:rsid w:val="0056797E"/>
    <w:rsid w:val="00573282"/>
    <w:rsid w:val="0057336C"/>
    <w:rsid w:val="00573EE9"/>
    <w:rsid w:val="005759DA"/>
    <w:rsid w:val="00576719"/>
    <w:rsid w:val="00577F49"/>
    <w:rsid w:val="005849AD"/>
    <w:rsid w:val="0058633E"/>
    <w:rsid w:val="00591CE4"/>
    <w:rsid w:val="005A542B"/>
    <w:rsid w:val="005B07F2"/>
    <w:rsid w:val="005B2144"/>
    <w:rsid w:val="005B4AEE"/>
    <w:rsid w:val="005C059E"/>
    <w:rsid w:val="005C13B2"/>
    <w:rsid w:val="005C4C83"/>
    <w:rsid w:val="005C5038"/>
    <w:rsid w:val="005C6A11"/>
    <w:rsid w:val="005C6BB4"/>
    <w:rsid w:val="005D16AB"/>
    <w:rsid w:val="005D3109"/>
    <w:rsid w:val="005D431D"/>
    <w:rsid w:val="005D4491"/>
    <w:rsid w:val="005D5259"/>
    <w:rsid w:val="005D6450"/>
    <w:rsid w:val="005D747F"/>
    <w:rsid w:val="005E1A95"/>
    <w:rsid w:val="005E269C"/>
    <w:rsid w:val="005E2A42"/>
    <w:rsid w:val="005E3747"/>
    <w:rsid w:val="005E68BA"/>
    <w:rsid w:val="005E7B34"/>
    <w:rsid w:val="005F1B60"/>
    <w:rsid w:val="005F39EB"/>
    <w:rsid w:val="005F3E82"/>
    <w:rsid w:val="005F560A"/>
    <w:rsid w:val="00600C63"/>
    <w:rsid w:val="00601E46"/>
    <w:rsid w:val="00607A58"/>
    <w:rsid w:val="00607C06"/>
    <w:rsid w:val="00627AC8"/>
    <w:rsid w:val="006338D7"/>
    <w:rsid w:val="00640F5A"/>
    <w:rsid w:val="00641FFF"/>
    <w:rsid w:val="006448C4"/>
    <w:rsid w:val="00651FB9"/>
    <w:rsid w:val="00652B64"/>
    <w:rsid w:val="006544E7"/>
    <w:rsid w:val="00654763"/>
    <w:rsid w:val="0066234D"/>
    <w:rsid w:val="006643F7"/>
    <w:rsid w:val="006652ED"/>
    <w:rsid w:val="00667BA2"/>
    <w:rsid w:val="00673BFA"/>
    <w:rsid w:val="00681907"/>
    <w:rsid w:val="00691B36"/>
    <w:rsid w:val="00691E96"/>
    <w:rsid w:val="006968AF"/>
    <w:rsid w:val="006A3894"/>
    <w:rsid w:val="006A411B"/>
    <w:rsid w:val="006A4B20"/>
    <w:rsid w:val="006A7800"/>
    <w:rsid w:val="006B6F9A"/>
    <w:rsid w:val="006C019D"/>
    <w:rsid w:val="006C0EBF"/>
    <w:rsid w:val="006C35F2"/>
    <w:rsid w:val="006C364C"/>
    <w:rsid w:val="006C4DB8"/>
    <w:rsid w:val="006D2D59"/>
    <w:rsid w:val="006D441D"/>
    <w:rsid w:val="006D6CC1"/>
    <w:rsid w:val="006D76E8"/>
    <w:rsid w:val="006E2842"/>
    <w:rsid w:val="006E69D2"/>
    <w:rsid w:val="006E78FB"/>
    <w:rsid w:val="006F2461"/>
    <w:rsid w:val="006F29C0"/>
    <w:rsid w:val="006F4C21"/>
    <w:rsid w:val="006F54D9"/>
    <w:rsid w:val="006F5E1C"/>
    <w:rsid w:val="0070323D"/>
    <w:rsid w:val="00706126"/>
    <w:rsid w:val="00706F6A"/>
    <w:rsid w:val="00710F05"/>
    <w:rsid w:val="00714266"/>
    <w:rsid w:val="00714CD0"/>
    <w:rsid w:val="00717D1A"/>
    <w:rsid w:val="00717F2A"/>
    <w:rsid w:val="00720A56"/>
    <w:rsid w:val="00720DEE"/>
    <w:rsid w:val="0072638A"/>
    <w:rsid w:val="00727252"/>
    <w:rsid w:val="007312A6"/>
    <w:rsid w:val="00732449"/>
    <w:rsid w:val="00736F2E"/>
    <w:rsid w:val="00742315"/>
    <w:rsid w:val="00747BCB"/>
    <w:rsid w:val="00751865"/>
    <w:rsid w:val="00752D85"/>
    <w:rsid w:val="00753434"/>
    <w:rsid w:val="00755BE0"/>
    <w:rsid w:val="00760862"/>
    <w:rsid w:val="00760DF5"/>
    <w:rsid w:val="0076142D"/>
    <w:rsid w:val="00761AD7"/>
    <w:rsid w:val="00761B3B"/>
    <w:rsid w:val="00764625"/>
    <w:rsid w:val="00765F11"/>
    <w:rsid w:val="00767869"/>
    <w:rsid w:val="0077226F"/>
    <w:rsid w:val="007738B1"/>
    <w:rsid w:val="0077403F"/>
    <w:rsid w:val="00781840"/>
    <w:rsid w:val="00782DCE"/>
    <w:rsid w:val="007843FA"/>
    <w:rsid w:val="00785FDD"/>
    <w:rsid w:val="0078773D"/>
    <w:rsid w:val="007907A3"/>
    <w:rsid w:val="00795059"/>
    <w:rsid w:val="007950CA"/>
    <w:rsid w:val="00795FD8"/>
    <w:rsid w:val="007974EF"/>
    <w:rsid w:val="007A106C"/>
    <w:rsid w:val="007A5A4F"/>
    <w:rsid w:val="007B0931"/>
    <w:rsid w:val="007B35BD"/>
    <w:rsid w:val="007B481A"/>
    <w:rsid w:val="007B56BF"/>
    <w:rsid w:val="007C321B"/>
    <w:rsid w:val="007D2D35"/>
    <w:rsid w:val="007D356F"/>
    <w:rsid w:val="007D6D1A"/>
    <w:rsid w:val="007E0DD3"/>
    <w:rsid w:val="007E6EA6"/>
    <w:rsid w:val="007F0F8F"/>
    <w:rsid w:val="007F158D"/>
    <w:rsid w:val="007F2A5F"/>
    <w:rsid w:val="007F3284"/>
    <w:rsid w:val="00800E0A"/>
    <w:rsid w:val="00806B42"/>
    <w:rsid w:val="00810796"/>
    <w:rsid w:val="008121B1"/>
    <w:rsid w:val="00815252"/>
    <w:rsid w:val="00822275"/>
    <w:rsid w:val="00827672"/>
    <w:rsid w:val="008318F4"/>
    <w:rsid w:val="00834846"/>
    <w:rsid w:val="00843D16"/>
    <w:rsid w:val="00847847"/>
    <w:rsid w:val="0084795A"/>
    <w:rsid w:val="00851138"/>
    <w:rsid w:val="008570E7"/>
    <w:rsid w:val="00866358"/>
    <w:rsid w:val="00870955"/>
    <w:rsid w:val="00872746"/>
    <w:rsid w:val="008737C5"/>
    <w:rsid w:val="00873FD7"/>
    <w:rsid w:val="0087598B"/>
    <w:rsid w:val="00881E63"/>
    <w:rsid w:val="00882115"/>
    <w:rsid w:val="00882DA5"/>
    <w:rsid w:val="00885D3C"/>
    <w:rsid w:val="0089204E"/>
    <w:rsid w:val="00897E4D"/>
    <w:rsid w:val="008A1E2C"/>
    <w:rsid w:val="008A4E12"/>
    <w:rsid w:val="008B0457"/>
    <w:rsid w:val="008B1426"/>
    <w:rsid w:val="008C1972"/>
    <w:rsid w:val="008C2E97"/>
    <w:rsid w:val="008C577B"/>
    <w:rsid w:val="008D3276"/>
    <w:rsid w:val="008E5937"/>
    <w:rsid w:val="008E59BB"/>
    <w:rsid w:val="008E5CF1"/>
    <w:rsid w:val="008E66AC"/>
    <w:rsid w:val="008F3873"/>
    <w:rsid w:val="008F6A12"/>
    <w:rsid w:val="008F75B2"/>
    <w:rsid w:val="0090144A"/>
    <w:rsid w:val="0090687A"/>
    <w:rsid w:val="00906D07"/>
    <w:rsid w:val="009128ED"/>
    <w:rsid w:val="009147E6"/>
    <w:rsid w:val="00914DC2"/>
    <w:rsid w:val="00916A3C"/>
    <w:rsid w:val="00917959"/>
    <w:rsid w:val="00921C51"/>
    <w:rsid w:val="00925AC4"/>
    <w:rsid w:val="00926747"/>
    <w:rsid w:val="0092736A"/>
    <w:rsid w:val="00947758"/>
    <w:rsid w:val="00953C65"/>
    <w:rsid w:val="0095525D"/>
    <w:rsid w:val="0096146C"/>
    <w:rsid w:val="00963300"/>
    <w:rsid w:val="009635E5"/>
    <w:rsid w:val="00963FA1"/>
    <w:rsid w:val="009647D3"/>
    <w:rsid w:val="009662C5"/>
    <w:rsid w:val="009701EE"/>
    <w:rsid w:val="009769FE"/>
    <w:rsid w:val="009806CF"/>
    <w:rsid w:val="00981061"/>
    <w:rsid w:val="00981650"/>
    <w:rsid w:val="00981C93"/>
    <w:rsid w:val="00983257"/>
    <w:rsid w:val="00992682"/>
    <w:rsid w:val="009A22FD"/>
    <w:rsid w:val="009A2F9C"/>
    <w:rsid w:val="009A43C2"/>
    <w:rsid w:val="009A59CC"/>
    <w:rsid w:val="009B1269"/>
    <w:rsid w:val="009B6B26"/>
    <w:rsid w:val="009B6F9A"/>
    <w:rsid w:val="009C2DD1"/>
    <w:rsid w:val="009C31DC"/>
    <w:rsid w:val="009C47CF"/>
    <w:rsid w:val="009D7A05"/>
    <w:rsid w:val="009E04FF"/>
    <w:rsid w:val="009E2301"/>
    <w:rsid w:val="009E3DC3"/>
    <w:rsid w:val="009E3FC2"/>
    <w:rsid w:val="009E4951"/>
    <w:rsid w:val="009F1C95"/>
    <w:rsid w:val="009F1F02"/>
    <w:rsid w:val="009F32E5"/>
    <w:rsid w:val="009F48CC"/>
    <w:rsid w:val="009F5067"/>
    <w:rsid w:val="00A008F9"/>
    <w:rsid w:val="00A021D8"/>
    <w:rsid w:val="00A02ACE"/>
    <w:rsid w:val="00A0359E"/>
    <w:rsid w:val="00A05405"/>
    <w:rsid w:val="00A05572"/>
    <w:rsid w:val="00A05EDB"/>
    <w:rsid w:val="00A06019"/>
    <w:rsid w:val="00A07997"/>
    <w:rsid w:val="00A10DB9"/>
    <w:rsid w:val="00A14308"/>
    <w:rsid w:val="00A163D6"/>
    <w:rsid w:val="00A16CE4"/>
    <w:rsid w:val="00A17761"/>
    <w:rsid w:val="00A258DA"/>
    <w:rsid w:val="00A26A87"/>
    <w:rsid w:val="00A27911"/>
    <w:rsid w:val="00A3181B"/>
    <w:rsid w:val="00A35BB8"/>
    <w:rsid w:val="00A37956"/>
    <w:rsid w:val="00A37D90"/>
    <w:rsid w:val="00A4103B"/>
    <w:rsid w:val="00A45989"/>
    <w:rsid w:val="00A47A5C"/>
    <w:rsid w:val="00A50FD7"/>
    <w:rsid w:val="00A51F23"/>
    <w:rsid w:val="00A535CA"/>
    <w:rsid w:val="00A5496E"/>
    <w:rsid w:val="00A56A3C"/>
    <w:rsid w:val="00A60A1A"/>
    <w:rsid w:val="00A61A50"/>
    <w:rsid w:val="00A67CAA"/>
    <w:rsid w:val="00A7052A"/>
    <w:rsid w:val="00A715F4"/>
    <w:rsid w:val="00A72B85"/>
    <w:rsid w:val="00A773DF"/>
    <w:rsid w:val="00A8558D"/>
    <w:rsid w:val="00A86474"/>
    <w:rsid w:val="00A9134C"/>
    <w:rsid w:val="00A97C80"/>
    <w:rsid w:val="00AA7B80"/>
    <w:rsid w:val="00AB1CDC"/>
    <w:rsid w:val="00AB5426"/>
    <w:rsid w:val="00AC3BAC"/>
    <w:rsid w:val="00AC3F46"/>
    <w:rsid w:val="00AC4C94"/>
    <w:rsid w:val="00AC6D5D"/>
    <w:rsid w:val="00AD20A6"/>
    <w:rsid w:val="00AD2803"/>
    <w:rsid w:val="00AD361D"/>
    <w:rsid w:val="00AD5E7C"/>
    <w:rsid w:val="00AD69AF"/>
    <w:rsid w:val="00AD6DB1"/>
    <w:rsid w:val="00AE0434"/>
    <w:rsid w:val="00AE234A"/>
    <w:rsid w:val="00AE6F32"/>
    <w:rsid w:val="00AF0157"/>
    <w:rsid w:val="00AF4BE2"/>
    <w:rsid w:val="00AF52A4"/>
    <w:rsid w:val="00AF66B9"/>
    <w:rsid w:val="00B0280C"/>
    <w:rsid w:val="00B051FB"/>
    <w:rsid w:val="00B0782D"/>
    <w:rsid w:val="00B10966"/>
    <w:rsid w:val="00B20469"/>
    <w:rsid w:val="00B2051D"/>
    <w:rsid w:val="00B2735A"/>
    <w:rsid w:val="00B3185C"/>
    <w:rsid w:val="00B31864"/>
    <w:rsid w:val="00B31E47"/>
    <w:rsid w:val="00B321A9"/>
    <w:rsid w:val="00B32B0C"/>
    <w:rsid w:val="00B378F6"/>
    <w:rsid w:val="00B40429"/>
    <w:rsid w:val="00B414B1"/>
    <w:rsid w:val="00B41D88"/>
    <w:rsid w:val="00B430C3"/>
    <w:rsid w:val="00B452AF"/>
    <w:rsid w:val="00B519AB"/>
    <w:rsid w:val="00B56AAE"/>
    <w:rsid w:val="00B60E75"/>
    <w:rsid w:val="00B634C9"/>
    <w:rsid w:val="00B64E1C"/>
    <w:rsid w:val="00B66033"/>
    <w:rsid w:val="00B70C69"/>
    <w:rsid w:val="00B71EB8"/>
    <w:rsid w:val="00B8072E"/>
    <w:rsid w:val="00B848B0"/>
    <w:rsid w:val="00B93A04"/>
    <w:rsid w:val="00BA0BA2"/>
    <w:rsid w:val="00BA12C0"/>
    <w:rsid w:val="00BB015E"/>
    <w:rsid w:val="00BB30C2"/>
    <w:rsid w:val="00BB6651"/>
    <w:rsid w:val="00BC1845"/>
    <w:rsid w:val="00BC4F70"/>
    <w:rsid w:val="00BC76BB"/>
    <w:rsid w:val="00BD08E5"/>
    <w:rsid w:val="00BD63A1"/>
    <w:rsid w:val="00BE2C8A"/>
    <w:rsid w:val="00BE2FF4"/>
    <w:rsid w:val="00BE4F64"/>
    <w:rsid w:val="00BE745C"/>
    <w:rsid w:val="00BF0A52"/>
    <w:rsid w:val="00BF6BA9"/>
    <w:rsid w:val="00BF7534"/>
    <w:rsid w:val="00BF7E53"/>
    <w:rsid w:val="00C008AC"/>
    <w:rsid w:val="00C042B9"/>
    <w:rsid w:val="00C0509A"/>
    <w:rsid w:val="00C12949"/>
    <w:rsid w:val="00C12F24"/>
    <w:rsid w:val="00C13C6A"/>
    <w:rsid w:val="00C14D31"/>
    <w:rsid w:val="00C2279B"/>
    <w:rsid w:val="00C27875"/>
    <w:rsid w:val="00C338A5"/>
    <w:rsid w:val="00C40F27"/>
    <w:rsid w:val="00C41B76"/>
    <w:rsid w:val="00C42112"/>
    <w:rsid w:val="00C4685E"/>
    <w:rsid w:val="00C50988"/>
    <w:rsid w:val="00C512BC"/>
    <w:rsid w:val="00C54036"/>
    <w:rsid w:val="00C54AAD"/>
    <w:rsid w:val="00C55E97"/>
    <w:rsid w:val="00C609FB"/>
    <w:rsid w:val="00C63963"/>
    <w:rsid w:val="00C700AE"/>
    <w:rsid w:val="00C725C8"/>
    <w:rsid w:val="00C729F0"/>
    <w:rsid w:val="00C72B7F"/>
    <w:rsid w:val="00C749EB"/>
    <w:rsid w:val="00C83AC5"/>
    <w:rsid w:val="00C85219"/>
    <w:rsid w:val="00C90586"/>
    <w:rsid w:val="00C909E2"/>
    <w:rsid w:val="00C93C60"/>
    <w:rsid w:val="00C93E96"/>
    <w:rsid w:val="00C974AC"/>
    <w:rsid w:val="00CA0C83"/>
    <w:rsid w:val="00CA2D8C"/>
    <w:rsid w:val="00CA3A68"/>
    <w:rsid w:val="00CA528E"/>
    <w:rsid w:val="00CA5361"/>
    <w:rsid w:val="00CA7E9C"/>
    <w:rsid w:val="00CB19AC"/>
    <w:rsid w:val="00CB302D"/>
    <w:rsid w:val="00CB4FEA"/>
    <w:rsid w:val="00CB52B3"/>
    <w:rsid w:val="00CB6248"/>
    <w:rsid w:val="00CB6952"/>
    <w:rsid w:val="00CC22DB"/>
    <w:rsid w:val="00CC5467"/>
    <w:rsid w:val="00CC6DBB"/>
    <w:rsid w:val="00CD2AC0"/>
    <w:rsid w:val="00CD2C4B"/>
    <w:rsid w:val="00CD3F75"/>
    <w:rsid w:val="00CD7A52"/>
    <w:rsid w:val="00CE137D"/>
    <w:rsid w:val="00CE3250"/>
    <w:rsid w:val="00CE436E"/>
    <w:rsid w:val="00CE6108"/>
    <w:rsid w:val="00CE73A6"/>
    <w:rsid w:val="00CF09AB"/>
    <w:rsid w:val="00CF286A"/>
    <w:rsid w:val="00CF4E0F"/>
    <w:rsid w:val="00CF51E4"/>
    <w:rsid w:val="00D0129D"/>
    <w:rsid w:val="00D01A24"/>
    <w:rsid w:val="00D02226"/>
    <w:rsid w:val="00D02A43"/>
    <w:rsid w:val="00D10371"/>
    <w:rsid w:val="00D11ABC"/>
    <w:rsid w:val="00D11F4B"/>
    <w:rsid w:val="00D15C8B"/>
    <w:rsid w:val="00D23408"/>
    <w:rsid w:val="00D260EE"/>
    <w:rsid w:val="00D261CB"/>
    <w:rsid w:val="00D30953"/>
    <w:rsid w:val="00D30C4C"/>
    <w:rsid w:val="00D43349"/>
    <w:rsid w:val="00D45AEE"/>
    <w:rsid w:val="00D4672D"/>
    <w:rsid w:val="00D476E8"/>
    <w:rsid w:val="00D503F4"/>
    <w:rsid w:val="00D52524"/>
    <w:rsid w:val="00D54BE6"/>
    <w:rsid w:val="00D55B99"/>
    <w:rsid w:val="00D67536"/>
    <w:rsid w:val="00D7797A"/>
    <w:rsid w:val="00D80D78"/>
    <w:rsid w:val="00D82BA8"/>
    <w:rsid w:val="00D84B10"/>
    <w:rsid w:val="00D906B0"/>
    <w:rsid w:val="00D9710A"/>
    <w:rsid w:val="00D978C4"/>
    <w:rsid w:val="00DA307C"/>
    <w:rsid w:val="00DA32F7"/>
    <w:rsid w:val="00DA4139"/>
    <w:rsid w:val="00DA566E"/>
    <w:rsid w:val="00DB2419"/>
    <w:rsid w:val="00DB462B"/>
    <w:rsid w:val="00DB48A8"/>
    <w:rsid w:val="00DC17CF"/>
    <w:rsid w:val="00DC3DD3"/>
    <w:rsid w:val="00DC7F38"/>
    <w:rsid w:val="00DD0899"/>
    <w:rsid w:val="00DD08B0"/>
    <w:rsid w:val="00DD65BF"/>
    <w:rsid w:val="00DD6FCD"/>
    <w:rsid w:val="00DD719C"/>
    <w:rsid w:val="00DE0C72"/>
    <w:rsid w:val="00DE139D"/>
    <w:rsid w:val="00DE4287"/>
    <w:rsid w:val="00DE70C4"/>
    <w:rsid w:val="00DF0A21"/>
    <w:rsid w:val="00DF5325"/>
    <w:rsid w:val="00DF698B"/>
    <w:rsid w:val="00DF6D97"/>
    <w:rsid w:val="00E01911"/>
    <w:rsid w:val="00E038BB"/>
    <w:rsid w:val="00E04B3B"/>
    <w:rsid w:val="00E101BA"/>
    <w:rsid w:val="00E10819"/>
    <w:rsid w:val="00E10A5A"/>
    <w:rsid w:val="00E130B5"/>
    <w:rsid w:val="00E16219"/>
    <w:rsid w:val="00E177DC"/>
    <w:rsid w:val="00E212C4"/>
    <w:rsid w:val="00E21685"/>
    <w:rsid w:val="00E21D69"/>
    <w:rsid w:val="00E235BC"/>
    <w:rsid w:val="00E30E55"/>
    <w:rsid w:val="00E31B9D"/>
    <w:rsid w:val="00E32CF3"/>
    <w:rsid w:val="00E33CF3"/>
    <w:rsid w:val="00E3527A"/>
    <w:rsid w:val="00E356FA"/>
    <w:rsid w:val="00E3615E"/>
    <w:rsid w:val="00E362F8"/>
    <w:rsid w:val="00E371A8"/>
    <w:rsid w:val="00E4187C"/>
    <w:rsid w:val="00E436BA"/>
    <w:rsid w:val="00E43DCD"/>
    <w:rsid w:val="00E46D28"/>
    <w:rsid w:val="00E46E8F"/>
    <w:rsid w:val="00E4704E"/>
    <w:rsid w:val="00E519F9"/>
    <w:rsid w:val="00E53C1B"/>
    <w:rsid w:val="00E54635"/>
    <w:rsid w:val="00E62BEC"/>
    <w:rsid w:val="00E66B76"/>
    <w:rsid w:val="00E72B05"/>
    <w:rsid w:val="00E73175"/>
    <w:rsid w:val="00E74CAA"/>
    <w:rsid w:val="00E75E95"/>
    <w:rsid w:val="00E768C5"/>
    <w:rsid w:val="00E81E1A"/>
    <w:rsid w:val="00E84E1E"/>
    <w:rsid w:val="00E871FC"/>
    <w:rsid w:val="00E87D9E"/>
    <w:rsid w:val="00E91580"/>
    <w:rsid w:val="00E91DD9"/>
    <w:rsid w:val="00EA17E2"/>
    <w:rsid w:val="00EA1FE3"/>
    <w:rsid w:val="00EA2746"/>
    <w:rsid w:val="00EA27F2"/>
    <w:rsid w:val="00EB3424"/>
    <w:rsid w:val="00EB45CF"/>
    <w:rsid w:val="00EB5DC7"/>
    <w:rsid w:val="00EB7C6E"/>
    <w:rsid w:val="00EC6129"/>
    <w:rsid w:val="00ED12D6"/>
    <w:rsid w:val="00ED1750"/>
    <w:rsid w:val="00ED25D1"/>
    <w:rsid w:val="00ED292D"/>
    <w:rsid w:val="00ED44FF"/>
    <w:rsid w:val="00EE0679"/>
    <w:rsid w:val="00EE410F"/>
    <w:rsid w:val="00EE7FA8"/>
    <w:rsid w:val="00EF3127"/>
    <w:rsid w:val="00EF45AC"/>
    <w:rsid w:val="00EF66D5"/>
    <w:rsid w:val="00EF6850"/>
    <w:rsid w:val="00EF7C59"/>
    <w:rsid w:val="00F02416"/>
    <w:rsid w:val="00F050A7"/>
    <w:rsid w:val="00F1254D"/>
    <w:rsid w:val="00F13BDA"/>
    <w:rsid w:val="00F2061B"/>
    <w:rsid w:val="00F20AEE"/>
    <w:rsid w:val="00F22D35"/>
    <w:rsid w:val="00F243B9"/>
    <w:rsid w:val="00F259AC"/>
    <w:rsid w:val="00F263DB"/>
    <w:rsid w:val="00F27692"/>
    <w:rsid w:val="00F3103F"/>
    <w:rsid w:val="00F3425C"/>
    <w:rsid w:val="00F34A2E"/>
    <w:rsid w:val="00F36766"/>
    <w:rsid w:val="00F438F7"/>
    <w:rsid w:val="00F44A7E"/>
    <w:rsid w:val="00F47FA8"/>
    <w:rsid w:val="00F50320"/>
    <w:rsid w:val="00F554E0"/>
    <w:rsid w:val="00F55E60"/>
    <w:rsid w:val="00F55F73"/>
    <w:rsid w:val="00F629CC"/>
    <w:rsid w:val="00F644B7"/>
    <w:rsid w:val="00F648F3"/>
    <w:rsid w:val="00F65EA5"/>
    <w:rsid w:val="00F71699"/>
    <w:rsid w:val="00F716B7"/>
    <w:rsid w:val="00F74F35"/>
    <w:rsid w:val="00F80A31"/>
    <w:rsid w:val="00F825E7"/>
    <w:rsid w:val="00F833CD"/>
    <w:rsid w:val="00F839FF"/>
    <w:rsid w:val="00F83DD1"/>
    <w:rsid w:val="00F84127"/>
    <w:rsid w:val="00F95276"/>
    <w:rsid w:val="00FA098A"/>
    <w:rsid w:val="00FA3215"/>
    <w:rsid w:val="00FA32CA"/>
    <w:rsid w:val="00FA4B89"/>
    <w:rsid w:val="00FB0508"/>
    <w:rsid w:val="00FB3CE7"/>
    <w:rsid w:val="00FB3FFA"/>
    <w:rsid w:val="00FB5364"/>
    <w:rsid w:val="00FC00AB"/>
    <w:rsid w:val="00FC19C3"/>
    <w:rsid w:val="00FC5C62"/>
    <w:rsid w:val="00FC7B98"/>
    <w:rsid w:val="00FD3A61"/>
    <w:rsid w:val="00FD47EC"/>
    <w:rsid w:val="00FD5659"/>
    <w:rsid w:val="00FE0BAA"/>
    <w:rsid w:val="00FE0DAD"/>
    <w:rsid w:val="00FE2BA4"/>
    <w:rsid w:val="00FE37A7"/>
    <w:rsid w:val="00FE3800"/>
    <w:rsid w:val="00FE427B"/>
    <w:rsid w:val="00FE4B54"/>
    <w:rsid w:val="00FE6E6A"/>
    <w:rsid w:val="00FF02F4"/>
    <w:rsid w:val="00FF12E4"/>
    <w:rsid w:val="07DEB5A2"/>
    <w:rsid w:val="09A6BF7C"/>
    <w:rsid w:val="0A03ADEA"/>
    <w:rsid w:val="0AEC924E"/>
    <w:rsid w:val="0E7DFFAC"/>
    <w:rsid w:val="12B18B63"/>
    <w:rsid w:val="1B6819F8"/>
    <w:rsid w:val="23F924E1"/>
    <w:rsid w:val="256CD15E"/>
    <w:rsid w:val="26798CA1"/>
    <w:rsid w:val="29AFE96E"/>
    <w:rsid w:val="29D39C07"/>
    <w:rsid w:val="2C7D2031"/>
    <w:rsid w:val="3066EFB3"/>
    <w:rsid w:val="35DBAADE"/>
    <w:rsid w:val="3D385CB0"/>
    <w:rsid w:val="3E46F874"/>
    <w:rsid w:val="4002E4D0"/>
    <w:rsid w:val="420BA9E3"/>
    <w:rsid w:val="48D5B183"/>
    <w:rsid w:val="4E317D17"/>
    <w:rsid w:val="51FC0B55"/>
    <w:rsid w:val="5BC58E93"/>
    <w:rsid w:val="5E0202A0"/>
    <w:rsid w:val="5E9279B5"/>
    <w:rsid w:val="6B22D19E"/>
    <w:rsid w:val="6E71EA6A"/>
    <w:rsid w:val="71F89077"/>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60E574"/>
  <w15:docId w15:val="{29DE23C3-D0E0-4B17-8C38-41AD0175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7A5A4F"/>
    <w:pPr>
      <w:keepNext/>
      <w:keepLines/>
      <w:numPr>
        <w:numId w:val="21"/>
      </w:numPr>
      <w:spacing w:before="120" w:after="120" w:line="240" w:lineRule="auto"/>
      <w:jc w:val="center"/>
      <w:outlineLvl w:val="0"/>
    </w:pPr>
    <w:rPr>
      <w:b/>
      <w:sz w:val="36"/>
      <w:szCs w:val="24"/>
    </w:rPr>
  </w:style>
  <w:style w:type="paragraph" w:styleId="Heading2">
    <w:name w:val="heading 2"/>
    <w:basedOn w:val="Normal"/>
    <w:next w:val="Normal"/>
    <w:rsid w:val="007A5A4F"/>
    <w:pPr>
      <w:keepNext/>
      <w:keepLines/>
      <w:numPr>
        <w:ilvl w:val="1"/>
        <w:numId w:val="21"/>
      </w:numPr>
      <w:spacing w:before="360" w:after="80"/>
      <w:contextualSpacing/>
      <w:outlineLvl w:val="1"/>
    </w:pPr>
    <w:rPr>
      <w:b/>
      <w:sz w:val="24"/>
      <w:szCs w:val="36"/>
    </w:rPr>
  </w:style>
  <w:style w:type="paragraph" w:styleId="Heading3">
    <w:name w:val="heading 3"/>
    <w:basedOn w:val="Normal"/>
    <w:next w:val="Normal"/>
    <w:rsid w:val="007A5A4F"/>
    <w:pPr>
      <w:keepNext/>
      <w:keepLines/>
      <w:numPr>
        <w:ilvl w:val="2"/>
        <w:numId w:val="21"/>
      </w:numPr>
      <w:spacing w:before="120" w:after="80"/>
      <w:ind w:left="1224" w:hanging="504"/>
      <w:contextualSpacing/>
      <w:outlineLvl w:val="2"/>
    </w:pPr>
    <w:rPr>
      <w:b/>
      <w:i/>
      <w:sz w:val="24"/>
      <w:szCs w:val="28"/>
    </w:rPr>
  </w:style>
  <w:style w:type="paragraph" w:styleId="Heading4">
    <w:name w:val="heading 4"/>
    <w:basedOn w:val="Normal"/>
    <w:next w:val="Normal"/>
    <w:rsid w:val="007A5A4F"/>
    <w:pPr>
      <w:keepNext/>
      <w:keepLines/>
      <w:numPr>
        <w:ilvl w:val="3"/>
        <w:numId w:val="21"/>
      </w:numPr>
      <w:spacing w:before="200" w:after="0"/>
      <w:contextualSpacing/>
      <w:outlineLvl w:val="3"/>
    </w:pPr>
    <w:rPr>
      <w:i/>
      <w:sz w:val="24"/>
      <w:szCs w:val="24"/>
      <w:u w:val="single"/>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
    <w:name w:val="10"/>
    <w:basedOn w:val="TableNormal1"/>
    <w:pPr>
      <w:spacing w:after="0" w:line="240" w:lineRule="auto"/>
    </w:pPr>
    <w:tblPr>
      <w:tblStyleRowBandSize w:val="1"/>
      <w:tblStyleColBandSize w:val="1"/>
      <w:tblCellMar>
        <w:left w:w="115" w:type="dxa"/>
        <w:right w:w="115" w:type="dxa"/>
      </w:tblCellMar>
    </w:tblPr>
  </w:style>
  <w:style w:type="table" w:customStyle="1" w:styleId="9">
    <w:name w:val="9"/>
    <w:basedOn w:val="TableNormal1"/>
    <w:pPr>
      <w:contextualSpacing/>
    </w:pPr>
    <w:tblPr>
      <w:tblStyleRowBandSize w:val="1"/>
      <w:tblStyleColBandSize w:val="1"/>
      <w:tblCellMar>
        <w:left w:w="115" w:type="dxa"/>
        <w:right w:w="115" w:type="dxa"/>
      </w:tblCellMar>
    </w:tblPr>
  </w:style>
  <w:style w:type="table" w:customStyle="1" w:styleId="8">
    <w:name w:val="8"/>
    <w:basedOn w:val="TableNormal1"/>
    <w:pPr>
      <w:contextualSpacing/>
    </w:pPr>
    <w:tblPr>
      <w:tblStyleRowBandSize w:val="1"/>
      <w:tblStyleColBandSize w:val="1"/>
      <w:tblCellMar>
        <w:left w:w="115" w:type="dxa"/>
        <w:right w:w="115" w:type="dxa"/>
      </w:tblCellMar>
    </w:tblPr>
  </w:style>
  <w:style w:type="table" w:customStyle="1" w:styleId="7">
    <w:name w:val="7"/>
    <w:basedOn w:val="TableNormal1"/>
    <w:pPr>
      <w:spacing w:after="0" w:line="240" w:lineRule="auto"/>
    </w:pPr>
    <w:tblPr>
      <w:tblStyleRowBandSize w:val="1"/>
      <w:tblStyleColBandSize w:val="1"/>
      <w:tblCellMar>
        <w:left w:w="115" w:type="dxa"/>
        <w:right w:w="115" w:type="dxa"/>
      </w:tblCellMar>
    </w:tblPr>
  </w:style>
  <w:style w:type="table" w:customStyle="1" w:styleId="6">
    <w:name w:val="6"/>
    <w:basedOn w:val="TableNormal1"/>
    <w:pPr>
      <w:spacing w:after="0" w:line="240" w:lineRule="auto"/>
    </w:pPr>
    <w:tblPr>
      <w:tblStyleRowBandSize w:val="1"/>
      <w:tblStyleColBandSize w:val="1"/>
      <w:tblCellMar>
        <w:left w:w="115" w:type="dxa"/>
        <w:right w:w="115" w:type="dxa"/>
      </w:tblCellMar>
    </w:tblPr>
  </w:style>
  <w:style w:type="table" w:customStyle="1" w:styleId="5">
    <w:name w:val="5"/>
    <w:basedOn w:val="TableNormal1"/>
    <w:pPr>
      <w:contextualSpacing/>
    </w:pPr>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
    <w:name w:val="1"/>
    <w:basedOn w:val="TableNormal1"/>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sid w:val="00D97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C4"/>
    <w:rPr>
      <w:rFonts w:ascii="Segoe UI" w:hAnsi="Segoe UI" w:cs="Segoe UI"/>
      <w:sz w:val="18"/>
      <w:szCs w:val="18"/>
    </w:rPr>
  </w:style>
  <w:style w:type="paragraph" w:styleId="Header">
    <w:name w:val="header"/>
    <w:basedOn w:val="Normal"/>
    <w:link w:val="HeaderChar"/>
    <w:uiPriority w:val="99"/>
    <w:unhideWhenUsed/>
    <w:rsid w:val="003549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35494D"/>
  </w:style>
  <w:style w:type="paragraph" w:styleId="Footer">
    <w:name w:val="footer"/>
    <w:basedOn w:val="Normal"/>
    <w:link w:val="FooterChar"/>
    <w:uiPriority w:val="99"/>
    <w:unhideWhenUsed/>
    <w:rsid w:val="0035494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5494D"/>
  </w:style>
  <w:style w:type="paragraph" w:styleId="ListParagraph">
    <w:name w:val="List Paragraph"/>
    <w:basedOn w:val="Normal"/>
    <w:uiPriority w:val="34"/>
    <w:qFormat/>
    <w:rsid w:val="00227A9F"/>
    <w:pPr>
      <w:spacing w:line="240" w:lineRule="auto"/>
      <w:ind w:left="720"/>
      <w:contextualSpacing/>
    </w:pPr>
  </w:style>
  <w:style w:type="paragraph" w:styleId="ListBullet2">
    <w:name w:val="List Bullet 2"/>
    <w:basedOn w:val="Normal"/>
    <w:uiPriority w:val="99"/>
    <w:rsid w:val="00A07997"/>
    <w:pPr>
      <w:numPr>
        <w:numId w:val="5"/>
      </w:numPr>
      <w:spacing w:before="120" w:after="120" w:line="240" w:lineRule="auto"/>
      <w:jc w:val="both"/>
    </w:pPr>
    <w:rPr>
      <w:rFonts w:ascii="Cambria" w:eastAsia="MS Mincho" w:hAnsi="Cambria" w:cs="Times New Roman"/>
      <w:color w:val="auto"/>
      <w:lang w:val="en-US" w:eastAsia="en-US"/>
    </w:rPr>
  </w:style>
  <w:style w:type="character" w:styleId="IntenseEmphasis">
    <w:name w:val="Intense Emphasis"/>
    <w:basedOn w:val="DefaultParagraphFont"/>
    <w:uiPriority w:val="99"/>
    <w:qFormat/>
    <w:rsid w:val="00A50FD7"/>
    <w:rPr>
      <w:rFonts w:cs="Times New Roman"/>
      <w:b/>
      <w:bCs/>
      <w:i/>
      <w:iCs/>
      <w:color w:val="4F81BD"/>
    </w:rPr>
  </w:style>
  <w:style w:type="paragraph" w:styleId="ListBullet">
    <w:name w:val="List Bullet"/>
    <w:basedOn w:val="Normal"/>
    <w:uiPriority w:val="99"/>
    <w:unhideWhenUsed/>
    <w:rsid w:val="009F5067"/>
    <w:pPr>
      <w:numPr>
        <w:numId w:val="7"/>
      </w:numPr>
      <w:contextualSpacing/>
    </w:pPr>
  </w:style>
  <w:style w:type="paragraph" w:customStyle="1" w:styleId="Normal1">
    <w:name w:val="Normal1"/>
    <w:uiPriority w:val="99"/>
    <w:rsid w:val="00760DF5"/>
    <w:pPr>
      <w:widowControl w:val="0"/>
      <w:spacing w:before="20" w:after="20" w:line="240" w:lineRule="auto"/>
    </w:pPr>
    <w:rPr>
      <w:rFonts w:ascii="Cambria" w:eastAsia="MS Mincho" w:hAnsi="Cambria" w:cs="Times New Roman"/>
      <w:color w:val="auto"/>
      <w:sz w:val="20"/>
      <w:lang w:val="en-US" w:eastAsia="en-US"/>
    </w:rPr>
  </w:style>
  <w:style w:type="paragraph" w:styleId="CommentSubject">
    <w:name w:val="annotation subject"/>
    <w:basedOn w:val="CommentText"/>
    <w:next w:val="CommentText"/>
    <w:link w:val="CommentSubjectChar"/>
    <w:uiPriority w:val="99"/>
    <w:semiHidden/>
    <w:unhideWhenUsed/>
    <w:rsid w:val="00953C65"/>
    <w:rPr>
      <w:b/>
      <w:bCs/>
    </w:rPr>
  </w:style>
  <w:style w:type="character" w:customStyle="1" w:styleId="CommentSubjectChar">
    <w:name w:val="Comment Subject Char"/>
    <w:basedOn w:val="CommentTextChar"/>
    <w:link w:val="CommentSubject"/>
    <w:uiPriority w:val="99"/>
    <w:semiHidden/>
    <w:rsid w:val="00953C65"/>
    <w:rPr>
      <w:b/>
      <w:bCs/>
      <w:sz w:val="20"/>
      <w:szCs w:val="20"/>
    </w:rPr>
  </w:style>
  <w:style w:type="table" w:customStyle="1" w:styleId="Style20">
    <w:name w:val="Style20"/>
    <w:uiPriority w:val="99"/>
    <w:rsid w:val="00C90586"/>
    <w:pPr>
      <w:spacing w:after="0" w:line="240" w:lineRule="auto"/>
    </w:pPr>
    <w:rPr>
      <w:rFonts w:ascii="Cambria" w:eastAsia="MS Mincho" w:hAnsi="Cambria" w:cs="Times New Roman"/>
      <w:color w:val="auto"/>
      <w:sz w:val="20"/>
      <w:szCs w:val="20"/>
      <w:lang w:val="fr-FR" w:eastAsia="fr-FR"/>
    </w:rPr>
    <w:tblPr>
      <w:tblStyleRowBandSize w:val="1"/>
      <w:tblStyleColBandSize w:val="1"/>
      <w:tblInd w:w="0" w:type="dxa"/>
      <w:tblCellMar>
        <w:top w:w="0" w:type="dxa"/>
        <w:left w:w="115" w:type="dxa"/>
        <w:bottom w:w="0" w:type="dxa"/>
        <w:right w:w="115" w:type="dxa"/>
      </w:tblCellMar>
    </w:tblPr>
  </w:style>
  <w:style w:type="paragraph" w:styleId="ListNumber2">
    <w:name w:val="List Number 2"/>
    <w:basedOn w:val="Normal"/>
    <w:uiPriority w:val="99"/>
    <w:rsid w:val="00C90586"/>
    <w:pPr>
      <w:spacing w:before="120" w:after="120" w:line="240" w:lineRule="auto"/>
      <w:ind w:left="720" w:hanging="360"/>
      <w:jc w:val="both"/>
    </w:pPr>
    <w:rPr>
      <w:rFonts w:ascii="Cambria" w:eastAsia="MS Mincho" w:hAnsi="Cambria" w:cs="Times New Roman"/>
      <w:color w:val="auto"/>
      <w:lang w:val="en-US" w:eastAsia="en-US"/>
    </w:rPr>
  </w:style>
  <w:style w:type="paragraph" w:styleId="ListNumber">
    <w:name w:val="List Number"/>
    <w:basedOn w:val="Normal"/>
    <w:uiPriority w:val="99"/>
    <w:unhideWhenUsed/>
    <w:rsid w:val="00A72B85"/>
    <w:pPr>
      <w:numPr>
        <w:numId w:val="8"/>
      </w:numPr>
      <w:contextualSpacing/>
    </w:pPr>
  </w:style>
  <w:style w:type="paragraph" w:styleId="ListBullet3">
    <w:name w:val="List Bullet 3"/>
    <w:basedOn w:val="Normal"/>
    <w:uiPriority w:val="99"/>
    <w:rsid w:val="00167D58"/>
    <w:pPr>
      <w:spacing w:before="120" w:after="120" w:line="240" w:lineRule="auto"/>
      <w:ind w:left="1080" w:hanging="360"/>
      <w:jc w:val="both"/>
    </w:pPr>
    <w:rPr>
      <w:rFonts w:ascii="Cambria" w:eastAsia="MS Mincho" w:hAnsi="Cambria" w:cs="Times New Roman"/>
      <w:color w:val="auto"/>
      <w:lang w:val="en-US" w:eastAsia="en-US"/>
    </w:rPr>
  </w:style>
  <w:style w:type="paragraph" w:styleId="ListNumber3">
    <w:name w:val="List Number 3"/>
    <w:basedOn w:val="Normal"/>
    <w:uiPriority w:val="99"/>
    <w:rsid w:val="00E66B76"/>
    <w:pPr>
      <w:numPr>
        <w:numId w:val="13"/>
      </w:numPr>
      <w:spacing w:before="120" w:after="120" w:line="240" w:lineRule="auto"/>
      <w:ind w:left="1080"/>
      <w:contextualSpacing/>
      <w:jc w:val="both"/>
    </w:pPr>
    <w:rPr>
      <w:rFonts w:ascii="Cambria" w:eastAsia="MS Mincho" w:hAnsi="Cambria" w:cs="Times New Roman"/>
      <w:color w:val="auto"/>
      <w:lang w:val="en-US" w:eastAsia="en-US"/>
    </w:rPr>
  </w:style>
  <w:style w:type="paragraph" w:styleId="Caption">
    <w:name w:val="caption"/>
    <w:basedOn w:val="Normal"/>
    <w:next w:val="Normal"/>
    <w:uiPriority w:val="99"/>
    <w:qFormat/>
    <w:rsid w:val="00F84127"/>
    <w:pPr>
      <w:spacing w:before="240" w:after="120" w:line="240" w:lineRule="auto"/>
    </w:pPr>
    <w:rPr>
      <w:rFonts w:ascii="Cambria" w:eastAsia="MS Mincho" w:hAnsi="Cambria" w:cs="Times New Roman"/>
      <w:b/>
      <w:bCs/>
      <w:i/>
      <w:color w:val="auto"/>
      <w:lang w:val="en-US" w:eastAsia="en-US"/>
    </w:rPr>
  </w:style>
  <w:style w:type="paragraph" w:customStyle="1" w:styleId="Default">
    <w:name w:val="Default"/>
    <w:rsid w:val="00A27911"/>
    <w:pPr>
      <w:overflowPunct w:val="0"/>
      <w:autoSpaceDE w:val="0"/>
      <w:autoSpaceDN w:val="0"/>
      <w:adjustRightInd w:val="0"/>
      <w:spacing w:after="0" w:line="240" w:lineRule="auto"/>
      <w:textAlignment w:val="baseline"/>
    </w:pPr>
    <w:rPr>
      <w:rFonts w:ascii="TimesNewRoman" w:eastAsia="MS ??" w:hAnsi="TimesNewRoman" w:cs="TimesNewRoman"/>
      <w:color w:val="auto"/>
      <w:sz w:val="24"/>
      <w:szCs w:val="24"/>
      <w:lang w:val="en-US" w:eastAsia="en-US"/>
    </w:rPr>
  </w:style>
  <w:style w:type="paragraph" w:customStyle="1" w:styleId="BodyText24">
    <w:name w:val="Body Text 24"/>
    <w:basedOn w:val="Default"/>
    <w:next w:val="Default"/>
    <w:rsid w:val="00A27911"/>
  </w:style>
  <w:style w:type="paragraph" w:styleId="NormalWeb">
    <w:name w:val="Normal (Web)"/>
    <w:basedOn w:val="Normal"/>
    <w:uiPriority w:val="99"/>
    <w:semiHidden/>
    <w:unhideWhenUsed/>
    <w:rsid w:val="00020846"/>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apple-converted-space">
    <w:name w:val="apple-converted-space"/>
    <w:basedOn w:val="DefaultParagraphFont"/>
    <w:rsid w:val="00C12F24"/>
  </w:style>
  <w:style w:type="numbering" w:customStyle="1" w:styleId="SOPFormat">
    <w:name w:val="SOP Format"/>
    <w:basedOn w:val="NoList"/>
    <w:uiPriority w:val="99"/>
    <w:rsid w:val="007A5A4F"/>
    <w:pPr>
      <w:numPr>
        <w:numId w:val="20"/>
      </w:numPr>
    </w:pPr>
  </w:style>
  <w:style w:type="paragraph" w:styleId="Revision">
    <w:name w:val="Revision"/>
    <w:hidden/>
    <w:uiPriority w:val="99"/>
    <w:semiHidden/>
    <w:rsid w:val="001659EF"/>
    <w:pPr>
      <w:spacing w:after="0" w:line="240" w:lineRule="auto"/>
    </w:pPr>
  </w:style>
  <w:style w:type="character" w:styleId="Hyperlink">
    <w:name w:val="Hyperlink"/>
    <w:basedOn w:val="DefaultParagraphFont"/>
    <w:uiPriority w:val="99"/>
    <w:unhideWhenUsed/>
    <w:rsid w:val="009701EE"/>
    <w:rPr>
      <w:color w:val="0563C1" w:themeColor="hyperlink"/>
      <w:u w:val="single"/>
    </w:rPr>
  </w:style>
  <w:style w:type="character" w:styleId="FollowedHyperlink">
    <w:name w:val="FollowedHyperlink"/>
    <w:basedOn w:val="DefaultParagraphFont"/>
    <w:uiPriority w:val="99"/>
    <w:semiHidden/>
    <w:unhideWhenUsed/>
    <w:rsid w:val="00FA4B89"/>
    <w:rPr>
      <w:color w:val="954F72" w:themeColor="followedHyperlink"/>
      <w:u w:val="single"/>
    </w:rPr>
  </w:style>
  <w:style w:type="table" w:styleId="TableGrid">
    <w:name w:val="Table Grid"/>
    <w:basedOn w:val="TableNormal"/>
    <w:uiPriority w:val="39"/>
    <w:rsid w:val="00B93A04"/>
    <w:pPr>
      <w:spacing w:after="0" w:line="240" w:lineRule="auto"/>
    </w:pPr>
    <w:rPr>
      <w:rFonts w:asciiTheme="minorHAnsi" w:eastAsiaTheme="minorEastAsia" w:hAnsiTheme="minorHAnsi" w:cstheme="minorBidi"/>
      <w:color w:val="auto"/>
      <w:sz w:val="24"/>
      <w:szCs w:val="24"/>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D0EA6"/>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D0EA6"/>
    <w:pPr>
      <w:spacing w:after="100"/>
    </w:pPr>
  </w:style>
  <w:style w:type="paragraph" w:styleId="TOC2">
    <w:name w:val="toc 2"/>
    <w:basedOn w:val="Normal"/>
    <w:next w:val="Normal"/>
    <w:autoRedefine/>
    <w:uiPriority w:val="39"/>
    <w:unhideWhenUsed/>
    <w:rsid w:val="003D0EA6"/>
    <w:pPr>
      <w:spacing w:after="100"/>
      <w:ind w:left="220"/>
    </w:pPr>
  </w:style>
  <w:style w:type="paragraph" w:styleId="TOC3">
    <w:name w:val="toc 3"/>
    <w:basedOn w:val="Normal"/>
    <w:next w:val="Normal"/>
    <w:autoRedefine/>
    <w:uiPriority w:val="39"/>
    <w:unhideWhenUsed/>
    <w:rsid w:val="003D0EA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67044">
      <w:bodyDiv w:val="1"/>
      <w:marLeft w:val="0"/>
      <w:marRight w:val="0"/>
      <w:marTop w:val="0"/>
      <w:marBottom w:val="0"/>
      <w:divBdr>
        <w:top w:val="none" w:sz="0" w:space="0" w:color="auto"/>
        <w:left w:val="none" w:sz="0" w:space="0" w:color="auto"/>
        <w:bottom w:val="none" w:sz="0" w:space="0" w:color="auto"/>
        <w:right w:val="none" w:sz="0" w:space="0" w:color="auto"/>
      </w:divBdr>
    </w:div>
    <w:div w:id="652560255">
      <w:bodyDiv w:val="1"/>
      <w:marLeft w:val="0"/>
      <w:marRight w:val="0"/>
      <w:marTop w:val="0"/>
      <w:marBottom w:val="0"/>
      <w:divBdr>
        <w:top w:val="none" w:sz="0" w:space="0" w:color="auto"/>
        <w:left w:val="none" w:sz="0" w:space="0" w:color="auto"/>
        <w:bottom w:val="none" w:sz="0" w:space="0" w:color="auto"/>
        <w:right w:val="none" w:sz="0" w:space="0" w:color="auto"/>
      </w:divBdr>
    </w:div>
    <w:div w:id="1099372801">
      <w:bodyDiv w:val="1"/>
      <w:marLeft w:val="0"/>
      <w:marRight w:val="0"/>
      <w:marTop w:val="0"/>
      <w:marBottom w:val="0"/>
      <w:divBdr>
        <w:top w:val="none" w:sz="0" w:space="0" w:color="auto"/>
        <w:left w:val="none" w:sz="0" w:space="0" w:color="auto"/>
        <w:bottom w:val="none" w:sz="0" w:space="0" w:color="auto"/>
        <w:right w:val="none" w:sz="0" w:space="0" w:color="auto"/>
      </w:divBdr>
    </w:div>
    <w:div w:id="1407847384">
      <w:bodyDiv w:val="1"/>
      <w:marLeft w:val="0"/>
      <w:marRight w:val="0"/>
      <w:marTop w:val="0"/>
      <w:marBottom w:val="0"/>
      <w:divBdr>
        <w:top w:val="none" w:sz="0" w:space="0" w:color="auto"/>
        <w:left w:val="none" w:sz="0" w:space="0" w:color="auto"/>
        <w:bottom w:val="none" w:sz="0" w:space="0" w:color="auto"/>
        <w:right w:val="none" w:sz="0" w:space="0" w:color="auto"/>
      </w:divBdr>
    </w:div>
    <w:div w:id="1855412878">
      <w:bodyDiv w:val="1"/>
      <w:marLeft w:val="0"/>
      <w:marRight w:val="0"/>
      <w:marTop w:val="0"/>
      <w:marBottom w:val="0"/>
      <w:divBdr>
        <w:top w:val="none" w:sz="0" w:space="0" w:color="auto"/>
        <w:left w:val="none" w:sz="0" w:space="0" w:color="auto"/>
        <w:bottom w:val="none" w:sz="0" w:space="0" w:color="auto"/>
        <w:right w:val="none" w:sz="0" w:space="0" w:color="auto"/>
      </w:divBdr>
    </w:div>
    <w:div w:id="1942764609">
      <w:bodyDiv w:val="1"/>
      <w:marLeft w:val="0"/>
      <w:marRight w:val="0"/>
      <w:marTop w:val="0"/>
      <w:marBottom w:val="0"/>
      <w:divBdr>
        <w:top w:val="none" w:sz="0" w:space="0" w:color="auto"/>
        <w:left w:val="none" w:sz="0" w:space="0" w:color="auto"/>
        <w:bottom w:val="none" w:sz="0" w:space="0" w:color="auto"/>
        <w:right w:val="none" w:sz="0" w:space="0" w:color="auto"/>
      </w:divBdr>
      <w:divsChild>
        <w:div w:id="343555262">
          <w:marLeft w:val="0"/>
          <w:marRight w:val="0"/>
          <w:marTop w:val="0"/>
          <w:marBottom w:val="0"/>
          <w:divBdr>
            <w:top w:val="none" w:sz="0" w:space="0" w:color="auto"/>
            <w:left w:val="none" w:sz="0" w:space="0" w:color="auto"/>
            <w:bottom w:val="none" w:sz="0" w:space="0" w:color="auto"/>
            <w:right w:val="none" w:sz="0" w:space="0" w:color="auto"/>
          </w:divBdr>
        </w:div>
        <w:div w:id="1903825731">
          <w:marLeft w:val="0"/>
          <w:marRight w:val="0"/>
          <w:marTop w:val="0"/>
          <w:marBottom w:val="0"/>
          <w:divBdr>
            <w:top w:val="none" w:sz="0" w:space="0" w:color="auto"/>
            <w:left w:val="none" w:sz="0" w:space="0" w:color="auto"/>
            <w:bottom w:val="none" w:sz="0" w:space="0" w:color="auto"/>
            <w:right w:val="none" w:sz="0" w:space="0" w:color="auto"/>
          </w:divBdr>
        </w:div>
      </w:divsChild>
    </w:div>
    <w:div w:id="2128620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fbooks.msf.org/msf_docs/en/tuberculosis/tuberculosis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dtb.org/gui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who.int/iris/bitstream/handle/10665/130918/9789241548809_eng.pdf;jsessionid=BBB62ABAA8E0E07C7B57DC06011742B2?sequence=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i.nlm.nih.gov/pmc/articles/PMC241333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SharedWithUsers xmlns="d1dc8e9d-c2d7-4f1e-a8b8-6d152e0fdc8f">
      <UserInfo>
        <DisplayName/>
        <AccountId xsi:nil="true"/>
        <AccountType/>
      </UserInfo>
    </SharedWithUsers>
    <MediaLengthInSeconds xmlns="57d60e0b-bbcc-4e8c-ae17-1bc07bf7b2a6" xsi:nil="true"/>
    <lcf76f155ced4ddcb4097134ff3c332f xmlns="57d60e0b-bbcc-4e8c-ae17-1bc07bf7b2a6">
      <Terms xmlns="http://schemas.microsoft.com/office/infopath/2007/PartnerControls"/>
    </lcf76f155ced4ddcb4097134ff3c332f>
    <_Flow_SignoffStatus xmlns="57d60e0b-bbcc-4e8c-ae17-1bc07bf7b2a6" xsi:nil="true"/>
  </documentManagement>
</p:properties>
</file>

<file path=customXml/itemProps1.xml><?xml version="1.0" encoding="utf-8"?>
<ds:datastoreItem xmlns:ds="http://schemas.openxmlformats.org/officeDocument/2006/customXml" ds:itemID="{E8793B80-BF4D-47CB-9079-E67FD400BBFE}">
  <ds:schemaRefs>
    <ds:schemaRef ds:uri="http://schemas.microsoft.com/sharepoint/v3/contenttype/forms"/>
  </ds:schemaRefs>
</ds:datastoreItem>
</file>

<file path=customXml/itemProps2.xml><?xml version="1.0" encoding="utf-8"?>
<ds:datastoreItem xmlns:ds="http://schemas.openxmlformats.org/officeDocument/2006/customXml" ds:itemID="{4E10B610-534A-43C9-B98E-442795F26BCF}"/>
</file>

<file path=customXml/itemProps3.xml><?xml version="1.0" encoding="utf-8"?>
<ds:datastoreItem xmlns:ds="http://schemas.openxmlformats.org/officeDocument/2006/customXml" ds:itemID="{837196FA-88B4-4D93-9C70-1D7BCB83DC44}">
  <ds:schemaRefs>
    <ds:schemaRef ds:uri="http://schemas.openxmlformats.org/officeDocument/2006/bibliography"/>
  </ds:schemaRefs>
</ds:datastoreItem>
</file>

<file path=customXml/itemProps4.xml><?xml version="1.0" encoding="utf-8"?>
<ds:datastoreItem xmlns:ds="http://schemas.openxmlformats.org/officeDocument/2006/customXml" ds:itemID="{1795BBCD-26C0-447C-9BB8-C7622686DAC0}">
  <ds:schemaRefs>
    <ds:schemaRef ds:uri="http://schemas.microsoft.com/office/2006/documentManagement/types"/>
    <ds:schemaRef ds:uri="http://schemas.microsoft.com/office/infopath/2007/PartnerControls"/>
    <ds:schemaRef ds:uri="http://purl.org/dc/elements/1.1/"/>
    <ds:schemaRef ds:uri="57d60e0b-bbcc-4e8c-ae17-1bc07bf7b2a6"/>
    <ds:schemaRef ds:uri="http://schemas.microsoft.com/office/2006/metadata/properties"/>
    <ds:schemaRef ds:uri="http://purl.org/dc/terms/"/>
    <ds:schemaRef ds:uri="20c1abfa-485b-41c9-a329-38772ca1fd48"/>
    <ds:schemaRef ds:uri="http://schemas.openxmlformats.org/package/2006/metadata/core-properties"/>
    <ds:schemaRef ds:uri="d1dc8e9d-c2d7-4f1e-a8b8-6d152e0fdc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5707</Words>
  <Characters>32532</Characters>
  <Application>Microsoft Office Word</Application>
  <DocSecurity>0</DocSecurity>
  <Lines>271</Lines>
  <Paragraphs>76</Paragraphs>
  <ScaleCrop>false</ScaleCrop>
  <Company>Médecins Sans Frontières - Paris</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GUGLIELMETTI</dc:creator>
  <cp:keywords/>
  <cp:lastModifiedBy>Marhaba Chaudhry</cp:lastModifiedBy>
  <cp:revision>10</cp:revision>
  <cp:lastPrinted>2021-11-18T17:28:00Z</cp:lastPrinted>
  <dcterms:created xsi:type="dcterms:W3CDTF">2023-05-24T16:41:00Z</dcterms:created>
  <dcterms:modified xsi:type="dcterms:W3CDTF">2024-09-02T14:39:00Z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
  </property>
  <property fmtid="{D5CDD505-2E9C-101B-9397-08002B2CF9AE}" pid="3" name="ContentTypeId">
    <vt:lpwstr>0x0101008A725E7E39776844B9FB9FC2FCA9A30F</vt:lpwstr>
  </property>
  <property fmtid="{D5CDD505-2E9C-101B-9397-08002B2CF9AE}" pid="4" name="endTBStructureCountries">
    <vt:lpwstr/>
  </property>
  <property fmtid="{D5CDD505-2E9C-101B-9397-08002B2CF9AE}" pid="5" name="AuthorIds_UIVersion_3584">
    <vt:lpwstr>216</vt:lpwstr>
  </property>
  <property fmtid="{D5CDD505-2E9C-101B-9397-08002B2CF9AE}" pid="6" name="AuthorIds_UIVersion_4608">
    <vt:lpwstr>137</vt:lpwstr>
  </property>
  <property fmtid="{D5CDD505-2E9C-101B-9397-08002B2CF9AE}" pid="7" name="AuthorIds_UIVersion_5120">
    <vt:lpwstr>137</vt:lpwstr>
  </property>
  <property fmtid="{D5CDD505-2E9C-101B-9397-08002B2CF9AE}" pid="8" name="AuthorIds_UIVersion_5632">
    <vt:lpwstr>137</vt:lpwstr>
  </property>
  <property fmtid="{D5CDD505-2E9C-101B-9397-08002B2CF9AE}" pid="9" name="AuthorIds_UIVersion_6656">
    <vt:lpwstr>93</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xd_Signature">
    <vt:bool>false</vt:bool>
  </property>
  <property fmtid="{D5CDD505-2E9C-101B-9397-08002B2CF9AE}" pid="14" name="Order">
    <vt:r8>619400</vt:r8>
  </property>
  <property fmtid="{D5CDD505-2E9C-101B-9397-08002B2CF9AE}" pid="15" name="AuthorIds_UIVersion_512">
    <vt:lpwstr>123</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y fmtid="{D5CDD505-2E9C-101B-9397-08002B2CF9AE}" pid="19" name="endTBClinicalTrial">
    <vt:lpwstr>endTB</vt:lpwstr>
  </property>
  <property fmtid="{D5CDD505-2E9C-101B-9397-08002B2CF9AE}" pid="20" name="endTBStatusDocument">
    <vt:lpwstr>Final</vt:lpwstr>
  </property>
</Properties>
</file>