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351BFF" w14:textId="77777777" w:rsidR="00223C68" w:rsidRDefault="000B2C99" w:rsidP="00CD4B0A">
      <w:pPr>
        <w:pStyle w:val="Heading1"/>
        <w:numPr>
          <w:ilvl w:val="0"/>
          <w:numId w:val="0"/>
        </w:numPr>
        <w:ind w:left="360"/>
      </w:pPr>
      <w:bookmarkStart w:id="0" w:name="_Toc166244273"/>
      <w:r w:rsidRPr="004933B8">
        <w:t xml:space="preserve">Standard Operating </w:t>
      </w:r>
      <w:r w:rsidRPr="00DF1005">
        <w:t>Procedures</w:t>
      </w:r>
      <w:r w:rsidR="00223C68">
        <w:t xml:space="preserve"> for</w:t>
      </w:r>
      <w:bookmarkEnd w:id="0"/>
      <w:r w:rsidR="00223C68">
        <w:t xml:space="preserve"> </w:t>
      </w:r>
    </w:p>
    <w:p w14:paraId="55AFCA1E" w14:textId="59467CFE" w:rsidR="007B12D1" w:rsidRDefault="00CD4B0A" w:rsidP="00CD4B0A">
      <w:pPr>
        <w:pStyle w:val="Heading1"/>
        <w:numPr>
          <w:ilvl w:val="0"/>
          <w:numId w:val="0"/>
        </w:numPr>
        <w:ind w:left="360"/>
      </w:pPr>
      <w:bookmarkStart w:id="1" w:name="_Toc166244274"/>
      <w:r>
        <w:t>Concomitant Medications</w:t>
      </w:r>
      <w:bookmarkEnd w:id="1"/>
    </w:p>
    <w:p w14:paraId="19B6C914" w14:textId="77777777" w:rsidR="00E22D4E" w:rsidRPr="00E22D4E" w:rsidRDefault="00E22D4E" w:rsidP="00E22D4E"/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088"/>
        <w:gridCol w:w="3258"/>
      </w:tblGrid>
      <w:tr w:rsidR="007B12D1" w:rsidRPr="004933B8" w14:paraId="0871D8CC" w14:textId="77777777" w:rsidTr="1CD21E75">
        <w:tc>
          <w:tcPr>
            <w:tcW w:w="6088" w:type="dxa"/>
            <w:shd w:val="clear" w:color="auto" w:fill="F2F2F2" w:themeFill="background1" w:themeFillShade="F2"/>
          </w:tcPr>
          <w:p w14:paraId="13FABC60" w14:textId="7A35C6E3" w:rsidR="007B12D1" w:rsidRPr="004933B8" w:rsidRDefault="000B2C99">
            <w:pPr>
              <w:rPr>
                <w:rFonts w:asciiTheme="minorHAnsi" w:hAnsiTheme="minorHAnsi" w:cstheme="minorHAnsi"/>
              </w:rPr>
            </w:pPr>
            <w:r w:rsidRPr="004933B8">
              <w:rPr>
                <w:rFonts w:asciiTheme="minorHAnsi" w:hAnsiTheme="minorHAnsi" w:cstheme="minorHAnsi"/>
                <w:b/>
                <w:sz w:val="24"/>
                <w:szCs w:val="24"/>
              </w:rPr>
              <w:t>SOP Number</w:t>
            </w:r>
            <w:r w:rsidR="00CA36A2" w:rsidRPr="004933B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55D3E" w:rsidRPr="004933B8">
              <w:rPr>
                <w:rFonts w:asciiTheme="minorHAnsi" w:hAnsiTheme="minorHAnsi" w:cstheme="minorHAnsi"/>
                <w:sz w:val="24"/>
                <w:szCs w:val="24"/>
              </w:rPr>
              <w:t>SP-</w:t>
            </w:r>
            <w:r w:rsidR="003D0A09" w:rsidRPr="004933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01960" w:rsidRPr="004933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3455E" w:rsidRPr="004933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A36A2" w:rsidRPr="004933B8">
              <w:rPr>
                <w:rFonts w:asciiTheme="minorHAnsi" w:hAnsiTheme="minorHAnsi" w:cstheme="minorHAnsi"/>
                <w:sz w:val="24"/>
                <w:szCs w:val="24"/>
              </w:rPr>
              <w:t>-C</w:t>
            </w:r>
            <w:r w:rsidRPr="004933B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14:paraId="151958D6" w14:textId="40F7BE02" w:rsidR="007B12D1" w:rsidRPr="004933B8" w:rsidRDefault="32629B15" w:rsidP="003E69B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32629B1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Effective Date</w:t>
            </w:r>
            <w:r w:rsidRPr="32629B15">
              <w:rPr>
                <w:rFonts w:asciiTheme="minorHAnsi" w:hAnsiTheme="minorHAnsi" w:cstheme="minorBidi"/>
                <w:sz w:val="24"/>
                <w:szCs w:val="24"/>
              </w:rPr>
              <w:t xml:space="preserve">: </w:t>
            </w:r>
            <w:r w:rsidR="00C648A8">
              <w:rPr>
                <w:rFonts w:asciiTheme="minorHAnsi" w:hAnsiTheme="minorHAnsi" w:cstheme="minorBidi"/>
                <w:sz w:val="24"/>
                <w:szCs w:val="24"/>
              </w:rPr>
              <w:t>22</w:t>
            </w:r>
            <w:r w:rsidR="00816A0A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="00B612E0">
              <w:rPr>
                <w:rFonts w:asciiTheme="minorHAnsi" w:hAnsiTheme="minorHAnsi" w:cstheme="minorBidi"/>
                <w:sz w:val="24"/>
                <w:szCs w:val="24"/>
              </w:rPr>
              <w:t>May</w:t>
            </w:r>
            <w:r w:rsidR="00816A0A">
              <w:rPr>
                <w:rFonts w:asciiTheme="minorHAnsi" w:hAnsiTheme="minorHAnsi" w:cstheme="minorBidi"/>
                <w:sz w:val="24"/>
                <w:szCs w:val="24"/>
              </w:rPr>
              <w:t>-2023</w:t>
            </w:r>
          </w:p>
        </w:tc>
      </w:tr>
      <w:tr w:rsidR="003763B9" w:rsidRPr="004933B8" w14:paraId="2C0699C1" w14:textId="77777777" w:rsidTr="1CD21E75">
        <w:tc>
          <w:tcPr>
            <w:tcW w:w="9346" w:type="dxa"/>
            <w:gridSpan w:val="2"/>
            <w:shd w:val="clear" w:color="auto" w:fill="F2F2F2" w:themeFill="background1" w:themeFillShade="F2"/>
          </w:tcPr>
          <w:p w14:paraId="0D08F75E" w14:textId="25DC7707" w:rsidR="003763B9" w:rsidRPr="004933B8" w:rsidRDefault="003763B9" w:rsidP="1CD21E75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1CD21E7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Version Number and Date</w:t>
            </w:r>
            <w:r w:rsidRPr="1CD21E75">
              <w:rPr>
                <w:rFonts w:asciiTheme="minorHAnsi" w:hAnsiTheme="minorHAnsi" w:cstheme="minorBidi"/>
                <w:sz w:val="24"/>
                <w:szCs w:val="24"/>
              </w:rPr>
              <w:t xml:space="preserve">: </w:t>
            </w:r>
            <w:r w:rsidR="000D52DE" w:rsidRPr="1CD21E75">
              <w:rPr>
                <w:rFonts w:asciiTheme="minorHAnsi" w:hAnsiTheme="minorHAnsi" w:cstheme="minorBidi"/>
                <w:sz w:val="24"/>
                <w:szCs w:val="24"/>
              </w:rPr>
              <w:t>6</w:t>
            </w:r>
            <w:r w:rsidR="003E69BA" w:rsidRPr="1CD21E75">
              <w:rPr>
                <w:rFonts w:asciiTheme="minorHAnsi" w:hAnsiTheme="minorHAnsi" w:cstheme="minorBidi"/>
                <w:sz w:val="24"/>
                <w:szCs w:val="24"/>
              </w:rPr>
              <w:t>.0</w:t>
            </w:r>
            <w:r w:rsidR="00BC5786" w:rsidRPr="1CD21E75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="005E3EB4">
              <w:rPr>
                <w:rFonts w:asciiTheme="minorHAnsi" w:hAnsiTheme="minorHAnsi" w:cstheme="minorBidi"/>
                <w:sz w:val="24"/>
                <w:szCs w:val="24"/>
              </w:rPr>
              <w:t>03</w:t>
            </w:r>
            <w:r w:rsidRPr="1CD21E75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="005E3EB4">
              <w:rPr>
                <w:rFonts w:asciiTheme="minorHAnsi" w:hAnsiTheme="minorHAnsi" w:cstheme="minorBidi"/>
                <w:sz w:val="24"/>
                <w:szCs w:val="24"/>
              </w:rPr>
              <w:t>May</w:t>
            </w:r>
            <w:r w:rsidRPr="1CD21E75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="00A029C3" w:rsidRPr="1CD21E75">
              <w:rPr>
                <w:rFonts w:asciiTheme="minorHAnsi" w:hAnsiTheme="minorHAnsi" w:cstheme="minorBidi"/>
                <w:sz w:val="24"/>
                <w:szCs w:val="24"/>
              </w:rPr>
              <w:t>202</w:t>
            </w:r>
            <w:r w:rsidR="000D52DE" w:rsidRPr="1CD21E75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</w:tr>
    </w:tbl>
    <w:p w14:paraId="5286E935" w14:textId="77777777" w:rsidR="007B12D1" w:rsidRPr="004933B8" w:rsidRDefault="007B12D1">
      <w:pPr>
        <w:spacing w:after="0"/>
        <w:jc w:val="center"/>
        <w:rPr>
          <w:rFonts w:asciiTheme="minorHAnsi" w:hAnsiTheme="minorHAnsi" w:cstheme="minorHAnsi"/>
        </w:rPr>
      </w:pPr>
    </w:p>
    <w:p w14:paraId="144655C0" w14:textId="049A5065" w:rsidR="00A029C3" w:rsidRDefault="00A029C3">
      <w:pPr>
        <w:spacing w:after="0"/>
        <w:jc w:val="center"/>
        <w:rPr>
          <w:rFonts w:asciiTheme="minorHAnsi" w:hAnsiTheme="minorHAnsi" w:cstheme="minorHAnsi"/>
        </w:rPr>
      </w:pPr>
    </w:p>
    <w:sdt>
      <w:sdtPr>
        <w:rPr>
          <w:rFonts w:ascii="Calibri" w:eastAsia="PMingLiU" w:hAnsi="Calibri" w:cs="Calibri"/>
          <w:color w:val="000000"/>
          <w:sz w:val="22"/>
          <w:szCs w:val="22"/>
          <w:lang w:eastAsia="zh-TW"/>
        </w:rPr>
        <w:id w:val="637528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E9107F" w14:textId="34319CE1" w:rsidR="00987358" w:rsidRPr="00987358" w:rsidRDefault="00987358" w:rsidP="00987358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987358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  <w:r w:rsidRPr="00987358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fldChar w:fldCharType="begin"/>
          </w:r>
          <w:r w:rsidRPr="00987358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instrText xml:space="preserve"> TOC \o "1-3" \h \z \u </w:instrText>
          </w:r>
          <w:r w:rsidRPr="00987358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fldChar w:fldCharType="separate"/>
          </w:r>
        </w:p>
        <w:p w14:paraId="0BE77635" w14:textId="16BB361D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77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1.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PURPOSE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_Toc166244277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9AE8B59" w14:textId="5ED40155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78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2.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SCOPE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_Toc166244278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24A2BC" w14:textId="526CD8C4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79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3.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RESPONSIBLE FUNCTIONS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_Toc166244279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83D220" w14:textId="5CAF0A93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0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4.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DEFINITIONS and ABBREVIATIONS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_Toc166244280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20E893" w14:textId="002A7CBA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1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5.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PROCEDURE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_Toc166244281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58705CD" w14:textId="41A2797E" w:rsidR="00987358" w:rsidRPr="00987358" w:rsidRDefault="007973B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2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5.1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Preparation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_Toc166244282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F65E5F" w14:textId="488623E5" w:rsidR="00987358" w:rsidRPr="00987358" w:rsidRDefault="007973B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3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5.2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Concomitant Medicine Evaluation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_Toc166244283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18F0E45" w14:textId="56207B11" w:rsidR="00987358" w:rsidRPr="00987358" w:rsidRDefault="007973B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4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5.3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Concomitant Medicine Review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_Toc166244284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2349E7" w14:textId="544AE183" w:rsidR="00987358" w:rsidRPr="00987358" w:rsidRDefault="007973B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5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5.4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Concomitant Medicine Reporting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_Toc166244285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D6FEC9" w14:textId="495FFE9E" w:rsidR="00987358" w:rsidRPr="00987358" w:rsidRDefault="007973BC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6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5.5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Concomitant Medications and Anti-Tuberculosis Drugs Reporting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_Toc166244286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EF90CA8" w14:textId="688D4098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7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6.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REFERENCES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_Toc166244287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67663E" w14:textId="31299930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8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7.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SUPPORTING DOCUMENTS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_Toc166244288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CA30DD" w14:textId="73F22123" w:rsidR="00987358" w:rsidRPr="00987358" w:rsidRDefault="007973B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66244289" w:history="1"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8.</w:t>
            </w:r>
            <w:r w:rsidR="00987358" w:rsidRPr="00987358">
              <w:rPr>
                <w:rFonts w:asciiTheme="minorHAnsi" w:hAnsiTheme="minorHAnsi" w:cstheme="minorHAnsi"/>
                <w:noProof/>
              </w:rPr>
              <w:tab/>
            </w:r>
            <w:r w:rsidR="00987358" w:rsidRPr="00987358">
              <w:rPr>
                <w:rStyle w:val="Hyperlink"/>
                <w:rFonts w:asciiTheme="minorHAnsi" w:hAnsiTheme="minorHAnsi" w:cstheme="minorHAnsi"/>
                <w:noProof/>
              </w:rPr>
              <w:t>APPENDIX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instrText xml:space="preserve"> PAGEREF _Toc166244289 \h </w:instrTex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87358" w:rsidRPr="0098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FC6401" w14:textId="2AEE3E3E" w:rsidR="00987358" w:rsidRDefault="00987358">
          <w:r w:rsidRPr="00987358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45BAC666" w14:textId="77777777" w:rsidR="00A029C3" w:rsidRDefault="00A029C3">
      <w:pPr>
        <w:rPr>
          <w:b/>
          <w:sz w:val="36"/>
          <w:szCs w:val="24"/>
        </w:rPr>
      </w:pPr>
      <w:r>
        <w:br w:type="page"/>
      </w:r>
    </w:p>
    <w:p w14:paraId="316DA5BF" w14:textId="159D11A6" w:rsidR="00C70C94" w:rsidRDefault="00CD4B0A" w:rsidP="00CD4B0A">
      <w:pPr>
        <w:pStyle w:val="Heading1"/>
        <w:numPr>
          <w:ilvl w:val="0"/>
          <w:numId w:val="0"/>
        </w:numPr>
        <w:ind w:left="360"/>
      </w:pPr>
      <w:bookmarkStart w:id="2" w:name="_Toc166244275"/>
      <w:r w:rsidRPr="004933B8">
        <w:lastRenderedPageBreak/>
        <w:t xml:space="preserve">Standard Operating </w:t>
      </w:r>
      <w:r w:rsidRPr="00DF1005">
        <w:t>Procedures</w:t>
      </w:r>
      <w:r w:rsidR="00C70C94">
        <w:t xml:space="preserve"> </w:t>
      </w:r>
      <w:r w:rsidRPr="004933B8">
        <w:t>for</w:t>
      </w:r>
      <w:bookmarkEnd w:id="2"/>
      <w:r>
        <w:t xml:space="preserve"> </w:t>
      </w:r>
    </w:p>
    <w:p w14:paraId="0763B7FD" w14:textId="567C67FA" w:rsidR="00CD4B0A" w:rsidRPr="004933B8" w:rsidRDefault="00CD4B0A" w:rsidP="00CD4B0A">
      <w:pPr>
        <w:pStyle w:val="Heading1"/>
        <w:numPr>
          <w:ilvl w:val="0"/>
          <w:numId w:val="0"/>
        </w:numPr>
        <w:ind w:left="360"/>
      </w:pPr>
      <w:bookmarkStart w:id="3" w:name="_Toc166244276"/>
      <w:r>
        <w:t>Concomitant Medications</w:t>
      </w:r>
      <w:bookmarkEnd w:id="3"/>
    </w:p>
    <w:p w14:paraId="21B92F83" w14:textId="77777777" w:rsidR="007B12D1" w:rsidRPr="004933B8" w:rsidRDefault="000B2C99" w:rsidP="00CD4B0A">
      <w:pPr>
        <w:pStyle w:val="Heading2"/>
      </w:pPr>
      <w:bookmarkStart w:id="4" w:name="_Toc166244277"/>
      <w:r w:rsidRPr="004933B8">
        <w:t>PURPOSE</w:t>
      </w:r>
      <w:bookmarkEnd w:id="4"/>
      <w:r w:rsidRPr="004933B8">
        <w:t xml:space="preserve"> </w:t>
      </w:r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346"/>
      </w:tblGrid>
      <w:tr w:rsidR="007B12D1" w:rsidRPr="004933B8" w14:paraId="06095FE7" w14:textId="77777777" w:rsidTr="00BA1BB2">
        <w:tc>
          <w:tcPr>
            <w:tcW w:w="9346" w:type="dxa"/>
          </w:tcPr>
          <w:p w14:paraId="58606B83" w14:textId="2907EFFD" w:rsidR="007B12D1" w:rsidRPr="004933B8" w:rsidRDefault="0096028F" w:rsidP="00D1148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Th</w:t>
            </w:r>
            <w:r w:rsidR="00034C0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is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</w:t>
            </w:r>
            <w:r w:rsidR="005A07D0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standard operating procedure (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SOP</w:t>
            </w:r>
            <w:r w:rsidR="005A07D0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)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describes the process of concomitant medication </w:t>
            </w:r>
            <w:r w:rsidR="005A07D0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evaluation and 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review </w:t>
            </w:r>
            <w:r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at screening, baseline</w:t>
            </w:r>
            <w:r w:rsidR="00034C0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and </w:t>
            </w:r>
            <w:r w:rsidR="00034C0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follow-up of participants</w:t>
            </w:r>
            <w:r w:rsidR="005A07D0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in</w:t>
            </w:r>
            <w:r w:rsidR="00034C0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the</w:t>
            </w:r>
            <w:r w:rsidR="005A07D0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endTB Clinical Trial</w:t>
            </w:r>
            <w:r w:rsidR="00335DD7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s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. Along with the study </w:t>
            </w:r>
            <w:r w:rsidR="005A07D0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drugs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, study participants may take prescription and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over-the-counter drugs </w:t>
            </w:r>
            <w:r w:rsidR="00E17242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or</w:t>
            </w:r>
            <w:r w:rsidR="00E17242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supplements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. This information must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be collected 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and documented through the whole </w:t>
            </w:r>
            <w:r w:rsidR="00D1148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period of 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participation</w:t>
            </w:r>
            <w:r w:rsidR="00D1148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in 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the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study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</w:t>
            </w:r>
            <w:r w:rsidR="000312E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i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n order to ensure participants’ safety and to prevent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potential drug-drug 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interact</w:t>
            </w:r>
            <w:r w:rsidR="0084382A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ion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with the study </w:t>
            </w:r>
            <w:r w:rsidR="00336FB0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drugs</w:t>
            </w:r>
            <w:r w:rsidR="00F44A7C" w:rsidRPr="004933B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.</w:t>
            </w:r>
          </w:p>
        </w:tc>
      </w:tr>
    </w:tbl>
    <w:p w14:paraId="30B0D631" w14:textId="77777777" w:rsidR="007B12D1" w:rsidRPr="004933B8" w:rsidRDefault="000B2C99" w:rsidP="00CD4B0A">
      <w:pPr>
        <w:pStyle w:val="Heading2"/>
      </w:pPr>
      <w:bookmarkStart w:id="5" w:name="_Toc166244278"/>
      <w:r w:rsidRPr="004933B8">
        <w:t>SCOPE</w:t>
      </w:r>
      <w:bookmarkEnd w:id="5"/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346"/>
      </w:tblGrid>
      <w:tr w:rsidR="007B12D1" w:rsidRPr="004933B8" w14:paraId="646ECE8C" w14:textId="77777777" w:rsidTr="00BA1BB2">
        <w:tc>
          <w:tcPr>
            <w:tcW w:w="9346" w:type="dxa"/>
          </w:tcPr>
          <w:p w14:paraId="0B15F543" w14:textId="457AE54F" w:rsidR="007B12D1" w:rsidRPr="004933B8" w:rsidRDefault="00695E55" w:rsidP="00DF1005">
            <w:pPr>
              <w:spacing w:before="120"/>
              <w:jc w:val="both"/>
              <w:rPr>
                <w:rFonts w:asciiTheme="minorHAnsi" w:hAnsiTheme="minorHAnsi" w:cstheme="minorHAnsi"/>
                <w:i/>
              </w:rPr>
            </w:pPr>
            <w:r w:rsidRPr="004933B8">
              <w:rPr>
                <w:rFonts w:asciiTheme="minorHAnsi" w:hAnsiTheme="minorHAnsi" w:cstheme="minorHAnsi"/>
                <w:bCs/>
                <w:lang w:eastAsia="nl-BE"/>
              </w:rPr>
              <w:t xml:space="preserve">This SOP applies to </w:t>
            </w:r>
            <w:r w:rsidR="0084382A">
              <w:rPr>
                <w:rFonts w:asciiTheme="minorHAnsi" w:hAnsiTheme="minorHAnsi" w:cstheme="minorHAnsi"/>
                <w:bCs/>
                <w:lang w:eastAsia="nl-BE"/>
              </w:rPr>
              <w:t>all s</w:t>
            </w:r>
            <w:r w:rsidR="00034C08">
              <w:rPr>
                <w:rFonts w:asciiTheme="minorHAnsi" w:hAnsiTheme="minorHAnsi" w:cstheme="minorHAnsi"/>
                <w:bCs/>
                <w:lang w:eastAsia="nl-BE"/>
              </w:rPr>
              <w:t>tudy</w:t>
            </w:r>
            <w:r w:rsidR="0084382A">
              <w:rPr>
                <w:rFonts w:asciiTheme="minorHAnsi" w:hAnsiTheme="minorHAnsi" w:cstheme="minorHAnsi"/>
                <w:bCs/>
                <w:lang w:eastAsia="nl-BE"/>
              </w:rPr>
              <w:t xml:space="preserve"> staff members</w:t>
            </w:r>
            <w:r w:rsidR="004933B8" w:rsidRPr="004933B8">
              <w:rPr>
                <w:rFonts w:asciiTheme="minorHAnsi" w:hAnsiTheme="minorHAnsi" w:cstheme="minorHAnsi"/>
                <w:bCs/>
                <w:lang w:eastAsia="nl-BE"/>
              </w:rPr>
              <w:t xml:space="preserve"> who will be directly involved in concomitant medication </w:t>
            </w:r>
            <w:r w:rsidR="0084382A">
              <w:rPr>
                <w:rFonts w:asciiTheme="minorHAnsi" w:hAnsiTheme="minorHAnsi" w:cstheme="minorHAnsi"/>
                <w:bCs/>
                <w:lang w:eastAsia="nl-BE"/>
              </w:rPr>
              <w:t xml:space="preserve">evaluation, </w:t>
            </w:r>
            <w:r w:rsidR="004933B8" w:rsidRPr="004933B8">
              <w:rPr>
                <w:rFonts w:asciiTheme="minorHAnsi" w:hAnsiTheme="minorHAnsi" w:cstheme="minorHAnsi"/>
                <w:bCs/>
                <w:lang w:eastAsia="nl-BE"/>
              </w:rPr>
              <w:t>review</w:t>
            </w:r>
            <w:r w:rsidR="00034C08">
              <w:rPr>
                <w:rFonts w:asciiTheme="minorHAnsi" w:hAnsiTheme="minorHAnsi" w:cstheme="minorHAnsi"/>
                <w:bCs/>
                <w:lang w:eastAsia="nl-BE"/>
              </w:rPr>
              <w:t>,</w:t>
            </w:r>
            <w:r w:rsidR="0084382A">
              <w:rPr>
                <w:rFonts w:asciiTheme="minorHAnsi" w:hAnsiTheme="minorHAnsi" w:cstheme="minorHAnsi"/>
                <w:bCs/>
                <w:lang w:eastAsia="nl-BE"/>
              </w:rPr>
              <w:t xml:space="preserve"> and documentation.</w:t>
            </w:r>
            <w:r w:rsidR="004933B8" w:rsidRPr="004933B8">
              <w:rPr>
                <w:rFonts w:asciiTheme="minorHAnsi" w:hAnsiTheme="minorHAnsi" w:cstheme="minorHAnsi"/>
                <w:bCs/>
                <w:lang w:eastAsia="nl-BE"/>
              </w:rPr>
              <w:t xml:space="preserve">  </w:t>
            </w:r>
          </w:p>
        </w:tc>
      </w:tr>
    </w:tbl>
    <w:p w14:paraId="09F6CE71" w14:textId="77777777" w:rsidR="007B12D1" w:rsidRPr="004933B8" w:rsidRDefault="000B2C99" w:rsidP="00CD4B0A">
      <w:pPr>
        <w:pStyle w:val="Heading2"/>
      </w:pPr>
      <w:bookmarkStart w:id="6" w:name="_Toc166244279"/>
      <w:r w:rsidRPr="004933B8">
        <w:t>RESPONSIBLE FUNCTIONS</w:t>
      </w:r>
      <w:bookmarkEnd w:id="6"/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835"/>
        <w:gridCol w:w="6511"/>
      </w:tblGrid>
      <w:tr w:rsidR="007B12D1" w:rsidRPr="004933B8" w14:paraId="7814D9D0" w14:textId="77777777" w:rsidTr="00A029C3">
        <w:trPr>
          <w:trHeight w:val="60"/>
        </w:trPr>
        <w:tc>
          <w:tcPr>
            <w:tcW w:w="2835" w:type="dxa"/>
            <w:shd w:val="clear" w:color="auto" w:fill="F2F2F2"/>
          </w:tcPr>
          <w:p w14:paraId="5C5A8902" w14:textId="77777777" w:rsidR="007B12D1" w:rsidRPr="004933B8" w:rsidRDefault="000B2C99">
            <w:pPr>
              <w:spacing w:before="80" w:after="80"/>
              <w:rPr>
                <w:rFonts w:asciiTheme="minorHAnsi" w:hAnsiTheme="minorHAnsi" w:cstheme="minorHAnsi"/>
              </w:rPr>
            </w:pPr>
            <w:r w:rsidRPr="004933B8">
              <w:rPr>
                <w:rFonts w:asciiTheme="minorHAnsi" w:hAnsiTheme="minorHAnsi" w:cstheme="minorHAnsi"/>
                <w:b/>
              </w:rPr>
              <w:t>Function</w:t>
            </w:r>
          </w:p>
        </w:tc>
        <w:tc>
          <w:tcPr>
            <w:tcW w:w="6511" w:type="dxa"/>
            <w:shd w:val="clear" w:color="auto" w:fill="F2F2F2"/>
            <w:vAlign w:val="center"/>
          </w:tcPr>
          <w:p w14:paraId="18470844" w14:textId="77777777" w:rsidR="007B12D1" w:rsidRPr="004933B8" w:rsidRDefault="000B2C99">
            <w:pPr>
              <w:spacing w:before="80" w:after="80"/>
              <w:rPr>
                <w:rFonts w:asciiTheme="minorHAnsi" w:hAnsiTheme="minorHAnsi" w:cstheme="minorHAnsi"/>
              </w:rPr>
            </w:pPr>
            <w:r w:rsidRPr="004933B8">
              <w:rPr>
                <w:rFonts w:asciiTheme="minorHAnsi" w:hAnsiTheme="minorHAnsi" w:cstheme="minorHAnsi"/>
                <w:b/>
              </w:rPr>
              <w:t>Activities</w:t>
            </w:r>
          </w:p>
        </w:tc>
      </w:tr>
      <w:tr w:rsidR="00034C08" w:rsidRPr="004933B8" w14:paraId="24B71C41" w14:textId="77777777" w:rsidTr="00A029C3">
        <w:tc>
          <w:tcPr>
            <w:tcW w:w="2835" w:type="dxa"/>
            <w:shd w:val="clear" w:color="auto" w:fill="FFFFFF"/>
          </w:tcPr>
          <w:p w14:paraId="1BF29626" w14:textId="14F8DA33" w:rsidR="00034C08" w:rsidRDefault="00034C08" w:rsidP="004933B8">
            <w:pPr>
              <w:spacing w:before="80" w:after="80"/>
              <w:rPr>
                <w:rFonts w:asciiTheme="minorHAnsi" w:hAnsiTheme="minorHAnsi" w:cstheme="minorHAnsi"/>
                <w:lang w:eastAsia="nl-BE"/>
              </w:rPr>
            </w:pPr>
            <w:r>
              <w:rPr>
                <w:rFonts w:asciiTheme="minorHAnsi" w:hAnsiTheme="minorHAnsi" w:cs="Arial"/>
                <w:b/>
              </w:rPr>
              <w:t>Site Principal I</w:t>
            </w:r>
            <w:r w:rsidRPr="00B14529">
              <w:rPr>
                <w:rFonts w:asciiTheme="minorHAnsi" w:hAnsiTheme="minorHAnsi" w:cs="Arial"/>
                <w:b/>
              </w:rPr>
              <w:t>nvestigator</w:t>
            </w:r>
            <w:r>
              <w:rPr>
                <w:rFonts w:asciiTheme="minorHAnsi" w:hAnsiTheme="minorHAnsi" w:cs="Arial"/>
                <w:b/>
              </w:rPr>
              <w:t xml:space="preserve"> (site-PI)</w:t>
            </w:r>
          </w:p>
        </w:tc>
        <w:tc>
          <w:tcPr>
            <w:tcW w:w="6511" w:type="dxa"/>
            <w:shd w:val="clear" w:color="auto" w:fill="FFFFFF"/>
            <w:vAlign w:val="center"/>
          </w:tcPr>
          <w:p w14:paraId="447702E6" w14:textId="5BF15FE6" w:rsidR="00034C08" w:rsidRPr="00034C08" w:rsidRDefault="00034C08" w:rsidP="00335DD7">
            <w:pPr>
              <w:pStyle w:val="ListParagraph"/>
              <w:numPr>
                <w:ilvl w:val="0"/>
                <w:numId w:val="28"/>
              </w:numPr>
              <w:spacing w:before="80" w:after="80"/>
              <w:rPr>
                <w:rFonts w:asciiTheme="minorHAnsi" w:hAnsiTheme="minorHAnsi" w:cstheme="minorHAnsi"/>
                <w:lang w:eastAsia="nl-BE"/>
              </w:rPr>
            </w:pPr>
            <w:r>
              <w:t>Supports the delegated site clinician in ensuring that the concomitant medication review is performed according to the study protocol</w:t>
            </w:r>
            <w:r w:rsidR="00AB3BD2">
              <w:t>.</w:t>
            </w:r>
          </w:p>
        </w:tc>
      </w:tr>
      <w:tr w:rsidR="003524A7" w:rsidRPr="004933B8" w14:paraId="38442D67" w14:textId="77777777" w:rsidTr="00A029C3">
        <w:tc>
          <w:tcPr>
            <w:tcW w:w="2835" w:type="dxa"/>
            <w:shd w:val="clear" w:color="auto" w:fill="FFFFFF"/>
          </w:tcPr>
          <w:p w14:paraId="52F4FAD8" w14:textId="530B761A" w:rsidR="003524A7" w:rsidRPr="00DF1005" w:rsidRDefault="00034C0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DF1005">
              <w:rPr>
                <w:rFonts w:asciiTheme="minorHAnsi" w:hAnsiTheme="minorHAnsi" w:cstheme="minorHAnsi"/>
                <w:b/>
                <w:lang w:eastAsia="nl-BE"/>
              </w:rPr>
              <w:t>Delegated site clinical investigator/</w:t>
            </w:r>
            <w:r w:rsidR="00531ED1" w:rsidRPr="00DF1005">
              <w:rPr>
                <w:rFonts w:asciiTheme="minorHAnsi" w:hAnsiTheme="minorHAnsi" w:cstheme="minorHAnsi"/>
                <w:b/>
                <w:lang w:eastAsia="nl-BE"/>
              </w:rPr>
              <w:t xml:space="preserve"> Trial nurse</w:t>
            </w:r>
            <w:r w:rsidRPr="00DF1005">
              <w:rPr>
                <w:rFonts w:asciiTheme="minorHAnsi" w:hAnsiTheme="minorHAnsi" w:cstheme="minorHAnsi"/>
                <w:b/>
                <w:lang w:eastAsia="nl-BE"/>
              </w:rPr>
              <w:t xml:space="preserve">/ </w:t>
            </w:r>
            <w:r w:rsidR="004933B8" w:rsidRPr="00DF1005">
              <w:rPr>
                <w:rFonts w:asciiTheme="minorHAnsi" w:hAnsiTheme="minorHAnsi" w:cstheme="minorHAnsi"/>
                <w:b/>
                <w:lang w:eastAsia="nl-BE"/>
              </w:rPr>
              <w:t>Site Pharmacist/</w:t>
            </w:r>
            <w:r w:rsidR="000312EE" w:rsidRPr="00DF1005">
              <w:rPr>
                <w:rFonts w:asciiTheme="minorHAnsi" w:hAnsiTheme="minorHAnsi" w:cstheme="minorHAnsi"/>
                <w:b/>
                <w:lang w:eastAsia="nl-BE"/>
              </w:rPr>
              <w:t xml:space="preserve">Site </w:t>
            </w:r>
            <w:r w:rsidR="004933B8" w:rsidRPr="00DF1005">
              <w:rPr>
                <w:rFonts w:asciiTheme="minorHAnsi" w:hAnsiTheme="minorHAnsi" w:cstheme="minorHAnsi"/>
                <w:b/>
                <w:lang w:eastAsia="nl-BE"/>
              </w:rPr>
              <w:t>Study Coordinator</w:t>
            </w:r>
          </w:p>
        </w:tc>
        <w:tc>
          <w:tcPr>
            <w:tcW w:w="6511" w:type="dxa"/>
            <w:shd w:val="clear" w:color="auto" w:fill="FFFFFF"/>
            <w:vAlign w:val="center"/>
          </w:tcPr>
          <w:p w14:paraId="1B481B18" w14:textId="2CF873CE" w:rsidR="003524A7" w:rsidRPr="00DF1005" w:rsidRDefault="00344F8D" w:rsidP="00335DD7">
            <w:pPr>
              <w:pStyle w:val="ListParagraph"/>
              <w:numPr>
                <w:ilvl w:val="0"/>
                <w:numId w:val="28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DF1005">
              <w:rPr>
                <w:rFonts w:asciiTheme="minorHAnsi" w:hAnsiTheme="minorHAnsi" w:cstheme="minorHAnsi"/>
                <w:lang w:eastAsia="nl-BE"/>
              </w:rPr>
              <w:t>Continuously check</w:t>
            </w:r>
            <w:r w:rsidR="00BC5786">
              <w:rPr>
                <w:rFonts w:asciiTheme="minorHAnsi" w:hAnsiTheme="minorHAnsi" w:cstheme="minorHAnsi"/>
                <w:lang w:eastAsia="nl-BE"/>
              </w:rPr>
              <w:t>s</w:t>
            </w:r>
            <w:r w:rsidRPr="00DF1005">
              <w:rPr>
                <w:rFonts w:asciiTheme="minorHAnsi" w:hAnsiTheme="minorHAnsi" w:cstheme="minorHAnsi"/>
                <w:lang w:eastAsia="nl-BE"/>
              </w:rPr>
              <w:t xml:space="preserve"> concomitant medications against </w:t>
            </w:r>
            <w:r w:rsidR="007937EF" w:rsidRPr="00DF1005">
              <w:rPr>
                <w:rFonts w:asciiTheme="minorHAnsi" w:hAnsiTheme="minorHAnsi" w:cstheme="minorHAnsi"/>
                <w:lang w:eastAsia="nl-BE"/>
              </w:rPr>
              <w:t>contraindicated</w:t>
            </w:r>
            <w:r w:rsidRPr="00DF1005">
              <w:rPr>
                <w:rFonts w:asciiTheme="minorHAnsi" w:hAnsiTheme="minorHAnsi" w:cstheme="minorHAnsi"/>
                <w:lang w:eastAsia="nl-BE"/>
              </w:rPr>
              <w:t xml:space="preserve"> </w:t>
            </w:r>
            <w:r w:rsidR="007937EF" w:rsidRPr="00DF1005">
              <w:rPr>
                <w:rFonts w:asciiTheme="minorHAnsi" w:hAnsiTheme="minorHAnsi" w:cstheme="minorHAnsi"/>
                <w:lang w:eastAsia="nl-BE"/>
              </w:rPr>
              <w:t xml:space="preserve">concomitant </w:t>
            </w:r>
            <w:r w:rsidRPr="00DF1005">
              <w:rPr>
                <w:rFonts w:asciiTheme="minorHAnsi" w:hAnsiTheme="minorHAnsi" w:cstheme="minorHAnsi"/>
                <w:lang w:eastAsia="nl-BE"/>
              </w:rPr>
              <w:t xml:space="preserve">medications listed in </w:t>
            </w:r>
            <w:r w:rsidR="000C01C8">
              <w:rPr>
                <w:rFonts w:asciiTheme="minorHAnsi" w:hAnsiTheme="minorHAnsi" w:cstheme="minorHAnsi"/>
                <w:lang w:eastAsia="nl-BE"/>
              </w:rPr>
              <w:t>this SOP</w:t>
            </w:r>
            <w:r w:rsidRPr="00DF1005">
              <w:rPr>
                <w:rFonts w:asciiTheme="minorHAnsi" w:hAnsiTheme="minorHAnsi" w:cstheme="minorHAnsi"/>
                <w:lang w:eastAsia="nl-BE"/>
              </w:rPr>
              <w:t xml:space="preserve">. </w:t>
            </w:r>
          </w:p>
        </w:tc>
      </w:tr>
    </w:tbl>
    <w:p w14:paraId="2A8E9F69" w14:textId="77777777" w:rsidR="007B12D1" w:rsidRPr="004933B8" w:rsidRDefault="000B2C99" w:rsidP="00CD4B0A">
      <w:pPr>
        <w:pStyle w:val="Heading2"/>
      </w:pPr>
      <w:bookmarkStart w:id="7" w:name="_Toc166244280"/>
      <w:r w:rsidRPr="004933B8">
        <w:t>DEFINITIONS and ABBREVIATIONS</w:t>
      </w:r>
      <w:bookmarkEnd w:id="7"/>
    </w:p>
    <w:p w14:paraId="3C865490" w14:textId="77777777" w:rsidR="008A182D" w:rsidRPr="00E51A43" w:rsidRDefault="008A182D" w:rsidP="00215183">
      <w:pPr>
        <w:jc w:val="both"/>
        <w:rPr>
          <w:rFonts w:asciiTheme="minorHAnsi" w:hAnsiTheme="minorHAnsi" w:cstheme="minorHAnsi"/>
        </w:rPr>
      </w:pPr>
      <w:r w:rsidRPr="00A029C3">
        <w:rPr>
          <w:rFonts w:asciiTheme="minorHAnsi" w:hAnsiTheme="minorHAnsi" w:cstheme="minorHAnsi"/>
          <w:b/>
        </w:rPr>
        <w:t>Adverse Event:</w:t>
      </w:r>
      <w:r w:rsidR="001B2A1A">
        <w:rPr>
          <w:rFonts w:asciiTheme="minorHAnsi" w:hAnsiTheme="minorHAnsi" w:cstheme="minorHAnsi"/>
        </w:rPr>
        <w:t xml:space="preserve"> Any untoward medical occurrence in a patient or clinical investigation subject administered a pharmaceutical product and which does not necessarily have a causal relationship with this treatment.</w:t>
      </w:r>
    </w:p>
    <w:p w14:paraId="0866F4DA" w14:textId="00DBF252" w:rsidR="00C3563C" w:rsidRDefault="00C3563C" w:rsidP="00215183">
      <w:pPr>
        <w:jc w:val="both"/>
        <w:rPr>
          <w:rFonts w:asciiTheme="minorHAnsi" w:hAnsiTheme="minorHAnsi" w:cstheme="minorHAnsi"/>
        </w:rPr>
      </w:pPr>
      <w:r w:rsidRPr="00A029C3">
        <w:rPr>
          <w:rFonts w:asciiTheme="minorHAnsi" w:hAnsiTheme="minorHAnsi" w:cstheme="minorHAnsi"/>
          <w:b/>
        </w:rPr>
        <w:t>Concomitant Medications</w:t>
      </w:r>
      <w:r w:rsidR="000B44C0" w:rsidRPr="00A029C3">
        <w:rPr>
          <w:rFonts w:asciiTheme="minorHAnsi" w:hAnsiTheme="minorHAnsi" w:cstheme="minorHAnsi"/>
          <w:b/>
        </w:rPr>
        <w:t xml:space="preserve"> (Con-</w:t>
      </w:r>
      <w:r w:rsidR="00354FDD" w:rsidRPr="00A029C3">
        <w:rPr>
          <w:rFonts w:asciiTheme="minorHAnsi" w:hAnsiTheme="minorHAnsi" w:cstheme="minorHAnsi"/>
          <w:b/>
        </w:rPr>
        <w:t>M</w:t>
      </w:r>
      <w:r w:rsidR="000B44C0" w:rsidRPr="00A029C3">
        <w:rPr>
          <w:rFonts w:asciiTheme="minorHAnsi" w:hAnsiTheme="minorHAnsi" w:cstheme="minorHAnsi"/>
          <w:b/>
        </w:rPr>
        <w:t>ed)</w:t>
      </w:r>
      <w:r w:rsidR="00AB3BD2" w:rsidRPr="00A029C3">
        <w:rPr>
          <w:rFonts w:asciiTheme="minorHAnsi" w:hAnsiTheme="minorHAnsi" w:cstheme="minorHAnsi"/>
          <w:b/>
        </w:rPr>
        <w:t>:</w:t>
      </w:r>
      <w:r w:rsidRPr="004933B8">
        <w:rPr>
          <w:rFonts w:asciiTheme="minorHAnsi" w:hAnsiTheme="minorHAnsi" w:cstheme="minorHAnsi"/>
        </w:rPr>
        <w:t xml:space="preserve"> Medications taken by a clinical research participant in addition to </w:t>
      </w:r>
      <w:r w:rsidR="00D95102">
        <w:rPr>
          <w:rFonts w:asciiTheme="minorHAnsi" w:hAnsiTheme="minorHAnsi" w:cstheme="minorHAnsi"/>
        </w:rPr>
        <w:t xml:space="preserve">the </w:t>
      </w:r>
      <w:r w:rsidRPr="004933B8">
        <w:rPr>
          <w:rFonts w:asciiTheme="minorHAnsi" w:hAnsiTheme="minorHAnsi" w:cstheme="minorHAnsi"/>
        </w:rPr>
        <w:t>study/investigational treatment. Concomitant medications include any prescribed or over-the-</w:t>
      </w:r>
      <w:r w:rsidRPr="004933B8">
        <w:rPr>
          <w:rFonts w:asciiTheme="minorHAnsi" w:hAnsiTheme="minorHAnsi" w:cstheme="minorHAnsi"/>
        </w:rPr>
        <w:lastRenderedPageBreak/>
        <w:t xml:space="preserve">counter medications, folk and herbal treatments, vitamin supplements, and illicit drugs or </w:t>
      </w:r>
      <w:r w:rsidR="004933B8" w:rsidRPr="004933B8">
        <w:rPr>
          <w:rFonts w:asciiTheme="minorHAnsi" w:hAnsiTheme="minorHAnsi" w:cstheme="minorHAnsi"/>
        </w:rPr>
        <w:t>agents</w:t>
      </w:r>
      <w:r w:rsidRPr="004933B8">
        <w:rPr>
          <w:rFonts w:asciiTheme="minorHAnsi" w:hAnsiTheme="minorHAnsi" w:cstheme="minorHAnsi"/>
        </w:rPr>
        <w:t xml:space="preserve"> </w:t>
      </w:r>
      <w:r w:rsidR="004933B8" w:rsidRPr="004933B8">
        <w:rPr>
          <w:rFonts w:asciiTheme="minorHAnsi" w:hAnsiTheme="minorHAnsi" w:cstheme="minorHAnsi"/>
        </w:rPr>
        <w:t>acquired</w:t>
      </w:r>
      <w:r w:rsidRPr="004933B8">
        <w:rPr>
          <w:rFonts w:asciiTheme="minorHAnsi" w:hAnsiTheme="minorHAnsi" w:cstheme="minorHAnsi"/>
        </w:rPr>
        <w:t xml:space="preserve"> on the street to alter body or mind function. </w:t>
      </w:r>
    </w:p>
    <w:p w14:paraId="70CC0F2E" w14:textId="12ED2365" w:rsidR="00227D8D" w:rsidRDefault="00F736C6" w:rsidP="002151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Certain medications</w:t>
      </w:r>
      <w:r w:rsidR="00227D8D">
        <w:rPr>
          <w:rFonts w:asciiTheme="minorHAnsi" w:hAnsiTheme="minorHAnsi" w:cstheme="minorHAnsi"/>
        </w:rPr>
        <w:t xml:space="preserve"> are disallowed </w:t>
      </w:r>
      <w:r w:rsidR="00244E54">
        <w:rPr>
          <w:rFonts w:asciiTheme="minorHAnsi" w:hAnsiTheme="minorHAnsi" w:cstheme="minorHAnsi"/>
        </w:rPr>
        <w:t xml:space="preserve">among participants in </w:t>
      </w:r>
      <w:r w:rsidR="00227D8D">
        <w:rPr>
          <w:rFonts w:asciiTheme="minorHAnsi" w:hAnsiTheme="minorHAnsi" w:cstheme="minorHAnsi"/>
        </w:rPr>
        <w:t>the end</w:t>
      </w:r>
      <w:r w:rsidR="0084382A">
        <w:rPr>
          <w:rFonts w:asciiTheme="minorHAnsi" w:hAnsiTheme="minorHAnsi" w:cstheme="minorHAnsi"/>
        </w:rPr>
        <w:t>TB</w:t>
      </w:r>
      <w:r w:rsidR="00227D8D">
        <w:rPr>
          <w:rFonts w:asciiTheme="minorHAnsi" w:hAnsiTheme="minorHAnsi" w:cstheme="minorHAnsi"/>
        </w:rPr>
        <w:t xml:space="preserve"> trial</w:t>
      </w:r>
      <w:r w:rsidR="0069271D">
        <w:rPr>
          <w:rFonts w:asciiTheme="minorHAnsi" w:hAnsiTheme="minorHAnsi" w:cstheme="minorHAnsi"/>
        </w:rPr>
        <w:t>s</w:t>
      </w:r>
      <w:r w:rsidR="001023F5">
        <w:rPr>
          <w:rFonts w:asciiTheme="minorHAnsi" w:hAnsiTheme="minorHAnsi" w:cstheme="minorHAnsi"/>
        </w:rPr>
        <w:t>: some are disallowed for all study participants from the time of randomization; some require a longer wash</w:t>
      </w:r>
      <w:r w:rsidR="00547519">
        <w:rPr>
          <w:rFonts w:asciiTheme="minorHAnsi" w:hAnsiTheme="minorHAnsi" w:cstheme="minorHAnsi"/>
        </w:rPr>
        <w:t>-</w:t>
      </w:r>
      <w:r w:rsidR="001023F5">
        <w:rPr>
          <w:rFonts w:asciiTheme="minorHAnsi" w:hAnsiTheme="minorHAnsi" w:cstheme="minorHAnsi"/>
        </w:rPr>
        <w:t xml:space="preserve">out period before </w:t>
      </w:r>
      <w:r w:rsidR="008C2B75">
        <w:rPr>
          <w:rFonts w:asciiTheme="minorHAnsi" w:hAnsiTheme="minorHAnsi" w:cstheme="minorHAnsi"/>
        </w:rPr>
        <w:t xml:space="preserve">some or all </w:t>
      </w:r>
      <w:r w:rsidR="001023F5">
        <w:rPr>
          <w:rFonts w:asciiTheme="minorHAnsi" w:hAnsiTheme="minorHAnsi" w:cstheme="minorHAnsi"/>
        </w:rPr>
        <w:t>study treatment</w:t>
      </w:r>
      <w:r w:rsidR="008C2B75">
        <w:rPr>
          <w:rFonts w:asciiTheme="minorHAnsi" w:hAnsiTheme="minorHAnsi" w:cstheme="minorHAnsi"/>
        </w:rPr>
        <w:t>s</w:t>
      </w:r>
      <w:r w:rsidR="001023F5">
        <w:rPr>
          <w:rFonts w:asciiTheme="minorHAnsi" w:hAnsiTheme="minorHAnsi" w:cstheme="minorHAnsi"/>
        </w:rPr>
        <w:t xml:space="preserve"> may be initiated; some are disallowed only for participants receiving specific study drugs</w:t>
      </w:r>
      <w:r w:rsidR="008C2B75">
        <w:rPr>
          <w:rFonts w:asciiTheme="minorHAnsi" w:hAnsiTheme="minorHAnsi" w:cstheme="minorHAnsi"/>
        </w:rPr>
        <w:t>; some are noted for QT-interval prolonging effects</w:t>
      </w:r>
      <w:r w:rsidR="001023F5">
        <w:rPr>
          <w:rFonts w:asciiTheme="minorHAnsi" w:hAnsiTheme="minorHAnsi" w:cstheme="minorHAnsi"/>
        </w:rPr>
        <w:t>. The list of drugs is</w:t>
      </w:r>
      <w:r w:rsidR="00AA37AB">
        <w:rPr>
          <w:rFonts w:asciiTheme="minorHAnsi" w:hAnsiTheme="minorHAnsi" w:cstheme="minorHAnsi"/>
        </w:rPr>
        <w:t xml:space="preserve"> </w:t>
      </w:r>
      <w:r w:rsidR="00227D8D">
        <w:rPr>
          <w:rFonts w:asciiTheme="minorHAnsi" w:hAnsiTheme="minorHAnsi" w:cstheme="minorHAnsi"/>
        </w:rPr>
        <w:t xml:space="preserve">presented in the </w:t>
      </w:r>
      <w:r w:rsidR="001B2A1A">
        <w:rPr>
          <w:rFonts w:asciiTheme="minorHAnsi" w:hAnsiTheme="minorHAnsi" w:cstheme="minorHAnsi"/>
        </w:rPr>
        <w:t>Appendix</w:t>
      </w:r>
      <w:r w:rsidR="00227D8D">
        <w:rPr>
          <w:rFonts w:asciiTheme="minorHAnsi" w:hAnsiTheme="minorHAnsi" w:cstheme="minorHAnsi"/>
        </w:rPr>
        <w:t>.</w:t>
      </w:r>
      <w:r w:rsidR="000C01C8">
        <w:rPr>
          <w:rFonts w:asciiTheme="minorHAnsi" w:hAnsiTheme="minorHAnsi" w:cstheme="minorHAnsi"/>
        </w:rPr>
        <w:t xml:space="preserve"> An electronic Concomitant Medication</w:t>
      </w:r>
      <w:r w:rsidR="00931386">
        <w:rPr>
          <w:rFonts w:asciiTheme="minorHAnsi" w:hAnsiTheme="minorHAnsi" w:cstheme="minorHAnsi"/>
        </w:rPr>
        <w:t xml:space="preserve"> review</w:t>
      </w:r>
      <w:r w:rsidR="000C01C8">
        <w:rPr>
          <w:rFonts w:asciiTheme="minorHAnsi" w:hAnsiTheme="minorHAnsi" w:cstheme="minorHAnsi"/>
        </w:rPr>
        <w:t xml:space="preserve"> worksheet, which is equivalent to the list in the Appendix, is also available for consultation.</w:t>
      </w:r>
    </w:p>
    <w:p w14:paraId="5F6F5C8F" w14:textId="6E422DBE" w:rsidR="006D18B9" w:rsidRPr="006D18B9" w:rsidRDefault="006D18B9" w:rsidP="00215183">
      <w:pPr>
        <w:jc w:val="both"/>
        <w:rPr>
          <w:rFonts w:asciiTheme="minorHAnsi" w:hAnsiTheme="minorHAnsi" w:cstheme="minorHAnsi"/>
        </w:rPr>
      </w:pPr>
      <w:r w:rsidRPr="00A029C3">
        <w:rPr>
          <w:rFonts w:asciiTheme="minorHAnsi" w:hAnsiTheme="minorHAnsi" w:cstheme="minorHAnsi"/>
          <w:b/>
        </w:rPr>
        <w:t>International Nonproprietary Name (INN):</w:t>
      </w:r>
      <w:r>
        <w:rPr>
          <w:rFonts w:asciiTheme="minorHAnsi" w:hAnsiTheme="minorHAnsi" w:cstheme="minorHAnsi"/>
        </w:rPr>
        <w:t xml:space="preserve"> </w:t>
      </w:r>
      <w:r w:rsidR="00AB3BD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 official non-proprietary, generic name given to a pharmaceutical substance by the World Health Organization.</w:t>
      </w:r>
    </w:p>
    <w:p w14:paraId="4E3EB5BC" w14:textId="7E8E831F" w:rsidR="000A6D23" w:rsidRPr="004933B8" w:rsidRDefault="00CD4B0A" w:rsidP="00215183">
      <w:pPr>
        <w:pStyle w:val="Heading2"/>
        <w:jc w:val="both"/>
      </w:pPr>
      <w:bookmarkStart w:id="8" w:name="_Toc166244281"/>
      <w:r>
        <w:t>PROCEDURE</w:t>
      </w:r>
      <w:bookmarkEnd w:id="8"/>
    </w:p>
    <w:p w14:paraId="56CEDAB1" w14:textId="5E70EC1F" w:rsidR="000A6D23" w:rsidRPr="003C46DF" w:rsidRDefault="000C5162" w:rsidP="00215183">
      <w:pPr>
        <w:pStyle w:val="Heading3"/>
        <w:jc w:val="both"/>
      </w:pPr>
      <w:bookmarkStart w:id="9" w:name="_Toc166244282"/>
      <w:r w:rsidRPr="003C46DF">
        <w:t>Preparation</w:t>
      </w:r>
      <w:bookmarkEnd w:id="9"/>
      <w:r w:rsidRPr="003C46DF">
        <w:t xml:space="preserve"> </w:t>
      </w:r>
    </w:p>
    <w:p w14:paraId="58A899A2" w14:textId="1E858F8C" w:rsidR="00165F2A" w:rsidRPr="003C46DF" w:rsidRDefault="0084382A" w:rsidP="00215183">
      <w:pPr>
        <w:pStyle w:val="ListParagraph"/>
        <w:numPr>
          <w:ilvl w:val="0"/>
          <w:numId w:val="13"/>
        </w:numPr>
        <w:jc w:val="both"/>
      </w:pPr>
      <w:r w:rsidRPr="003C46DF">
        <w:rPr>
          <w:b/>
        </w:rPr>
        <w:t xml:space="preserve">Site Principal Investigator (Site PI) and delegated clinicians and pharmacist(s) </w:t>
      </w:r>
      <w:r w:rsidRPr="003C46DF">
        <w:t xml:space="preserve">must review </w:t>
      </w:r>
      <w:r w:rsidR="00FD4A24" w:rsidRPr="00E51A43">
        <w:t>the list in</w:t>
      </w:r>
      <w:r w:rsidR="000C01C8">
        <w:t xml:space="preserve"> the</w:t>
      </w:r>
      <w:r w:rsidR="00FD4A24" w:rsidRPr="00E51A43">
        <w:t xml:space="preserve"> Appendix</w:t>
      </w:r>
      <w:r w:rsidRPr="003C46DF">
        <w:t xml:space="preserve"> thoroughly to be fully aware of the potential d</w:t>
      </w:r>
      <w:r w:rsidR="008A182D" w:rsidRPr="003C46DF">
        <w:t>rug-drug interactions</w:t>
      </w:r>
      <w:r w:rsidR="00696732">
        <w:t xml:space="preserve"> and additive toxicities</w:t>
      </w:r>
      <w:r w:rsidR="008A182D" w:rsidRPr="003C46DF">
        <w:t xml:space="preserve"> with the study drugs. </w:t>
      </w:r>
    </w:p>
    <w:p w14:paraId="36713C35" w14:textId="3BA6653E" w:rsidR="00165F2A" w:rsidRDefault="00E56B92" w:rsidP="00215183">
      <w:pPr>
        <w:pStyle w:val="ListParagraph"/>
        <w:numPr>
          <w:ilvl w:val="0"/>
          <w:numId w:val="13"/>
        </w:numPr>
        <w:jc w:val="both"/>
      </w:pPr>
      <w:r w:rsidRPr="00165F2A">
        <w:rPr>
          <w:b/>
        </w:rPr>
        <w:t xml:space="preserve">Site Coordinator </w:t>
      </w:r>
      <w:r w:rsidR="00847EFA">
        <w:rPr>
          <w:b/>
        </w:rPr>
        <w:t>and/or delegated personnel</w:t>
      </w:r>
      <w:r w:rsidR="000C5162">
        <w:t xml:space="preserve"> should ensure that the </w:t>
      </w:r>
      <w:r w:rsidR="00FD4A24">
        <w:t>Appendix</w:t>
      </w:r>
      <w:r w:rsidR="00696732">
        <w:t>, and the electronic Concomitant Medication</w:t>
      </w:r>
      <w:r w:rsidR="00931386">
        <w:t xml:space="preserve"> review</w:t>
      </w:r>
      <w:r w:rsidR="00696732">
        <w:t xml:space="preserve"> worksheet,</w:t>
      </w:r>
      <w:r w:rsidR="00FD4A24">
        <w:t xml:space="preserve"> </w:t>
      </w:r>
      <w:r w:rsidR="00696732">
        <w:t>are</w:t>
      </w:r>
      <w:r w:rsidR="000C5162">
        <w:t xml:space="preserve"> </w:t>
      </w:r>
      <w:r w:rsidR="007A521F">
        <w:t xml:space="preserve">easily available </w:t>
      </w:r>
      <w:r w:rsidR="008A182D">
        <w:t>at the</w:t>
      </w:r>
      <w:r w:rsidR="007A521F">
        <w:t xml:space="preserve"> site.</w:t>
      </w:r>
      <w:r w:rsidR="008A182D">
        <w:t xml:space="preserve"> </w:t>
      </w:r>
    </w:p>
    <w:p w14:paraId="7EEE126C" w14:textId="2E527861" w:rsidR="00F74E21" w:rsidRDefault="008A182D" w:rsidP="00215183">
      <w:pPr>
        <w:pStyle w:val="ListParagraph"/>
        <w:numPr>
          <w:ilvl w:val="0"/>
          <w:numId w:val="13"/>
        </w:numPr>
        <w:jc w:val="both"/>
      </w:pPr>
      <w:r w:rsidRPr="00E51A43">
        <w:rPr>
          <w:b/>
        </w:rPr>
        <w:t xml:space="preserve">Site PI and </w:t>
      </w:r>
      <w:r w:rsidRPr="00847EFA">
        <w:rPr>
          <w:b/>
        </w:rPr>
        <w:t>delegat</w:t>
      </w:r>
      <w:r w:rsidR="00847EFA" w:rsidRPr="00DF1005">
        <w:rPr>
          <w:b/>
        </w:rPr>
        <w:t>ed clinicians and pharmacist(s)</w:t>
      </w:r>
      <w:r w:rsidR="00847EFA">
        <w:t xml:space="preserve"> </w:t>
      </w:r>
      <w:r>
        <w:t xml:space="preserve">must </w:t>
      </w:r>
      <w:r w:rsidR="00E94483">
        <w:t>report</w:t>
      </w:r>
      <w:r>
        <w:t xml:space="preserve"> </w:t>
      </w:r>
      <w:r w:rsidR="00244E54">
        <w:t>in the Concomitant Medication CRF (Form 13) a</w:t>
      </w:r>
      <w:r w:rsidR="00696732">
        <w:t>ny Con-</w:t>
      </w:r>
      <w:r w:rsidR="00354FDD">
        <w:t>M</w:t>
      </w:r>
      <w:r w:rsidR="00696732">
        <w:t>ed</w:t>
      </w:r>
      <w:r w:rsidR="00244E54" w:rsidRPr="00244E54">
        <w:t xml:space="preserve"> </w:t>
      </w:r>
      <w:r w:rsidR="00244E54">
        <w:t>taken by a study participant, whether or not the medication appears in the appendix/</w:t>
      </w:r>
      <w:r w:rsidR="00931386">
        <w:t xml:space="preserve">Concomitant Medication review </w:t>
      </w:r>
      <w:r w:rsidR="00244E54">
        <w:t>worksheet.</w:t>
      </w:r>
    </w:p>
    <w:p w14:paraId="24A866D9" w14:textId="2D1F38A1" w:rsidR="000A6D23" w:rsidRPr="0084382A" w:rsidRDefault="000A6D23" w:rsidP="00215183">
      <w:pPr>
        <w:pStyle w:val="Heading3"/>
        <w:jc w:val="both"/>
      </w:pPr>
      <w:bookmarkStart w:id="10" w:name="_Toc166244283"/>
      <w:r w:rsidRPr="0084382A">
        <w:t xml:space="preserve">Concomitant </w:t>
      </w:r>
      <w:r w:rsidR="0093538C" w:rsidRPr="0084382A">
        <w:t>M</w:t>
      </w:r>
      <w:r w:rsidRPr="0084382A">
        <w:t xml:space="preserve">edicine </w:t>
      </w:r>
      <w:r w:rsidR="0093538C" w:rsidRPr="0084382A">
        <w:t>Evaluation</w:t>
      </w:r>
      <w:bookmarkEnd w:id="10"/>
    </w:p>
    <w:p w14:paraId="6B7E4C3A" w14:textId="5E9209BB" w:rsidR="00620207" w:rsidRPr="00132089" w:rsidRDefault="00620207" w:rsidP="00215183">
      <w:pPr>
        <w:spacing w:after="0"/>
        <w:ind w:left="360"/>
        <w:jc w:val="both"/>
        <w:rPr>
          <w:u w:val="single"/>
        </w:rPr>
      </w:pPr>
      <w:r w:rsidRPr="00215183">
        <w:rPr>
          <w:u w:val="single"/>
        </w:rPr>
        <w:t xml:space="preserve">At </w:t>
      </w:r>
      <w:r w:rsidR="00BF614B">
        <w:rPr>
          <w:u w:val="single"/>
        </w:rPr>
        <w:t xml:space="preserve">the </w:t>
      </w:r>
      <w:r w:rsidR="00AB0950" w:rsidRPr="00215183">
        <w:rPr>
          <w:u w:val="single"/>
        </w:rPr>
        <w:t>screening visit</w:t>
      </w:r>
      <w:r w:rsidR="00AB0950" w:rsidRPr="00E51A43">
        <w:t>,</w:t>
      </w:r>
      <w:r w:rsidR="00BF614B">
        <w:t xml:space="preserve"> the</w:t>
      </w:r>
      <w:r w:rsidR="00AB0950" w:rsidRPr="00E51A43">
        <w:t xml:space="preserve"> </w:t>
      </w:r>
      <w:r w:rsidR="00D95102" w:rsidRPr="00E51A43">
        <w:rPr>
          <w:b/>
        </w:rPr>
        <w:t>Site PI or delegated</w:t>
      </w:r>
      <w:r w:rsidR="00405854" w:rsidRPr="00E51A43">
        <w:rPr>
          <w:b/>
        </w:rPr>
        <w:t xml:space="preserve"> </w:t>
      </w:r>
      <w:r w:rsidR="00393662">
        <w:rPr>
          <w:b/>
        </w:rPr>
        <w:t>clinical i</w:t>
      </w:r>
      <w:r w:rsidR="00D95102" w:rsidRPr="00E51A43">
        <w:rPr>
          <w:b/>
        </w:rPr>
        <w:t>nvestigator</w:t>
      </w:r>
      <w:r w:rsidR="00405854" w:rsidRPr="00E51A43">
        <w:t xml:space="preserve"> </w:t>
      </w:r>
      <w:r w:rsidR="003A2846">
        <w:t>should follow the evaluation procedures as below:</w:t>
      </w:r>
      <w:r w:rsidR="00405854">
        <w:rPr>
          <w:u w:val="single"/>
        </w:rPr>
        <w:t xml:space="preserve"> </w:t>
      </w:r>
    </w:p>
    <w:p w14:paraId="673F2C27" w14:textId="4B75E44C" w:rsidR="007D3205" w:rsidRDefault="00095DFA" w:rsidP="00215183">
      <w:pPr>
        <w:pStyle w:val="ListNumber"/>
        <w:numPr>
          <w:ilvl w:val="0"/>
          <w:numId w:val="9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 to </w:t>
      </w:r>
      <w:r w:rsidRPr="00E51A43">
        <w:rPr>
          <w:rFonts w:asciiTheme="minorHAnsi" w:hAnsiTheme="minorHAnsi" w:cstheme="minorHAnsi"/>
          <w:b/>
        </w:rPr>
        <w:t>SOP-010-CT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i/>
        </w:rPr>
        <w:t>Medic</w:t>
      </w:r>
      <w:r w:rsidR="00C3640B">
        <w:rPr>
          <w:rFonts w:asciiTheme="minorHAnsi" w:hAnsiTheme="minorHAnsi" w:cstheme="minorHAnsi"/>
          <w:b/>
          <w:i/>
        </w:rPr>
        <w:t>al History</w:t>
      </w:r>
      <w:r>
        <w:rPr>
          <w:rFonts w:asciiTheme="minorHAnsi" w:hAnsiTheme="minorHAnsi" w:cstheme="minorHAnsi"/>
        </w:rPr>
        <w:t xml:space="preserve"> to obtain information about prior and </w:t>
      </w:r>
      <w:r w:rsidRPr="00E51A43">
        <w:rPr>
          <w:rFonts w:asciiTheme="minorHAnsi" w:hAnsiTheme="minorHAnsi" w:cstheme="minorHAnsi"/>
        </w:rPr>
        <w:t xml:space="preserve">current medications that the </w:t>
      </w:r>
      <w:r w:rsidR="00796A8A">
        <w:rPr>
          <w:rFonts w:asciiTheme="minorHAnsi" w:hAnsiTheme="minorHAnsi" w:cstheme="minorHAnsi"/>
        </w:rPr>
        <w:t>participant</w:t>
      </w:r>
      <w:r w:rsidRPr="00E51A43">
        <w:rPr>
          <w:rFonts w:asciiTheme="minorHAnsi" w:hAnsiTheme="minorHAnsi" w:cstheme="minorHAnsi"/>
        </w:rPr>
        <w:t xml:space="preserve"> has recently taken. </w:t>
      </w:r>
    </w:p>
    <w:p w14:paraId="331687C1" w14:textId="77777777" w:rsidR="00DA445F" w:rsidRPr="00E51A43" w:rsidRDefault="00DA445F" w:rsidP="00215183">
      <w:pPr>
        <w:pStyle w:val="ListNumber"/>
        <w:numPr>
          <w:ilvl w:val="0"/>
          <w:numId w:val="0"/>
        </w:numPr>
        <w:spacing w:after="240"/>
        <w:ind w:left="714"/>
        <w:jc w:val="both"/>
        <w:rPr>
          <w:rFonts w:asciiTheme="minorHAnsi" w:hAnsiTheme="minorHAnsi" w:cstheme="minorHAnsi"/>
        </w:rPr>
      </w:pPr>
    </w:p>
    <w:p w14:paraId="3213A356" w14:textId="5E79F973" w:rsidR="00FD4A24" w:rsidRDefault="00FD4A24" w:rsidP="00215183">
      <w:pPr>
        <w:pStyle w:val="ListNumber"/>
        <w:numPr>
          <w:ilvl w:val="0"/>
          <w:numId w:val="9"/>
        </w:numPr>
        <w:spacing w:after="240"/>
        <w:ind w:left="714" w:hanging="357"/>
        <w:jc w:val="both"/>
        <w:rPr>
          <w:rFonts w:asciiTheme="minorHAnsi" w:hAnsiTheme="minorHAnsi" w:cstheme="minorHAnsi"/>
        </w:rPr>
      </w:pPr>
      <w:r w:rsidRPr="00E51A43">
        <w:rPr>
          <w:rFonts w:asciiTheme="minorHAnsi" w:hAnsiTheme="minorHAnsi" w:cstheme="minorHAnsi"/>
        </w:rPr>
        <w:t xml:space="preserve">Ask the </w:t>
      </w:r>
      <w:r w:rsidR="00796A8A">
        <w:rPr>
          <w:rFonts w:asciiTheme="minorHAnsi" w:hAnsiTheme="minorHAnsi" w:cstheme="minorHAnsi"/>
        </w:rPr>
        <w:t>participant</w:t>
      </w:r>
      <w:r w:rsidRPr="00E51A43">
        <w:rPr>
          <w:rFonts w:asciiTheme="minorHAnsi" w:hAnsiTheme="minorHAnsi" w:cstheme="minorHAnsi"/>
        </w:rPr>
        <w:t xml:space="preserve"> to list all drugs which s/he is currently </w:t>
      </w:r>
      <w:r w:rsidR="00696732" w:rsidRPr="00E51A43">
        <w:rPr>
          <w:rFonts w:asciiTheme="minorHAnsi" w:hAnsiTheme="minorHAnsi" w:cstheme="minorHAnsi"/>
        </w:rPr>
        <w:t>taking,</w:t>
      </w:r>
      <w:r w:rsidRPr="00E51A43">
        <w:rPr>
          <w:rFonts w:asciiTheme="minorHAnsi" w:hAnsiTheme="minorHAnsi" w:cstheme="minorHAnsi"/>
        </w:rPr>
        <w:t xml:space="preserve"> or s/he has taken during the last 30 days. For every drug, collect all information listed in the </w:t>
      </w:r>
      <w:r w:rsidR="00696732">
        <w:rPr>
          <w:rFonts w:asciiTheme="minorHAnsi" w:hAnsiTheme="minorHAnsi" w:cstheme="minorHAnsi"/>
        </w:rPr>
        <w:t>C</w:t>
      </w:r>
      <w:r w:rsidR="00696732" w:rsidRPr="00E51A43">
        <w:rPr>
          <w:rFonts w:asciiTheme="minorHAnsi" w:hAnsiTheme="minorHAnsi" w:cstheme="minorHAnsi"/>
        </w:rPr>
        <w:t xml:space="preserve">oncomitant </w:t>
      </w:r>
      <w:r w:rsidR="00696732">
        <w:rPr>
          <w:rFonts w:asciiTheme="minorHAnsi" w:hAnsiTheme="minorHAnsi" w:cstheme="minorHAnsi"/>
        </w:rPr>
        <w:t>M</w:t>
      </w:r>
      <w:r w:rsidR="00696732" w:rsidRPr="00E51A43">
        <w:rPr>
          <w:rFonts w:asciiTheme="minorHAnsi" w:hAnsiTheme="minorHAnsi" w:cstheme="minorHAnsi"/>
        </w:rPr>
        <w:t xml:space="preserve">edication </w:t>
      </w:r>
      <w:r w:rsidR="00E94483">
        <w:rPr>
          <w:rFonts w:asciiTheme="minorHAnsi" w:hAnsiTheme="minorHAnsi" w:cstheme="minorHAnsi"/>
        </w:rPr>
        <w:t>CRF.</w:t>
      </w:r>
      <w:r w:rsidR="00696732">
        <w:rPr>
          <w:rFonts w:asciiTheme="minorHAnsi" w:hAnsiTheme="minorHAnsi" w:cstheme="minorHAnsi"/>
        </w:rPr>
        <w:t xml:space="preserve"> </w:t>
      </w:r>
      <w:r w:rsidR="00696732" w:rsidRPr="00696732">
        <w:rPr>
          <w:rFonts w:asciiTheme="minorHAnsi" w:hAnsiTheme="minorHAnsi" w:cstheme="minorHAnsi"/>
        </w:rPr>
        <w:t xml:space="preserve">Since </w:t>
      </w:r>
      <w:r w:rsidR="00796A8A">
        <w:rPr>
          <w:rFonts w:asciiTheme="minorHAnsi" w:hAnsiTheme="minorHAnsi" w:cstheme="minorHAnsi"/>
        </w:rPr>
        <w:t>participant</w:t>
      </w:r>
      <w:r w:rsidR="0013018D">
        <w:rPr>
          <w:rFonts w:asciiTheme="minorHAnsi" w:hAnsiTheme="minorHAnsi" w:cstheme="minorHAnsi"/>
        </w:rPr>
        <w:t>s often do not remember their Con-M</w:t>
      </w:r>
      <w:r w:rsidR="00696732" w:rsidRPr="00696732">
        <w:rPr>
          <w:rFonts w:asciiTheme="minorHAnsi" w:hAnsiTheme="minorHAnsi" w:cstheme="minorHAnsi"/>
        </w:rPr>
        <w:t>ed names and doses,</w:t>
      </w:r>
      <w:r w:rsidR="00696732">
        <w:rPr>
          <w:rFonts w:asciiTheme="minorHAnsi" w:hAnsiTheme="minorHAnsi" w:cstheme="minorHAnsi"/>
        </w:rPr>
        <w:t xml:space="preserve"> it might be helpful</w:t>
      </w:r>
      <w:r w:rsidR="00696732" w:rsidRPr="00696732">
        <w:rPr>
          <w:rFonts w:asciiTheme="minorHAnsi" w:hAnsiTheme="minorHAnsi" w:cstheme="minorHAnsi"/>
        </w:rPr>
        <w:t xml:space="preserve"> </w:t>
      </w:r>
      <w:r w:rsidR="00696732">
        <w:rPr>
          <w:rFonts w:asciiTheme="minorHAnsi" w:hAnsiTheme="minorHAnsi" w:cstheme="minorHAnsi"/>
        </w:rPr>
        <w:t>to</w:t>
      </w:r>
      <w:r w:rsidR="00696732" w:rsidRPr="00696732">
        <w:rPr>
          <w:rFonts w:asciiTheme="minorHAnsi" w:hAnsiTheme="minorHAnsi" w:cstheme="minorHAnsi"/>
        </w:rPr>
        <w:t xml:space="preserve"> ask </w:t>
      </w:r>
      <w:r w:rsidR="00796A8A">
        <w:rPr>
          <w:rFonts w:asciiTheme="minorHAnsi" w:hAnsiTheme="minorHAnsi" w:cstheme="minorHAnsi"/>
        </w:rPr>
        <w:t>participant</w:t>
      </w:r>
      <w:r w:rsidR="00696732" w:rsidRPr="00696732">
        <w:rPr>
          <w:rFonts w:asciiTheme="minorHAnsi" w:hAnsiTheme="minorHAnsi" w:cstheme="minorHAnsi"/>
        </w:rPr>
        <w:t>s to bring their pill bottles or package to the study visit for evaluation and review</w:t>
      </w:r>
      <w:r w:rsidR="008C2B75">
        <w:rPr>
          <w:rFonts w:asciiTheme="minorHAnsi" w:hAnsiTheme="minorHAnsi" w:cstheme="minorHAnsi"/>
        </w:rPr>
        <w:t xml:space="preserve"> by the doctor</w:t>
      </w:r>
      <w:r w:rsidR="00696732" w:rsidRPr="00696732">
        <w:rPr>
          <w:rFonts w:asciiTheme="minorHAnsi" w:hAnsiTheme="minorHAnsi" w:cstheme="minorHAnsi"/>
        </w:rPr>
        <w:t>.</w:t>
      </w:r>
    </w:p>
    <w:p w14:paraId="7FEFBFD3" w14:textId="77777777" w:rsidR="00DA445F" w:rsidRPr="00E51A43" w:rsidRDefault="00DA445F" w:rsidP="00215183">
      <w:pPr>
        <w:pStyle w:val="ListNumber"/>
        <w:numPr>
          <w:ilvl w:val="0"/>
          <w:numId w:val="0"/>
        </w:numPr>
        <w:spacing w:after="240"/>
        <w:ind w:left="714"/>
        <w:jc w:val="both"/>
        <w:rPr>
          <w:rFonts w:asciiTheme="minorHAnsi" w:hAnsiTheme="minorHAnsi" w:cstheme="minorHAnsi"/>
        </w:rPr>
      </w:pPr>
    </w:p>
    <w:p w14:paraId="693AC2CB" w14:textId="3737837E" w:rsidR="00467BB2" w:rsidRPr="00DF1005" w:rsidRDefault="00405854" w:rsidP="00215183">
      <w:pPr>
        <w:pStyle w:val="ListNumber"/>
        <w:numPr>
          <w:ilvl w:val="0"/>
          <w:numId w:val="9"/>
        </w:numPr>
        <w:spacing w:after="240"/>
        <w:ind w:left="714" w:hanging="357"/>
        <w:jc w:val="both"/>
        <w:rPr>
          <w:rFonts w:asciiTheme="minorHAnsi" w:hAnsiTheme="minorHAnsi" w:cstheme="minorHAnsi"/>
        </w:rPr>
      </w:pPr>
      <w:r w:rsidRPr="00DF1005">
        <w:rPr>
          <w:rFonts w:asciiTheme="minorHAnsi" w:hAnsiTheme="minorHAnsi" w:cstheme="minorHAnsi"/>
        </w:rPr>
        <w:t>Identify</w:t>
      </w:r>
      <w:r w:rsidR="00840ECC" w:rsidRPr="00DF1005">
        <w:rPr>
          <w:rFonts w:asciiTheme="minorHAnsi" w:hAnsiTheme="minorHAnsi" w:cstheme="minorHAnsi"/>
        </w:rPr>
        <w:t>,</w:t>
      </w:r>
      <w:r w:rsidRPr="00DF1005">
        <w:rPr>
          <w:rFonts w:asciiTheme="minorHAnsi" w:hAnsiTheme="minorHAnsi" w:cstheme="minorHAnsi"/>
        </w:rPr>
        <w:t xml:space="preserve"> among all </w:t>
      </w:r>
      <w:r w:rsidR="00095DFA" w:rsidRPr="00DF1005">
        <w:rPr>
          <w:rFonts w:asciiTheme="minorHAnsi" w:hAnsiTheme="minorHAnsi" w:cstheme="minorHAnsi"/>
        </w:rPr>
        <w:t>reported</w:t>
      </w:r>
      <w:r w:rsidRPr="00DF1005">
        <w:rPr>
          <w:rFonts w:asciiTheme="minorHAnsi" w:hAnsiTheme="minorHAnsi" w:cstheme="minorHAnsi"/>
        </w:rPr>
        <w:t xml:space="preserve"> </w:t>
      </w:r>
      <w:r w:rsidR="00DF0D9A">
        <w:rPr>
          <w:rFonts w:asciiTheme="minorHAnsi" w:hAnsiTheme="minorHAnsi" w:cstheme="minorHAnsi"/>
        </w:rPr>
        <w:t>Con-Meds</w:t>
      </w:r>
      <w:r w:rsidR="00840ECC" w:rsidRPr="00DF1005">
        <w:rPr>
          <w:rFonts w:asciiTheme="minorHAnsi" w:hAnsiTheme="minorHAnsi" w:cstheme="minorHAnsi"/>
        </w:rPr>
        <w:t>,</w:t>
      </w:r>
      <w:r w:rsidRPr="00DF1005">
        <w:rPr>
          <w:rFonts w:asciiTheme="minorHAnsi" w:hAnsiTheme="minorHAnsi" w:cstheme="minorHAnsi"/>
        </w:rPr>
        <w:t xml:space="preserve"> if </w:t>
      </w:r>
      <w:r w:rsidR="00095DFA" w:rsidRPr="00DF1005">
        <w:rPr>
          <w:rFonts w:asciiTheme="minorHAnsi" w:hAnsiTheme="minorHAnsi" w:cstheme="minorHAnsi"/>
        </w:rPr>
        <w:t>any</w:t>
      </w:r>
      <w:r w:rsidR="00696732">
        <w:rPr>
          <w:rFonts w:asciiTheme="minorHAnsi" w:hAnsiTheme="minorHAnsi" w:cstheme="minorHAnsi"/>
        </w:rPr>
        <w:t xml:space="preserve"> is </w:t>
      </w:r>
      <w:r w:rsidR="00E25804">
        <w:rPr>
          <w:rFonts w:asciiTheme="minorHAnsi" w:hAnsiTheme="minorHAnsi" w:cstheme="minorHAnsi"/>
        </w:rPr>
        <w:t>present</w:t>
      </w:r>
      <w:r w:rsidR="00696732">
        <w:rPr>
          <w:rFonts w:asciiTheme="minorHAnsi" w:hAnsiTheme="minorHAnsi" w:cstheme="minorHAnsi"/>
        </w:rPr>
        <w:t xml:space="preserve"> in</w:t>
      </w:r>
      <w:r w:rsidR="00E25804">
        <w:rPr>
          <w:rFonts w:asciiTheme="minorHAnsi" w:hAnsiTheme="minorHAnsi" w:cstheme="minorHAnsi"/>
        </w:rPr>
        <w:t xml:space="preserve"> the list in</w:t>
      </w:r>
      <w:r w:rsidR="00696732">
        <w:rPr>
          <w:rFonts w:asciiTheme="minorHAnsi" w:hAnsiTheme="minorHAnsi" w:cstheme="minorHAnsi"/>
        </w:rPr>
        <w:t xml:space="preserve"> the Appendix. If </w:t>
      </w:r>
      <w:r w:rsidR="008C2B75">
        <w:rPr>
          <w:rFonts w:asciiTheme="minorHAnsi" w:hAnsiTheme="minorHAnsi" w:cstheme="minorHAnsi"/>
        </w:rPr>
        <w:t>a</w:t>
      </w:r>
      <w:r w:rsidR="00696732">
        <w:rPr>
          <w:rFonts w:asciiTheme="minorHAnsi" w:hAnsiTheme="minorHAnsi" w:cstheme="minorHAnsi"/>
        </w:rPr>
        <w:t xml:space="preserve"> Con-Med is present in the list</w:t>
      </w:r>
      <w:r w:rsidR="0013018D">
        <w:rPr>
          <w:rFonts w:asciiTheme="minorHAnsi" w:hAnsiTheme="minorHAnsi" w:cstheme="minorHAnsi"/>
        </w:rPr>
        <w:t xml:space="preserve">, </w:t>
      </w:r>
      <w:r w:rsidR="008C2B75">
        <w:rPr>
          <w:rFonts w:asciiTheme="minorHAnsi" w:hAnsiTheme="minorHAnsi" w:cstheme="minorHAnsi"/>
        </w:rPr>
        <w:t>determine</w:t>
      </w:r>
      <w:r w:rsidR="00696732">
        <w:rPr>
          <w:rFonts w:asciiTheme="minorHAnsi" w:hAnsiTheme="minorHAnsi" w:cstheme="minorHAnsi"/>
        </w:rPr>
        <w:t>:</w:t>
      </w:r>
      <w:r w:rsidRPr="00DF1005">
        <w:rPr>
          <w:rFonts w:asciiTheme="minorHAnsi" w:hAnsiTheme="minorHAnsi" w:cstheme="minorHAnsi"/>
        </w:rPr>
        <w:t xml:space="preserve"> </w:t>
      </w:r>
    </w:p>
    <w:p w14:paraId="35398E40" w14:textId="08638CCB" w:rsidR="00E25804" w:rsidRDefault="00E25804" w:rsidP="005D4AB7">
      <w:pPr>
        <w:pStyle w:val="ListNumber"/>
        <w:numPr>
          <w:ilvl w:val="1"/>
          <w:numId w:val="9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If the </w:t>
      </w:r>
      <w:r w:rsidR="00796A8A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exposed to this Con-Med at screening can be randomized (second column of the Appendix</w:t>
      </w:r>
      <w:r w:rsidR="008C2B75">
        <w:rPr>
          <w:rFonts w:asciiTheme="minorHAnsi" w:hAnsiTheme="minorHAnsi" w:cstheme="minorHAnsi"/>
        </w:rPr>
        <w:t xml:space="preserve"> [Column B]</w:t>
      </w:r>
      <w:r>
        <w:rPr>
          <w:rFonts w:asciiTheme="minorHAnsi" w:hAnsiTheme="minorHAnsi" w:cstheme="minorHAnsi"/>
        </w:rPr>
        <w:t>). There are four possible situations:</w:t>
      </w:r>
    </w:p>
    <w:p w14:paraId="284F90B0" w14:textId="4C497691" w:rsidR="00E25804" w:rsidRDefault="00E25804" w:rsidP="005D4AB7">
      <w:pPr>
        <w:pStyle w:val="ListNumber"/>
        <w:numPr>
          <w:ilvl w:val="2"/>
          <w:numId w:val="9"/>
        </w:numPr>
        <w:spacing w:after="0"/>
        <w:ind w:left="1418" w:hanging="2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2D3B1A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can be randomized without changes to the Con-Med (answer “Yes” in column</w:t>
      </w:r>
      <w:r w:rsidR="00354FDD">
        <w:rPr>
          <w:rFonts w:asciiTheme="minorHAnsi" w:hAnsiTheme="minorHAnsi" w:cstheme="minorHAnsi"/>
        </w:rPr>
        <w:t xml:space="preserve"> </w:t>
      </w:r>
      <w:r w:rsidR="008C2B75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)</w:t>
      </w:r>
      <w:r w:rsidR="00214859">
        <w:rPr>
          <w:rFonts w:asciiTheme="minorHAnsi" w:hAnsiTheme="minorHAnsi" w:cstheme="minorHAnsi"/>
        </w:rPr>
        <w:t>.</w:t>
      </w:r>
    </w:p>
    <w:p w14:paraId="033678AB" w14:textId="0A36FD9D" w:rsidR="00214859" w:rsidRPr="00214859" w:rsidRDefault="00E25804" w:rsidP="005D4AB7">
      <w:pPr>
        <w:pStyle w:val="ListParagraph"/>
        <w:numPr>
          <w:ilvl w:val="2"/>
          <w:numId w:val="9"/>
        </w:numPr>
        <w:spacing w:after="0"/>
        <w:ind w:left="1418" w:hanging="215"/>
        <w:jc w:val="both"/>
        <w:rPr>
          <w:rFonts w:asciiTheme="minorHAnsi" w:hAnsiTheme="minorHAnsi" w:cstheme="minorHAnsi"/>
        </w:rPr>
      </w:pPr>
      <w:r w:rsidRPr="00214859">
        <w:rPr>
          <w:rFonts w:asciiTheme="minorHAnsi" w:hAnsiTheme="minorHAnsi" w:cstheme="minorHAnsi"/>
        </w:rPr>
        <w:t xml:space="preserve">The </w:t>
      </w:r>
      <w:r w:rsidR="002D3B1A">
        <w:rPr>
          <w:rFonts w:asciiTheme="minorHAnsi" w:hAnsiTheme="minorHAnsi" w:cstheme="minorHAnsi"/>
        </w:rPr>
        <w:t>participant</w:t>
      </w:r>
      <w:r w:rsidRPr="00214859">
        <w:rPr>
          <w:rFonts w:asciiTheme="minorHAnsi" w:hAnsiTheme="minorHAnsi" w:cstheme="minorHAnsi"/>
        </w:rPr>
        <w:t xml:space="preserve"> can only be randomized if the Con-Med is discontinued</w:t>
      </w:r>
      <w:r w:rsidR="00214859" w:rsidRPr="00214859">
        <w:rPr>
          <w:rFonts w:asciiTheme="minorHAnsi" w:hAnsiTheme="minorHAnsi" w:cstheme="minorHAnsi"/>
        </w:rPr>
        <w:t>,</w:t>
      </w:r>
      <w:r w:rsidRPr="00214859">
        <w:rPr>
          <w:rFonts w:asciiTheme="minorHAnsi" w:hAnsiTheme="minorHAnsi" w:cstheme="minorHAnsi"/>
        </w:rPr>
        <w:t xml:space="preserve"> and a sufficient wash-out period is observed</w:t>
      </w:r>
      <w:r w:rsidR="00214859" w:rsidRPr="00214859">
        <w:rPr>
          <w:rFonts w:asciiTheme="minorHAnsi" w:hAnsiTheme="minorHAnsi" w:cstheme="minorHAnsi"/>
        </w:rPr>
        <w:t xml:space="preserve"> between the interruption of the Con-Med</w:t>
      </w:r>
      <w:r w:rsidRPr="00214859">
        <w:rPr>
          <w:rFonts w:asciiTheme="minorHAnsi" w:hAnsiTheme="minorHAnsi" w:cstheme="minorHAnsi"/>
        </w:rPr>
        <w:t xml:space="preserve"> </w:t>
      </w:r>
      <w:r w:rsidR="00214859" w:rsidRPr="00214859">
        <w:rPr>
          <w:rFonts w:asciiTheme="minorHAnsi" w:hAnsiTheme="minorHAnsi" w:cstheme="minorHAnsi"/>
        </w:rPr>
        <w:t>and</w:t>
      </w:r>
      <w:r w:rsidRPr="00214859">
        <w:rPr>
          <w:rFonts w:asciiTheme="minorHAnsi" w:hAnsiTheme="minorHAnsi" w:cstheme="minorHAnsi"/>
        </w:rPr>
        <w:t xml:space="preserve"> randomization (answer “</w:t>
      </w:r>
      <w:r w:rsidRPr="00215183">
        <w:rPr>
          <w:rFonts w:asciiTheme="minorHAnsi" w:hAnsiTheme="minorHAnsi" w:cstheme="minorHAnsi"/>
        </w:rPr>
        <w:t>Yes, after X days of wash</w:t>
      </w:r>
      <w:r w:rsidR="00547519">
        <w:rPr>
          <w:rFonts w:asciiTheme="minorHAnsi" w:hAnsiTheme="minorHAnsi" w:cstheme="minorHAnsi"/>
        </w:rPr>
        <w:t>-</w:t>
      </w:r>
      <w:r w:rsidRPr="00215183">
        <w:rPr>
          <w:rFonts w:asciiTheme="minorHAnsi" w:hAnsiTheme="minorHAnsi" w:cstheme="minorHAnsi"/>
        </w:rPr>
        <w:t>out” in column</w:t>
      </w:r>
      <w:r w:rsidR="00354FDD">
        <w:rPr>
          <w:rFonts w:asciiTheme="minorHAnsi" w:hAnsiTheme="minorHAnsi" w:cstheme="minorHAnsi"/>
        </w:rPr>
        <w:t xml:space="preserve"> </w:t>
      </w:r>
      <w:r w:rsidR="008C2B75">
        <w:rPr>
          <w:rFonts w:asciiTheme="minorHAnsi" w:hAnsiTheme="minorHAnsi" w:cstheme="minorHAnsi"/>
        </w:rPr>
        <w:t>B</w:t>
      </w:r>
      <w:r w:rsidRPr="00215183">
        <w:rPr>
          <w:rFonts w:asciiTheme="minorHAnsi" w:hAnsiTheme="minorHAnsi" w:cstheme="minorHAnsi"/>
        </w:rPr>
        <w:t>)</w:t>
      </w:r>
      <w:r w:rsidR="00214859" w:rsidRPr="00214859">
        <w:rPr>
          <w:rFonts w:asciiTheme="minorHAnsi" w:hAnsiTheme="minorHAnsi" w:cstheme="minorHAnsi"/>
        </w:rPr>
        <w:t xml:space="preserve">. </w:t>
      </w:r>
      <w:r w:rsidR="00214859">
        <w:rPr>
          <w:rFonts w:asciiTheme="minorHAnsi" w:hAnsiTheme="minorHAnsi" w:cstheme="minorHAnsi"/>
        </w:rPr>
        <w:t>If, in the doctor’s opinion, a Con-M</w:t>
      </w:r>
      <w:r w:rsidR="00214859" w:rsidRPr="00214859">
        <w:rPr>
          <w:rFonts w:asciiTheme="minorHAnsi" w:hAnsiTheme="minorHAnsi" w:cstheme="minorHAnsi"/>
        </w:rPr>
        <w:t xml:space="preserve">ed cannot be stopped or replaced by an </w:t>
      </w:r>
      <w:r w:rsidR="004709EB">
        <w:rPr>
          <w:rFonts w:asciiTheme="minorHAnsi" w:hAnsiTheme="minorHAnsi" w:cstheme="minorHAnsi"/>
        </w:rPr>
        <w:t xml:space="preserve">allowed, </w:t>
      </w:r>
      <w:r w:rsidR="00214859" w:rsidRPr="00214859">
        <w:rPr>
          <w:rFonts w:asciiTheme="minorHAnsi" w:hAnsiTheme="minorHAnsi" w:cstheme="minorHAnsi"/>
        </w:rPr>
        <w:t>alternative drug with similar efficacy or tolerability</w:t>
      </w:r>
      <w:r w:rsidR="00214859">
        <w:rPr>
          <w:rFonts w:asciiTheme="minorHAnsi" w:hAnsiTheme="minorHAnsi" w:cstheme="minorHAnsi"/>
        </w:rPr>
        <w:t>,</w:t>
      </w:r>
      <w:r w:rsidR="00214859" w:rsidRPr="00214859">
        <w:rPr>
          <w:rFonts w:asciiTheme="minorHAnsi" w:hAnsiTheme="minorHAnsi" w:cstheme="minorHAnsi"/>
        </w:rPr>
        <w:t xml:space="preserve"> the </w:t>
      </w:r>
      <w:r w:rsidR="002D3B1A">
        <w:rPr>
          <w:rFonts w:asciiTheme="minorHAnsi" w:hAnsiTheme="minorHAnsi" w:cstheme="minorHAnsi"/>
        </w:rPr>
        <w:t>participant</w:t>
      </w:r>
      <w:r w:rsidR="00214859" w:rsidRPr="00214859">
        <w:rPr>
          <w:rFonts w:asciiTheme="minorHAnsi" w:hAnsiTheme="minorHAnsi" w:cstheme="minorHAnsi"/>
        </w:rPr>
        <w:t xml:space="preserve"> is considered ineligible for randomization</w:t>
      </w:r>
      <w:r w:rsidR="00214859">
        <w:rPr>
          <w:rFonts w:asciiTheme="minorHAnsi" w:hAnsiTheme="minorHAnsi" w:cstheme="minorHAnsi"/>
        </w:rPr>
        <w:t>.</w:t>
      </w:r>
    </w:p>
    <w:p w14:paraId="3D14004A" w14:textId="1930746B" w:rsidR="00DA445F" w:rsidRPr="00CE5E9D" w:rsidRDefault="00DA445F">
      <w:pPr>
        <w:pStyle w:val="ListParagraph"/>
        <w:numPr>
          <w:ilvl w:val="2"/>
          <w:numId w:val="9"/>
        </w:numPr>
        <w:spacing w:after="100" w:afterAutospacing="1"/>
        <w:ind w:left="1418" w:hanging="215"/>
        <w:jc w:val="both"/>
        <w:rPr>
          <w:rFonts w:asciiTheme="minorHAnsi" w:hAnsiTheme="minorHAnsi" w:cstheme="minorHAnsi"/>
        </w:rPr>
      </w:pPr>
      <w:r w:rsidRPr="00214859">
        <w:rPr>
          <w:rFonts w:asciiTheme="minorHAnsi" w:hAnsiTheme="minorHAnsi" w:cstheme="minorHAnsi"/>
        </w:rPr>
        <w:t xml:space="preserve">The </w:t>
      </w:r>
      <w:r w:rsidR="002D3B1A">
        <w:rPr>
          <w:rFonts w:asciiTheme="minorHAnsi" w:hAnsiTheme="minorHAnsi" w:cstheme="minorHAnsi"/>
        </w:rPr>
        <w:t>participant</w:t>
      </w:r>
      <w:r w:rsidRPr="00214859">
        <w:rPr>
          <w:rFonts w:asciiTheme="minorHAnsi" w:hAnsiTheme="minorHAnsi" w:cstheme="minorHAnsi"/>
        </w:rPr>
        <w:t xml:space="preserve"> can only be randomized </w:t>
      </w:r>
      <w:r>
        <w:rPr>
          <w:rFonts w:asciiTheme="minorHAnsi" w:hAnsiTheme="minorHAnsi" w:cstheme="minorHAnsi"/>
        </w:rPr>
        <w:t>if it is possible to replace the Con-Med after randomization (answer</w:t>
      </w:r>
      <w:r w:rsidRPr="00DA445F">
        <w:t xml:space="preserve"> </w:t>
      </w:r>
      <w:r>
        <w:t>“</w:t>
      </w:r>
      <w:r>
        <w:rPr>
          <w:rFonts w:asciiTheme="minorHAnsi" w:hAnsiTheme="minorHAnsi" w:cstheme="minorHAnsi"/>
        </w:rPr>
        <w:t>Yes, with X</w:t>
      </w:r>
      <w:r w:rsidRPr="00DA445F">
        <w:rPr>
          <w:rFonts w:asciiTheme="minorHAnsi" w:hAnsiTheme="minorHAnsi" w:cstheme="minorHAnsi"/>
        </w:rPr>
        <w:t xml:space="preserve"> days of post-randomization wash</w:t>
      </w:r>
      <w:r w:rsidR="00E22D4E">
        <w:rPr>
          <w:rFonts w:asciiTheme="minorHAnsi" w:hAnsiTheme="minorHAnsi" w:cstheme="minorHAnsi"/>
        </w:rPr>
        <w:t>-</w:t>
      </w:r>
      <w:r w:rsidRPr="00DA445F">
        <w:rPr>
          <w:rFonts w:asciiTheme="minorHAnsi" w:hAnsiTheme="minorHAnsi" w:cstheme="minorHAnsi"/>
        </w:rPr>
        <w:t xml:space="preserve">out </w:t>
      </w:r>
      <w:r w:rsidR="0043430B">
        <w:rPr>
          <w:rFonts w:asciiTheme="minorHAnsi" w:hAnsiTheme="minorHAnsi" w:cstheme="minorHAnsi"/>
        </w:rPr>
        <w:t xml:space="preserve">of all anti-tuberculosis treatment </w:t>
      </w:r>
      <w:r w:rsidRPr="00DA445F">
        <w:rPr>
          <w:rFonts w:asciiTheme="minorHAnsi" w:hAnsiTheme="minorHAnsi" w:cstheme="minorHAnsi"/>
        </w:rPr>
        <w:t xml:space="preserve">if </w:t>
      </w:r>
      <w:r w:rsidR="002D3B1A">
        <w:rPr>
          <w:rFonts w:asciiTheme="minorHAnsi" w:hAnsiTheme="minorHAnsi" w:cstheme="minorHAnsi"/>
        </w:rPr>
        <w:t>participant</w:t>
      </w:r>
      <w:r w:rsidRPr="00DA445F">
        <w:rPr>
          <w:rFonts w:asciiTheme="minorHAnsi" w:hAnsiTheme="minorHAnsi" w:cstheme="minorHAnsi"/>
        </w:rPr>
        <w:t xml:space="preserve"> is randomized to a </w:t>
      </w:r>
      <w:proofErr w:type="spellStart"/>
      <w:r w:rsidRPr="00DA445F">
        <w:rPr>
          <w:rFonts w:asciiTheme="minorHAnsi" w:hAnsiTheme="minorHAnsi" w:cstheme="minorHAnsi"/>
        </w:rPr>
        <w:t>Bdq</w:t>
      </w:r>
      <w:proofErr w:type="spellEnd"/>
      <w:r w:rsidRPr="00DA445F">
        <w:rPr>
          <w:rFonts w:asciiTheme="minorHAnsi" w:hAnsiTheme="minorHAnsi" w:cstheme="minorHAnsi"/>
        </w:rPr>
        <w:t xml:space="preserve"> arm</w:t>
      </w:r>
      <w:r>
        <w:rPr>
          <w:rFonts w:asciiTheme="minorHAnsi" w:hAnsiTheme="minorHAnsi" w:cstheme="minorHAnsi"/>
        </w:rPr>
        <w:t>” in column</w:t>
      </w:r>
      <w:r w:rsidR="00354FDD">
        <w:rPr>
          <w:rFonts w:asciiTheme="minorHAnsi" w:hAnsiTheme="minorHAnsi" w:cstheme="minorHAnsi"/>
        </w:rPr>
        <w:t xml:space="preserve"> </w:t>
      </w:r>
      <w:r w:rsidR="00F573AB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). This situation is restricted to </w:t>
      </w:r>
      <w:r w:rsidRPr="00CE5E9D">
        <w:rPr>
          <w:rFonts w:asciiTheme="minorHAnsi" w:hAnsiTheme="minorHAnsi" w:cstheme="minorHAnsi"/>
          <w:u w:val="single"/>
        </w:rPr>
        <w:t xml:space="preserve">HIV-positive </w:t>
      </w:r>
      <w:r w:rsidR="002D3B1A" w:rsidRPr="00CE5E9D">
        <w:rPr>
          <w:rFonts w:asciiTheme="minorHAnsi" w:hAnsiTheme="minorHAnsi" w:cstheme="minorHAnsi"/>
          <w:u w:val="single"/>
        </w:rPr>
        <w:t>participant</w:t>
      </w:r>
      <w:r w:rsidRPr="00CE5E9D">
        <w:rPr>
          <w:rFonts w:asciiTheme="minorHAnsi" w:hAnsiTheme="minorHAnsi" w:cstheme="minorHAnsi"/>
          <w:u w:val="single"/>
        </w:rPr>
        <w:t>s</w:t>
      </w:r>
      <w:r>
        <w:rPr>
          <w:rFonts w:asciiTheme="minorHAnsi" w:hAnsiTheme="minorHAnsi" w:cstheme="minorHAnsi"/>
        </w:rPr>
        <w:t xml:space="preserve"> on treatment with </w:t>
      </w:r>
      <w:r w:rsidRPr="00CE5E9D">
        <w:rPr>
          <w:rFonts w:asciiTheme="minorHAnsi" w:hAnsiTheme="minorHAnsi" w:cstheme="minorHAnsi"/>
          <w:u w:val="single"/>
        </w:rPr>
        <w:t>antiretrovirals</w:t>
      </w:r>
      <w:r>
        <w:rPr>
          <w:rFonts w:asciiTheme="minorHAnsi" w:hAnsiTheme="minorHAnsi" w:cstheme="minorHAnsi"/>
        </w:rPr>
        <w:t xml:space="preserve"> which have interactions with </w:t>
      </w:r>
      <w:proofErr w:type="spellStart"/>
      <w:r w:rsidR="00E87C0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edaquiline</w:t>
      </w:r>
      <w:proofErr w:type="spellEnd"/>
      <w:r>
        <w:rPr>
          <w:rFonts w:asciiTheme="minorHAnsi" w:hAnsiTheme="minorHAnsi" w:cstheme="minorHAnsi"/>
        </w:rPr>
        <w:t xml:space="preserve">. Those antiretrovirals will have to be replaced with an alternative antiretroviral </w:t>
      </w:r>
      <w:r w:rsidRPr="00215183">
        <w:rPr>
          <w:rFonts w:asciiTheme="minorHAnsi" w:hAnsiTheme="minorHAnsi" w:cstheme="minorHAnsi"/>
          <w:u w:val="single"/>
        </w:rPr>
        <w:t>only</w:t>
      </w:r>
      <w:r>
        <w:rPr>
          <w:rFonts w:asciiTheme="minorHAnsi" w:hAnsiTheme="minorHAnsi" w:cstheme="minorHAnsi"/>
        </w:rPr>
        <w:t xml:space="preserve"> if the </w:t>
      </w:r>
      <w:r w:rsidR="002D3B1A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is randomized to a </w:t>
      </w:r>
      <w:proofErr w:type="spellStart"/>
      <w:r w:rsidR="006A017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edaquiline</w:t>
      </w:r>
      <w:proofErr w:type="spellEnd"/>
      <w:r>
        <w:rPr>
          <w:rFonts w:asciiTheme="minorHAnsi" w:hAnsiTheme="minorHAnsi" w:cstheme="minorHAnsi"/>
        </w:rPr>
        <w:t>-containing experimental treatment arm</w:t>
      </w:r>
      <w:r w:rsidR="008C2B75">
        <w:rPr>
          <w:rFonts w:asciiTheme="minorHAnsi" w:hAnsiTheme="minorHAnsi" w:cstheme="minorHAnsi"/>
        </w:rPr>
        <w:t xml:space="preserve"> or requires </w:t>
      </w:r>
      <w:proofErr w:type="spellStart"/>
      <w:r w:rsidR="006A017C">
        <w:rPr>
          <w:rFonts w:asciiTheme="minorHAnsi" w:hAnsiTheme="minorHAnsi" w:cstheme="minorHAnsi"/>
        </w:rPr>
        <w:t>B</w:t>
      </w:r>
      <w:r w:rsidR="008C2B75">
        <w:rPr>
          <w:rFonts w:asciiTheme="minorHAnsi" w:hAnsiTheme="minorHAnsi" w:cstheme="minorHAnsi"/>
        </w:rPr>
        <w:t>edaquiline</w:t>
      </w:r>
      <w:proofErr w:type="spellEnd"/>
      <w:r w:rsidR="008C2B75">
        <w:rPr>
          <w:rFonts w:asciiTheme="minorHAnsi" w:hAnsiTheme="minorHAnsi" w:cstheme="minorHAnsi"/>
        </w:rPr>
        <w:t xml:space="preserve"> in the control arm</w:t>
      </w:r>
      <w:r>
        <w:rPr>
          <w:rFonts w:asciiTheme="minorHAnsi" w:hAnsiTheme="minorHAnsi" w:cstheme="minorHAnsi"/>
        </w:rPr>
        <w:t xml:space="preserve">. </w:t>
      </w:r>
      <w:r w:rsidRPr="00DA445F">
        <w:rPr>
          <w:rFonts w:asciiTheme="minorHAnsi" w:hAnsiTheme="minorHAnsi" w:cstheme="minorHAnsi"/>
        </w:rPr>
        <w:t xml:space="preserve">Priority should always be given to the </w:t>
      </w:r>
      <w:r w:rsidR="002D3B1A">
        <w:rPr>
          <w:rFonts w:asciiTheme="minorHAnsi" w:hAnsiTheme="minorHAnsi" w:cstheme="minorHAnsi"/>
        </w:rPr>
        <w:t>participant</w:t>
      </w:r>
      <w:r w:rsidRPr="00DA445F">
        <w:rPr>
          <w:rFonts w:asciiTheme="minorHAnsi" w:hAnsiTheme="minorHAnsi" w:cstheme="minorHAnsi"/>
        </w:rPr>
        <w:t xml:space="preserve">’s medical condition and well-being. </w:t>
      </w:r>
      <w:r w:rsidR="00543CE4">
        <w:rPr>
          <w:rFonts w:asciiTheme="minorHAnsi" w:hAnsiTheme="minorHAnsi" w:cstheme="minorHAnsi"/>
        </w:rPr>
        <w:t>If</w:t>
      </w:r>
      <w:r>
        <w:rPr>
          <w:rFonts w:asciiTheme="minorHAnsi" w:hAnsiTheme="minorHAnsi" w:cstheme="minorHAnsi"/>
        </w:rPr>
        <w:t xml:space="preserve"> in the doctor’s opinion,</w:t>
      </w:r>
      <w:r w:rsidR="00543CE4">
        <w:rPr>
          <w:rFonts w:asciiTheme="minorHAnsi" w:hAnsiTheme="minorHAnsi" w:cstheme="minorHAnsi"/>
        </w:rPr>
        <w:t xml:space="preserve"> and in consultation with the HIV referral doctor</w:t>
      </w:r>
      <w:r w:rsidR="00976223">
        <w:rPr>
          <w:rFonts w:asciiTheme="minorHAnsi" w:hAnsiTheme="minorHAnsi" w:cstheme="minorHAnsi"/>
        </w:rPr>
        <w:t xml:space="preserve"> or the Clinical Advisory Committee (CAC)</w:t>
      </w:r>
      <w:r w:rsidR="00543CE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antiretroviral Con-M</w:t>
      </w:r>
      <w:r w:rsidRPr="00DA445F">
        <w:rPr>
          <w:rFonts w:asciiTheme="minorHAnsi" w:hAnsiTheme="minorHAnsi" w:cstheme="minorHAnsi"/>
        </w:rPr>
        <w:t>ed cannot be replaced by an alternative</w:t>
      </w:r>
      <w:r w:rsidR="004709EB">
        <w:rPr>
          <w:rFonts w:asciiTheme="minorHAnsi" w:hAnsiTheme="minorHAnsi" w:cstheme="minorHAnsi"/>
        </w:rPr>
        <w:t>, allowed</w:t>
      </w:r>
      <w:r w:rsidRPr="00DA445F">
        <w:rPr>
          <w:rFonts w:asciiTheme="minorHAnsi" w:hAnsiTheme="minorHAnsi" w:cstheme="minorHAnsi"/>
        </w:rPr>
        <w:t xml:space="preserve"> drug with similar efficacy or tolerability, the </w:t>
      </w:r>
      <w:r w:rsidR="002D3B1A">
        <w:rPr>
          <w:rFonts w:asciiTheme="minorHAnsi" w:hAnsiTheme="minorHAnsi" w:cstheme="minorHAnsi"/>
        </w:rPr>
        <w:t>participant</w:t>
      </w:r>
      <w:r w:rsidRPr="00DA445F">
        <w:rPr>
          <w:rFonts w:asciiTheme="minorHAnsi" w:hAnsiTheme="minorHAnsi" w:cstheme="minorHAnsi"/>
        </w:rPr>
        <w:t xml:space="preserve"> is considered ineligible for randomization</w:t>
      </w:r>
      <w:r w:rsidR="00543CE4">
        <w:rPr>
          <w:rFonts w:asciiTheme="minorHAnsi" w:hAnsiTheme="minorHAnsi" w:cstheme="minorHAnsi"/>
        </w:rPr>
        <w:t>. If</w:t>
      </w:r>
      <w:r>
        <w:rPr>
          <w:rFonts w:asciiTheme="minorHAnsi" w:hAnsiTheme="minorHAnsi" w:cstheme="minorHAnsi"/>
        </w:rPr>
        <w:t xml:space="preserve"> the antiretroviral Con-M</w:t>
      </w:r>
      <w:r w:rsidRPr="00DA445F">
        <w:rPr>
          <w:rFonts w:asciiTheme="minorHAnsi" w:hAnsiTheme="minorHAnsi" w:cstheme="minorHAnsi"/>
        </w:rPr>
        <w:t xml:space="preserve">ed can be replaced, the </w:t>
      </w:r>
      <w:r w:rsidR="002D3B1A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is eligible for randomization</w:t>
      </w:r>
      <w:r w:rsidR="00D95629">
        <w:rPr>
          <w:rFonts w:asciiTheme="minorHAnsi" w:hAnsiTheme="minorHAnsi" w:cstheme="minorHAnsi"/>
        </w:rPr>
        <w:t xml:space="preserve">. After randomization, </w:t>
      </w:r>
      <w:r>
        <w:rPr>
          <w:rFonts w:asciiTheme="minorHAnsi" w:hAnsiTheme="minorHAnsi" w:cstheme="minorHAnsi"/>
        </w:rPr>
        <w:t>the antiretroviral</w:t>
      </w:r>
      <w:r w:rsidRPr="00DA445F">
        <w:rPr>
          <w:rFonts w:asciiTheme="minorHAnsi" w:hAnsiTheme="minorHAnsi" w:cstheme="minorHAnsi"/>
        </w:rPr>
        <w:t xml:space="preserve"> treatment will be</w:t>
      </w:r>
      <w:r w:rsidR="00D95629">
        <w:rPr>
          <w:rFonts w:asciiTheme="minorHAnsi" w:hAnsiTheme="minorHAnsi" w:cstheme="minorHAnsi"/>
        </w:rPr>
        <w:t xml:space="preserve"> changed in case of randomization to a </w:t>
      </w:r>
      <w:proofErr w:type="spellStart"/>
      <w:r w:rsidR="006A017C">
        <w:rPr>
          <w:rFonts w:asciiTheme="minorHAnsi" w:hAnsiTheme="minorHAnsi" w:cstheme="minorHAnsi"/>
        </w:rPr>
        <w:t>B</w:t>
      </w:r>
      <w:r w:rsidR="00D95629">
        <w:rPr>
          <w:rFonts w:asciiTheme="minorHAnsi" w:hAnsiTheme="minorHAnsi" w:cstheme="minorHAnsi"/>
        </w:rPr>
        <w:t>edaquiline</w:t>
      </w:r>
      <w:proofErr w:type="spellEnd"/>
      <w:r w:rsidR="00D95629">
        <w:rPr>
          <w:rFonts w:asciiTheme="minorHAnsi" w:hAnsiTheme="minorHAnsi" w:cstheme="minorHAnsi"/>
        </w:rPr>
        <w:t xml:space="preserve">-containing experimental treatment arm or if the </w:t>
      </w:r>
      <w:r w:rsidR="002D3B1A">
        <w:rPr>
          <w:rFonts w:asciiTheme="minorHAnsi" w:hAnsiTheme="minorHAnsi" w:cstheme="minorHAnsi"/>
        </w:rPr>
        <w:t>participant</w:t>
      </w:r>
      <w:r w:rsidR="00D95629">
        <w:rPr>
          <w:rFonts w:asciiTheme="minorHAnsi" w:hAnsiTheme="minorHAnsi" w:cstheme="minorHAnsi"/>
        </w:rPr>
        <w:t xml:space="preserve"> </w:t>
      </w:r>
      <w:r w:rsidR="009530DD">
        <w:rPr>
          <w:rFonts w:asciiTheme="minorHAnsi" w:hAnsiTheme="minorHAnsi" w:cstheme="minorHAnsi"/>
        </w:rPr>
        <w:t>require</w:t>
      </w:r>
      <w:r w:rsidR="00EC0940">
        <w:rPr>
          <w:rFonts w:asciiTheme="minorHAnsi" w:hAnsiTheme="minorHAnsi" w:cstheme="minorHAnsi"/>
        </w:rPr>
        <w:t>s</w:t>
      </w:r>
      <w:r w:rsidR="00D95629">
        <w:rPr>
          <w:rFonts w:asciiTheme="minorHAnsi" w:hAnsiTheme="minorHAnsi" w:cstheme="minorHAnsi"/>
        </w:rPr>
        <w:t xml:space="preserve"> </w:t>
      </w:r>
      <w:proofErr w:type="spellStart"/>
      <w:r w:rsidR="006A017C">
        <w:rPr>
          <w:rFonts w:asciiTheme="minorHAnsi" w:hAnsiTheme="minorHAnsi" w:cstheme="minorHAnsi"/>
        </w:rPr>
        <w:t>B</w:t>
      </w:r>
      <w:r w:rsidR="00D95629">
        <w:rPr>
          <w:rFonts w:asciiTheme="minorHAnsi" w:hAnsiTheme="minorHAnsi" w:cstheme="minorHAnsi"/>
        </w:rPr>
        <w:t>edaquiline</w:t>
      </w:r>
      <w:proofErr w:type="spellEnd"/>
      <w:r w:rsidR="00D95629">
        <w:rPr>
          <w:rFonts w:asciiTheme="minorHAnsi" w:hAnsiTheme="minorHAnsi" w:cstheme="minorHAnsi"/>
        </w:rPr>
        <w:t xml:space="preserve"> in the control ar</w:t>
      </w:r>
      <w:r w:rsidR="00AB1514">
        <w:rPr>
          <w:rFonts w:asciiTheme="minorHAnsi" w:hAnsiTheme="minorHAnsi" w:cstheme="minorHAnsi"/>
        </w:rPr>
        <w:t xml:space="preserve">m, as follows: 1) </w:t>
      </w:r>
      <w:r w:rsidR="0086181A" w:rsidRPr="00CE5E9D">
        <w:rPr>
          <w:rFonts w:asciiTheme="minorHAnsi" w:hAnsiTheme="minorHAnsi" w:cstheme="minorHAnsi"/>
        </w:rPr>
        <w:t>If the participant</w:t>
      </w:r>
      <w:r w:rsidR="00AB1514">
        <w:rPr>
          <w:rFonts w:asciiTheme="minorHAnsi" w:hAnsiTheme="minorHAnsi" w:cstheme="minorHAnsi"/>
        </w:rPr>
        <w:t xml:space="preserve"> is receiving </w:t>
      </w:r>
      <w:r w:rsidR="00700F1A" w:rsidRPr="00CE5E9D">
        <w:rPr>
          <w:rFonts w:asciiTheme="minorHAnsi" w:hAnsiTheme="minorHAnsi" w:cstheme="minorHAnsi"/>
          <w:u w:val="single"/>
        </w:rPr>
        <w:t xml:space="preserve">any </w:t>
      </w:r>
      <w:r w:rsidR="00AB1514" w:rsidRPr="00CE5E9D">
        <w:rPr>
          <w:rFonts w:asciiTheme="minorHAnsi" w:hAnsiTheme="minorHAnsi" w:cstheme="minorHAnsi"/>
          <w:u w:val="single"/>
        </w:rPr>
        <w:t>protease inhibitor</w:t>
      </w:r>
      <w:r w:rsidR="00AB1514">
        <w:rPr>
          <w:rFonts w:asciiTheme="minorHAnsi" w:hAnsiTheme="minorHAnsi" w:cstheme="minorHAnsi"/>
        </w:rPr>
        <w:t xml:space="preserve"> (</w:t>
      </w:r>
      <w:r w:rsidR="00310B99">
        <w:rPr>
          <w:rFonts w:asciiTheme="minorHAnsi" w:hAnsiTheme="minorHAnsi" w:cstheme="minorHAnsi"/>
        </w:rPr>
        <w:t>atazanavir, darunavir, lopinavir, etc.)</w:t>
      </w:r>
      <w:r w:rsidR="00513AEC" w:rsidRPr="00CE5E9D">
        <w:rPr>
          <w:rFonts w:asciiTheme="minorHAnsi" w:hAnsiTheme="minorHAnsi" w:cstheme="minorHAnsi"/>
        </w:rPr>
        <w:t xml:space="preserve"> </w:t>
      </w:r>
      <w:r w:rsidR="00700F1A">
        <w:rPr>
          <w:rFonts w:asciiTheme="minorHAnsi" w:hAnsiTheme="minorHAnsi" w:cstheme="minorHAnsi"/>
        </w:rPr>
        <w:t xml:space="preserve">and </w:t>
      </w:r>
      <w:r w:rsidR="002B25E9" w:rsidRPr="00CE5E9D">
        <w:rPr>
          <w:rFonts w:asciiTheme="minorHAnsi" w:hAnsiTheme="minorHAnsi" w:cstheme="minorHAnsi"/>
        </w:rPr>
        <w:t xml:space="preserve">has not started </w:t>
      </w:r>
      <w:proofErr w:type="spellStart"/>
      <w:r w:rsidR="006A017C">
        <w:rPr>
          <w:rFonts w:asciiTheme="minorHAnsi" w:hAnsiTheme="minorHAnsi" w:cstheme="minorHAnsi"/>
        </w:rPr>
        <w:t>B</w:t>
      </w:r>
      <w:r w:rsidR="002B25E9" w:rsidRPr="00CE5E9D">
        <w:rPr>
          <w:rFonts w:asciiTheme="minorHAnsi" w:hAnsiTheme="minorHAnsi" w:cstheme="minorHAnsi"/>
        </w:rPr>
        <w:t>edaquiline</w:t>
      </w:r>
      <w:proofErr w:type="spellEnd"/>
      <w:r w:rsidR="002B25E9" w:rsidRPr="00CE5E9D">
        <w:rPr>
          <w:rFonts w:asciiTheme="minorHAnsi" w:hAnsiTheme="minorHAnsi" w:cstheme="minorHAnsi"/>
        </w:rPr>
        <w:t xml:space="preserve"> before randomization, or has started </w:t>
      </w:r>
      <w:proofErr w:type="spellStart"/>
      <w:r w:rsidR="006A017C">
        <w:rPr>
          <w:rFonts w:asciiTheme="minorHAnsi" w:hAnsiTheme="minorHAnsi" w:cstheme="minorHAnsi"/>
        </w:rPr>
        <w:t>B</w:t>
      </w:r>
      <w:r w:rsidR="002B25E9" w:rsidRPr="00CE5E9D">
        <w:rPr>
          <w:rFonts w:asciiTheme="minorHAnsi" w:hAnsiTheme="minorHAnsi" w:cstheme="minorHAnsi"/>
        </w:rPr>
        <w:t>edaquiline</w:t>
      </w:r>
      <w:proofErr w:type="spellEnd"/>
      <w:r w:rsidR="002B25E9" w:rsidRPr="00CE5E9D">
        <w:rPr>
          <w:rFonts w:asciiTheme="minorHAnsi" w:hAnsiTheme="minorHAnsi" w:cstheme="minorHAnsi"/>
        </w:rPr>
        <w:t xml:space="preserve"> before randomization but has not yet completed a </w:t>
      </w:r>
      <w:proofErr w:type="spellStart"/>
      <w:r w:rsidR="006A017C">
        <w:rPr>
          <w:rFonts w:asciiTheme="minorHAnsi" w:hAnsiTheme="minorHAnsi" w:cstheme="minorHAnsi"/>
        </w:rPr>
        <w:t>B</w:t>
      </w:r>
      <w:r w:rsidR="002B25E9" w:rsidRPr="00CE5E9D">
        <w:rPr>
          <w:rFonts w:asciiTheme="minorHAnsi" w:hAnsiTheme="minorHAnsi" w:cstheme="minorHAnsi"/>
        </w:rPr>
        <w:t>edaquiline</w:t>
      </w:r>
      <w:proofErr w:type="spellEnd"/>
      <w:r w:rsidR="002B25E9" w:rsidRPr="00CE5E9D">
        <w:rPr>
          <w:rFonts w:asciiTheme="minorHAnsi" w:hAnsiTheme="minorHAnsi" w:cstheme="minorHAnsi"/>
        </w:rPr>
        <w:t xml:space="preserve"> load</w:t>
      </w:r>
      <w:r w:rsidR="004F1EDB" w:rsidRPr="00CE5E9D">
        <w:rPr>
          <w:rFonts w:asciiTheme="minorHAnsi" w:hAnsiTheme="minorHAnsi" w:cstheme="minorHAnsi"/>
        </w:rPr>
        <w:t>,</w:t>
      </w:r>
      <w:r w:rsidR="0086181A" w:rsidRPr="00CE5E9D">
        <w:rPr>
          <w:rFonts w:asciiTheme="minorHAnsi" w:hAnsiTheme="minorHAnsi" w:cstheme="minorHAnsi"/>
        </w:rPr>
        <w:t xml:space="preserve"> </w:t>
      </w:r>
      <w:r w:rsidR="004F1EDB" w:rsidRPr="00CE5E9D">
        <w:rPr>
          <w:rFonts w:asciiTheme="minorHAnsi" w:hAnsiTheme="minorHAnsi" w:cstheme="minorHAnsi"/>
        </w:rPr>
        <w:t>t</w:t>
      </w:r>
      <w:r w:rsidR="00DF6379" w:rsidRPr="00CE5E9D">
        <w:rPr>
          <w:rFonts w:asciiTheme="minorHAnsi" w:hAnsiTheme="minorHAnsi" w:cstheme="minorHAnsi"/>
        </w:rPr>
        <w:t xml:space="preserve">he full anti-tuberculosis treatment, including </w:t>
      </w:r>
      <w:proofErr w:type="spellStart"/>
      <w:r w:rsidR="006A017C">
        <w:rPr>
          <w:rFonts w:asciiTheme="minorHAnsi" w:hAnsiTheme="minorHAnsi" w:cstheme="minorHAnsi"/>
        </w:rPr>
        <w:t>B</w:t>
      </w:r>
      <w:r w:rsidR="00DF6379" w:rsidRPr="00CE5E9D">
        <w:rPr>
          <w:rFonts w:asciiTheme="minorHAnsi" w:hAnsiTheme="minorHAnsi" w:cstheme="minorHAnsi"/>
        </w:rPr>
        <w:t>edaquiline</w:t>
      </w:r>
      <w:proofErr w:type="spellEnd"/>
      <w:r w:rsidR="00DF6379" w:rsidRPr="00CE5E9D">
        <w:rPr>
          <w:rFonts w:asciiTheme="minorHAnsi" w:hAnsiTheme="minorHAnsi" w:cstheme="minorHAnsi"/>
        </w:rPr>
        <w:t>, will be started after a wash-out period following randomization as explained in column B</w:t>
      </w:r>
      <w:r w:rsidR="00152869">
        <w:rPr>
          <w:rFonts w:asciiTheme="minorHAnsi" w:hAnsiTheme="minorHAnsi" w:cstheme="minorHAnsi"/>
        </w:rPr>
        <w:t>;</w:t>
      </w:r>
      <w:r w:rsidR="000E6873" w:rsidRPr="00CE5E9D">
        <w:rPr>
          <w:rFonts w:asciiTheme="minorHAnsi" w:hAnsiTheme="minorHAnsi" w:cstheme="minorHAnsi"/>
        </w:rPr>
        <w:t xml:space="preserve"> </w:t>
      </w:r>
      <w:r w:rsidR="00152869">
        <w:rPr>
          <w:rFonts w:asciiTheme="minorHAnsi" w:hAnsiTheme="minorHAnsi" w:cstheme="minorHAnsi"/>
        </w:rPr>
        <w:t>i</w:t>
      </w:r>
      <w:r w:rsidR="000E6873" w:rsidRPr="00CE5E9D">
        <w:rPr>
          <w:rFonts w:asciiTheme="minorHAnsi" w:hAnsiTheme="minorHAnsi" w:cstheme="minorHAnsi"/>
        </w:rPr>
        <w:t xml:space="preserve">f the participant has already completed a </w:t>
      </w:r>
      <w:proofErr w:type="spellStart"/>
      <w:r w:rsidR="006A017C">
        <w:rPr>
          <w:rFonts w:asciiTheme="minorHAnsi" w:hAnsiTheme="minorHAnsi" w:cstheme="minorHAnsi"/>
        </w:rPr>
        <w:t>B</w:t>
      </w:r>
      <w:r w:rsidR="000E6873" w:rsidRPr="00CE5E9D">
        <w:rPr>
          <w:rFonts w:asciiTheme="minorHAnsi" w:hAnsiTheme="minorHAnsi" w:cstheme="minorHAnsi"/>
        </w:rPr>
        <w:t>edaquiline</w:t>
      </w:r>
      <w:proofErr w:type="spellEnd"/>
      <w:r w:rsidR="000E6873" w:rsidRPr="00CE5E9D">
        <w:rPr>
          <w:rFonts w:asciiTheme="minorHAnsi" w:hAnsiTheme="minorHAnsi" w:cstheme="minorHAnsi"/>
        </w:rPr>
        <w:t xml:space="preserve"> load </w:t>
      </w:r>
      <w:r w:rsidR="0090062F" w:rsidRPr="00153D28">
        <w:rPr>
          <w:rFonts w:asciiTheme="minorHAnsi" w:hAnsiTheme="minorHAnsi" w:cstheme="minorHAnsi"/>
        </w:rPr>
        <w:t xml:space="preserve">and is receiving intermittent </w:t>
      </w:r>
      <w:proofErr w:type="spellStart"/>
      <w:r w:rsidR="006A017C">
        <w:rPr>
          <w:rFonts w:asciiTheme="minorHAnsi" w:hAnsiTheme="minorHAnsi" w:cstheme="minorHAnsi"/>
        </w:rPr>
        <w:t>B</w:t>
      </w:r>
      <w:r w:rsidR="0090062F" w:rsidRPr="00153D28">
        <w:rPr>
          <w:rFonts w:asciiTheme="minorHAnsi" w:hAnsiTheme="minorHAnsi" w:cstheme="minorHAnsi"/>
        </w:rPr>
        <w:t>edaquiline</w:t>
      </w:r>
      <w:proofErr w:type="spellEnd"/>
      <w:r w:rsidR="0090062F" w:rsidRPr="00AB1514">
        <w:rPr>
          <w:rFonts w:asciiTheme="minorHAnsi" w:hAnsiTheme="minorHAnsi" w:cstheme="minorHAnsi"/>
        </w:rPr>
        <w:t xml:space="preserve"> </w:t>
      </w:r>
      <w:r w:rsidR="000E6873" w:rsidRPr="00CE5E9D">
        <w:rPr>
          <w:rFonts w:asciiTheme="minorHAnsi" w:hAnsiTheme="minorHAnsi" w:cstheme="minorHAnsi"/>
        </w:rPr>
        <w:t xml:space="preserve">when they are randomized to a </w:t>
      </w:r>
      <w:proofErr w:type="spellStart"/>
      <w:r w:rsidR="006A017C">
        <w:rPr>
          <w:rFonts w:asciiTheme="minorHAnsi" w:hAnsiTheme="minorHAnsi" w:cstheme="minorHAnsi"/>
        </w:rPr>
        <w:t>B</w:t>
      </w:r>
      <w:r w:rsidR="000E6873" w:rsidRPr="00CE5E9D">
        <w:rPr>
          <w:rFonts w:asciiTheme="minorHAnsi" w:hAnsiTheme="minorHAnsi" w:cstheme="minorHAnsi"/>
        </w:rPr>
        <w:t>edaquiline</w:t>
      </w:r>
      <w:proofErr w:type="spellEnd"/>
      <w:r w:rsidR="000E6873" w:rsidRPr="00CE5E9D">
        <w:rPr>
          <w:rFonts w:asciiTheme="minorHAnsi" w:hAnsiTheme="minorHAnsi" w:cstheme="minorHAnsi"/>
        </w:rPr>
        <w:t>-containing arm</w:t>
      </w:r>
      <w:r w:rsidR="004B3528" w:rsidRPr="00CE5E9D">
        <w:rPr>
          <w:rFonts w:asciiTheme="minorHAnsi" w:hAnsiTheme="minorHAnsi" w:cstheme="minorHAnsi"/>
        </w:rPr>
        <w:t>, then post-randomization washout is not necessary</w:t>
      </w:r>
      <w:r w:rsidR="00700F1A">
        <w:rPr>
          <w:rFonts w:asciiTheme="minorHAnsi" w:hAnsiTheme="minorHAnsi" w:cstheme="minorHAnsi"/>
        </w:rPr>
        <w:t xml:space="preserve">; 2) if the participant is receiving </w:t>
      </w:r>
      <w:r w:rsidR="00700F1A" w:rsidRPr="00CE5E9D">
        <w:rPr>
          <w:rFonts w:asciiTheme="minorHAnsi" w:hAnsiTheme="minorHAnsi" w:cstheme="minorHAnsi"/>
          <w:u w:val="single"/>
        </w:rPr>
        <w:t>efavirenz</w:t>
      </w:r>
      <w:r w:rsidR="00051DC9">
        <w:rPr>
          <w:rFonts w:asciiTheme="minorHAnsi" w:hAnsiTheme="minorHAnsi" w:cstheme="minorHAnsi"/>
        </w:rPr>
        <w:t xml:space="preserve"> </w:t>
      </w:r>
      <w:r w:rsidR="00D90CB5">
        <w:rPr>
          <w:rFonts w:asciiTheme="minorHAnsi" w:hAnsiTheme="minorHAnsi" w:cstheme="minorHAnsi"/>
        </w:rPr>
        <w:t xml:space="preserve">and </w:t>
      </w:r>
      <w:r w:rsidR="00C2559C" w:rsidRPr="00783D3F">
        <w:rPr>
          <w:rFonts w:asciiTheme="minorHAnsi" w:hAnsiTheme="minorHAnsi" w:cstheme="minorHAnsi"/>
        </w:rPr>
        <w:t xml:space="preserve">has not started </w:t>
      </w:r>
      <w:proofErr w:type="spellStart"/>
      <w:r w:rsidR="006A017C">
        <w:rPr>
          <w:rFonts w:asciiTheme="minorHAnsi" w:hAnsiTheme="minorHAnsi" w:cstheme="minorHAnsi"/>
        </w:rPr>
        <w:t>B</w:t>
      </w:r>
      <w:r w:rsidR="00C2559C" w:rsidRPr="00783D3F">
        <w:rPr>
          <w:rFonts w:asciiTheme="minorHAnsi" w:hAnsiTheme="minorHAnsi" w:cstheme="minorHAnsi"/>
        </w:rPr>
        <w:t>edaquiline</w:t>
      </w:r>
      <w:proofErr w:type="spellEnd"/>
      <w:r w:rsidR="00C2559C" w:rsidRPr="00783D3F">
        <w:rPr>
          <w:rFonts w:asciiTheme="minorHAnsi" w:hAnsiTheme="minorHAnsi" w:cstheme="minorHAnsi"/>
        </w:rPr>
        <w:t xml:space="preserve"> before randomization</w:t>
      </w:r>
      <w:r w:rsidR="00C2559C">
        <w:rPr>
          <w:rFonts w:asciiTheme="minorHAnsi" w:hAnsiTheme="minorHAnsi" w:cstheme="minorHAnsi"/>
        </w:rPr>
        <w:t xml:space="preserve">, </w:t>
      </w:r>
      <w:r w:rsidR="00C2559C" w:rsidRPr="00783D3F">
        <w:rPr>
          <w:rFonts w:asciiTheme="minorHAnsi" w:hAnsiTheme="minorHAnsi" w:cstheme="minorHAnsi"/>
        </w:rPr>
        <w:t xml:space="preserve">the full anti-tuberculosis treatment, including </w:t>
      </w:r>
      <w:proofErr w:type="spellStart"/>
      <w:r w:rsidR="006A017C">
        <w:rPr>
          <w:rFonts w:asciiTheme="minorHAnsi" w:hAnsiTheme="minorHAnsi" w:cstheme="minorHAnsi"/>
        </w:rPr>
        <w:t>B</w:t>
      </w:r>
      <w:r w:rsidR="00C2559C" w:rsidRPr="00783D3F">
        <w:rPr>
          <w:rFonts w:asciiTheme="minorHAnsi" w:hAnsiTheme="minorHAnsi" w:cstheme="minorHAnsi"/>
        </w:rPr>
        <w:t>edaquiline</w:t>
      </w:r>
      <w:proofErr w:type="spellEnd"/>
      <w:r w:rsidR="00C2559C" w:rsidRPr="00783D3F">
        <w:rPr>
          <w:rFonts w:asciiTheme="minorHAnsi" w:hAnsiTheme="minorHAnsi" w:cstheme="minorHAnsi"/>
        </w:rPr>
        <w:t>, will be started after a wash-out period following randomization as explained in column B</w:t>
      </w:r>
      <w:r w:rsidR="00D90CB5">
        <w:rPr>
          <w:rFonts w:asciiTheme="minorHAnsi" w:hAnsiTheme="minorHAnsi" w:cstheme="minorHAnsi"/>
        </w:rPr>
        <w:t>;  i</w:t>
      </w:r>
      <w:r w:rsidR="00D90CB5" w:rsidRPr="00783D3F">
        <w:rPr>
          <w:rFonts w:asciiTheme="minorHAnsi" w:hAnsiTheme="minorHAnsi" w:cstheme="minorHAnsi"/>
        </w:rPr>
        <w:t xml:space="preserve">f the participant </w:t>
      </w:r>
      <w:r w:rsidR="00F653B7">
        <w:rPr>
          <w:rFonts w:asciiTheme="minorHAnsi" w:hAnsiTheme="minorHAnsi" w:cstheme="minorHAnsi"/>
        </w:rPr>
        <w:t xml:space="preserve">is receiving </w:t>
      </w:r>
      <w:proofErr w:type="spellStart"/>
      <w:r w:rsidR="006A017C">
        <w:rPr>
          <w:rFonts w:asciiTheme="minorHAnsi" w:hAnsiTheme="minorHAnsi" w:cstheme="minorHAnsi"/>
        </w:rPr>
        <w:t>B</w:t>
      </w:r>
      <w:r w:rsidR="00F653B7">
        <w:rPr>
          <w:rFonts w:asciiTheme="minorHAnsi" w:hAnsiTheme="minorHAnsi" w:cstheme="minorHAnsi"/>
        </w:rPr>
        <w:t>edaquiline</w:t>
      </w:r>
      <w:proofErr w:type="spellEnd"/>
      <w:r w:rsidR="00F653B7">
        <w:rPr>
          <w:rFonts w:asciiTheme="minorHAnsi" w:hAnsiTheme="minorHAnsi" w:cstheme="minorHAnsi"/>
        </w:rPr>
        <w:t xml:space="preserve"> </w:t>
      </w:r>
      <w:r w:rsidR="002D203A">
        <w:rPr>
          <w:rFonts w:asciiTheme="minorHAnsi" w:hAnsiTheme="minorHAnsi" w:cstheme="minorHAnsi"/>
        </w:rPr>
        <w:t xml:space="preserve">(daily or intermittently) </w:t>
      </w:r>
      <w:r w:rsidR="00F653B7">
        <w:rPr>
          <w:rFonts w:asciiTheme="minorHAnsi" w:hAnsiTheme="minorHAnsi" w:cstheme="minorHAnsi"/>
        </w:rPr>
        <w:t>that they have</w:t>
      </w:r>
      <w:r w:rsidR="00D90CB5" w:rsidRPr="00783D3F">
        <w:rPr>
          <w:rFonts w:asciiTheme="minorHAnsi" w:hAnsiTheme="minorHAnsi" w:cstheme="minorHAnsi"/>
        </w:rPr>
        <w:t xml:space="preserve"> </w:t>
      </w:r>
      <w:r w:rsidR="00D90CB5">
        <w:rPr>
          <w:rFonts w:asciiTheme="minorHAnsi" w:hAnsiTheme="minorHAnsi" w:cstheme="minorHAnsi"/>
        </w:rPr>
        <w:t>started</w:t>
      </w:r>
      <w:r w:rsidR="00F653B7">
        <w:rPr>
          <w:rFonts w:asciiTheme="minorHAnsi" w:hAnsiTheme="minorHAnsi" w:cstheme="minorHAnsi"/>
        </w:rPr>
        <w:t xml:space="preserve"> before randomization, then </w:t>
      </w:r>
      <w:r w:rsidR="00F653B7" w:rsidRPr="00783D3F">
        <w:rPr>
          <w:rFonts w:asciiTheme="minorHAnsi" w:hAnsiTheme="minorHAnsi" w:cstheme="minorHAnsi"/>
        </w:rPr>
        <w:t>post-randomization washout is not necessary</w:t>
      </w:r>
      <w:r w:rsidR="00F653B7">
        <w:rPr>
          <w:rFonts w:asciiTheme="minorHAnsi" w:hAnsiTheme="minorHAnsi" w:cstheme="minorHAnsi"/>
        </w:rPr>
        <w:t>.</w:t>
      </w:r>
    </w:p>
    <w:p w14:paraId="395362D6" w14:textId="53F3050E" w:rsidR="00E25804" w:rsidRPr="00D95629" w:rsidRDefault="00DA445F" w:rsidP="005D4AB7">
      <w:pPr>
        <w:pStyle w:val="ListParagraph"/>
        <w:numPr>
          <w:ilvl w:val="2"/>
          <w:numId w:val="9"/>
        </w:numPr>
        <w:spacing w:after="100" w:afterAutospacing="1"/>
        <w:ind w:left="1418" w:hanging="2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D707CC">
        <w:rPr>
          <w:rFonts w:asciiTheme="minorHAnsi" w:hAnsiTheme="minorHAnsi" w:cstheme="minorHAnsi"/>
        </w:rPr>
        <w:t xml:space="preserve"> </w:t>
      </w:r>
      <w:r w:rsidR="002D3B1A">
        <w:rPr>
          <w:rFonts w:asciiTheme="minorHAnsi" w:hAnsiTheme="minorHAnsi" w:cstheme="minorHAnsi"/>
        </w:rPr>
        <w:t>participant</w:t>
      </w:r>
      <w:r w:rsidR="00D707CC">
        <w:rPr>
          <w:rFonts w:asciiTheme="minorHAnsi" w:hAnsiTheme="minorHAnsi" w:cstheme="minorHAnsi"/>
        </w:rPr>
        <w:t xml:space="preserve"> is not eligible for randomization (answer “</w:t>
      </w:r>
      <w:r w:rsidR="00D707CC" w:rsidRPr="00D707CC">
        <w:rPr>
          <w:rFonts w:asciiTheme="minorHAnsi" w:hAnsiTheme="minorHAnsi" w:cstheme="minorHAnsi"/>
        </w:rPr>
        <w:t xml:space="preserve">No, the </w:t>
      </w:r>
      <w:r w:rsidR="001B3442">
        <w:rPr>
          <w:rFonts w:asciiTheme="minorHAnsi" w:hAnsiTheme="minorHAnsi" w:cstheme="minorHAnsi"/>
        </w:rPr>
        <w:t>participant</w:t>
      </w:r>
      <w:r w:rsidR="00D707CC" w:rsidRPr="00D707CC">
        <w:rPr>
          <w:rFonts w:asciiTheme="minorHAnsi" w:hAnsiTheme="minorHAnsi" w:cstheme="minorHAnsi"/>
        </w:rPr>
        <w:t xml:space="preserve"> is not eligible</w:t>
      </w:r>
      <w:r w:rsidR="00D707CC">
        <w:rPr>
          <w:rFonts w:asciiTheme="minorHAnsi" w:hAnsiTheme="minorHAnsi" w:cstheme="minorHAnsi"/>
        </w:rPr>
        <w:t>” in column</w:t>
      </w:r>
      <w:r w:rsidR="00D95629">
        <w:rPr>
          <w:rFonts w:asciiTheme="minorHAnsi" w:hAnsiTheme="minorHAnsi" w:cstheme="minorHAnsi"/>
        </w:rPr>
        <w:t xml:space="preserve"> B</w:t>
      </w:r>
      <w:r w:rsidR="00D707C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2407051C" w14:textId="5C803942" w:rsidR="00C34453" w:rsidRPr="00DF1005" w:rsidRDefault="00C34453" w:rsidP="005D4AB7">
      <w:pPr>
        <w:pStyle w:val="ListNumber"/>
        <w:numPr>
          <w:ilvl w:val="1"/>
          <w:numId w:val="9"/>
        </w:numPr>
        <w:spacing w:after="240"/>
        <w:ind w:left="1134"/>
        <w:jc w:val="both"/>
        <w:rPr>
          <w:rFonts w:asciiTheme="minorHAnsi" w:hAnsiTheme="minorHAnsi" w:cstheme="minorHAnsi"/>
        </w:rPr>
      </w:pPr>
      <w:r w:rsidRPr="00DF1005">
        <w:rPr>
          <w:rFonts w:asciiTheme="minorHAnsi" w:hAnsiTheme="minorHAnsi" w:cstheme="minorHAnsi"/>
        </w:rPr>
        <w:lastRenderedPageBreak/>
        <w:t xml:space="preserve">If </w:t>
      </w:r>
      <w:r w:rsidR="00E25804">
        <w:rPr>
          <w:rFonts w:asciiTheme="minorHAnsi" w:hAnsiTheme="minorHAnsi" w:cstheme="minorHAnsi"/>
        </w:rPr>
        <w:t>the Con-Med</w:t>
      </w:r>
      <w:r w:rsidR="00696732">
        <w:rPr>
          <w:rFonts w:asciiTheme="minorHAnsi" w:hAnsiTheme="minorHAnsi" w:cstheme="minorHAnsi"/>
        </w:rPr>
        <w:t xml:space="preserve"> prolongs the QT interval</w:t>
      </w:r>
      <w:r w:rsidRPr="00DF1005">
        <w:rPr>
          <w:rFonts w:asciiTheme="minorHAnsi" w:hAnsiTheme="minorHAnsi" w:cstheme="minorHAnsi"/>
        </w:rPr>
        <w:t xml:space="preserve"> </w:t>
      </w:r>
      <w:r w:rsidR="00696732">
        <w:rPr>
          <w:rFonts w:asciiTheme="minorHAnsi" w:hAnsiTheme="minorHAnsi" w:cstheme="minorHAnsi"/>
        </w:rPr>
        <w:t>(fourth column of the Appendix</w:t>
      </w:r>
      <w:r w:rsidR="008C58E4">
        <w:rPr>
          <w:rFonts w:asciiTheme="minorHAnsi" w:hAnsiTheme="minorHAnsi" w:cstheme="minorHAnsi"/>
        </w:rPr>
        <w:t xml:space="preserve"> [column D]</w:t>
      </w:r>
      <w:r w:rsidR="008128BF">
        <w:rPr>
          <w:rFonts w:asciiTheme="minorHAnsi" w:hAnsiTheme="minorHAnsi" w:cstheme="minorHAnsi"/>
        </w:rPr>
        <w:t>)</w:t>
      </w:r>
      <w:r w:rsidR="008C58E4">
        <w:rPr>
          <w:rFonts w:asciiTheme="minorHAnsi" w:hAnsiTheme="minorHAnsi" w:cstheme="minorHAnsi"/>
        </w:rPr>
        <w:t xml:space="preserve">, </w:t>
      </w:r>
      <w:r w:rsidRPr="00DF1005">
        <w:rPr>
          <w:rFonts w:asciiTheme="minorHAnsi" w:hAnsiTheme="minorHAnsi" w:cstheme="minorHAnsi"/>
        </w:rPr>
        <w:t>consider stopping or replacing the drug. If this is not possible, consider increasing the frequency of ECG monitoring</w:t>
      </w:r>
      <w:r w:rsidR="00E72C57" w:rsidRPr="00DF1005">
        <w:rPr>
          <w:rFonts w:asciiTheme="minorHAnsi" w:hAnsiTheme="minorHAnsi" w:cstheme="minorHAnsi"/>
        </w:rPr>
        <w:t xml:space="preserve"> during treatment</w:t>
      </w:r>
      <w:r w:rsidRPr="00DF1005">
        <w:rPr>
          <w:rFonts w:asciiTheme="minorHAnsi" w:hAnsiTheme="minorHAnsi" w:cstheme="minorHAnsi"/>
        </w:rPr>
        <w:t>.</w:t>
      </w:r>
      <w:r w:rsidR="008C58E4">
        <w:rPr>
          <w:rFonts w:asciiTheme="minorHAnsi" w:hAnsiTheme="minorHAnsi" w:cstheme="minorHAnsi"/>
        </w:rPr>
        <w:t xml:space="preserve"> Continued exposure to a drug in column D is NOT a reason for exclusion unless indicated by column B or C.</w:t>
      </w:r>
    </w:p>
    <w:p w14:paraId="507205F4" w14:textId="3C6BBEC4" w:rsidR="0069461E" w:rsidRPr="00E51A43" w:rsidRDefault="0069461E" w:rsidP="00E22D4E">
      <w:pPr>
        <w:pStyle w:val="ListNumber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3BAF2B7" w14:textId="65F17BBF" w:rsidR="0093538C" w:rsidRPr="00E51A43" w:rsidRDefault="0093538C" w:rsidP="00CD4B0A">
      <w:pPr>
        <w:pStyle w:val="Heading3"/>
      </w:pPr>
      <w:bookmarkStart w:id="11" w:name="_Toc166244284"/>
      <w:r w:rsidRPr="00E51A43">
        <w:t>Concomitant Medicine Review</w:t>
      </w:r>
      <w:bookmarkEnd w:id="11"/>
    </w:p>
    <w:p w14:paraId="15FE4E4B" w14:textId="4DC4B960" w:rsidR="00132089" w:rsidRPr="00E51A43" w:rsidRDefault="00132089" w:rsidP="00215183">
      <w:pPr>
        <w:pStyle w:val="ListNumber"/>
        <w:numPr>
          <w:ilvl w:val="0"/>
          <w:numId w:val="0"/>
        </w:numPr>
        <w:ind w:left="357"/>
        <w:jc w:val="both"/>
        <w:rPr>
          <w:rFonts w:asciiTheme="minorHAnsi" w:hAnsiTheme="minorHAnsi" w:cstheme="minorHAnsi"/>
        </w:rPr>
      </w:pPr>
      <w:r w:rsidRPr="00215183">
        <w:rPr>
          <w:rFonts w:asciiTheme="minorHAnsi" w:hAnsiTheme="minorHAnsi" w:cstheme="minorHAnsi"/>
          <w:u w:val="single"/>
        </w:rPr>
        <w:t xml:space="preserve">At </w:t>
      </w:r>
      <w:r w:rsidR="00BF614B">
        <w:rPr>
          <w:rFonts w:asciiTheme="minorHAnsi" w:hAnsiTheme="minorHAnsi" w:cstheme="minorHAnsi"/>
          <w:u w:val="single"/>
        </w:rPr>
        <w:t xml:space="preserve">the </w:t>
      </w:r>
      <w:r w:rsidRPr="00215183">
        <w:rPr>
          <w:rFonts w:asciiTheme="minorHAnsi" w:hAnsiTheme="minorHAnsi" w:cstheme="minorHAnsi"/>
          <w:u w:val="single"/>
        </w:rPr>
        <w:t>baseline</w:t>
      </w:r>
      <w:r w:rsidR="00624B3D" w:rsidRPr="00215183">
        <w:rPr>
          <w:rFonts w:asciiTheme="minorHAnsi" w:hAnsiTheme="minorHAnsi" w:cstheme="minorHAnsi"/>
          <w:u w:val="single"/>
        </w:rPr>
        <w:t xml:space="preserve"> visit</w:t>
      </w:r>
      <w:r w:rsidR="00815571" w:rsidRPr="00E51A43">
        <w:rPr>
          <w:rFonts w:asciiTheme="minorHAnsi" w:hAnsiTheme="minorHAnsi" w:cstheme="minorHAnsi"/>
        </w:rPr>
        <w:t xml:space="preserve">, </w:t>
      </w:r>
      <w:r w:rsidR="00BF614B">
        <w:rPr>
          <w:rFonts w:asciiTheme="minorHAnsi" w:hAnsiTheme="minorHAnsi" w:cstheme="minorHAnsi"/>
        </w:rPr>
        <w:t xml:space="preserve">the </w:t>
      </w:r>
      <w:r w:rsidR="003A2846" w:rsidRPr="00E51A43">
        <w:rPr>
          <w:b/>
        </w:rPr>
        <w:t xml:space="preserve">Site PI or delegated </w:t>
      </w:r>
      <w:r w:rsidR="008E22CE">
        <w:rPr>
          <w:b/>
        </w:rPr>
        <w:t>clinical investigator</w:t>
      </w:r>
      <w:r w:rsidR="003A2846" w:rsidRPr="00E51A43">
        <w:t xml:space="preserve"> should follow the evaluation procedures as below:</w:t>
      </w:r>
    </w:p>
    <w:p w14:paraId="5EC43451" w14:textId="0486CAA9" w:rsidR="00543CE4" w:rsidRDefault="00A74230" w:rsidP="00215183">
      <w:pPr>
        <w:pStyle w:val="ListNumber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51A43">
        <w:rPr>
          <w:rFonts w:asciiTheme="minorHAnsi" w:hAnsiTheme="minorHAnsi" w:cstheme="minorHAnsi"/>
        </w:rPr>
        <w:t xml:space="preserve">Ask </w:t>
      </w:r>
      <w:r w:rsidR="001B3442">
        <w:rPr>
          <w:rFonts w:asciiTheme="minorHAnsi" w:hAnsiTheme="minorHAnsi" w:cstheme="minorHAnsi"/>
        </w:rPr>
        <w:t>participant</w:t>
      </w:r>
      <w:r w:rsidR="00815571" w:rsidRPr="00E51A43">
        <w:rPr>
          <w:rFonts w:asciiTheme="minorHAnsi" w:hAnsiTheme="minorHAnsi" w:cstheme="minorHAnsi"/>
        </w:rPr>
        <w:t xml:space="preserve"> if </w:t>
      </w:r>
      <w:r w:rsidRPr="00E51A43">
        <w:rPr>
          <w:rFonts w:asciiTheme="minorHAnsi" w:hAnsiTheme="minorHAnsi" w:cstheme="minorHAnsi"/>
        </w:rPr>
        <w:t xml:space="preserve">there has been any change to </w:t>
      </w:r>
      <w:r w:rsidR="001B3442">
        <w:rPr>
          <w:rFonts w:asciiTheme="minorHAnsi" w:hAnsiTheme="minorHAnsi" w:cstheme="minorHAnsi"/>
        </w:rPr>
        <w:t>participant</w:t>
      </w:r>
      <w:r w:rsidRPr="00E51A43">
        <w:rPr>
          <w:rFonts w:asciiTheme="minorHAnsi" w:hAnsiTheme="minorHAnsi" w:cstheme="minorHAnsi"/>
        </w:rPr>
        <w:t xml:space="preserve">’s </w:t>
      </w:r>
      <w:r w:rsidR="00A72FC1">
        <w:rPr>
          <w:rFonts w:asciiTheme="minorHAnsi" w:hAnsiTheme="minorHAnsi" w:cstheme="minorHAnsi"/>
        </w:rPr>
        <w:t>C</w:t>
      </w:r>
      <w:r w:rsidR="00815571" w:rsidRPr="00E51A43">
        <w:rPr>
          <w:rFonts w:asciiTheme="minorHAnsi" w:hAnsiTheme="minorHAnsi" w:cstheme="minorHAnsi"/>
        </w:rPr>
        <w:t>on</w:t>
      </w:r>
      <w:r w:rsidRPr="00E51A43">
        <w:rPr>
          <w:rFonts w:asciiTheme="minorHAnsi" w:hAnsiTheme="minorHAnsi" w:cstheme="minorHAnsi"/>
        </w:rPr>
        <w:t>-</w:t>
      </w:r>
      <w:r w:rsidR="00A72FC1">
        <w:rPr>
          <w:rFonts w:asciiTheme="minorHAnsi" w:hAnsiTheme="minorHAnsi" w:cstheme="minorHAnsi"/>
        </w:rPr>
        <w:t>M</w:t>
      </w:r>
      <w:r w:rsidR="00D61DE5" w:rsidRPr="00E51A43">
        <w:rPr>
          <w:rFonts w:asciiTheme="minorHAnsi" w:hAnsiTheme="minorHAnsi" w:cstheme="minorHAnsi"/>
        </w:rPr>
        <w:t>e</w:t>
      </w:r>
      <w:r w:rsidRPr="00E51A43">
        <w:rPr>
          <w:rFonts w:asciiTheme="minorHAnsi" w:hAnsiTheme="minorHAnsi" w:cstheme="minorHAnsi"/>
        </w:rPr>
        <w:t>ds</w:t>
      </w:r>
      <w:r w:rsidR="00D61DE5" w:rsidRPr="00E51A43">
        <w:rPr>
          <w:rFonts w:asciiTheme="minorHAnsi" w:hAnsiTheme="minorHAnsi" w:cstheme="minorHAnsi"/>
        </w:rPr>
        <w:t xml:space="preserve"> </w:t>
      </w:r>
      <w:r w:rsidRPr="00E51A43">
        <w:rPr>
          <w:rFonts w:asciiTheme="minorHAnsi" w:hAnsiTheme="minorHAnsi" w:cstheme="minorHAnsi"/>
        </w:rPr>
        <w:t xml:space="preserve">since </w:t>
      </w:r>
      <w:r w:rsidR="008E0550">
        <w:rPr>
          <w:rFonts w:asciiTheme="minorHAnsi" w:hAnsiTheme="minorHAnsi" w:cstheme="minorHAnsi"/>
        </w:rPr>
        <w:t>screening</w:t>
      </w:r>
      <w:r w:rsidRPr="00E51A43">
        <w:rPr>
          <w:rFonts w:asciiTheme="minorHAnsi" w:hAnsiTheme="minorHAnsi" w:cstheme="minorHAnsi"/>
        </w:rPr>
        <w:t>.</w:t>
      </w:r>
    </w:p>
    <w:p w14:paraId="6FC9451E" w14:textId="77777777" w:rsidR="00DF0D9A" w:rsidRDefault="00DF0D9A" w:rsidP="00215183">
      <w:pPr>
        <w:pStyle w:val="ListNumber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14:paraId="503D53DF" w14:textId="4FC470BE" w:rsidR="00DF0D9A" w:rsidRPr="00DF0D9A" w:rsidRDefault="00DF0D9A">
      <w:pPr>
        <w:pStyle w:val="ListNumber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F0D9A">
        <w:rPr>
          <w:rFonts w:asciiTheme="minorHAnsi" w:hAnsiTheme="minorHAnsi" w:cstheme="minorHAnsi"/>
        </w:rPr>
        <w:t xml:space="preserve">Identify, among all reported </w:t>
      </w:r>
      <w:r>
        <w:rPr>
          <w:rFonts w:asciiTheme="minorHAnsi" w:hAnsiTheme="minorHAnsi" w:cstheme="minorHAnsi"/>
        </w:rPr>
        <w:t xml:space="preserve">Con-Meds </w:t>
      </w:r>
      <w:r w:rsidR="00844F01">
        <w:rPr>
          <w:rFonts w:asciiTheme="minorHAnsi" w:hAnsiTheme="minorHAnsi" w:cstheme="minorHAnsi"/>
        </w:rPr>
        <w:t>that</w:t>
      </w:r>
      <w:r>
        <w:rPr>
          <w:rFonts w:asciiTheme="minorHAnsi" w:hAnsiTheme="minorHAnsi" w:cstheme="minorHAnsi"/>
        </w:rPr>
        <w:t xml:space="preserve"> </w:t>
      </w:r>
      <w:r w:rsidR="007D32E7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 xml:space="preserve">changed since screening, </w:t>
      </w:r>
      <w:r w:rsidRPr="00DF0D9A">
        <w:rPr>
          <w:rFonts w:asciiTheme="minorHAnsi" w:hAnsiTheme="minorHAnsi" w:cstheme="minorHAnsi"/>
        </w:rPr>
        <w:t xml:space="preserve">if any is </w:t>
      </w:r>
      <w:r w:rsidR="00844F01">
        <w:rPr>
          <w:rFonts w:asciiTheme="minorHAnsi" w:hAnsiTheme="minorHAnsi" w:cstheme="minorHAnsi"/>
        </w:rPr>
        <w:t>listed</w:t>
      </w:r>
      <w:r w:rsidRPr="00DF0D9A">
        <w:rPr>
          <w:rFonts w:asciiTheme="minorHAnsi" w:hAnsiTheme="minorHAnsi" w:cstheme="minorHAnsi"/>
        </w:rPr>
        <w:t xml:space="preserve"> in the Appendix. If the Con-Med is </w:t>
      </w:r>
      <w:r w:rsidR="00844F01">
        <w:rPr>
          <w:rFonts w:asciiTheme="minorHAnsi" w:hAnsiTheme="minorHAnsi" w:cstheme="minorHAnsi"/>
        </w:rPr>
        <w:t>listed</w:t>
      </w:r>
      <w:r w:rsidRPr="00DF0D9A">
        <w:rPr>
          <w:rFonts w:asciiTheme="minorHAnsi" w:hAnsiTheme="minorHAnsi" w:cstheme="minorHAnsi"/>
        </w:rPr>
        <w:t xml:space="preserve">, </w:t>
      </w:r>
      <w:r w:rsidR="008F0B80">
        <w:rPr>
          <w:rFonts w:asciiTheme="minorHAnsi" w:hAnsiTheme="minorHAnsi" w:cstheme="minorHAnsi"/>
        </w:rPr>
        <w:t>proceed as explained above for the Concomitant Medicine Evaluation at screening.</w:t>
      </w:r>
    </w:p>
    <w:p w14:paraId="71D21CBC" w14:textId="77777777" w:rsidR="00DF0D9A" w:rsidRDefault="00DF0D9A" w:rsidP="00215183">
      <w:pPr>
        <w:pStyle w:val="ListNumber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</w:rPr>
      </w:pPr>
    </w:p>
    <w:p w14:paraId="6E062446" w14:textId="3E25F6B9" w:rsidR="004505BC" w:rsidRDefault="004505BC" w:rsidP="00215183">
      <w:pPr>
        <w:pStyle w:val="ListNumber"/>
        <w:numPr>
          <w:ilvl w:val="0"/>
          <w:numId w:val="0"/>
        </w:numPr>
        <w:ind w:left="357"/>
        <w:jc w:val="both"/>
        <w:rPr>
          <w:rFonts w:asciiTheme="minorHAnsi" w:hAnsiTheme="minorHAnsi" w:cstheme="minorHAnsi"/>
        </w:rPr>
      </w:pPr>
      <w:r w:rsidRPr="00CA2EB5">
        <w:rPr>
          <w:rFonts w:asciiTheme="minorHAnsi" w:hAnsiTheme="minorHAnsi" w:cstheme="minorHAnsi"/>
          <w:u w:val="single"/>
        </w:rPr>
        <w:t>At</w:t>
      </w:r>
      <w:r w:rsidR="001A1878">
        <w:rPr>
          <w:rFonts w:asciiTheme="minorHAnsi" w:hAnsiTheme="minorHAnsi" w:cstheme="minorHAnsi"/>
          <w:u w:val="single"/>
        </w:rPr>
        <w:t xml:space="preserve"> all </w:t>
      </w:r>
      <w:r>
        <w:rPr>
          <w:rFonts w:asciiTheme="minorHAnsi" w:hAnsiTheme="minorHAnsi" w:cstheme="minorHAnsi"/>
          <w:u w:val="single"/>
        </w:rPr>
        <w:t>follow-up</w:t>
      </w:r>
      <w:r w:rsidRPr="00CA2EB5">
        <w:rPr>
          <w:rFonts w:asciiTheme="minorHAnsi" w:hAnsiTheme="minorHAnsi" w:cstheme="minorHAnsi"/>
          <w:u w:val="single"/>
        </w:rPr>
        <w:t xml:space="preserve"> visit</w:t>
      </w:r>
      <w:r w:rsidR="008F0B80">
        <w:rPr>
          <w:rFonts w:asciiTheme="minorHAnsi" w:hAnsiTheme="minorHAnsi" w:cstheme="minorHAnsi"/>
          <w:u w:val="single"/>
        </w:rPr>
        <w:t>s</w:t>
      </w:r>
      <w:r w:rsidRPr="00E51A43">
        <w:rPr>
          <w:rFonts w:asciiTheme="minorHAnsi" w:hAnsiTheme="minorHAnsi" w:cstheme="minorHAnsi"/>
        </w:rPr>
        <w:t xml:space="preserve">, </w:t>
      </w:r>
      <w:r w:rsidR="00393662">
        <w:rPr>
          <w:rFonts w:asciiTheme="minorHAnsi" w:hAnsiTheme="minorHAnsi" w:cstheme="minorHAnsi"/>
        </w:rPr>
        <w:t xml:space="preserve">the </w:t>
      </w:r>
      <w:r w:rsidRPr="00E51A43">
        <w:rPr>
          <w:b/>
        </w:rPr>
        <w:t xml:space="preserve">Site PI or delegated </w:t>
      </w:r>
      <w:r>
        <w:rPr>
          <w:b/>
        </w:rPr>
        <w:t>clinical investigator</w:t>
      </w:r>
      <w:r w:rsidRPr="00E51A43">
        <w:t xml:space="preserve"> should follow the evaluation procedures as below:</w:t>
      </w:r>
    </w:p>
    <w:p w14:paraId="51208319" w14:textId="01E3819E" w:rsidR="008F0B80" w:rsidRDefault="008F0B80">
      <w:pPr>
        <w:pStyle w:val="ListNumber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E51A43">
        <w:rPr>
          <w:rFonts w:asciiTheme="minorHAnsi" w:hAnsiTheme="minorHAnsi" w:cstheme="minorHAnsi"/>
        </w:rPr>
        <w:t xml:space="preserve">Ask </w:t>
      </w:r>
      <w:r w:rsidR="001B3442">
        <w:rPr>
          <w:rFonts w:asciiTheme="minorHAnsi" w:hAnsiTheme="minorHAnsi" w:cstheme="minorHAnsi"/>
        </w:rPr>
        <w:t>participant</w:t>
      </w:r>
      <w:r w:rsidRPr="00E51A43">
        <w:rPr>
          <w:rFonts w:asciiTheme="minorHAnsi" w:hAnsiTheme="minorHAnsi" w:cstheme="minorHAnsi"/>
        </w:rPr>
        <w:t xml:space="preserve"> if there has been any change to </w:t>
      </w:r>
      <w:r w:rsidR="001B3442">
        <w:rPr>
          <w:rFonts w:asciiTheme="minorHAnsi" w:hAnsiTheme="minorHAnsi" w:cstheme="minorHAnsi"/>
        </w:rPr>
        <w:t>participant</w:t>
      </w:r>
      <w:r w:rsidRPr="00E51A43">
        <w:rPr>
          <w:rFonts w:asciiTheme="minorHAnsi" w:hAnsiTheme="minorHAnsi" w:cstheme="minorHAnsi"/>
        </w:rPr>
        <w:t xml:space="preserve">’s </w:t>
      </w:r>
      <w:r>
        <w:rPr>
          <w:rFonts w:asciiTheme="minorHAnsi" w:hAnsiTheme="minorHAnsi" w:cstheme="minorHAnsi"/>
        </w:rPr>
        <w:t>C</w:t>
      </w:r>
      <w:r w:rsidRPr="00E51A43">
        <w:rPr>
          <w:rFonts w:asciiTheme="minorHAnsi" w:hAnsiTheme="minorHAnsi" w:cstheme="minorHAnsi"/>
        </w:rPr>
        <w:t>on-</w:t>
      </w:r>
      <w:r>
        <w:rPr>
          <w:rFonts w:asciiTheme="minorHAnsi" w:hAnsiTheme="minorHAnsi" w:cstheme="minorHAnsi"/>
        </w:rPr>
        <w:t>M</w:t>
      </w:r>
      <w:r w:rsidRPr="00E51A43">
        <w:rPr>
          <w:rFonts w:asciiTheme="minorHAnsi" w:hAnsiTheme="minorHAnsi" w:cstheme="minorHAnsi"/>
        </w:rPr>
        <w:t xml:space="preserve">eds since </w:t>
      </w:r>
      <w:r>
        <w:rPr>
          <w:rFonts w:asciiTheme="minorHAnsi" w:hAnsiTheme="minorHAnsi" w:cstheme="minorHAnsi"/>
        </w:rPr>
        <w:t>the last visit</w:t>
      </w:r>
      <w:r w:rsidRPr="00E51A43">
        <w:rPr>
          <w:rFonts w:asciiTheme="minorHAnsi" w:hAnsiTheme="minorHAnsi" w:cstheme="minorHAnsi"/>
        </w:rPr>
        <w:t>.</w:t>
      </w:r>
    </w:p>
    <w:p w14:paraId="00AF7921" w14:textId="77777777" w:rsidR="008F0B80" w:rsidRDefault="008F0B80" w:rsidP="00215183">
      <w:pPr>
        <w:pStyle w:val="ListNumber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14:paraId="41886581" w14:textId="0FF04D03" w:rsidR="00737644" w:rsidRDefault="00543CE4" w:rsidP="00215183">
      <w:pPr>
        <w:pStyle w:val="ListNumber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</w:t>
      </w:r>
      <w:r w:rsidR="001B3442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has been exposed to any new Con-Med, </w:t>
      </w:r>
      <w:r w:rsidR="001265E1">
        <w:rPr>
          <w:rFonts w:asciiTheme="minorHAnsi" w:hAnsiTheme="minorHAnsi" w:cstheme="minorHAnsi"/>
        </w:rPr>
        <w:t xml:space="preserve">and </w:t>
      </w:r>
      <w:r w:rsidR="008F0B80">
        <w:rPr>
          <w:rFonts w:asciiTheme="minorHAnsi" w:hAnsiTheme="minorHAnsi" w:cstheme="minorHAnsi"/>
        </w:rPr>
        <w:t xml:space="preserve">s/he </w:t>
      </w:r>
      <w:r w:rsidR="008E0550">
        <w:rPr>
          <w:rFonts w:asciiTheme="minorHAnsi" w:hAnsiTheme="minorHAnsi" w:cstheme="minorHAnsi"/>
        </w:rPr>
        <w:t xml:space="preserve">is still taking the study treatment or has stopped </w:t>
      </w:r>
      <w:r w:rsidR="00844F01">
        <w:rPr>
          <w:rFonts w:asciiTheme="minorHAnsi" w:hAnsiTheme="minorHAnsi" w:cstheme="minorHAnsi"/>
        </w:rPr>
        <w:t>study treatment</w:t>
      </w:r>
      <w:r w:rsidR="008E0550">
        <w:rPr>
          <w:rFonts w:asciiTheme="minorHAnsi" w:hAnsiTheme="minorHAnsi" w:cstheme="minorHAnsi"/>
        </w:rPr>
        <w:t xml:space="preserve"> less than </w:t>
      </w:r>
      <w:r w:rsidR="00393662">
        <w:rPr>
          <w:rFonts w:asciiTheme="minorHAnsi" w:hAnsiTheme="minorHAnsi" w:cstheme="minorHAnsi"/>
        </w:rPr>
        <w:t>30 days</w:t>
      </w:r>
      <w:r w:rsidR="008E0550">
        <w:rPr>
          <w:rFonts w:asciiTheme="minorHAnsi" w:hAnsiTheme="minorHAnsi" w:cstheme="minorHAnsi"/>
        </w:rPr>
        <w:t xml:space="preserve"> </w:t>
      </w:r>
      <w:r w:rsidR="00844F01">
        <w:rPr>
          <w:rFonts w:asciiTheme="minorHAnsi" w:hAnsiTheme="minorHAnsi" w:cstheme="minorHAnsi"/>
        </w:rPr>
        <w:t>before</w:t>
      </w:r>
      <w:r w:rsidR="008E0550">
        <w:rPr>
          <w:rFonts w:asciiTheme="minorHAnsi" w:hAnsiTheme="minorHAnsi" w:cstheme="minorHAnsi"/>
        </w:rPr>
        <w:t xml:space="preserve">, </w:t>
      </w:r>
      <w:r w:rsidR="00844F01">
        <w:rPr>
          <w:rFonts w:asciiTheme="minorHAnsi" w:hAnsiTheme="minorHAnsi" w:cstheme="minorHAnsi"/>
        </w:rPr>
        <w:t>determine</w:t>
      </w:r>
      <w:r w:rsidRPr="00543CE4">
        <w:rPr>
          <w:rFonts w:asciiTheme="minorHAnsi" w:hAnsiTheme="minorHAnsi" w:cstheme="minorHAnsi"/>
        </w:rPr>
        <w:t xml:space="preserve"> if </w:t>
      </w:r>
      <w:r w:rsidR="008E0550">
        <w:rPr>
          <w:rFonts w:asciiTheme="minorHAnsi" w:hAnsiTheme="minorHAnsi" w:cstheme="minorHAnsi"/>
        </w:rPr>
        <w:t>the Con-Med</w:t>
      </w:r>
      <w:r>
        <w:rPr>
          <w:rFonts w:asciiTheme="minorHAnsi" w:hAnsiTheme="minorHAnsi" w:cstheme="minorHAnsi"/>
        </w:rPr>
        <w:t xml:space="preserve"> is</w:t>
      </w:r>
      <w:r w:rsidRPr="00543CE4">
        <w:rPr>
          <w:rFonts w:asciiTheme="minorHAnsi" w:hAnsiTheme="minorHAnsi" w:cstheme="minorHAnsi"/>
        </w:rPr>
        <w:t xml:space="preserve"> in the list in the Appendix. If the Con-Med is present in the list, </w:t>
      </w:r>
      <w:r w:rsidR="00844F01">
        <w:rPr>
          <w:rFonts w:asciiTheme="minorHAnsi" w:hAnsiTheme="minorHAnsi" w:cstheme="minorHAnsi"/>
        </w:rPr>
        <w:t>determine</w:t>
      </w:r>
      <w:r w:rsidR="00737644">
        <w:rPr>
          <w:rFonts w:asciiTheme="minorHAnsi" w:hAnsiTheme="minorHAnsi" w:cstheme="minorHAnsi"/>
        </w:rPr>
        <w:t>:</w:t>
      </w:r>
    </w:p>
    <w:p w14:paraId="6EA7973D" w14:textId="3369F28D" w:rsidR="00543CE4" w:rsidRDefault="00737644" w:rsidP="008128BF">
      <w:pPr>
        <w:pStyle w:val="ListNumber"/>
        <w:numPr>
          <w:ilvl w:val="1"/>
          <w:numId w:val="30"/>
        </w:numPr>
        <w:spacing w:after="0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</w:t>
      </w:r>
      <w:r w:rsidR="00543CE4">
        <w:rPr>
          <w:rFonts w:asciiTheme="minorHAnsi" w:hAnsiTheme="minorHAnsi" w:cstheme="minorHAnsi"/>
        </w:rPr>
        <w:t xml:space="preserve">Con-Med is allowed </w:t>
      </w:r>
      <w:r w:rsidR="008E0550">
        <w:rPr>
          <w:rFonts w:asciiTheme="minorHAnsi" w:hAnsiTheme="minorHAnsi" w:cstheme="minorHAnsi"/>
        </w:rPr>
        <w:t>(third column</w:t>
      </w:r>
      <w:r w:rsidR="00844F01">
        <w:rPr>
          <w:rFonts w:asciiTheme="minorHAnsi" w:hAnsiTheme="minorHAnsi" w:cstheme="minorHAnsi"/>
        </w:rPr>
        <w:t xml:space="preserve"> [C]</w:t>
      </w:r>
      <w:r w:rsidR="008E0550">
        <w:rPr>
          <w:rFonts w:asciiTheme="minorHAnsi" w:hAnsiTheme="minorHAnsi" w:cstheme="minorHAnsi"/>
        </w:rPr>
        <w:t xml:space="preserve"> of the </w:t>
      </w:r>
      <w:r w:rsidR="008F0B80">
        <w:rPr>
          <w:rFonts w:asciiTheme="minorHAnsi" w:hAnsiTheme="minorHAnsi" w:cstheme="minorHAnsi"/>
        </w:rPr>
        <w:t>Appendix).</w:t>
      </w:r>
      <w:r>
        <w:rPr>
          <w:rFonts w:asciiTheme="minorHAnsi" w:hAnsiTheme="minorHAnsi" w:cstheme="minorHAnsi"/>
        </w:rPr>
        <w:t xml:space="preserve"> There are two possible situations:</w:t>
      </w:r>
    </w:p>
    <w:p w14:paraId="4914A007" w14:textId="19AF839A" w:rsidR="00737644" w:rsidRDefault="00737644" w:rsidP="008128BF">
      <w:pPr>
        <w:pStyle w:val="ListParagraph"/>
        <w:numPr>
          <w:ilvl w:val="2"/>
          <w:numId w:val="30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change </w:t>
      </w:r>
      <w:r w:rsidRPr="00737644">
        <w:rPr>
          <w:rFonts w:asciiTheme="minorHAnsi" w:hAnsiTheme="minorHAnsi" w:cstheme="minorHAnsi"/>
        </w:rPr>
        <w:t>to the Con-Med</w:t>
      </w:r>
      <w:r>
        <w:rPr>
          <w:rFonts w:asciiTheme="minorHAnsi" w:hAnsiTheme="minorHAnsi" w:cstheme="minorHAnsi"/>
        </w:rPr>
        <w:t xml:space="preserve"> is necessary</w:t>
      </w:r>
      <w:r w:rsidRPr="00737644">
        <w:rPr>
          <w:rFonts w:asciiTheme="minorHAnsi" w:hAnsiTheme="minorHAnsi" w:cstheme="minorHAnsi"/>
        </w:rPr>
        <w:t xml:space="preserve"> (answer “</w:t>
      </w:r>
      <w:r>
        <w:rPr>
          <w:rFonts w:asciiTheme="minorHAnsi" w:hAnsiTheme="minorHAnsi" w:cstheme="minorHAnsi"/>
        </w:rPr>
        <w:t>Allowed</w:t>
      </w:r>
      <w:r w:rsidRPr="00737644">
        <w:rPr>
          <w:rFonts w:asciiTheme="minorHAnsi" w:hAnsiTheme="minorHAnsi" w:cstheme="minorHAnsi"/>
        </w:rPr>
        <w:t>” in column</w:t>
      </w:r>
      <w:r w:rsidR="00D42CE2">
        <w:rPr>
          <w:rFonts w:asciiTheme="minorHAnsi" w:hAnsiTheme="minorHAnsi" w:cstheme="minorHAnsi"/>
        </w:rPr>
        <w:t xml:space="preserve"> </w:t>
      </w:r>
      <w:r w:rsidR="00931386">
        <w:rPr>
          <w:rFonts w:asciiTheme="minorHAnsi" w:hAnsiTheme="minorHAnsi" w:cstheme="minorHAnsi"/>
        </w:rPr>
        <w:t>C</w:t>
      </w:r>
      <w:r w:rsidRPr="00737644">
        <w:rPr>
          <w:rFonts w:asciiTheme="minorHAnsi" w:hAnsiTheme="minorHAnsi" w:cstheme="minorHAnsi"/>
        </w:rPr>
        <w:t>).</w:t>
      </w:r>
    </w:p>
    <w:p w14:paraId="49F1D16E" w14:textId="2330F8AE" w:rsidR="00737644" w:rsidRDefault="00737644" w:rsidP="008128BF">
      <w:pPr>
        <w:pStyle w:val="ListParagraph"/>
        <w:numPr>
          <w:ilvl w:val="2"/>
          <w:numId w:val="30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Con-Med is disallowed </w:t>
      </w:r>
      <w:r w:rsidR="00844F01">
        <w:rPr>
          <w:rFonts w:asciiTheme="minorHAnsi" w:hAnsiTheme="minorHAnsi" w:cstheme="minorHAnsi"/>
        </w:rPr>
        <w:t>if the participant is receiving</w:t>
      </w:r>
      <w:r>
        <w:rPr>
          <w:rFonts w:asciiTheme="minorHAnsi" w:hAnsiTheme="minorHAnsi" w:cstheme="minorHAnsi"/>
        </w:rPr>
        <w:t xml:space="preserve"> a specific </w:t>
      </w:r>
      <w:r w:rsidR="00844F01">
        <w:rPr>
          <w:rFonts w:asciiTheme="minorHAnsi" w:hAnsiTheme="minorHAnsi" w:cstheme="minorHAnsi"/>
        </w:rPr>
        <w:t xml:space="preserve">study </w:t>
      </w:r>
      <w:r>
        <w:rPr>
          <w:rFonts w:asciiTheme="minorHAnsi" w:hAnsiTheme="minorHAnsi" w:cstheme="minorHAnsi"/>
        </w:rPr>
        <w:t>drug</w:t>
      </w:r>
      <w:r w:rsidR="008E776A">
        <w:rPr>
          <w:rFonts w:asciiTheme="minorHAnsi" w:hAnsiTheme="minorHAnsi" w:cstheme="minorHAnsi"/>
        </w:rPr>
        <w:t xml:space="preserve"> or drugs</w:t>
      </w:r>
      <w:r>
        <w:rPr>
          <w:rFonts w:asciiTheme="minorHAnsi" w:hAnsiTheme="minorHAnsi" w:cstheme="minorHAnsi"/>
        </w:rPr>
        <w:t xml:space="preserve"> (answer “</w:t>
      </w:r>
      <w:r w:rsidRPr="00737644">
        <w:rPr>
          <w:rFonts w:asciiTheme="minorHAnsi" w:hAnsiTheme="minorHAnsi" w:cstheme="minorHAnsi"/>
        </w:rPr>
        <w:t xml:space="preserve">Disallowed if receiving </w:t>
      </w:r>
      <w:r>
        <w:rPr>
          <w:rFonts w:asciiTheme="minorHAnsi" w:hAnsiTheme="minorHAnsi" w:cstheme="minorHAnsi"/>
        </w:rPr>
        <w:t>X” in column</w:t>
      </w:r>
      <w:r w:rsidR="008E776A">
        <w:rPr>
          <w:rFonts w:asciiTheme="minorHAnsi" w:hAnsiTheme="minorHAnsi" w:cstheme="minorHAnsi"/>
        </w:rPr>
        <w:t xml:space="preserve"> </w:t>
      </w:r>
      <w:r w:rsidR="0093138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). If the </w:t>
      </w:r>
      <w:r w:rsidR="001B3442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is not taking </w:t>
      </w:r>
      <w:r w:rsidR="008E776A">
        <w:rPr>
          <w:rFonts w:asciiTheme="minorHAnsi" w:hAnsiTheme="minorHAnsi" w:cstheme="minorHAnsi"/>
        </w:rPr>
        <w:t xml:space="preserve">the </w:t>
      </w:r>
      <w:r w:rsidR="00844F01">
        <w:rPr>
          <w:rFonts w:asciiTheme="minorHAnsi" w:hAnsiTheme="minorHAnsi" w:cstheme="minorHAnsi"/>
        </w:rPr>
        <w:t xml:space="preserve">named study </w:t>
      </w:r>
      <w:r>
        <w:rPr>
          <w:rFonts w:asciiTheme="minorHAnsi" w:hAnsiTheme="minorHAnsi" w:cstheme="minorHAnsi"/>
        </w:rPr>
        <w:t>drug</w:t>
      </w:r>
      <w:r w:rsidR="008E776A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, no change to Con-Med is necessary. If the </w:t>
      </w:r>
      <w:r w:rsidR="001B3442">
        <w:rPr>
          <w:rFonts w:asciiTheme="minorHAnsi" w:hAnsiTheme="minorHAnsi" w:cstheme="minorHAnsi"/>
        </w:rPr>
        <w:t>participant</w:t>
      </w:r>
      <w:r>
        <w:rPr>
          <w:rFonts w:asciiTheme="minorHAnsi" w:hAnsiTheme="minorHAnsi" w:cstheme="minorHAnsi"/>
        </w:rPr>
        <w:t xml:space="preserve"> is taking </w:t>
      </w:r>
      <w:r w:rsidR="002246B0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844F01">
        <w:rPr>
          <w:rFonts w:asciiTheme="minorHAnsi" w:hAnsiTheme="minorHAnsi" w:cstheme="minorHAnsi"/>
        </w:rPr>
        <w:t xml:space="preserve">named study </w:t>
      </w:r>
      <w:r>
        <w:rPr>
          <w:rFonts w:asciiTheme="minorHAnsi" w:hAnsiTheme="minorHAnsi" w:cstheme="minorHAnsi"/>
        </w:rPr>
        <w:t>drug</w:t>
      </w:r>
      <w:r w:rsidR="002246B0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, then the Con-Med is </w:t>
      </w:r>
      <w:r w:rsidR="00792C41">
        <w:rPr>
          <w:rFonts w:asciiTheme="minorHAnsi" w:hAnsiTheme="minorHAnsi" w:cstheme="minorHAnsi"/>
        </w:rPr>
        <w:t>disallowed,</w:t>
      </w:r>
      <w:r>
        <w:rPr>
          <w:rFonts w:asciiTheme="minorHAnsi" w:hAnsiTheme="minorHAnsi" w:cstheme="minorHAnsi"/>
        </w:rPr>
        <w:t xml:space="preserve"> and the following procedure should be followed:</w:t>
      </w:r>
    </w:p>
    <w:p w14:paraId="360D973E" w14:textId="0FA2F8F7" w:rsidR="00737644" w:rsidRPr="00737644" w:rsidRDefault="00737644" w:rsidP="00132DD8">
      <w:pPr>
        <w:pStyle w:val="ListParagraph"/>
        <w:numPr>
          <w:ilvl w:val="3"/>
          <w:numId w:val="30"/>
        </w:numPr>
        <w:ind w:left="1843" w:hanging="218"/>
        <w:jc w:val="both"/>
        <w:rPr>
          <w:rFonts w:asciiTheme="minorHAnsi" w:hAnsiTheme="minorHAnsi" w:cstheme="minorHAnsi"/>
        </w:rPr>
      </w:pPr>
      <w:r w:rsidRPr="00132DD8">
        <w:rPr>
          <w:rFonts w:asciiTheme="minorHAnsi" w:hAnsiTheme="minorHAnsi" w:cstheme="minorHAnsi"/>
          <w:b/>
        </w:rPr>
        <w:t xml:space="preserve">Site PI </w:t>
      </w:r>
      <w:r w:rsidRPr="00737644">
        <w:rPr>
          <w:rFonts w:asciiTheme="minorHAnsi" w:hAnsiTheme="minorHAnsi" w:cstheme="minorHAnsi"/>
        </w:rPr>
        <w:t>must be informed and consulted</w:t>
      </w:r>
      <w:r w:rsidR="00844F01">
        <w:rPr>
          <w:rFonts w:asciiTheme="minorHAnsi" w:hAnsiTheme="minorHAnsi" w:cstheme="minorHAnsi"/>
        </w:rPr>
        <w:t xml:space="preserve">; </w:t>
      </w:r>
      <w:r w:rsidR="00132DD8" w:rsidRPr="0090738E">
        <w:rPr>
          <w:rFonts w:asciiTheme="minorHAnsi" w:hAnsiTheme="minorHAnsi" w:cstheme="minorHAnsi"/>
          <w:b/>
        </w:rPr>
        <w:t>Site</w:t>
      </w:r>
      <w:r w:rsidR="00132DD8">
        <w:rPr>
          <w:rFonts w:asciiTheme="minorHAnsi" w:hAnsiTheme="minorHAnsi" w:cstheme="minorHAnsi"/>
        </w:rPr>
        <w:t xml:space="preserve"> </w:t>
      </w:r>
      <w:r w:rsidR="00132DD8">
        <w:rPr>
          <w:rFonts w:asciiTheme="minorHAnsi" w:hAnsiTheme="minorHAnsi" w:cstheme="minorHAnsi"/>
          <w:b/>
        </w:rPr>
        <w:t>S</w:t>
      </w:r>
      <w:r w:rsidR="00844F01" w:rsidRPr="0090738E">
        <w:rPr>
          <w:rFonts w:asciiTheme="minorHAnsi" w:hAnsiTheme="minorHAnsi" w:cstheme="minorHAnsi"/>
          <w:b/>
        </w:rPr>
        <w:t xml:space="preserve">tudy </w:t>
      </w:r>
      <w:r w:rsidR="00132DD8">
        <w:rPr>
          <w:rFonts w:asciiTheme="minorHAnsi" w:hAnsiTheme="minorHAnsi" w:cstheme="minorHAnsi"/>
          <w:b/>
        </w:rPr>
        <w:t>C</w:t>
      </w:r>
      <w:r w:rsidR="00844F01" w:rsidRPr="0090738E">
        <w:rPr>
          <w:rFonts w:asciiTheme="minorHAnsi" w:hAnsiTheme="minorHAnsi" w:cstheme="minorHAnsi"/>
          <w:b/>
        </w:rPr>
        <w:t>oordinator</w:t>
      </w:r>
      <w:r w:rsidR="00844F01">
        <w:rPr>
          <w:rFonts w:asciiTheme="minorHAnsi" w:hAnsiTheme="minorHAnsi" w:cstheme="minorHAnsi"/>
        </w:rPr>
        <w:t xml:space="preserve"> should also be informed to file a protocol deviation.</w:t>
      </w:r>
    </w:p>
    <w:p w14:paraId="0FF63100" w14:textId="19AC67DD" w:rsidR="00737644" w:rsidRPr="00215183" w:rsidRDefault="00737644" w:rsidP="00132DD8">
      <w:pPr>
        <w:pStyle w:val="ListParagraph"/>
        <w:numPr>
          <w:ilvl w:val="3"/>
          <w:numId w:val="30"/>
        </w:numPr>
        <w:ind w:left="1843" w:hanging="218"/>
        <w:jc w:val="both"/>
        <w:rPr>
          <w:rFonts w:asciiTheme="minorHAnsi" w:hAnsiTheme="minorHAnsi" w:cstheme="minorHAnsi"/>
        </w:rPr>
      </w:pPr>
      <w:r w:rsidRPr="00737644">
        <w:rPr>
          <w:rFonts w:asciiTheme="minorHAnsi" w:hAnsiTheme="minorHAnsi" w:cstheme="minorHAnsi"/>
        </w:rPr>
        <w:t>Cons</w:t>
      </w:r>
      <w:r>
        <w:rPr>
          <w:rFonts w:asciiTheme="minorHAnsi" w:hAnsiTheme="minorHAnsi" w:cstheme="minorHAnsi"/>
        </w:rPr>
        <w:t>ider stopping or replacing the Con-M</w:t>
      </w:r>
      <w:r w:rsidRPr="00737644">
        <w:rPr>
          <w:rFonts w:asciiTheme="minorHAnsi" w:hAnsiTheme="minorHAnsi" w:cstheme="minorHAnsi"/>
        </w:rPr>
        <w:t xml:space="preserve">ed when feasible. If needed, send </w:t>
      </w:r>
      <w:r w:rsidR="00674231">
        <w:rPr>
          <w:rFonts w:asciiTheme="minorHAnsi" w:hAnsiTheme="minorHAnsi" w:cstheme="minorHAnsi"/>
        </w:rPr>
        <w:t xml:space="preserve">a </w:t>
      </w:r>
      <w:r w:rsidRPr="00737644">
        <w:rPr>
          <w:rFonts w:asciiTheme="minorHAnsi" w:hAnsiTheme="minorHAnsi" w:cstheme="minorHAnsi"/>
        </w:rPr>
        <w:t xml:space="preserve">query to the </w:t>
      </w:r>
      <w:r w:rsidR="007139C6">
        <w:rPr>
          <w:rFonts w:asciiTheme="minorHAnsi" w:hAnsiTheme="minorHAnsi" w:cstheme="minorHAnsi"/>
        </w:rPr>
        <w:t>CAC</w:t>
      </w:r>
      <w:r w:rsidRPr="00737644">
        <w:rPr>
          <w:rFonts w:asciiTheme="minorHAnsi" w:hAnsiTheme="minorHAnsi" w:cstheme="minorHAnsi"/>
        </w:rPr>
        <w:t xml:space="preserve"> for guidance (</w:t>
      </w:r>
      <w:r>
        <w:rPr>
          <w:rFonts w:asciiTheme="minorHAnsi" w:hAnsiTheme="minorHAnsi" w:cstheme="minorHAnsi"/>
        </w:rPr>
        <w:t>refer to</w:t>
      </w:r>
      <w:r w:rsidRPr="00737644">
        <w:rPr>
          <w:rFonts w:asciiTheme="minorHAnsi" w:hAnsiTheme="minorHAnsi" w:cstheme="minorHAnsi"/>
        </w:rPr>
        <w:t xml:space="preserve"> </w:t>
      </w:r>
      <w:r w:rsidRPr="00215183">
        <w:rPr>
          <w:rFonts w:asciiTheme="minorHAnsi" w:hAnsiTheme="minorHAnsi" w:cstheme="minorHAnsi"/>
          <w:b/>
        </w:rPr>
        <w:t>SOP SP-024-CT</w:t>
      </w:r>
      <w:r w:rsidRPr="00737644">
        <w:rPr>
          <w:rFonts w:asciiTheme="minorHAnsi" w:hAnsiTheme="minorHAnsi" w:cstheme="minorHAnsi"/>
        </w:rPr>
        <w:t xml:space="preserve"> </w:t>
      </w:r>
      <w:r w:rsidR="008128BF" w:rsidRPr="008128BF">
        <w:rPr>
          <w:rFonts w:asciiTheme="minorHAnsi" w:hAnsiTheme="minorHAnsi" w:cstheme="minorHAnsi"/>
          <w:i/>
        </w:rPr>
        <w:t>Modus Operandi</w:t>
      </w:r>
      <w:r w:rsidR="008128BF">
        <w:rPr>
          <w:rFonts w:asciiTheme="minorHAnsi" w:hAnsiTheme="minorHAnsi" w:cstheme="minorHAnsi"/>
        </w:rPr>
        <w:t xml:space="preserve"> and </w:t>
      </w:r>
      <w:r w:rsidRPr="00215183">
        <w:rPr>
          <w:rFonts w:asciiTheme="minorHAnsi" w:hAnsiTheme="minorHAnsi" w:cstheme="minorHAnsi"/>
          <w:i/>
        </w:rPr>
        <w:t>Communication with Clinical Advisory Committee</w:t>
      </w:r>
      <w:r w:rsidRPr="00737644">
        <w:rPr>
          <w:rFonts w:asciiTheme="minorHAnsi" w:hAnsiTheme="minorHAnsi" w:cstheme="minorHAnsi"/>
        </w:rPr>
        <w:t>)</w:t>
      </w:r>
      <w:r w:rsidR="00792C41">
        <w:rPr>
          <w:rFonts w:asciiTheme="minorHAnsi" w:hAnsiTheme="minorHAnsi" w:cstheme="minorHAnsi"/>
        </w:rPr>
        <w:t>.</w:t>
      </w:r>
    </w:p>
    <w:p w14:paraId="4B4DBED5" w14:textId="44810C02" w:rsidR="00543CE4" w:rsidRPr="00DF1005" w:rsidRDefault="00737644" w:rsidP="008128BF">
      <w:pPr>
        <w:pStyle w:val="ListParagraph"/>
        <w:numPr>
          <w:ilvl w:val="1"/>
          <w:numId w:val="30"/>
        </w:numPr>
        <w:spacing w:before="240" w:after="240"/>
        <w:ind w:left="1134" w:hanging="357"/>
        <w:jc w:val="both"/>
      </w:pPr>
      <w:r w:rsidRPr="00737644">
        <w:rPr>
          <w:rFonts w:asciiTheme="minorHAnsi" w:hAnsiTheme="minorHAnsi" w:cstheme="minorHAnsi"/>
        </w:rPr>
        <w:t>If the Con-Med prolongs the QT interval (fourth column</w:t>
      </w:r>
      <w:r w:rsidR="00844F01">
        <w:rPr>
          <w:rFonts w:asciiTheme="minorHAnsi" w:hAnsiTheme="minorHAnsi" w:cstheme="minorHAnsi"/>
        </w:rPr>
        <w:t xml:space="preserve"> [D]</w:t>
      </w:r>
      <w:r w:rsidRPr="00737644">
        <w:rPr>
          <w:rFonts w:asciiTheme="minorHAnsi" w:hAnsiTheme="minorHAnsi" w:cstheme="minorHAnsi"/>
        </w:rPr>
        <w:t xml:space="preserve"> of the Appendix): consider stopping or replacing </w:t>
      </w:r>
      <w:r w:rsidR="00844F01">
        <w:rPr>
          <w:rFonts w:asciiTheme="minorHAnsi" w:hAnsiTheme="minorHAnsi" w:cstheme="minorHAnsi"/>
        </w:rPr>
        <w:t>the Con-Med</w:t>
      </w:r>
      <w:r w:rsidR="00792C41">
        <w:rPr>
          <w:rFonts w:asciiTheme="minorHAnsi" w:hAnsiTheme="minorHAnsi" w:cstheme="minorHAnsi"/>
        </w:rPr>
        <w:t xml:space="preserve"> as soon as possible</w:t>
      </w:r>
      <w:r w:rsidRPr="00737644">
        <w:rPr>
          <w:rFonts w:asciiTheme="minorHAnsi" w:hAnsiTheme="minorHAnsi" w:cstheme="minorHAnsi"/>
        </w:rPr>
        <w:t>. If this is not possible, consider increasing the frequency of ECG monitoring during treatment.</w:t>
      </w:r>
      <w:r w:rsidR="00792C41">
        <w:rPr>
          <w:rFonts w:asciiTheme="minorHAnsi" w:hAnsiTheme="minorHAnsi" w:cstheme="minorHAnsi"/>
        </w:rPr>
        <w:t xml:space="preserve"> Seek advice from</w:t>
      </w:r>
      <w:r w:rsidR="00B163A6">
        <w:rPr>
          <w:rFonts w:asciiTheme="minorHAnsi" w:hAnsiTheme="minorHAnsi" w:cstheme="minorHAnsi"/>
        </w:rPr>
        <w:t xml:space="preserve"> the</w:t>
      </w:r>
      <w:r w:rsidR="00792C41">
        <w:rPr>
          <w:rFonts w:asciiTheme="minorHAnsi" w:hAnsiTheme="minorHAnsi" w:cstheme="minorHAnsi"/>
        </w:rPr>
        <w:t xml:space="preserve"> cardiologist on site and/or </w:t>
      </w:r>
      <w:r w:rsidR="00B163A6">
        <w:rPr>
          <w:rFonts w:asciiTheme="minorHAnsi" w:hAnsiTheme="minorHAnsi" w:cstheme="minorHAnsi"/>
        </w:rPr>
        <w:t xml:space="preserve">the </w:t>
      </w:r>
      <w:r w:rsidR="00792C41">
        <w:rPr>
          <w:rFonts w:asciiTheme="minorHAnsi" w:hAnsiTheme="minorHAnsi" w:cstheme="minorHAnsi"/>
        </w:rPr>
        <w:t>CAC if needed.</w:t>
      </w:r>
    </w:p>
    <w:p w14:paraId="2CB78E4F" w14:textId="4B944861" w:rsidR="00815571" w:rsidRDefault="00844F01" w:rsidP="00215183">
      <w:pPr>
        <w:pStyle w:val="ListNumber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At the</w:t>
      </w:r>
      <w:r w:rsidR="00072617" w:rsidRPr="00E51A43">
        <w:rPr>
          <w:rFonts w:asciiTheme="minorHAnsi" w:hAnsiTheme="minorHAnsi" w:cstheme="minorHAnsi"/>
        </w:rPr>
        <w:t xml:space="preserve"> </w:t>
      </w:r>
      <w:r w:rsidR="00543CE4">
        <w:rPr>
          <w:rFonts w:asciiTheme="minorHAnsi" w:hAnsiTheme="minorHAnsi" w:cstheme="minorHAnsi"/>
        </w:rPr>
        <w:t>start</w:t>
      </w:r>
      <w:r w:rsidR="00815571" w:rsidRPr="00E51A43">
        <w:rPr>
          <w:rFonts w:asciiTheme="minorHAnsi" w:hAnsiTheme="minorHAnsi" w:cstheme="minorHAnsi"/>
        </w:rPr>
        <w:t xml:space="preserve"> </w:t>
      </w:r>
      <w:r w:rsidR="00294031">
        <w:rPr>
          <w:rFonts w:asciiTheme="minorHAnsi" w:hAnsiTheme="minorHAnsi" w:cstheme="minorHAnsi"/>
        </w:rPr>
        <w:t>any Con-Med</w:t>
      </w:r>
      <w:r w:rsidR="00815571" w:rsidRPr="00E51A43">
        <w:rPr>
          <w:rFonts w:asciiTheme="minorHAnsi" w:hAnsiTheme="minorHAnsi" w:cstheme="minorHAnsi"/>
        </w:rPr>
        <w:t xml:space="preserve"> after </w:t>
      </w:r>
      <w:r w:rsidR="007A6B8C" w:rsidRPr="00E51A43">
        <w:rPr>
          <w:rFonts w:asciiTheme="minorHAnsi" w:hAnsiTheme="minorHAnsi" w:cstheme="minorHAnsi"/>
        </w:rPr>
        <w:t>randomization</w:t>
      </w:r>
      <w:r w:rsidR="00815571" w:rsidRPr="00E51A43">
        <w:rPr>
          <w:rFonts w:asciiTheme="minorHAnsi" w:hAnsiTheme="minorHAnsi" w:cstheme="minorHAnsi"/>
        </w:rPr>
        <w:t xml:space="preserve">, </w:t>
      </w:r>
      <w:r w:rsidR="00294031">
        <w:rPr>
          <w:rFonts w:asciiTheme="minorHAnsi" w:hAnsiTheme="minorHAnsi" w:cstheme="minorHAnsi"/>
        </w:rPr>
        <w:t>the list in the Appendix should be consulted to avoid disallowed medications.</w:t>
      </w:r>
      <w:r w:rsidR="00B729B1">
        <w:rPr>
          <w:rFonts w:asciiTheme="minorHAnsi" w:hAnsiTheme="minorHAnsi" w:cstheme="minorHAnsi"/>
        </w:rPr>
        <w:t xml:space="preserve"> Similarly</w:t>
      </w:r>
      <w:r w:rsidR="00102149">
        <w:rPr>
          <w:rFonts w:asciiTheme="minorHAnsi" w:hAnsiTheme="minorHAnsi" w:cstheme="minorHAnsi"/>
        </w:rPr>
        <w:t>, the list should be consulted when any new study drug</w:t>
      </w:r>
      <w:r w:rsidR="00585959">
        <w:rPr>
          <w:rFonts w:asciiTheme="minorHAnsi" w:hAnsiTheme="minorHAnsi" w:cstheme="minorHAnsi"/>
        </w:rPr>
        <w:t xml:space="preserve"> (s)</w:t>
      </w:r>
      <w:r w:rsidR="00102149">
        <w:rPr>
          <w:rFonts w:asciiTheme="minorHAnsi" w:hAnsiTheme="minorHAnsi" w:cstheme="minorHAnsi"/>
        </w:rPr>
        <w:t xml:space="preserve"> is re-introduced or started</w:t>
      </w:r>
      <w:r w:rsidR="00217320">
        <w:rPr>
          <w:rFonts w:asciiTheme="minorHAnsi" w:hAnsiTheme="minorHAnsi" w:cstheme="minorHAnsi"/>
        </w:rPr>
        <w:t xml:space="preserve">: disallowed medications should be stopped before the </w:t>
      </w:r>
      <w:r w:rsidR="00585959">
        <w:rPr>
          <w:rFonts w:asciiTheme="minorHAnsi" w:hAnsiTheme="minorHAnsi" w:cstheme="minorHAnsi"/>
        </w:rPr>
        <w:t>new study drug (s) is started, observing a wash-out period if needed.</w:t>
      </w:r>
      <w:r w:rsidR="00294031">
        <w:rPr>
          <w:rFonts w:asciiTheme="minorHAnsi" w:hAnsiTheme="minorHAnsi" w:cstheme="minorHAnsi"/>
        </w:rPr>
        <w:t xml:space="preserve"> Specialists and/or the CAC </w:t>
      </w:r>
      <w:r w:rsidR="00CE71B4">
        <w:rPr>
          <w:rFonts w:asciiTheme="minorHAnsi" w:hAnsiTheme="minorHAnsi" w:cstheme="minorHAnsi"/>
        </w:rPr>
        <w:t>should</w:t>
      </w:r>
      <w:r w:rsidR="00294031">
        <w:rPr>
          <w:rFonts w:asciiTheme="minorHAnsi" w:hAnsiTheme="minorHAnsi" w:cstheme="minorHAnsi"/>
        </w:rPr>
        <w:t xml:space="preserve"> be consulted to find alternatives for disallowed </w:t>
      </w:r>
      <w:r w:rsidR="00CE71B4">
        <w:rPr>
          <w:rFonts w:asciiTheme="minorHAnsi" w:hAnsiTheme="minorHAnsi" w:cstheme="minorHAnsi"/>
        </w:rPr>
        <w:t>medications</w:t>
      </w:r>
      <w:r w:rsidR="00294031">
        <w:rPr>
          <w:rFonts w:asciiTheme="minorHAnsi" w:hAnsiTheme="minorHAnsi" w:cstheme="minorHAnsi"/>
        </w:rPr>
        <w:t>.</w:t>
      </w:r>
    </w:p>
    <w:p w14:paraId="704CEB3C" w14:textId="11CE08AA" w:rsidR="008E0550" w:rsidRPr="00946FC3" w:rsidRDefault="008E0550" w:rsidP="00215183">
      <w:pPr>
        <w:pStyle w:val="ListNumber"/>
        <w:numPr>
          <w:ilvl w:val="0"/>
          <w:numId w:val="0"/>
        </w:numPr>
        <w:spacing w:after="0"/>
        <w:contextualSpacing w:val="0"/>
        <w:jc w:val="both"/>
        <w:rPr>
          <w:rFonts w:asciiTheme="minorHAnsi" w:hAnsiTheme="minorHAnsi" w:cstheme="minorHAnsi"/>
        </w:rPr>
      </w:pPr>
    </w:p>
    <w:p w14:paraId="1ADC2668" w14:textId="4ECA5503" w:rsidR="0093538C" w:rsidRPr="008A182D" w:rsidRDefault="0093538C" w:rsidP="00215183">
      <w:pPr>
        <w:pStyle w:val="Heading3"/>
        <w:jc w:val="both"/>
      </w:pPr>
      <w:bookmarkStart w:id="12" w:name="_Toc166244285"/>
      <w:r w:rsidRPr="008A182D">
        <w:t>Concomitant Medicine Reporting</w:t>
      </w:r>
      <w:bookmarkEnd w:id="12"/>
    </w:p>
    <w:p w14:paraId="4AA5DC39" w14:textId="5E5192AD" w:rsidR="00AB0950" w:rsidRDefault="00824DE7" w:rsidP="0027271A">
      <w:pPr>
        <w:pStyle w:val="ListNumber"/>
        <w:numPr>
          <w:ilvl w:val="0"/>
          <w:numId w:val="0"/>
        </w:numPr>
        <w:ind w:left="284"/>
        <w:jc w:val="both"/>
        <w:rPr>
          <w:rFonts w:asciiTheme="minorHAnsi" w:hAnsiTheme="minorHAnsi" w:cstheme="minorHAnsi"/>
        </w:rPr>
      </w:pPr>
      <w:r w:rsidRPr="00215183">
        <w:t xml:space="preserve">The </w:t>
      </w:r>
      <w:r w:rsidR="00BB76C7" w:rsidRPr="00726D46">
        <w:rPr>
          <w:b/>
        </w:rPr>
        <w:t xml:space="preserve">Site PI or delegated </w:t>
      </w:r>
      <w:r>
        <w:rPr>
          <w:b/>
        </w:rPr>
        <w:t>clinical i</w:t>
      </w:r>
      <w:r w:rsidR="00BB76C7" w:rsidRPr="00726D46">
        <w:rPr>
          <w:b/>
        </w:rPr>
        <w:t>nvestigator</w:t>
      </w:r>
      <w:r w:rsidR="00BB76C7">
        <w:rPr>
          <w:b/>
        </w:rPr>
        <w:t xml:space="preserve"> </w:t>
      </w:r>
      <w:r w:rsidR="00DD47A8" w:rsidRPr="004933B8">
        <w:rPr>
          <w:rFonts w:asciiTheme="minorHAnsi" w:hAnsiTheme="minorHAnsi" w:cstheme="minorHAnsi"/>
        </w:rPr>
        <w:t xml:space="preserve">must </w:t>
      </w:r>
      <w:r w:rsidR="00844F01">
        <w:rPr>
          <w:rFonts w:asciiTheme="minorHAnsi" w:hAnsiTheme="minorHAnsi" w:cstheme="minorHAnsi"/>
        </w:rPr>
        <w:t>record</w:t>
      </w:r>
      <w:r w:rsidR="00844F01" w:rsidRPr="004933B8">
        <w:rPr>
          <w:rFonts w:asciiTheme="minorHAnsi" w:hAnsiTheme="minorHAnsi" w:cstheme="minorHAnsi"/>
        </w:rPr>
        <w:t xml:space="preserve"> </w:t>
      </w:r>
      <w:r w:rsidR="00844F01">
        <w:rPr>
          <w:rFonts w:asciiTheme="minorHAnsi" w:hAnsiTheme="minorHAnsi" w:cstheme="minorHAnsi"/>
        </w:rPr>
        <w:t>in</w:t>
      </w:r>
      <w:r w:rsidR="00844F01" w:rsidRPr="004933B8">
        <w:rPr>
          <w:rFonts w:asciiTheme="minorHAnsi" w:hAnsiTheme="minorHAnsi" w:cstheme="minorHAnsi"/>
        </w:rPr>
        <w:t xml:space="preserve"> the </w:t>
      </w:r>
      <w:r w:rsidR="00844F01">
        <w:rPr>
          <w:rFonts w:asciiTheme="minorHAnsi" w:hAnsiTheme="minorHAnsi" w:cstheme="minorHAnsi"/>
        </w:rPr>
        <w:t>required documents, including</w:t>
      </w:r>
      <w:r w:rsidR="00844F01" w:rsidRPr="004933B8">
        <w:rPr>
          <w:rFonts w:asciiTheme="minorHAnsi" w:hAnsiTheme="minorHAnsi" w:cstheme="minorHAnsi"/>
        </w:rPr>
        <w:t xml:space="preserve"> </w:t>
      </w:r>
      <w:r w:rsidR="00844F01">
        <w:rPr>
          <w:rFonts w:asciiTheme="minorHAnsi" w:hAnsiTheme="minorHAnsi" w:cstheme="minorHAnsi"/>
        </w:rPr>
        <w:t>the</w:t>
      </w:r>
      <w:r w:rsidR="00844F01" w:rsidRPr="004933B8">
        <w:rPr>
          <w:rFonts w:asciiTheme="minorHAnsi" w:hAnsiTheme="minorHAnsi" w:cstheme="minorHAnsi"/>
        </w:rPr>
        <w:t xml:space="preserve"> </w:t>
      </w:r>
      <w:r w:rsidR="00844F01">
        <w:rPr>
          <w:rFonts w:asciiTheme="minorHAnsi" w:hAnsiTheme="minorHAnsi" w:cstheme="minorHAnsi"/>
        </w:rPr>
        <w:t>C</w:t>
      </w:r>
      <w:r w:rsidR="00844F01" w:rsidRPr="004933B8">
        <w:rPr>
          <w:rFonts w:asciiTheme="minorHAnsi" w:hAnsiTheme="minorHAnsi" w:cstheme="minorHAnsi"/>
        </w:rPr>
        <w:t xml:space="preserve">oncomitant </w:t>
      </w:r>
      <w:r w:rsidR="00844F01">
        <w:rPr>
          <w:rFonts w:asciiTheme="minorHAnsi" w:hAnsiTheme="minorHAnsi" w:cstheme="minorHAnsi"/>
        </w:rPr>
        <w:t>M</w:t>
      </w:r>
      <w:r w:rsidR="00844F01" w:rsidRPr="004933B8">
        <w:rPr>
          <w:rFonts w:asciiTheme="minorHAnsi" w:hAnsiTheme="minorHAnsi" w:cstheme="minorHAnsi"/>
        </w:rPr>
        <w:t xml:space="preserve">edication </w:t>
      </w:r>
      <w:r w:rsidR="00844F01">
        <w:rPr>
          <w:rFonts w:asciiTheme="minorHAnsi" w:hAnsiTheme="minorHAnsi" w:cstheme="minorHAnsi"/>
        </w:rPr>
        <w:t>CRF (Form 13</w:t>
      </w:r>
      <w:r w:rsidR="00A27E89">
        <w:rPr>
          <w:rFonts w:asciiTheme="minorHAnsi" w:hAnsiTheme="minorHAnsi" w:cstheme="minorHAnsi"/>
        </w:rPr>
        <w:t xml:space="preserve">), </w:t>
      </w:r>
      <w:r w:rsidR="00BB76C7">
        <w:rPr>
          <w:rFonts w:asciiTheme="minorHAnsi" w:hAnsiTheme="minorHAnsi" w:cstheme="minorHAnsi"/>
        </w:rPr>
        <w:t xml:space="preserve">information about </w:t>
      </w:r>
      <w:r w:rsidR="00642A22">
        <w:rPr>
          <w:rFonts w:asciiTheme="minorHAnsi" w:hAnsiTheme="minorHAnsi" w:cstheme="minorHAnsi"/>
        </w:rPr>
        <w:t xml:space="preserve">the </w:t>
      </w:r>
      <w:r w:rsidR="001B3442">
        <w:rPr>
          <w:rFonts w:asciiTheme="minorHAnsi" w:hAnsiTheme="minorHAnsi" w:cstheme="minorHAnsi"/>
        </w:rPr>
        <w:t>participant</w:t>
      </w:r>
      <w:r w:rsidR="00BB76C7">
        <w:rPr>
          <w:rFonts w:asciiTheme="minorHAnsi" w:hAnsiTheme="minorHAnsi" w:cstheme="minorHAnsi"/>
        </w:rPr>
        <w:t xml:space="preserve">’s </w:t>
      </w:r>
      <w:r w:rsidR="00543CE4">
        <w:rPr>
          <w:rFonts w:asciiTheme="minorHAnsi" w:hAnsiTheme="minorHAnsi" w:cstheme="minorHAnsi"/>
        </w:rPr>
        <w:t>C</w:t>
      </w:r>
      <w:r w:rsidR="00DD47A8" w:rsidRPr="004933B8">
        <w:rPr>
          <w:rFonts w:asciiTheme="minorHAnsi" w:hAnsiTheme="minorHAnsi" w:cstheme="minorHAnsi"/>
        </w:rPr>
        <w:t>on</w:t>
      </w:r>
      <w:r w:rsidR="00BB76C7">
        <w:rPr>
          <w:rFonts w:asciiTheme="minorHAnsi" w:hAnsiTheme="minorHAnsi" w:cstheme="minorHAnsi"/>
        </w:rPr>
        <w:t>-</w:t>
      </w:r>
      <w:r w:rsidR="00543CE4">
        <w:rPr>
          <w:rFonts w:asciiTheme="minorHAnsi" w:hAnsiTheme="minorHAnsi" w:cstheme="minorHAnsi"/>
        </w:rPr>
        <w:t>M</w:t>
      </w:r>
      <w:r w:rsidR="00BB76C7">
        <w:rPr>
          <w:rFonts w:asciiTheme="minorHAnsi" w:hAnsiTheme="minorHAnsi" w:cstheme="minorHAnsi"/>
        </w:rPr>
        <w:t>ed(s</w:t>
      </w:r>
      <w:r w:rsidR="00844F01">
        <w:rPr>
          <w:rFonts w:asciiTheme="minorHAnsi" w:hAnsiTheme="minorHAnsi" w:cstheme="minorHAnsi"/>
        </w:rPr>
        <w:t xml:space="preserve">), whether or not </w:t>
      </w:r>
      <w:r w:rsidR="00A27E89">
        <w:rPr>
          <w:rFonts w:asciiTheme="minorHAnsi" w:hAnsiTheme="minorHAnsi" w:cstheme="minorHAnsi"/>
        </w:rPr>
        <w:t>the Con-Med(s)</w:t>
      </w:r>
      <w:r w:rsidR="00844F01">
        <w:rPr>
          <w:rFonts w:asciiTheme="minorHAnsi" w:hAnsiTheme="minorHAnsi" w:cstheme="minorHAnsi"/>
        </w:rPr>
        <w:t xml:space="preserve"> appear in the appendix/worksheet</w:t>
      </w:r>
      <w:r w:rsidR="00642A22">
        <w:rPr>
          <w:rFonts w:asciiTheme="minorHAnsi" w:hAnsiTheme="minorHAnsi" w:cstheme="minorHAnsi"/>
        </w:rPr>
        <w:t>.</w:t>
      </w:r>
    </w:p>
    <w:p w14:paraId="61F66E00" w14:textId="77777777" w:rsidR="00AF6DAB" w:rsidRPr="00946FC3" w:rsidRDefault="00AF6DAB" w:rsidP="00AF6DAB">
      <w:pPr>
        <w:pStyle w:val="ListNumber"/>
        <w:numPr>
          <w:ilvl w:val="0"/>
          <w:numId w:val="0"/>
        </w:numPr>
        <w:spacing w:after="0"/>
        <w:contextualSpacing w:val="0"/>
        <w:jc w:val="both"/>
        <w:rPr>
          <w:rFonts w:asciiTheme="minorHAnsi" w:hAnsiTheme="minorHAnsi" w:cstheme="minorHAnsi"/>
        </w:rPr>
      </w:pPr>
    </w:p>
    <w:p w14:paraId="592A12F4" w14:textId="493C960C" w:rsidR="00AF6DAB" w:rsidRPr="001D797E" w:rsidRDefault="00AF6DAB" w:rsidP="00CE5E9D">
      <w:pPr>
        <w:pStyle w:val="Heading3"/>
      </w:pPr>
      <w:bookmarkStart w:id="13" w:name="_Toc166244286"/>
      <w:r w:rsidRPr="008A182D">
        <w:t>Concomitant Medic</w:t>
      </w:r>
      <w:r w:rsidR="005B20EA">
        <w:t>ations and Anti-Tuberculosis Drugs</w:t>
      </w:r>
      <w:r w:rsidRPr="008A182D">
        <w:t xml:space="preserve"> Reporting</w:t>
      </w:r>
      <w:bookmarkEnd w:id="13"/>
    </w:p>
    <w:p w14:paraId="393E21D5" w14:textId="72EEDB66" w:rsidR="007872AE" w:rsidRPr="00346C7B" w:rsidRDefault="007872AE" w:rsidP="0027271A">
      <w:pPr>
        <w:pStyle w:val="ListNumber"/>
        <w:numPr>
          <w:ilvl w:val="0"/>
          <w:numId w:val="0"/>
        </w:numPr>
        <w:ind w:left="284"/>
        <w:jc w:val="both"/>
      </w:pPr>
      <w:r w:rsidRPr="00346C7B">
        <w:t>In general, the use of any anti-tuberculosis drug</w:t>
      </w:r>
      <w:r>
        <w:t xml:space="preserve"> </w:t>
      </w:r>
      <w:r w:rsidRPr="00346C7B">
        <w:t>for indications</w:t>
      </w:r>
      <w:r>
        <w:t xml:space="preserve"> other than tuberculosis treatment</w:t>
      </w:r>
      <w:r w:rsidRPr="00346C7B">
        <w:t xml:space="preserve"> (i.e. using a carbapenem for a blood stream infection, or clofazimine for leprosy) should be avoided</w:t>
      </w:r>
      <w:r>
        <w:t>, if possible. However, if there is no alternative treatment</w:t>
      </w:r>
      <w:r w:rsidR="00805C41">
        <w:t>,</w:t>
      </w:r>
      <w:r>
        <w:t xml:space="preserve"> anti-tuberculosis drugs that are not disallowed</w:t>
      </w:r>
      <w:r w:rsidR="00805C41">
        <w:t xml:space="preserve"> in the Appendix</w:t>
      </w:r>
      <w:r>
        <w:t xml:space="preserve"> can be used</w:t>
      </w:r>
      <w:r w:rsidR="00805C41">
        <w:t>. The treatment duration with such drugs should be reduced to the mi</w:t>
      </w:r>
      <w:r w:rsidR="00637931">
        <w:t>nim</w:t>
      </w:r>
      <w:r w:rsidR="00805C41">
        <w:t>um.</w:t>
      </w:r>
    </w:p>
    <w:p w14:paraId="30C1AAC1" w14:textId="77777777" w:rsidR="007B12D1" w:rsidRPr="004933B8" w:rsidRDefault="000B2C99" w:rsidP="00CD4B0A">
      <w:pPr>
        <w:pStyle w:val="Heading2"/>
      </w:pPr>
      <w:bookmarkStart w:id="14" w:name="_Toc166244287"/>
      <w:r w:rsidRPr="004933B8">
        <w:t>REFERENCES</w:t>
      </w:r>
      <w:bookmarkEnd w:id="14"/>
    </w:p>
    <w:p w14:paraId="10C06DA8" w14:textId="0D032E16" w:rsidR="003524A7" w:rsidRDefault="00ED6B33" w:rsidP="008208B9">
      <w:pPr>
        <w:pStyle w:val="ListNumber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list of QT-prolonging drugs has been compiled consulting </w:t>
      </w:r>
      <w:proofErr w:type="spellStart"/>
      <w:r>
        <w:rPr>
          <w:rFonts w:asciiTheme="minorHAnsi" w:hAnsiTheme="minorHAnsi" w:cstheme="minorHAnsi"/>
        </w:rPr>
        <w:t>CredibleMeds</w:t>
      </w:r>
      <w:proofErr w:type="spellEnd"/>
      <w:r w:rsidR="008208B9">
        <w:rPr>
          <w:rFonts w:asciiTheme="minorHAnsi" w:hAnsiTheme="minorHAnsi" w:cstheme="minorHAnsi"/>
        </w:rPr>
        <w:t xml:space="preserve">   </w:t>
      </w:r>
      <w:r w:rsidR="006262C0">
        <w:rPr>
          <w:rFonts w:asciiTheme="minorHAnsi" w:hAnsiTheme="minorHAnsi" w:cstheme="minorHAnsi"/>
        </w:rPr>
        <w:t>(</w:t>
      </w:r>
      <w:hyperlink r:id="rId11" w:history="1">
        <w:r w:rsidRPr="000A63DA">
          <w:rPr>
            <w:rStyle w:val="Hyperlink"/>
            <w:rFonts w:asciiTheme="minorHAnsi" w:hAnsiTheme="minorHAnsi" w:cstheme="minorHAnsi"/>
          </w:rPr>
          <w:t>https://www.crediblemeds.org</w:t>
        </w:r>
      </w:hyperlink>
      <w:r>
        <w:rPr>
          <w:rFonts w:asciiTheme="minorHAnsi" w:hAnsiTheme="minorHAnsi" w:cstheme="minorHAnsi"/>
        </w:rPr>
        <w:t>).</w:t>
      </w:r>
      <w:r w:rsidR="00A86605">
        <w:rPr>
          <w:rFonts w:asciiTheme="minorHAnsi" w:hAnsiTheme="minorHAnsi" w:cstheme="minorHAnsi"/>
        </w:rPr>
        <w:t xml:space="preserve"> </w:t>
      </w:r>
      <w:r w:rsidR="0088746E">
        <w:rPr>
          <w:rFonts w:asciiTheme="minorHAnsi" w:hAnsiTheme="minorHAnsi" w:cstheme="minorHAnsi"/>
        </w:rPr>
        <w:t xml:space="preserve">All drugs </w:t>
      </w:r>
      <w:r w:rsidR="00D8157B">
        <w:rPr>
          <w:rFonts w:asciiTheme="minorHAnsi" w:hAnsiTheme="minorHAnsi" w:cstheme="minorHAnsi"/>
        </w:rPr>
        <w:t>with</w:t>
      </w:r>
      <w:r w:rsidR="0088746E">
        <w:rPr>
          <w:rFonts w:asciiTheme="minorHAnsi" w:hAnsiTheme="minorHAnsi" w:cstheme="minorHAnsi"/>
        </w:rPr>
        <w:t xml:space="preserve"> known, possible, or conditional</w:t>
      </w:r>
      <w:r w:rsidR="00D8157B">
        <w:rPr>
          <w:rFonts w:asciiTheme="minorHAnsi" w:hAnsiTheme="minorHAnsi" w:cstheme="minorHAnsi"/>
        </w:rPr>
        <w:t xml:space="preserve"> risk for </w:t>
      </w:r>
      <w:proofErr w:type="spellStart"/>
      <w:r w:rsidR="00D8157B">
        <w:rPr>
          <w:rFonts w:asciiTheme="minorHAnsi" w:hAnsiTheme="minorHAnsi" w:cstheme="minorHAnsi"/>
        </w:rPr>
        <w:t>torsades</w:t>
      </w:r>
      <w:proofErr w:type="spellEnd"/>
      <w:r w:rsidR="00D8157B">
        <w:rPr>
          <w:rFonts w:asciiTheme="minorHAnsi" w:hAnsiTheme="minorHAnsi" w:cstheme="minorHAnsi"/>
        </w:rPr>
        <w:t xml:space="preserve"> de pointes were included.</w:t>
      </w:r>
      <w:r>
        <w:rPr>
          <w:rFonts w:asciiTheme="minorHAnsi" w:hAnsiTheme="minorHAnsi" w:cstheme="minorHAnsi"/>
        </w:rPr>
        <w:t xml:space="preserve"> The list has been updated </w:t>
      </w:r>
      <w:r w:rsidR="004F6F09">
        <w:rPr>
          <w:rFonts w:asciiTheme="minorHAnsi" w:hAnsiTheme="minorHAnsi" w:cstheme="minorHAnsi"/>
        </w:rPr>
        <w:t xml:space="preserve">to </w:t>
      </w:r>
      <w:r w:rsidR="00A27E89">
        <w:rPr>
          <w:rFonts w:asciiTheme="minorHAnsi" w:hAnsiTheme="minorHAnsi" w:cstheme="minorHAnsi"/>
        </w:rPr>
        <w:t xml:space="preserve">reflect </w:t>
      </w:r>
      <w:r w:rsidR="004F6F09">
        <w:rPr>
          <w:rFonts w:asciiTheme="minorHAnsi" w:hAnsiTheme="minorHAnsi" w:cstheme="minorHAnsi"/>
        </w:rPr>
        <w:t>the revision of</w:t>
      </w:r>
      <w:r>
        <w:rPr>
          <w:rFonts w:asciiTheme="minorHAnsi" w:hAnsiTheme="minorHAnsi" w:cstheme="minorHAnsi"/>
        </w:rPr>
        <w:t xml:space="preserve"> </w:t>
      </w:r>
      <w:r w:rsidR="00E96CD2">
        <w:rPr>
          <w:rFonts w:asciiTheme="minorHAnsi" w:hAnsiTheme="minorHAnsi" w:cstheme="minorHAnsi"/>
        </w:rPr>
        <w:t>February</w:t>
      </w:r>
      <w:r w:rsidR="00C41417">
        <w:rPr>
          <w:rFonts w:asciiTheme="minorHAnsi" w:hAnsiTheme="minorHAnsi" w:cstheme="minorHAnsi"/>
        </w:rPr>
        <w:t xml:space="preserve"> </w:t>
      </w:r>
      <w:r w:rsidR="00E96CD2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, </w:t>
      </w:r>
      <w:r w:rsidR="00C41417">
        <w:rPr>
          <w:rFonts w:asciiTheme="minorHAnsi" w:hAnsiTheme="minorHAnsi" w:cstheme="minorHAnsi"/>
        </w:rPr>
        <w:t>202</w:t>
      </w:r>
      <w:r w:rsidR="00E96CD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14:paraId="62E03206" w14:textId="02F8E328" w:rsidR="0069271D" w:rsidRDefault="0069271D" w:rsidP="00CD4B0A">
      <w:pPr>
        <w:pStyle w:val="Heading2"/>
      </w:pPr>
      <w:bookmarkStart w:id="15" w:name="_Toc166244288"/>
      <w:r>
        <w:t>SUPPORTING DOCUMENTS</w:t>
      </w:r>
      <w:bookmarkEnd w:id="15"/>
    </w:p>
    <w:p w14:paraId="1A0D155A" w14:textId="1C588635" w:rsidR="0069271D" w:rsidRPr="008128BF" w:rsidRDefault="0069271D" w:rsidP="00A86605">
      <w:pPr>
        <w:pStyle w:val="ListParagraph"/>
        <w:numPr>
          <w:ilvl w:val="0"/>
          <w:numId w:val="31"/>
        </w:numPr>
        <w:ind w:left="142"/>
      </w:pPr>
      <w:r w:rsidRPr="0069271D">
        <w:rPr>
          <w:rFonts w:asciiTheme="minorHAnsi" w:hAnsiTheme="minorHAnsi" w:cstheme="minorHAnsi"/>
        </w:rPr>
        <w:t>SOP SP-010-CT Medical History</w:t>
      </w:r>
      <w:r w:rsidR="00A029C3">
        <w:rPr>
          <w:rFonts w:asciiTheme="minorHAnsi" w:hAnsiTheme="minorHAnsi" w:cstheme="minorHAnsi"/>
        </w:rPr>
        <w:t xml:space="preserve"> </w:t>
      </w:r>
      <w:r w:rsidR="00A029C3" w:rsidRPr="00B52B66">
        <w:t>(endTB Site Study Documents)</w:t>
      </w:r>
      <w:r w:rsidR="00A029C3">
        <w:t>.</w:t>
      </w:r>
    </w:p>
    <w:p w14:paraId="0D5E4A70" w14:textId="3ED1DE85" w:rsidR="008128BF" w:rsidRPr="0069271D" w:rsidRDefault="008128BF" w:rsidP="00A86605">
      <w:pPr>
        <w:pStyle w:val="ListParagraph"/>
        <w:numPr>
          <w:ilvl w:val="0"/>
          <w:numId w:val="31"/>
        </w:numPr>
        <w:ind w:left="142"/>
      </w:pPr>
      <w:r w:rsidRPr="008128BF">
        <w:rPr>
          <w:rFonts w:asciiTheme="minorHAnsi" w:hAnsiTheme="minorHAnsi" w:cstheme="minorHAnsi"/>
        </w:rPr>
        <w:t>SOP SP-024-CT</w:t>
      </w:r>
      <w:r w:rsidRPr="00737644">
        <w:rPr>
          <w:rFonts w:asciiTheme="minorHAnsi" w:hAnsiTheme="minorHAnsi" w:cstheme="minorHAnsi"/>
        </w:rPr>
        <w:t xml:space="preserve"> </w:t>
      </w:r>
      <w:r w:rsidRPr="008128BF">
        <w:rPr>
          <w:rFonts w:asciiTheme="minorHAnsi" w:hAnsiTheme="minorHAnsi" w:cstheme="minorHAnsi"/>
          <w:i/>
        </w:rPr>
        <w:t>Modus Operandi</w:t>
      </w:r>
      <w:r>
        <w:rPr>
          <w:rFonts w:asciiTheme="minorHAnsi" w:hAnsiTheme="minorHAnsi" w:cstheme="minorHAnsi"/>
        </w:rPr>
        <w:t xml:space="preserve"> and </w:t>
      </w:r>
      <w:r w:rsidRPr="008128BF">
        <w:rPr>
          <w:rFonts w:asciiTheme="minorHAnsi" w:hAnsiTheme="minorHAnsi" w:cstheme="minorHAnsi"/>
        </w:rPr>
        <w:t>Communication with Clinical Advisory Committee</w:t>
      </w:r>
      <w:r w:rsidR="00A029C3">
        <w:rPr>
          <w:rFonts w:asciiTheme="minorHAnsi" w:hAnsiTheme="minorHAnsi" w:cstheme="minorHAnsi"/>
        </w:rPr>
        <w:t xml:space="preserve"> </w:t>
      </w:r>
      <w:r w:rsidR="00A029C3" w:rsidRPr="00B52B66">
        <w:t>(endTB Site Study Documents)</w:t>
      </w:r>
      <w:r w:rsidR="00A029C3">
        <w:t>.</w:t>
      </w:r>
    </w:p>
    <w:p w14:paraId="21DF3FD5" w14:textId="77777777" w:rsidR="003524A7" w:rsidRPr="004933B8" w:rsidRDefault="003524A7" w:rsidP="00CD4B0A">
      <w:pPr>
        <w:pStyle w:val="Heading2"/>
      </w:pPr>
      <w:bookmarkStart w:id="16" w:name="_Toc166244289"/>
      <w:r w:rsidRPr="004933B8">
        <w:t>APPENDIX</w:t>
      </w:r>
      <w:bookmarkEnd w:id="16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460"/>
      </w:tblGrid>
      <w:tr w:rsidR="003524A7" w:rsidRPr="004933B8" w14:paraId="47318869" w14:textId="77777777" w:rsidTr="00CD4B0A">
        <w:tc>
          <w:tcPr>
            <w:tcW w:w="1110" w:type="dxa"/>
            <w:vAlign w:val="center"/>
          </w:tcPr>
          <w:p w14:paraId="5B1345BC" w14:textId="77777777" w:rsidR="003524A7" w:rsidRPr="004933B8" w:rsidRDefault="003524A7" w:rsidP="007A6B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933B8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8460" w:type="dxa"/>
          </w:tcPr>
          <w:p w14:paraId="0D6718DD" w14:textId="77777777" w:rsidR="003524A7" w:rsidRPr="004933B8" w:rsidRDefault="003524A7" w:rsidP="007A6B8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933B8">
              <w:rPr>
                <w:rFonts w:asciiTheme="minorHAnsi" w:hAnsiTheme="minorHAnsi" w:cstheme="minorHAnsi"/>
                <w:b/>
              </w:rPr>
              <w:t>Title</w:t>
            </w:r>
          </w:p>
        </w:tc>
      </w:tr>
      <w:tr w:rsidR="003524A7" w:rsidRPr="004933B8" w14:paraId="6220A0C2" w14:textId="77777777" w:rsidTr="00CD4B0A">
        <w:tc>
          <w:tcPr>
            <w:tcW w:w="1110" w:type="dxa"/>
            <w:vAlign w:val="center"/>
          </w:tcPr>
          <w:p w14:paraId="524B11D7" w14:textId="691B5094" w:rsidR="003524A7" w:rsidRPr="004933B8" w:rsidRDefault="0069271D" w:rsidP="00A8660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55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60" w:type="dxa"/>
            <w:vAlign w:val="center"/>
          </w:tcPr>
          <w:p w14:paraId="24F83BF3" w14:textId="60E864DC" w:rsidR="003524A7" w:rsidRPr="00262845" w:rsidRDefault="0069271D" w:rsidP="00E51A43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262845">
              <w:rPr>
                <w:rFonts w:asciiTheme="minorHAnsi" w:hAnsiTheme="minorHAnsi" w:cstheme="minorHAnsi"/>
              </w:rPr>
              <w:t>SP-019-CT_A1-</w:t>
            </w:r>
            <w:r w:rsidR="0016233A" w:rsidRPr="00262845">
              <w:rPr>
                <w:rFonts w:asciiTheme="minorHAnsi" w:hAnsiTheme="minorHAnsi" w:cstheme="minorHAnsi"/>
              </w:rPr>
              <w:t>List of disallowed drugs</w:t>
            </w:r>
            <w:r w:rsidR="00CE71B4" w:rsidRPr="00262845">
              <w:rPr>
                <w:rFonts w:asciiTheme="minorHAnsi" w:hAnsiTheme="minorHAnsi" w:cstheme="minorHAnsi"/>
              </w:rPr>
              <w:t xml:space="preserve"> </w:t>
            </w:r>
            <w:r w:rsidR="0016233A" w:rsidRPr="00262845">
              <w:rPr>
                <w:rFonts w:asciiTheme="minorHAnsi" w:hAnsiTheme="minorHAnsi" w:cstheme="minorHAnsi"/>
              </w:rPr>
              <w:t>and drugs that prolong the QT interval.</w:t>
            </w:r>
          </w:p>
        </w:tc>
      </w:tr>
    </w:tbl>
    <w:p w14:paraId="65E1186F" w14:textId="2326C4C1" w:rsidR="00932037" w:rsidRPr="006B1B0F" w:rsidRDefault="00932037" w:rsidP="00CE08C6">
      <w:pPr>
        <w:widowControl w:val="0"/>
        <w:spacing w:before="240" w:after="240"/>
        <w:jc w:val="both"/>
      </w:pPr>
    </w:p>
    <w:sectPr w:rsidR="00932037" w:rsidRPr="006B1B0F" w:rsidSect="007973BC">
      <w:headerReference w:type="default" r:id="rId12"/>
      <w:footerReference w:type="default" r:id="rId13"/>
      <w:pgSz w:w="12240" w:h="15840"/>
      <w:pgMar w:top="1440" w:right="1440" w:bottom="1276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D3FE" w14:textId="77777777" w:rsidR="000A3EB9" w:rsidRDefault="000A3EB9">
      <w:pPr>
        <w:spacing w:after="0" w:line="240" w:lineRule="auto"/>
      </w:pPr>
      <w:r>
        <w:separator/>
      </w:r>
    </w:p>
  </w:endnote>
  <w:endnote w:type="continuationSeparator" w:id="0">
    <w:p w14:paraId="1DD1DC7F" w14:textId="77777777" w:rsidR="000A3EB9" w:rsidRDefault="000A3EB9">
      <w:pPr>
        <w:spacing w:after="0" w:line="240" w:lineRule="auto"/>
      </w:pPr>
      <w:r>
        <w:continuationSeparator/>
      </w:r>
    </w:p>
  </w:endnote>
  <w:endnote w:type="continuationNotice" w:id="1">
    <w:p w14:paraId="29E0F539" w14:textId="77777777" w:rsidR="000A3EB9" w:rsidRDefault="000A3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9438" w14:textId="77777777" w:rsidR="007973BC" w:rsidRDefault="007973BC" w:rsidP="007973BC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  <w:r w:rsidRPr="001E2551">
      <w:rPr>
        <w:b/>
        <w:bCs/>
        <w:i/>
        <w:iCs/>
        <w:sz w:val="18"/>
        <w:szCs w:val="18"/>
      </w:rPr>
      <w:t>NOTE:</w:t>
    </w:r>
    <w:r w:rsidRPr="001E2551">
      <w:rPr>
        <w:i/>
        <w:iCs/>
        <w:sz w:val="18"/>
        <w:szCs w:val="18"/>
      </w:rPr>
      <w:t xml:space="preserve"> This work is licensed under the Creative Commons CC BY-SA by the endTB Research Partners. To view a copy of this license, visit: </w:t>
    </w:r>
    <w:hyperlink r:id="rId1" w:history="1">
      <w:r w:rsidRPr="001E2551">
        <w:rPr>
          <w:rStyle w:val="Hyperlink"/>
          <w:i/>
          <w:iCs/>
          <w:sz w:val="18"/>
          <w:szCs w:val="18"/>
        </w:rPr>
        <w:t>https://creativecommons.org/licenses/by-sa/4.0/</w:t>
      </w:r>
    </w:hyperlink>
    <w:r w:rsidRPr="001E2551">
      <w:rPr>
        <w:i/>
        <w:iCs/>
        <w:sz w:val="18"/>
        <w:szCs w:val="18"/>
      </w:rPr>
      <w:t>. More information about this copyright is available in the endTB website</w:t>
    </w:r>
    <w:r>
      <w:rPr>
        <w:i/>
        <w:iCs/>
        <w:sz w:val="18"/>
        <w:szCs w:val="18"/>
      </w:rPr>
      <w:t>:</w:t>
    </w:r>
    <w:r w:rsidRPr="002C2411">
      <w:t xml:space="preserve"> </w:t>
    </w:r>
    <w:hyperlink r:id="rId2" w:history="1">
      <w:r w:rsidRPr="00F45F28">
        <w:rPr>
          <w:rStyle w:val="Hyperlink"/>
          <w:i/>
          <w:iCs/>
          <w:sz w:val="18"/>
          <w:szCs w:val="18"/>
        </w:rPr>
        <w:t>https://endtb.org/</w:t>
      </w:r>
    </w:hyperlink>
    <w:r w:rsidRPr="001E2551">
      <w:rPr>
        <w:i/>
        <w:iCs/>
        <w:sz w:val="18"/>
        <w:szCs w:val="18"/>
      </w:rPr>
      <w:t xml:space="preserve"> in the “Toolkit” section.</w:t>
    </w:r>
  </w:p>
  <w:p w14:paraId="3ED52B24" w14:textId="77777777" w:rsidR="007973BC" w:rsidRDefault="007973BC">
    <w:pPr>
      <w:pStyle w:val="Footer"/>
      <w:jc w:val="center"/>
    </w:pPr>
  </w:p>
  <w:p w14:paraId="20722993" w14:textId="1DE6EB14" w:rsidR="00CE08C6" w:rsidRDefault="007973BC">
    <w:pPr>
      <w:pStyle w:val="Footer"/>
      <w:jc w:val="center"/>
    </w:pPr>
    <w:sdt>
      <w:sdtPr>
        <w:id w:val="33558804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CE08C6">
              <w:rPr>
                <w:lang w:val="fr-FR"/>
              </w:rPr>
              <w:t xml:space="preserve">Page </w:t>
            </w:r>
            <w:r w:rsidR="00CE08C6">
              <w:rPr>
                <w:b/>
                <w:bCs/>
                <w:sz w:val="24"/>
                <w:szCs w:val="24"/>
              </w:rPr>
              <w:fldChar w:fldCharType="begin"/>
            </w:r>
            <w:r w:rsidR="00CE08C6">
              <w:rPr>
                <w:b/>
                <w:bCs/>
              </w:rPr>
              <w:instrText>PAGE</w:instrText>
            </w:r>
            <w:r w:rsidR="00CE08C6">
              <w:rPr>
                <w:b/>
                <w:bCs/>
                <w:sz w:val="24"/>
                <w:szCs w:val="24"/>
              </w:rPr>
              <w:fldChar w:fldCharType="separate"/>
            </w:r>
            <w:r w:rsidR="00072507">
              <w:rPr>
                <w:b/>
                <w:bCs/>
                <w:noProof/>
              </w:rPr>
              <w:t>6</w:t>
            </w:r>
            <w:r w:rsidR="00CE08C6">
              <w:rPr>
                <w:b/>
                <w:bCs/>
                <w:sz w:val="24"/>
                <w:szCs w:val="24"/>
              </w:rPr>
              <w:fldChar w:fldCharType="end"/>
            </w:r>
            <w:r w:rsidR="00CE08C6">
              <w:rPr>
                <w:lang w:val="fr-FR"/>
              </w:rPr>
              <w:t xml:space="preserve"> </w:t>
            </w:r>
            <w:r w:rsidR="000D5EAF">
              <w:rPr>
                <w:lang w:val="fr-FR"/>
              </w:rPr>
              <w:t>of</w:t>
            </w:r>
            <w:r w:rsidR="00CE08C6">
              <w:rPr>
                <w:lang w:val="fr-FR"/>
              </w:rPr>
              <w:t xml:space="preserve"> </w:t>
            </w:r>
            <w:r w:rsidR="00CE08C6">
              <w:rPr>
                <w:b/>
                <w:bCs/>
                <w:sz w:val="24"/>
                <w:szCs w:val="24"/>
              </w:rPr>
              <w:fldChar w:fldCharType="begin"/>
            </w:r>
            <w:r w:rsidR="00CE08C6">
              <w:rPr>
                <w:b/>
                <w:bCs/>
              </w:rPr>
              <w:instrText>NUMPAGES</w:instrText>
            </w:r>
            <w:r w:rsidR="00CE08C6">
              <w:rPr>
                <w:b/>
                <w:bCs/>
                <w:sz w:val="24"/>
                <w:szCs w:val="24"/>
              </w:rPr>
              <w:fldChar w:fldCharType="separate"/>
            </w:r>
            <w:r w:rsidR="00072507">
              <w:rPr>
                <w:b/>
                <w:bCs/>
                <w:noProof/>
              </w:rPr>
              <w:t>7</w:t>
            </w:r>
            <w:r w:rsidR="00CE08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81818BD" w14:textId="0C221F68" w:rsidR="00335DD7" w:rsidRDefault="00335DD7">
    <w:pPr>
      <w:tabs>
        <w:tab w:val="center" w:pos="4680"/>
        <w:tab w:val="right" w:pos="9360"/>
      </w:tabs>
      <w:spacing w:after="7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96A3" w14:textId="77777777" w:rsidR="000A3EB9" w:rsidRDefault="000A3EB9">
      <w:pPr>
        <w:spacing w:after="0" w:line="240" w:lineRule="auto"/>
      </w:pPr>
      <w:r>
        <w:separator/>
      </w:r>
    </w:p>
  </w:footnote>
  <w:footnote w:type="continuationSeparator" w:id="0">
    <w:p w14:paraId="39D6E230" w14:textId="77777777" w:rsidR="000A3EB9" w:rsidRDefault="000A3EB9">
      <w:pPr>
        <w:spacing w:after="0" w:line="240" w:lineRule="auto"/>
      </w:pPr>
      <w:r>
        <w:continuationSeparator/>
      </w:r>
    </w:p>
  </w:footnote>
  <w:footnote w:type="continuationNotice" w:id="1">
    <w:p w14:paraId="145CCB74" w14:textId="77777777" w:rsidR="000A3EB9" w:rsidRDefault="000A3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FFDB" w14:textId="0B455CF5" w:rsidR="00335DD7" w:rsidRPr="00461EA6" w:rsidRDefault="00987358">
    <w:pPr>
      <w:tabs>
        <w:tab w:val="center" w:pos="4680"/>
        <w:tab w:val="right" w:pos="9360"/>
      </w:tabs>
      <w:spacing w:before="720" w:after="0" w:line="240" w:lineRule="auto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0BEB62" wp14:editId="7F2D6303">
          <wp:simplePos x="0" y="0"/>
          <wp:positionH relativeFrom="column">
            <wp:posOffset>-579120</wp:posOffset>
          </wp:positionH>
          <wp:positionV relativeFrom="paragraph">
            <wp:posOffset>403860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589127208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DD7">
      <w:rPr>
        <w:b/>
      </w:rPr>
      <w:t>endTB Clinical Trial</w:t>
    </w:r>
    <w:r w:rsidR="00042115">
      <w:rPr>
        <w:b/>
      </w:rPr>
      <w:t>s</w:t>
    </w:r>
    <w:r w:rsidR="00335DD7">
      <w:rPr>
        <w:b/>
      </w:rPr>
      <w:t xml:space="preserve">                                                   </w:t>
    </w:r>
    <w:r w:rsidR="00042115">
      <w:rPr>
        <w:b/>
      </w:rPr>
      <w:tab/>
    </w:r>
    <w:r w:rsidR="00042115">
      <w:rPr>
        <w:b/>
      </w:rPr>
      <w:tab/>
      <w:t xml:space="preserve">SOP </w:t>
    </w:r>
    <w:r w:rsidR="00335DD7">
      <w:rPr>
        <w:b/>
      </w:rPr>
      <w:t>SP-019</w:t>
    </w:r>
    <w:r w:rsidR="00335DD7" w:rsidRPr="00B55D3E">
      <w:rPr>
        <w:b/>
      </w:rPr>
      <w:t>-CT</w:t>
    </w:r>
    <w:r w:rsidR="00335DD7">
      <w:rPr>
        <w:b/>
      </w:rPr>
      <w:t xml:space="preserve"> </w:t>
    </w:r>
    <w:r w:rsidR="00335DD7" w:rsidRPr="003E69BA">
      <w:rPr>
        <w:b/>
      </w:rPr>
      <w:t xml:space="preserve">Version </w:t>
    </w:r>
    <w:r w:rsidR="002E4004">
      <w:rPr>
        <w:b/>
      </w:rPr>
      <w:t>6</w:t>
    </w:r>
    <w:r w:rsidR="003E69BA" w:rsidRPr="003E69BA">
      <w:rPr>
        <w:b/>
      </w:rPr>
      <w:t>.0</w:t>
    </w:r>
    <w:r w:rsidR="00335DD7" w:rsidRPr="003E69BA">
      <w:rPr>
        <w:b/>
      </w:rPr>
      <w:t xml:space="preserve">, Date </w:t>
    </w:r>
    <w:r w:rsidR="005E3EB4">
      <w:rPr>
        <w:b/>
      </w:rPr>
      <w:t>03</w:t>
    </w:r>
    <w:r w:rsidR="00335DD7" w:rsidRPr="003E69BA">
      <w:rPr>
        <w:b/>
      </w:rPr>
      <w:t>-</w:t>
    </w:r>
    <w:r w:rsidR="005E3EB4">
      <w:rPr>
        <w:b/>
      </w:rPr>
      <w:t>May</w:t>
    </w:r>
    <w:r w:rsidR="0024351E">
      <w:rPr>
        <w:b/>
      </w:rPr>
      <w:t>-202</w:t>
    </w:r>
    <w:r w:rsidR="000D52DE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7CF07B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8333C1"/>
    <w:multiLevelType w:val="hybridMultilevel"/>
    <w:tmpl w:val="35D8F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C08ED"/>
    <w:multiLevelType w:val="hybridMultilevel"/>
    <w:tmpl w:val="354E6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DCB"/>
    <w:multiLevelType w:val="hybridMultilevel"/>
    <w:tmpl w:val="519E8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02F3"/>
    <w:multiLevelType w:val="hybridMultilevel"/>
    <w:tmpl w:val="779C3DEE"/>
    <w:lvl w:ilvl="0" w:tplc="6308C36E">
      <w:start w:val="1"/>
      <w:numFmt w:val="bullet"/>
      <w:pStyle w:val="N1-1stBullet"/>
      <w:lvlText w:val=""/>
      <w:lvlJc w:val="left"/>
      <w:pPr>
        <w:tabs>
          <w:tab w:val="num" w:pos="1008"/>
        </w:tabs>
        <w:ind w:left="1008" w:hanging="57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0F944B0E"/>
    <w:multiLevelType w:val="hybridMultilevel"/>
    <w:tmpl w:val="138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D2267"/>
    <w:multiLevelType w:val="hybridMultilevel"/>
    <w:tmpl w:val="05D63026"/>
    <w:lvl w:ilvl="0" w:tplc="D5E2D2E8">
      <w:start w:val="6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6EED"/>
    <w:multiLevelType w:val="hybridMultilevel"/>
    <w:tmpl w:val="8BC8F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1D52"/>
    <w:multiLevelType w:val="hybridMultilevel"/>
    <w:tmpl w:val="16D2D7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8B3141"/>
    <w:multiLevelType w:val="hybridMultilevel"/>
    <w:tmpl w:val="C7A45116"/>
    <w:lvl w:ilvl="0" w:tplc="D5E2D2E8">
      <w:start w:val="6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A6520"/>
    <w:multiLevelType w:val="hybridMultilevel"/>
    <w:tmpl w:val="B558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C42DB"/>
    <w:multiLevelType w:val="hybridMultilevel"/>
    <w:tmpl w:val="189802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87AA2"/>
    <w:multiLevelType w:val="hybridMultilevel"/>
    <w:tmpl w:val="5EF2B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E2B75"/>
    <w:multiLevelType w:val="hybridMultilevel"/>
    <w:tmpl w:val="AE847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475E"/>
    <w:multiLevelType w:val="hybridMultilevel"/>
    <w:tmpl w:val="45C0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321C"/>
    <w:multiLevelType w:val="hybridMultilevel"/>
    <w:tmpl w:val="26062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7" w15:restartNumberingAfterBreak="0">
    <w:nsid w:val="33840980"/>
    <w:multiLevelType w:val="hybridMultilevel"/>
    <w:tmpl w:val="4426E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77091"/>
    <w:multiLevelType w:val="hybridMultilevel"/>
    <w:tmpl w:val="0A965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12126"/>
    <w:multiLevelType w:val="hybridMultilevel"/>
    <w:tmpl w:val="3FCA924C"/>
    <w:lvl w:ilvl="0" w:tplc="F0349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68D8"/>
    <w:multiLevelType w:val="hybridMultilevel"/>
    <w:tmpl w:val="C972C9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C5C18"/>
    <w:multiLevelType w:val="hybridMultilevel"/>
    <w:tmpl w:val="7E142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94B58"/>
    <w:multiLevelType w:val="hybridMultilevel"/>
    <w:tmpl w:val="075EF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05BE1"/>
    <w:multiLevelType w:val="multilevel"/>
    <w:tmpl w:val="2D74204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3C742E6"/>
    <w:multiLevelType w:val="hybridMultilevel"/>
    <w:tmpl w:val="900E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51664"/>
    <w:multiLevelType w:val="hybridMultilevel"/>
    <w:tmpl w:val="DFC4E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81BDF"/>
    <w:multiLevelType w:val="hybridMultilevel"/>
    <w:tmpl w:val="48427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21B5E"/>
    <w:multiLevelType w:val="hybridMultilevel"/>
    <w:tmpl w:val="F56A6BB0"/>
    <w:lvl w:ilvl="0" w:tplc="910E3CCE">
      <w:start w:val="6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01EEC"/>
    <w:multiLevelType w:val="multilevel"/>
    <w:tmpl w:val="11D81340"/>
    <w:numStyleLink w:val="SOPFormat"/>
  </w:abstractNum>
  <w:abstractNum w:abstractNumId="29" w15:restartNumberingAfterBreak="0">
    <w:nsid w:val="62E12576"/>
    <w:multiLevelType w:val="hybridMultilevel"/>
    <w:tmpl w:val="B492B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276197"/>
    <w:multiLevelType w:val="hybridMultilevel"/>
    <w:tmpl w:val="8134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0692"/>
    <w:multiLevelType w:val="multilevel"/>
    <w:tmpl w:val="11D81340"/>
    <w:styleLink w:val="SOPFormat"/>
    <w:lvl w:ilvl="0">
      <w:start w:val="1"/>
      <w:numFmt w:val="decimal"/>
      <w:pStyle w:val="Heading1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AD6A7A"/>
    <w:multiLevelType w:val="hybridMultilevel"/>
    <w:tmpl w:val="FD30D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65B9"/>
    <w:multiLevelType w:val="hybridMultilevel"/>
    <w:tmpl w:val="84EA8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41B11"/>
    <w:multiLevelType w:val="hybridMultilevel"/>
    <w:tmpl w:val="4B00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832CB"/>
    <w:multiLevelType w:val="hybridMultilevel"/>
    <w:tmpl w:val="FA089D0A"/>
    <w:lvl w:ilvl="0" w:tplc="A35454C2">
      <w:start w:val="6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27848">
    <w:abstractNumId w:val="0"/>
  </w:num>
  <w:num w:numId="2" w16cid:durableId="538586846">
    <w:abstractNumId w:val="4"/>
  </w:num>
  <w:num w:numId="3" w16cid:durableId="1914504424">
    <w:abstractNumId w:val="16"/>
  </w:num>
  <w:num w:numId="4" w16cid:durableId="1869291771">
    <w:abstractNumId w:val="26"/>
  </w:num>
  <w:num w:numId="5" w16cid:durableId="13532864">
    <w:abstractNumId w:val="1"/>
  </w:num>
  <w:num w:numId="6" w16cid:durableId="1690449053">
    <w:abstractNumId w:val="12"/>
  </w:num>
  <w:num w:numId="7" w16cid:durableId="86080019">
    <w:abstractNumId w:val="5"/>
  </w:num>
  <w:num w:numId="8" w16cid:durableId="2025357277">
    <w:abstractNumId w:val="29"/>
  </w:num>
  <w:num w:numId="9" w16cid:durableId="400252736">
    <w:abstractNumId w:val="21"/>
  </w:num>
  <w:num w:numId="10" w16cid:durableId="1337536501">
    <w:abstractNumId w:val="11"/>
  </w:num>
  <w:num w:numId="11" w16cid:durableId="1125737615">
    <w:abstractNumId w:val="20"/>
  </w:num>
  <w:num w:numId="12" w16cid:durableId="739987657">
    <w:abstractNumId w:val="8"/>
  </w:num>
  <w:num w:numId="13" w16cid:durableId="895236845">
    <w:abstractNumId w:val="14"/>
  </w:num>
  <w:num w:numId="14" w16cid:durableId="141428771">
    <w:abstractNumId w:val="24"/>
  </w:num>
  <w:num w:numId="15" w16cid:durableId="405421708">
    <w:abstractNumId w:val="18"/>
  </w:num>
  <w:num w:numId="16" w16cid:durableId="1927380848">
    <w:abstractNumId w:val="30"/>
  </w:num>
  <w:num w:numId="17" w16cid:durableId="2145535784">
    <w:abstractNumId w:val="3"/>
  </w:num>
  <w:num w:numId="18" w16cid:durableId="1647853507">
    <w:abstractNumId w:val="34"/>
  </w:num>
  <w:num w:numId="19" w16cid:durableId="1351949362">
    <w:abstractNumId w:val="2"/>
  </w:num>
  <w:num w:numId="20" w16cid:durableId="1775249895">
    <w:abstractNumId w:val="15"/>
  </w:num>
  <w:num w:numId="21" w16cid:durableId="878010777">
    <w:abstractNumId w:val="33"/>
  </w:num>
  <w:num w:numId="22" w16cid:durableId="333186875">
    <w:abstractNumId w:val="7"/>
  </w:num>
  <w:num w:numId="23" w16cid:durableId="189151883">
    <w:abstractNumId w:val="17"/>
  </w:num>
  <w:num w:numId="24" w16cid:durableId="579632124">
    <w:abstractNumId w:val="32"/>
  </w:num>
  <w:num w:numId="25" w16cid:durableId="1313800646">
    <w:abstractNumId w:val="10"/>
  </w:num>
  <w:num w:numId="26" w16cid:durableId="720592264">
    <w:abstractNumId w:val="31"/>
  </w:num>
  <w:num w:numId="27" w16cid:durableId="2107921120">
    <w:abstractNumId w:val="28"/>
  </w:num>
  <w:num w:numId="28" w16cid:durableId="697318138">
    <w:abstractNumId w:val="22"/>
  </w:num>
  <w:num w:numId="29" w16cid:durableId="1369643306">
    <w:abstractNumId w:val="19"/>
  </w:num>
  <w:num w:numId="30" w16cid:durableId="1969120036">
    <w:abstractNumId w:val="25"/>
  </w:num>
  <w:num w:numId="31" w16cid:durableId="2122065250">
    <w:abstractNumId w:val="13"/>
  </w:num>
  <w:num w:numId="32" w16cid:durableId="2260378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5709687">
    <w:abstractNumId w:val="35"/>
  </w:num>
  <w:num w:numId="34" w16cid:durableId="2081826682">
    <w:abstractNumId w:val="9"/>
  </w:num>
  <w:num w:numId="35" w16cid:durableId="864639054">
    <w:abstractNumId w:val="27"/>
  </w:num>
  <w:num w:numId="36" w16cid:durableId="1125975115">
    <w:abstractNumId w:val="6"/>
  </w:num>
  <w:num w:numId="37" w16cid:durableId="15496793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D1"/>
    <w:rsid w:val="000004A6"/>
    <w:rsid w:val="00000537"/>
    <w:rsid w:val="000078A5"/>
    <w:rsid w:val="00011A75"/>
    <w:rsid w:val="000120D2"/>
    <w:rsid w:val="0002395A"/>
    <w:rsid w:val="000312EE"/>
    <w:rsid w:val="00033FA8"/>
    <w:rsid w:val="0003455E"/>
    <w:rsid w:val="00034C08"/>
    <w:rsid w:val="000413A4"/>
    <w:rsid w:val="00042115"/>
    <w:rsid w:val="00043DC9"/>
    <w:rsid w:val="0004634E"/>
    <w:rsid w:val="00051DC9"/>
    <w:rsid w:val="00056555"/>
    <w:rsid w:val="00063053"/>
    <w:rsid w:val="000717A4"/>
    <w:rsid w:val="00072507"/>
    <w:rsid w:val="0007258B"/>
    <w:rsid w:val="00072617"/>
    <w:rsid w:val="00076202"/>
    <w:rsid w:val="00083667"/>
    <w:rsid w:val="0008445E"/>
    <w:rsid w:val="00087B2B"/>
    <w:rsid w:val="00095DFA"/>
    <w:rsid w:val="000A3EB9"/>
    <w:rsid w:val="000A6D23"/>
    <w:rsid w:val="000B08C5"/>
    <w:rsid w:val="000B2C99"/>
    <w:rsid w:val="000B40A9"/>
    <w:rsid w:val="000B44C0"/>
    <w:rsid w:val="000B6F8F"/>
    <w:rsid w:val="000C01C8"/>
    <w:rsid w:val="000C4DD7"/>
    <w:rsid w:val="000C5162"/>
    <w:rsid w:val="000C6044"/>
    <w:rsid w:val="000C66B1"/>
    <w:rsid w:val="000D52DE"/>
    <w:rsid w:val="000D5806"/>
    <w:rsid w:val="000D5EAF"/>
    <w:rsid w:val="000E5918"/>
    <w:rsid w:val="000E5997"/>
    <w:rsid w:val="000E6873"/>
    <w:rsid w:val="000F1907"/>
    <w:rsid w:val="000F19C2"/>
    <w:rsid w:val="00102149"/>
    <w:rsid w:val="001023F5"/>
    <w:rsid w:val="00112A3D"/>
    <w:rsid w:val="001228A2"/>
    <w:rsid w:val="001260C2"/>
    <w:rsid w:val="001265E1"/>
    <w:rsid w:val="00127F34"/>
    <w:rsid w:val="0013018D"/>
    <w:rsid w:val="00132089"/>
    <w:rsid w:val="00132DD8"/>
    <w:rsid w:val="00137C3C"/>
    <w:rsid w:val="001425CA"/>
    <w:rsid w:val="00142965"/>
    <w:rsid w:val="00152291"/>
    <w:rsid w:val="00152869"/>
    <w:rsid w:val="00154E53"/>
    <w:rsid w:val="001601BC"/>
    <w:rsid w:val="00160597"/>
    <w:rsid w:val="0016233A"/>
    <w:rsid w:val="00165F2A"/>
    <w:rsid w:val="001741CC"/>
    <w:rsid w:val="00190E4F"/>
    <w:rsid w:val="0019491E"/>
    <w:rsid w:val="001A1878"/>
    <w:rsid w:val="001B1E24"/>
    <w:rsid w:val="001B2A1A"/>
    <w:rsid w:val="001B3442"/>
    <w:rsid w:val="001B6657"/>
    <w:rsid w:val="001C1D0D"/>
    <w:rsid w:val="001C344C"/>
    <w:rsid w:val="001C3E16"/>
    <w:rsid w:val="001C50F0"/>
    <w:rsid w:val="001C5624"/>
    <w:rsid w:val="001D04E8"/>
    <w:rsid w:val="001D4CE0"/>
    <w:rsid w:val="001D797E"/>
    <w:rsid w:val="001E1537"/>
    <w:rsid w:val="001E3ACA"/>
    <w:rsid w:val="001E757A"/>
    <w:rsid w:val="001F1743"/>
    <w:rsid w:val="001F36EA"/>
    <w:rsid w:val="001F6936"/>
    <w:rsid w:val="002138D7"/>
    <w:rsid w:val="00214859"/>
    <w:rsid w:val="00215183"/>
    <w:rsid w:val="00217320"/>
    <w:rsid w:val="002178D1"/>
    <w:rsid w:val="002206EE"/>
    <w:rsid w:val="00223C68"/>
    <w:rsid w:val="002246B0"/>
    <w:rsid w:val="0022526E"/>
    <w:rsid w:val="00227D8D"/>
    <w:rsid w:val="0023714F"/>
    <w:rsid w:val="0024107A"/>
    <w:rsid w:val="00242217"/>
    <w:rsid w:val="0024351E"/>
    <w:rsid w:val="002444D5"/>
    <w:rsid w:val="00244E54"/>
    <w:rsid w:val="00251A45"/>
    <w:rsid w:val="00262845"/>
    <w:rsid w:val="00270181"/>
    <w:rsid w:val="0027271A"/>
    <w:rsid w:val="00273445"/>
    <w:rsid w:val="00277F17"/>
    <w:rsid w:val="002841AB"/>
    <w:rsid w:val="002924C5"/>
    <w:rsid w:val="00294031"/>
    <w:rsid w:val="002B25E9"/>
    <w:rsid w:val="002B436D"/>
    <w:rsid w:val="002B54F8"/>
    <w:rsid w:val="002B6B4B"/>
    <w:rsid w:val="002B7DE2"/>
    <w:rsid w:val="002C0B79"/>
    <w:rsid w:val="002D1BB7"/>
    <w:rsid w:val="002D203A"/>
    <w:rsid w:val="002D3575"/>
    <w:rsid w:val="002D3B1A"/>
    <w:rsid w:val="002E07B7"/>
    <w:rsid w:val="002E147F"/>
    <w:rsid w:val="002E4004"/>
    <w:rsid w:val="002E6099"/>
    <w:rsid w:val="002E7099"/>
    <w:rsid w:val="002E712F"/>
    <w:rsid w:val="002F2766"/>
    <w:rsid w:val="002F741F"/>
    <w:rsid w:val="002F7468"/>
    <w:rsid w:val="0030426D"/>
    <w:rsid w:val="00310B99"/>
    <w:rsid w:val="003139C9"/>
    <w:rsid w:val="00313E68"/>
    <w:rsid w:val="003171C3"/>
    <w:rsid w:val="00320162"/>
    <w:rsid w:val="0032350B"/>
    <w:rsid w:val="00335DD7"/>
    <w:rsid w:val="00336FB0"/>
    <w:rsid w:val="00341418"/>
    <w:rsid w:val="00344F8D"/>
    <w:rsid w:val="003524A7"/>
    <w:rsid w:val="00354FDD"/>
    <w:rsid w:val="0035699F"/>
    <w:rsid w:val="00364E69"/>
    <w:rsid w:val="00371915"/>
    <w:rsid w:val="003763B9"/>
    <w:rsid w:val="003767FF"/>
    <w:rsid w:val="003819C2"/>
    <w:rsid w:val="00386BDC"/>
    <w:rsid w:val="00390778"/>
    <w:rsid w:val="00393662"/>
    <w:rsid w:val="0039371E"/>
    <w:rsid w:val="003A2846"/>
    <w:rsid w:val="003A664A"/>
    <w:rsid w:val="003B36E3"/>
    <w:rsid w:val="003C46DF"/>
    <w:rsid w:val="003C4C84"/>
    <w:rsid w:val="003D0A09"/>
    <w:rsid w:val="003D3540"/>
    <w:rsid w:val="003E0CAB"/>
    <w:rsid w:val="003E69BA"/>
    <w:rsid w:val="003E6F06"/>
    <w:rsid w:val="00403DA9"/>
    <w:rsid w:val="004054DE"/>
    <w:rsid w:val="00405854"/>
    <w:rsid w:val="00410613"/>
    <w:rsid w:val="0043430B"/>
    <w:rsid w:val="00441741"/>
    <w:rsid w:val="004422CC"/>
    <w:rsid w:val="00443652"/>
    <w:rsid w:val="00443CAF"/>
    <w:rsid w:val="00446F06"/>
    <w:rsid w:val="004505BC"/>
    <w:rsid w:val="00452793"/>
    <w:rsid w:val="00456662"/>
    <w:rsid w:val="00456845"/>
    <w:rsid w:val="00460AC8"/>
    <w:rsid w:val="00461EA6"/>
    <w:rsid w:val="00467BB2"/>
    <w:rsid w:val="004709EB"/>
    <w:rsid w:val="00473E39"/>
    <w:rsid w:val="00475670"/>
    <w:rsid w:val="0048096A"/>
    <w:rsid w:val="00481187"/>
    <w:rsid w:val="00483CA5"/>
    <w:rsid w:val="00490F88"/>
    <w:rsid w:val="004933B8"/>
    <w:rsid w:val="004A5C0B"/>
    <w:rsid w:val="004A791B"/>
    <w:rsid w:val="004B0C76"/>
    <w:rsid w:val="004B3528"/>
    <w:rsid w:val="004B4939"/>
    <w:rsid w:val="004B5D2D"/>
    <w:rsid w:val="004B6899"/>
    <w:rsid w:val="004C06B0"/>
    <w:rsid w:val="004E0758"/>
    <w:rsid w:val="004E6A29"/>
    <w:rsid w:val="004E7199"/>
    <w:rsid w:val="004F1EDB"/>
    <w:rsid w:val="004F6F09"/>
    <w:rsid w:val="005021E6"/>
    <w:rsid w:val="00505A94"/>
    <w:rsid w:val="0051045F"/>
    <w:rsid w:val="005132C0"/>
    <w:rsid w:val="00513AEC"/>
    <w:rsid w:val="00514282"/>
    <w:rsid w:val="00514E6D"/>
    <w:rsid w:val="005162CB"/>
    <w:rsid w:val="00520337"/>
    <w:rsid w:val="005243DB"/>
    <w:rsid w:val="0053053C"/>
    <w:rsid w:val="00530CE6"/>
    <w:rsid w:val="00531642"/>
    <w:rsid w:val="00531ED1"/>
    <w:rsid w:val="00534413"/>
    <w:rsid w:val="0053563C"/>
    <w:rsid w:val="00537597"/>
    <w:rsid w:val="00543CE4"/>
    <w:rsid w:val="00547519"/>
    <w:rsid w:val="00557A61"/>
    <w:rsid w:val="00577FE1"/>
    <w:rsid w:val="005827F3"/>
    <w:rsid w:val="00584DBE"/>
    <w:rsid w:val="00585959"/>
    <w:rsid w:val="00586BF8"/>
    <w:rsid w:val="00590C1E"/>
    <w:rsid w:val="00594465"/>
    <w:rsid w:val="00597B9F"/>
    <w:rsid w:val="005A07D0"/>
    <w:rsid w:val="005B20EA"/>
    <w:rsid w:val="005B75F2"/>
    <w:rsid w:val="005C3CA6"/>
    <w:rsid w:val="005D248D"/>
    <w:rsid w:val="005D4AB7"/>
    <w:rsid w:val="005E3EB4"/>
    <w:rsid w:val="005E7242"/>
    <w:rsid w:val="005F2353"/>
    <w:rsid w:val="005F7CC4"/>
    <w:rsid w:val="00601960"/>
    <w:rsid w:val="00614ED2"/>
    <w:rsid w:val="00620207"/>
    <w:rsid w:val="006203AF"/>
    <w:rsid w:val="00623B9D"/>
    <w:rsid w:val="00624B3D"/>
    <w:rsid w:val="0062524E"/>
    <w:rsid w:val="006262C0"/>
    <w:rsid w:val="00630A6F"/>
    <w:rsid w:val="0063652F"/>
    <w:rsid w:val="00636B55"/>
    <w:rsid w:val="00637931"/>
    <w:rsid w:val="00642A22"/>
    <w:rsid w:val="00656221"/>
    <w:rsid w:val="00667731"/>
    <w:rsid w:val="00672532"/>
    <w:rsid w:val="00672DC0"/>
    <w:rsid w:val="00674231"/>
    <w:rsid w:val="00676BAA"/>
    <w:rsid w:val="00676D39"/>
    <w:rsid w:val="006803BE"/>
    <w:rsid w:val="00680A52"/>
    <w:rsid w:val="006900BB"/>
    <w:rsid w:val="0069271D"/>
    <w:rsid w:val="0069461E"/>
    <w:rsid w:val="00695E55"/>
    <w:rsid w:val="006965B4"/>
    <w:rsid w:val="00696732"/>
    <w:rsid w:val="006A017C"/>
    <w:rsid w:val="006A1975"/>
    <w:rsid w:val="006B0E92"/>
    <w:rsid w:val="006B1B0F"/>
    <w:rsid w:val="006B3E47"/>
    <w:rsid w:val="006B4F42"/>
    <w:rsid w:val="006B5B4B"/>
    <w:rsid w:val="006C03BD"/>
    <w:rsid w:val="006C16D8"/>
    <w:rsid w:val="006D09DE"/>
    <w:rsid w:val="006D18B9"/>
    <w:rsid w:val="006E0AF6"/>
    <w:rsid w:val="006E0B86"/>
    <w:rsid w:val="006E2011"/>
    <w:rsid w:val="006E4256"/>
    <w:rsid w:val="006E4583"/>
    <w:rsid w:val="006E4C51"/>
    <w:rsid w:val="006F120C"/>
    <w:rsid w:val="00700F1A"/>
    <w:rsid w:val="0070296A"/>
    <w:rsid w:val="0070412D"/>
    <w:rsid w:val="007139C6"/>
    <w:rsid w:val="00720105"/>
    <w:rsid w:val="00735356"/>
    <w:rsid w:val="00737644"/>
    <w:rsid w:val="00737DC2"/>
    <w:rsid w:val="00746829"/>
    <w:rsid w:val="00752927"/>
    <w:rsid w:val="00765D16"/>
    <w:rsid w:val="00765FDD"/>
    <w:rsid w:val="00772D36"/>
    <w:rsid w:val="00784CAA"/>
    <w:rsid w:val="00784EE0"/>
    <w:rsid w:val="00785F11"/>
    <w:rsid w:val="007872AE"/>
    <w:rsid w:val="0079296A"/>
    <w:rsid w:val="00792C41"/>
    <w:rsid w:val="007937EF"/>
    <w:rsid w:val="00793CB6"/>
    <w:rsid w:val="007944E9"/>
    <w:rsid w:val="00796A8A"/>
    <w:rsid w:val="007973AF"/>
    <w:rsid w:val="007973BC"/>
    <w:rsid w:val="007A182E"/>
    <w:rsid w:val="007A4943"/>
    <w:rsid w:val="007A521F"/>
    <w:rsid w:val="007A668E"/>
    <w:rsid w:val="007A6B8C"/>
    <w:rsid w:val="007B12D1"/>
    <w:rsid w:val="007C30B6"/>
    <w:rsid w:val="007C32B7"/>
    <w:rsid w:val="007C69A3"/>
    <w:rsid w:val="007C7E08"/>
    <w:rsid w:val="007D1435"/>
    <w:rsid w:val="007D2264"/>
    <w:rsid w:val="007D3205"/>
    <w:rsid w:val="007D32E7"/>
    <w:rsid w:val="007F28F7"/>
    <w:rsid w:val="007F5D2C"/>
    <w:rsid w:val="008019E2"/>
    <w:rsid w:val="008021C9"/>
    <w:rsid w:val="00805C41"/>
    <w:rsid w:val="008075D8"/>
    <w:rsid w:val="0081019E"/>
    <w:rsid w:val="00812313"/>
    <w:rsid w:val="008128BF"/>
    <w:rsid w:val="00815571"/>
    <w:rsid w:val="00816A0A"/>
    <w:rsid w:val="008208B9"/>
    <w:rsid w:val="0082473C"/>
    <w:rsid w:val="00824DE7"/>
    <w:rsid w:val="00825D8D"/>
    <w:rsid w:val="0082670F"/>
    <w:rsid w:val="00835C04"/>
    <w:rsid w:val="00840ECC"/>
    <w:rsid w:val="0084382A"/>
    <w:rsid w:val="00844F01"/>
    <w:rsid w:val="008461AB"/>
    <w:rsid w:val="00847875"/>
    <w:rsid w:val="00847EFA"/>
    <w:rsid w:val="0085108E"/>
    <w:rsid w:val="008615BC"/>
    <w:rsid w:val="0086181A"/>
    <w:rsid w:val="00862830"/>
    <w:rsid w:val="00866840"/>
    <w:rsid w:val="008755BB"/>
    <w:rsid w:val="008778E8"/>
    <w:rsid w:val="00881C02"/>
    <w:rsid w:val="0088343E"/>
    <w:rsid w:val="008845B1"/>
    <w:rsid w:val="0088746E"/>
    <w:rsid w:val="008874BE"/>
    <w:rsid w:val="00887A5B"/>
    <w:rsid w:val="008A182D"/>
    <w:rsid w:val="008A2107"/>
    <w:rsid w:val="008B09EC"/>
    <w:rsid w:val="008C20C4"/>
    <w:rsid w:val="008C2B75"/>
    <w:rsid w:val="008C4BF4"/>
    <w:rsid w:val="008C58E4"/>
    <w:rsid w:val="008D01C6"/>
    <w:rsid w:val="008E0550"/>
    <w:rsid w:val="008E22CE"/>
    <w:rsid w:val="008E776A"/>
    <w:rsid w:val="008F0B80"/>
    <w:rsid w:val="008F3F77"/>
    <w:rsid w:val="008F5CF0"/>
    <w:rsid w:val="0090062F"/>
    <w:rsid w:val="0090738E"/>
    <w:rsid w:val="00912391"/>
    <w:rsid w:val="00912C73"/>
    <w:rsid w:val="00921256"/>
    <w:rsid w:val="009256BB"/>
    <w:rsid w:val="00931386"/>
    <w:rsid w:val="00932037"/>
    <w:rsid w:val="0093538C"/>
    <w:rsid w:val="0094029A"/>
    <w:rsid w:val="0094137A"/>
    <w:rsid w:val="00943E85"/>
    <w:rsid w:val="00946FC3"/>
    <w:rsid w:val="009530DD"/>
    <w:rsid w:val="00957BEF"/>
    <w:rsid w:val="00957E59"/>
    <w:rsid w:val="0096028F"/>
    <w:rsid w:val="009745B8"/>
    <w:rsid w:val="00976223"/>
    <w:rsid w:val="009779D6"/>
    <w:rsid w:val="00981125"/>
    <w:rsid w:val="0098546E"/>
    <w:rsid w:val="00987358"/>
    <w:rsid w:val="00987472"/>
    <w:rsid w:val="00996352"/>
    <w:rsid w:val="009A083E"/>
    <w:rsid w:val="009A136B"/>
    <w:rsid w:val="009A18E8"/>
    <w:rsid w:val="009A60E9"/>
    <w:rsid w:val="009A790F"/>
    <w:rsid w:val="009B01D7"/>
    <w:rsid w:val="009B4E54"/>
    <w:rsid w:val="009C3F4F"/>
    <w:rsid w:val="009C4264"/>
    <w:rsid w:val="009C53FF"/>
    <w:rsid w:val="009C76E3"/>
    <w:rsid w:val="009C7700"/>
    <w:rsid w:val="009C7735"/>
    <w:rsid w:val="009E2507"/>
    <w:rsid w:val="009E2756"/>
    <w:rsid w:val="009E4DEB"/>
    <w:rsid w:val="009E5C0D"/>
    <w:rsid w:val="009F2097"/>
    <w:rsid w:val="009F496E"/>
    <w:rsid w:val="009F6384"/>
    <w:rsid w:val="009F6470"/>
    <w:rsid w:val="009F66A3"/>
    <w:rsid w:val="00A029C3"/>
    <w:rsid w:val="00A11641"/>
    <w:rsid w:val="00A1281A"/>
    <w:rsid w:val="00A1303B"/>
    <w:rsid w:val="00A14473"/>
    <w:rsid w:val="00A16B48"/>
    <w:rsid w:val="00A20A21"/>
    <w:rsid w:val="00A27E89"/>
    <w:rsid w:val="00A32A84"/>
    <w:rsid w:val="00A332AC"/>
    <w:rsid w:val="00A33954"/>
    <w:rsid w:val="00A3538A"/>
    <w:rsid w:val="00A37E7B"/>
    <w:rsid w:val="00A50F0F"/>
    <w:rsid w:val="00A62E51"/>
    <w:rsid w:val="00A7239D"/>
    <w:rsid w:val="00A72FC1"/>
    <w:rsid w:val="00A73A15"/>
    <w:rsid w:val="00A74230"/>
    <w:rsid w:val="00A806FF"/>
    <w:rsid w:val="00A81463"/>
    <w:rsid w:val="00A82847"/>
    <w:rsid w:val="00A82EFC"/>
    <w:rsid w:val="00A86293"/>
    <w:rsid w:val="00A86605"/>
    <w:rsid w:val="00A92DC6"/>
    <w:rsid w:val="00AA37AB"/>
    <w:rsid w:val="00AB0950"/>
    <w:rsid w:val="00AB1514"/>
    <w:rsid w:val="00AB3BD2"/>
    <w:rsid w:val="00AB5250"/>
    <w:rsid w:val="00AC088C"/>
    <w:rsid w:val="00AC4A33"/>
    <w:rsid w:val="00AC525E"/>
    <w:rsid w:val="00AD13A0"/>
    <w:rsid w:val="00AD198E"/>
    <w:rsid w:val="00AD1F75"/>
    <w:rsid w:val="00AD4975"/>
    <w:rsid w:val="00AD72A4"/>
    <w:rsid w:val="00AE3EBB"/>
    <w:rsid w:val="00AE6C89"/>
    <w:rsid w:val="00AE7817"/>
    <w:rsid w:val="00AF48D8"/>
    <w:rsid w:val="00AF6DAB"/>
    <w:rsid w:val="00B01B06"/>
    <w:rsid w:val="00B04AFB"/>
    <w:rsid w:val="00B07F21"/>
    <w:rsid w:val="00B114DC"/>
    <w:rsid w:val="00B12970"/>
    <w:rsid w:val="00B162DD"/>
    <w:rsid w:val="00B163A6"/>
    <w:rsid w:val="00B26B8E"/>
    <w:rsid w:val="00B3256A"/>
    <w:rsid w:val="00B333B7"/>
    <w:rsid w:val="00B42DBD"/>
    <w:rsid w:val="00B43732"/>
    <w:rsid w:val="00B446DC"/>
    <w:rsid w:val="00B50A58"/>
    <w:rsid w:val="00B55D3E"/>
    <w:rsid w:val="00B612E0"/>
    <w:rsid w:val="00B641E1"/>
    <w:rsid w:val="00B729B1"/>
    <w:rsid w:val="00B76108"/>
    <w:rsid w:val="00B85AA1"/>
    <w:rsid w:val="00B92807"/>
    <w:rsid w:val="00B92D86"/>
    <w:rsid w:val="00B92ECC"/>
    <w:rsid w:val="00B94142"/>
    <w:rsid w:val="00BA1A32"/>
    <w:rsid w:val="00BA1BB2"/>
    <w:rsid w:val="00BA2BFA"/>
    <w:rsid w:val="00BB02C4"/>
    <w:rsid w:val="00BB46C2"/>
    <w:rsid w:val="00BB76C7"/>
    <w:rsid w:val="00BC25F4"/>
    <w:rsid w:val="00BC35EC"/>
    <w:rsid w:val="00BC4C8C"/>
    <w:rsid w:val="00BC5786"/>
    <w:rsid w:val="00BE4038"/>
    <w:rsid w:val="00BE565F"/>
    <w:rsid w:val="00BF075F"/>
    <w:rsid w:val="00BF0915"/>
    <w:rsid w:val="00BF614B"/>
    <w:rsid w:val="00BF66B1"/>
    <w:rsid w:val="00C031E8"/>
    <w:rsid w:val="00C03DBB"/>
    <w:rsid w:val="00C11A33"/>
    <w:rsid w:val="00C12703"/>
    <w:rsid w:val="00C17A99"/>
    <w:rsid w:val="00C2559C"/>
    <w:rsid w:val="00C338A5"/>
    <w:rsid w:val="00C34453"/>
    <w:rsid w:val="00C3563C"/>
    <w:rsid w:val="00C3640B"/>
    <w:rsid w:val="00C41417"/>
    <w:rsid w:val="00C540ED"/>
    <w:rsid w:val="00C64188"/>
    <w:rsid w:val="00C648A8"/>
    <w:rsid w:val="00C67D66"/>
    <w:rsid w:val="00C70C94"/>
    <w:rsid w:val="00C741F0"/>
    <w:rsid w:val="00C777F0"/>
    <w:rsid w:val="00C80E0C"/>
    <w:rsid w:val="00C83FA3"/>
    <w:rsid w:val="00C96178"/>
    <w:rsid w:val="00C972B8"/>
    <w:rsid w:val="00CA36A2"/>
    <w:rsid w:val="00CA55DB"/>
    <w:rsid w:val="00CA5F64"/>
    <w:rsid w:val="00CA6226"/>
    <w:rsid w:val="00CA6FFF"/>
    <w:rsid w:val="00CB3FFF"/>
    <w:rsid w:val="00CB5905"/>
    <w:rsid w:val="00CB5E85"/>
    <w:rsid w:val="00CC037A"/>
    <w:rsid w:val="00CC329D"/>
    <w:rsid w:val="00CD2BDC"/>
    <w:rsid w:val="00CD4B0A"/>
    <w:rsid w:val="00CE08C6"/>
    <w:rsid w:val="00CE430C"/>
    <w:rsid w:val="00CE5E9D"/>
    <w:rsid w:val="00CE71B4"/>
    <w:rsid w:val="00CF2933"/>
    <w:rsid w:val="00D10678"/>
    <w:rsid w:val="00D10850"/>
    <w:rsid w:val="00D1148D"/>
    <w:rsid w:val="00D15335"/>
    <w:rsid w:val="00D17C19"/>
    <w:rsid w:val="00D24BA0"/>
    <w:rsid w:val="00D328BE"/>
    <w:rsid w:val="00D37FE0"/>
    <w:rsid w:val="00D42CE2"/>
    <w:rsid w:val="00D5688F"/>
    <w:rsid w:val="00D61DE5"/>
    <w:rsid w:val="00D6551A"/>
    <w:rsid w:val="00D707CC"/>
    <w:rsid w:val="00D77016"/>
    <w:rsid w:val="00D8157B"/>
    <w:rsid w:val="00D8636E"/>
    <w:rsid w:val="00D87A1D"/>
    <w:rsid w:val="00D90CB5"/>
    <w:rsid w:val="00D9232A"/>
    <w:rsid w:val="00D9439F"/>
    <w:rsid w:val="00D95102"/>
    <w:rsid w:val="00D95629"/>
    <w:rsid w:val="00DA190C"/>
    <w:rsid w:val="00DA445F"/>
    <w:rsid w:val="00DB026C"/>
    <w:rsid w:val="00DB53EB"/>
    <w:rsid w:val="00DB581E"/>
    <w:rsid w:val="00DB7A2A"/>
    <w:rsid w:val="00DD3C6A"/>
    <w:rsid w:val="00DD40ED"/>
    <w:rsid w:val="00DD47A8"/>
    <w:rsid w:val="00DD76C3"/>
    <w:rsid w:val="00DE26DC"/>
    <w:rsid w:val="00DE45A9"/>
    <w:rsid w:val="00DE48E3"/>
    <w:rsid w:val="00DE4F29"/>
    <w:rsid w:val="00DF0D9A"/>
    <w:rsid w:val="00DF1005"/>
    <w:rsid w:val="00DF6379"/>
    <w:rsid w:val="00E02C9A"/>
    <w:rsid w:val="00E066C6"/>
    <w:rsid w:val="00E07909"/>
    <w:rsid w:val="00E17242"/>
    <w:rsid w:val="00E22D4E"/>
    <w:rsid w:val="00E23121"/>
    <w:rsid w:val="00E2455B"/>
    <w:rsid w:val="00E25804"/>
    <w:rsid w:val="00E4037E"/>
    <w:rsid w:val="00E4270C"/>
    <w:rsid w:val="00E47E5A"/>
    <w:rsid w:val="00E51A43"/>
    <w:rsid w:val="00E524A3"/>
    <w:rsid w:val="00E56B92"/>
    <w:rsid w:val="00E57C69"/>
    <w:rsid w:val="00E61A09"/>
    <w:rsid w:val="00E65D9E"/>
    <w:rsid w:val="00E674F6"/>
    <w:rsid w:val="00E70D60"/>
    <w:rsid w:val="00E71021"/>
    <w:rsid w:val="00E72C57"/>
    <w:rsid w:val="00E82F11"/>
    <w:rsid w:val="00E8445A"/>
    <w:rsid w:val="00E87C09"/>
    <w:rsid w:val="00E90D90"/>
    <w:rsid w:val="00E94483"/>
    <w:rsid w:val="00E95E0A"/>
    <w:rsid w:val="00E96CD2"/>
    <w:rsid w:val="00E96D0F"/>
    <w:rsid w:val="00E97738"/>
    <w:rsid w:val="00EA41A9"/>
    <w:rsid w:val="00EA42E0"/>
    <w:rsid w:val="00EA5B74"/>
    <w:rsid w:val="00EA669F"/>
    <w:rsid w:val="00EA795D"/>
    <w:rsid w:val="00EB1DEB"/>
    <w:rsid w:val="00EB49B7"/>
    <w:rsid w:val="00EC0940"/>
    <w:rsid w:val="00ED13E4"/>
    <w:rsid w:val="00ED51CB"/>
    <w:rsid w:val="00ED54C0"/>
    <w:rsid w:val="00ED6B33"/>
    <w:rsid w:val="00ED7281"/>
    <w:rsid w:val="00EE1F30"/>
    <w:rsid w:val="00EE77E6"/>
    <w:rsid w:val="00EF24E1"/>
    <w:rsid w:val="00EF62C2"/>
    <w:rsid w:val="00F00ED5"/>
    <w:rsid w:val="00F01A96"/>
    <w:rsid w:val="00F06A3E"/>
    <w:rsid w:val="00F11CA3"/>
    <w:rsid w:val="00F132FE"/>
    <w:rsid w:val="00F24AE9"/>
    <w:rsid w:val="00F26CFD"/>
    <w:rsid w:val="00F33948"/>
    <w:rsid w:val="00F4436D"/>
    <w:rsid w:val="00F44A7C"/>
    <w:rsid w:val="00F4671D"/>
    <w:rsid w:val="00F47912"/>
    <w:rsid w:val="00F50B4A"/>
    <w:rsid w:val="00F569F3"/>
    <w:rsid w:val="00F573AB"/>
    <w:rsid w:val="00F63FF0"/>
    <w:rsid w:val="00F653B7"/>
    <w:rsid w:val="00F66189"/>
    <w:rsid w:val="00F6723E"/>
    <w:rsid w:val="00F71E76"/>
    <w:rsid w:val="00F736C6"/>
    <w:rsid w:val="00F7372C"/>
    <w:rsid w:val="00F74E21"/>
    <w:rsid w:val="00F84E4E"/>
    <w:rsid w:val="00F917D6"/>
    <w:rsid w:val="00F934ED"/>
    <w:rsid w:val="00F94DE6"/>
    <w:rsid w:val="00FB0A7E"/>
    <w:rsid w:val="00FB1C2B"/>
    <w:rsid w:val="00FB469A"/>
    <w:rsid w:val="00FC2BAB"/>
    <w:rsid w:val="00FD2EE0"/>
    <w:rsid w:val="00FD4A24"/>
    <w:rsid w:val="00FD5C79"/>
    <w:rsid w:val="00FD6170"/>
    <w:rsid w:val="00FE23CD"/>
    <w:rsid w:val="00FE2687"/>
    <w:rsid w:val="00FE714C"/>
    <w:rsid w:val="00FE76F0"/>
    <w:rsid w:val="00FE7F49"/>
    <w:rsid w:val="1CD21E75"/>
    <w:rsid w:val="32629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1E5C1D"/>
  <w15:docId w15:val="{786760C9-E3BE-4345-8BE5-0627E70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color w:val="000000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594465"/>
    <w:pPr>
      <w:keepNext/>
      <w:keepLines/>
      <w:numPr>
        <w:numId w:val="27"/>
      </w:numPr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rsid w:val="00341418"/>
    <w:pPr>
      <w:keepNext/>
      <w:keepLines/>
      <w:numPr>
        <w:ilvl w:val="1"/>
        <w:numId w:val="27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341418"/>
    <w:pPr>
      <w:keepNext/>
      <w:keepLines/>
      <w:numPr>
        <w:ilvl w:val="2"/>
        <w:numId w:val="27"/>
      </w:numPr>
      <w:spacing w:before="120" w:after="80"/>
      <w:ind w:left="1224" w:hanging="504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rsid w:val="00341418"/>
    <w:pPr>
      <w:keepNext/>
      <w:keepLines/>
      <w:numPr>
        <w:ilvl w:val="3"/>
        <w:numId w:val="27"/>
      </w:numPr>
      <w:spacing w:before="200" w:after="0"/>
      <w:ind w:left="1800" w:hanging="720"/>
      <w:contextualSpacing/>
      <w:outlineLvl w:val="3"/>
    </w:pPr>
    <w:rPr>
      <w:i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0ED"/>
  </w:style>
  <w:style w:type="paragraph" w:styleId="Footer">
    <w:name w:val="footer"/>
    <w:basedOn w:val="Normal"/>
    <w:link w:val="FooterChar"/>
    <w:uiPriority w:val="99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ED"/>
  </w:style>
  <w:style w:type="paragraph" w:styleId="ListNumber">
    <w:name w:val="List Number"/>
    <w:basedOn w:val="Normal"/>
    <w:uiPriority w:val="99"/>
    <w:unhideWhenUsed/>
    <w:rsid w:val="00594465"/>
    <w:pPr>
      <w:numPr>
        <w:numId w:val="1"/>
      </w:numPr>
      <w:contextualSpacing/>
    </w:pPr>
  </w:style>
  <w:style w:type="paragraph" w:styleId="ListParagraph">
    <w:name w:val="List Paragraph"/>
    <w:basedOn w:val="Normal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1">
    <w:name w:val="1"/>
    <w:basedOn w:val="TableNormal"/>
    <w:rsid w:val="00932037"/>
    <w:rPr>
      <w:lang w:val="en-C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20"/>
    <w:qFormat/>
    <w:rsid w:val="00CA36A2"/>
    <w:rPr>
      <w:i/>
      <w:iCs/>
    </w:rPr>
  </w:style>
  <w:style w:type="paragraph" w:customStyle="1" w:styleId="N1-1stBullet">
    <w:name w:val="N1-1st Bullet"/>
    <w:basedOn w:val="Normal"/>
    <w:rsid w:val="003D0A09"/>
    <w:pPr>
      <w:numPr>
        <w:numId w:val="2"/>
      </w:numPr>
      <w:spacing w:after="240" w:line="240" w:lineRule="atLeast"/>
    </w:pPr>
    <w:rPr>
      <w:rFonts w:ascii="Garamond" w:eastAsia="Times New Roman" w:hAnsi="Garamond" w:cs="Times New Roman"/>
      <w:color w:val="auto"/>
      <w:sz w:val="24"/>
      <w:szCs w:val="20"/>
      <w:lang w:eastAsia="en-US"/>
    </w:rPr>
  </w:style>
  <w:style w:type="paragraph" w:customStyle="1" w:styleId="N2-2ndBullet">
    <w:name w:val="N2-2nd Bullet"/>
    <w:basedOn w:val="Normal"/>
    <w:rsid w:val="003D0A09"/>
    <w:pPr>
      <w:numPr>
        <w:numId w:val="3"/>
      </w:numPr>
      <w:spacing w:after="240" w:line="240" w:lineRule="atLeast"/>
    </w:pPr>
    <w:rPr>
      <w:rFonts w:ascii="Garamond" w:eastAsia="Times New Roman" w:hAnsi="Garamond" w:cs="Times New Roman"/>
      <w:color w:val="auto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97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6FFF"/>
    <w:pPr>
      <w:spacing w:after="0" w:line="240" w:lineRule="auto"/>
    </w:pPr>
  </w:style>
  <w:style w:type="numbering" w:customStyle="1" w:styleId="SOPFormat">
    <w:name w:val="SOP Format"/>
    <w:basedOn w:val="NoList"/>
    <w:uiPriority w:val="99"/>
    <w:rsid w:val="00341418"/>
    <w:pPr>
      <w:numPr>
        <w:numId w:val="26"/>
      </w:numPr>
    </w:pPr>
  </w:style>
  <w:style w:type="character" w:styleId="Hyperlink">
    <w:name w:val="Hyperlink"/>
    <w:basedOn w:val="DefaultParagraphFont"/>
    <w:uiPriority w:val="99"/>
    <w:unhideWhenUsed/>
    <w:rsid w:val="00ED6B33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D6B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85AA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8735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873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73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8735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ediblemed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72AFA-DFA2-43AF-BD1F-7B34C0EF9DB1}">
  <ds:schemaRefs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60e0b-bbcc-4e8c-ae17-1bc07bf7b2a6"/>
    <ds:schemaRef ds:uri="http://purl.org/dc/elements/1.1/"/>
    <ds:schemaRef ds:uri="http://schemas.microsoft.com/office/2006/metadata/properties"/>
    <ds:schemaRef ds:uri="d1dc8e9d-c2d7-4f1e-a8b8-6d152e0fd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7EC60-B9A9-4056-BFBD-77D988E9D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B1534-38FA-4906-A745-D23720CFB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4DB44-06A9-4634-8824-36F218132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1891</Words>
  <Characters>10783</Characters>
  <Application>Microsoft Office Word</Application>
  <DocSecurity>0</DocSecurity>
  <Lines>89</Lines>
  <Paragraphs>25</Paragraphs>
  <ScaleCrop>false</ScaleCrop>
  <Company>Microsoft</Company>
  <LinksUpToDate>false</LinksUpToDate>
  <CharactersWithSpaces>12649</CharactersWithSpaces>
  <SharedDoc>false</SharedDoc>
  <HLinks>
    <vt:vector size="6" baseType="variant">
      <vt:variant>
        <vt:i4>4653078</vt:i4>
      </vt:variant>
      <vt:variant>
        <vt:i4>0</vt:i4>
      </vt:variant>
      <vt:variant>
        <vt:i4>0</vt:i4>
      </vt:variant>
      <vt:variant>
        <vt:i4>5</vt:i4>
      </vt:variant>
      <vt:variant>
        <vt:lpwstr>https://www.crediblemeds.org/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Eva</dc:creator>
  <cp:keywords/>
  <cp:lastModifiedBy>Marhaba Chaudhry</cp:lastModifiedBy>
  <cp:revision>128</cp:revision>
  <cp:lastPrinted>2023-07-20T11:59:00Z</cp:lastPrinted>
  <dcterms:created xsi:type="dcterms:W3CDTF">2021-04-13T02:32:00Z</dcterms:created>
  <dcterms:modified xsi:type="dcterms:W3CDTF">2024-09-02T14:42:00Z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endTBReviewer">
    <vt:lpwstr/>
  </property>
  <property fmtid="{D5CDD505-2E9C-101B-9397-08002B2CF9AE}" pid="6" name="endTBClinicalTrial">
    <vt:lpwstr>endTB</vt:lpwstr>
  </property>
  <property fmtid="{D5CDD505-2E9C-101B-9397-08002B2CF9AE}" pid="7" name="TaxCatchAll">
    <vt:lpwstr>8;#;#6;#</vt:lpwstr>
  </property>
  <property fmtid="{D5CDD505-2E9C-101B-9397-08002B2CF9AE}" pid="8" name="endTBStatusDocument">
    <vt:lpwstr>Final</vt:lpwstr>
  </property>
  <property fmtid="{D5CDD505-2E9C-101B-9397-08002B2CF9AE}" pid="9" name="endTBCountry">
    <vt:lpwstr>Central team</vt:lpwstr>
  </property>
  <property fmtid="{D5CDD505-2E9C-101B-9397-08002B2CF9AE}" pid="10" name="endTBAuthor">
    <vt:lpwstr/>
  </property>
  <property fmtid="{D5CDD505-2E9C-101B-9397-08002B2CF9AE}" pid="11" name="ie6fc752e8314f23b9add3aacdf734e2">
    <vt:lpwstr>N/A|603d074b-cb2d-4568-af2a-4cd630184ab0</vt:lpwstr>
  </property>
  <property fmtid="{D5CDD505-2E9C-101B-9397-08002B2CF9AE}" pid="12" name="endTBApprover">
    <vt:lpwstr/>
  </property>
  <property fmtid="{D5CDD505-2E9C-101B-9397-08002B2CF9AE}" pid="13" name="b133059517bd4b6ba2826fe941cfd2cb">
    <vt:lpwstr>N/A|7a4f8743-7bab-4f6a-8a0d-b24596741886</vt:lpwstr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ediaServiceImageTags">
    <vt:lpwstr/>
  </property>
  <property fmtid="{D5CDD505-2E9C-101B-9397-08002B2CF9AE}" pid="20" name="Order">
    <vt:r8>557600</vt:r8>
  </property>
  <property fmtid="{D5CDD505-2E9C-101B-9397-08002B2CF9AE}" pid="21" name="TriggerFlowInfo">
    <vt:lpwstr/>
  </property>
</Properties>
</file>