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5E5061" w14:textId="77777777" w:rsidR="00C540ED" w:rsidRPr="00614ED2" w:rsidRDefault="00C540ED">
      <w:pPr>
        <w:spacing w:after="0" w:line="240" w:lineRule="auto"/>
        <w:jc w:val="center"/>
        <w:rPr>
          <w:b/>
        </w:rPr>
      </w:pPr>
    </w:p>
    <w:p w14:paraId="0D3E4AC5" w14:textId="18B7D937" w:rsidR="007B12D1" w:rsidRDefault="000B2C99" w:rsidP="007472E9">
      <w:pPr>
        <w:pStyle w:val="Heading1"/>
        <w:numPr>
          <w:ilvl w:val="0"/>
          <w:numId w:val="0"/>
        </w:numPr>
        <w:ind w:left="360"/>
      </w:pPr>
      <w:bookmarkStart w:id="0" w:name="_Toc166245686"/>
      <w:r>
        <w:t>Standard Operating Procedures for</w:t>
      </w:r>
      <w:r w:rsidR="002658AA">
        <w:br/>
      </w:r>
      <w:r w:rsidR="007472E9">
        <w:t>Management of Comorbidities</w:t>
      </w:r>
      <w:bookmarkEnd w:id="0"/>
    </w:p>
    <w:p w14:paraId="56C42266" w14:textId="77777777" w:rsidR="007B12D1" w:rsidRDefault="007B12D1">
      <w:pPr>
        <w:spacing w:after="0"/>
        <w:jc w:val="center"/>
      </w:pPr>
    </w:p>
    <w:tbl>
      <w:tblPr>
        <w:tblStyle w:val="TableGrid"/>
        <w:tblW w:w="9385" w:type="dxa"/>
        <w:tblInd w:w="108" w:type="dxa"/>
        <w:tblLook w:val="04A0" w:firstRow="1" w:lastRow="0" w:firstColumn="1" w:lastColumn="0" w:noHBand="0" w:noVBand="1"/>
      </w:tblPr>
      <w:tblGrid>
        <w:gridCol w:w="5877"/>
        <w:gridCol w:w="3508"/>
      </w:tblGrid>
      <w:tr w:rsidR="00BB2319" w14:paraId="571A82FC" w14:textId="77777777" w:rsidTr="00F013DB">
        <w:tc>
          <w:tcPr>
            <w:tcW w:w="5877" w:type="dxa"/>
            <w:shd w:val="clear" w:color="auto" w:fill="F2F2F2" w:themeFill="background1" w:themeFillShade="F2"/>
          </w:tcPr>
          <w:p w14:paraId="5F746E9D" w14:textId="58C852DD" w:rsidR="00BB2319" w:rsidRDefault="00BB2319" w:rsidP="00BB2319">
            <w:r>
              <w:rPr>
                <w:b/>
                <w:sz w:val="24"/>
                <w:szCs w:val="24"/>
              </w:rPr>
              <w:t>SOP Number</w:t>
            </w:r>
            <w:r>
              <w:rPr>
                <w:sz w:val="24"/>
                <w:szCs w:val="24"/>
              </w:rPr>
              <w:t>: SP-025-CT</w:t>
            </w:r>
          </w:p>
        </w:tc>
        <w:tc>
          <w:tcPr>
            <w:tcW w:w="3508" w:type="dxa"/>
            <w:shd w:val="clear" w:color="auto" w:fill="F2F2F2" w:themeFill="background1" w:themeFillShade="F2"/>
          </w:tcPr>
          <w:p w14:paraId="10C455C1" w14:textId="3246EBB3" w:rsidR="00BB2319" w:rsidRDefault="00BB2319" w:rsidP="00BB2319">
            <w:r>
              <w:rPr>
                <w:b/>
                <w:sz w:val="24"/>
                <w:szCs w:val="24"/>
              </w:rPr>
              <w:t>Effective Date</w:t>
            </w:r>
            <w:r>
              <w:rPr>
                <w:sz w:val="24"/>
                <w:szCs w:val="24"/>
              </w:rPr>
              <w:t>:</w:t>
            </w:r>
          </w:p>
        </w:tc>
      </w:tr>
      <w:tr w:rsidR="00BB2319" w14:paraId="3826BD0A" w14:textId="77777777" w:rsidTr="00F013DB">
        <w:tc>
          <w:tcPr>
            <w:tcW w:w="9385" w:type="dxa"/>
            <w:gridSpan w:val="2"/>
            <w:shd w:val="clear" w:color="auto" w:fill="F2F2F2" w:themeFill="background1" w:themeFillShade="F2"/>
          </w:tcPr>
          <w:p w14:paraId="77093AEE" w14:textId="5B7B1D19" w:rsidR="00BB2319" w:rsidRDefault="00BB2319" w:rsidP="00BB2319">
            <w:r>
              <w:rPr>
                <w:b/>
                <w:sz w:val="24"/>
                <w:szCs w:val="24"/>
              </w:rPr>
              <w:t xml:space="preserve">Version Number </w:t>
            </w:r>
            <w:r w:rsidRPr="00FF4D64">
              <w:rPr>
                <w:b/>
                <w:sz w:val="24"/>
                <w:szCs w:val="24"/>
              </w:rPr>
              <w:t>and Date</w:t>
            </w:r>
            <w:r w:rsidRPr="002B51E8">
              <w:rPr>
                <w:sz w:val="24"/>
                <w:szCs w:val="24"/>
              </w:rPr>
              <w:t xml:space="preserve">: </w:t>
            </w:r>
            <w:r>
              <w:rPr>
                <w:sz w:val="24"/>
                <w:szCs w:val="24"/>
              </w:rPr>
              <w:t>4.</w:t>
            </w:r>
            <w:r w:rsidR="00124ED4">
              <w:rPr>
                <w:sz w:val="24"/>
                <w:szCs w:val="24"/>
              </w:rPr>
              <w:t>1</w:t>
            </w:r>
            <w:r>
              <w:rPr>
                <w:sz w:val="24"/>
                <w:szCs w:val="24"/>
              </w:rPr>
              <w:t xml:space="preserve">, </w:t>
            </w:r>
            <w:r w:rsidR="003B39A2">
              <w:rPr>
                <w:sz w:val="24"/>
                <w:szCs w:val="24"/>
              </w:rPr>
              <w:t>15-Nov</w:t>
            </w:r>
            <w:r>
              <w:rPr>
                <w:sz w:val="24"/>
                <w:szCs w:val="24"/>
              </w:rPr>
              <w:t>-</w:t>
            </w:r>
            <w:r w:rsidR="00124ED4">
              <w:rPr>
                <w:sz w:val="24"/>
                <w:szCs w:val="24"/>
              </w:rPr>
              <w:t>2021</w:t>
            </w:r>
          </w:p>
        </w:tc>
      </w:tr>
    </w:tbl>
    <w:p w14:paraId="2E2314C6" w14:textId="77777777" w:rsidR="007B12D1" w:rsidRDefault="007B12D1">
      <w:pPr>
        <w:spacing w:after="0"/>
        <w:jc w:val="center"/>
      </w:pPr>
    </w:p>
    <w:p w14:paraId="4EB11A80" w14:textId="77777777" w:rsidR="007B12D1" w:rsidRDefault="007B12D1">
      <w:pPr>
        <w:spacing w:after="0"/>
        <w:jc w:val="center"/>
      </w:pPr>
    </w:p>
    <w:sdt>
      <w:sdtPr>
        <w:rPr>
          <w:rFonts w:ascii="Calibri" w:eastAsia="PMingLiU" w:hAnsi="Calibri" w:cs="Calibri"/>
          <w:color w:val="000000"/>
          <w:sz w:val="22"/>
          <w:szCs w:val="22"/>
          <w:lang w:eastAsia="zh-TW"/>
        </w:rPr>
        <w:id w:val="349227895"/>
        <w:docPartObj>
          <w:docPartGallery w:val="Table of Contents"/>
          <w:docPartUnique/>
        </w:docPartObj>
      </w:sdtPr>
      <w:sdtEndPr>
        <w:rPr>
          <w:b/>
          <w:bCs/>
          <w:noProof/>
        </w:rPr>
      </w:sdtEndPr>
      <w:sdtContent>
        <w:p w14:paraId="7345D8D5" w14:textId="056BD617" w:rsidR="001E1FA1" w:rsidRDefault="001E1FA1" w:rsidP="001E1FA1">
          <w:pPr>
            <w:pStyle w:val="TOCHeading"/>
          </w:pPr>
          <w:r w:rsidRPr="001E1FA1">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599C4D8D" w14:textId="5C678D2C" w:rsidR="001E1FA1" w:rsidRDefault="00542B60">
          <w:pPr>
            <w:pStyle w:val="TOC2"/>
            <w:tabs>
              <w:tab w:val="left" w:pos="660"/>
              <w:tab w:val="right" w:leader="dot" w:pos="9350"/>
            </w:tabs>
            <w:rPr>
              <w:noProof/>
            </w:rPr>
          </w:pPr>
          <w:hyperlink w:anchor="_Toc166245688" w:history="1">
            <w:r w:rsidR="001E1FA1" w:rsidRPr="003861A1">
              <w:rPr>
                <w:rStyle w:val="Hyperlink"/>
                <w:noProof/>
              </w:rPr>
              <w:t>1.</w:t>
            </w:r>
            <w:r w:rsidR="001E1FA1">
              <w:rPr>
                <w:noProof/>
              </w:rPr>
              <w:tab/>
            </w:r>
            <w:r w:rsidR="001E1FA1" w:rsidRPr="003861A1">
              <w:rPr>
                <w:rStyle w:val="Hyperlink"/>
                <w:noProof/>
              </w:rPr>
              <w:t>PURPOSE</w:t>
            </w:r>
            <w:r w:rsidR="001E1FA1">
              <w:rPr>
                <w:noProof/>
                <w:webHidden/>
              </w:rPr>
              <w:tab/>
            </w:r>
            <w:r w:rsidR="001E1FA1">
              <w:rPr>
                <w:noProof/>
                <w:webHidden/>
              </w:rPr>
              <w:fldChar w:fldCharType="begin"/>
            </w:r>
            <w:r w:rsidR="001E1FA1">
              <w:rPr>
                <w:noProof/>
                <w:webHidden/>
              </w:rPr>
              <w:instrText xml:space="preserve"> PAGEREF _Toc166245688 \h </w:instrText>
            </w:r>
            <w:r w:rsidR="001E1FA1">
              <w:rPr>
                <w:noProof/>
                <w:webHidden/>
              </w:rPr>
            </w:r>
            <w:r w:rsidR="001E1FA1">
              <w:rPr>
                <w:noProof/>
                <w:webHidden/>
              </w:rPr>
              <w:fldChar w:fldCharType="separate"/>
            </w:r>
            <w:r w:rsidR="001E1FA1">
              <w:rPr>
                <w:noProof/>
                <w:webHidden/>
              </w:rPr>
              <w:t>2</w:t>
            </w:r>
            <w:r w:rsidR="001E1FA1">
              <w:rPr>
                <w:noProof/>
                <w:webHidden/>
              </w:rPr>
              <w:fldChar w:fldCharType="end"/>
            </w:r>
          </w:hyperlink>
        </w:p>
        <w:p w14:paraId="5C5802E5" w14:textId="774AEA33" w:rsidR="001E1FA1" w:rsidRDefault="00542B60">
          <w:pPr>
            <w:pStyle w:val="TOC2"/>
            <w:tabs>
              <w:tab w:val="left" w:pos="660"/>
              <w:tab w:val="right" w:leader="dot" w:pos="9350"/>
            </w:tabs>
            <w:rPr>
              <w:noProof/>
            </w:rPr>
          </w:pPr>
          <w:hyperlink w:anchor="_Toc166245689" w:history="1">
            <w:r w:rsidR="001E1FA1" w:rsidRPr="003861A1">
              <w:rPr>
                <w:rStyle w:val="Hyperlink"/>
                <w:noProof/>
              </w:rPr>
              <w:t>2.</w:t>
            </w:r>
            <w:r w:rsidR="001E1FA1">
              <w:rPr>
                <w:noProof/>
              </w:rPr>
              <w:tab/>
            </w:r>
            <w:r w:rsidR="001E1FA1" w:rsidRPr="003861A1">
              <w:rPr>
                <w:rStyle w:val="Hyperlink"/>
                <w:noProof/>
              </w:rPr>
              <w:t>SCOPE</w:t>
            </w:r>
            <w:r w:rsidR="001E1FA1">
              <w:rPr>
                <w:noProof/>
                <w:webHidden/>
              </w:rPr>
              <w:tab/>
            </w:r>
            <w:r w:rsidR="001E1FA1">
              <w:rPr>
                <w:noProof/>
                <w:webHidden/>
              </w:rPr>
              <w:fldChar w:fldCharType="begin"/>
            </w:r>
            <w:r w:rsidR="001E1FA1">
              <w:rPr>
                <w:noProof/>
                <w:webHidden/>
              </w:rPr>
              <w:instrText xml:space="preserve"> PAGEREF _Toc166245689 \h </w:instrText>
            </w:r>
            <w:r w:rsidR="001E1FA1">
              <w:rPr>
                <w:noProof/>
                <w:webHidden/>
              </w:rPr>
            </w:r>
            <w:r w:rsidR="001E1FA1">
              <w:rPr>
                <w:noProof/>
                <w:webHidden/>
              </w:rPr>
              <w:fldChar w:fldCharType="separate"/>
            </w:r>
            <w:r w:rsidR="001E1FA1">
              <w:rPr>
                <w:noProof/>
                <w:webHidden/>
              </w:rPr>
              <w:t>2</w:t>
            </w:r>
            <w:r w:rsidR="001E1FA1">
              <w:rPr>
                <w:noProof/>
                <w:webHidden/>
              </w:rPr>
              <w:fldChar w:fldCharType="end"/>
            </w:r>
          </w:hyperlink>
        </w:p>
        <w:p w14:paraId="377401E1" w14:textId="10CBB0AD" w:rsidR="001E1FA1" w:rsidRDefault="00542B60">
          <w:pPr>
            <w:pStyle w:val="TOC2"/>
            <w:tabs>
              <w:tab w:val="left" w:pos="660"/>
              <w:tab w:val="right" w:leader="dot" w:pos="9350"/>
            </w:tabs>
            <w:rPr>
              <w:noProof/>
            </w:rPr>
          </w:pPr>
          <w:hyperlink w:anchor="_Toc166245690" w:history="1">
            <w:r w:rsidR="001E1FA1" w:rsidRPr="003861A1">
              <w:rPr>
                <w:rStyle w:val="Hyperlink"/>
                <w:noProof/>
              </w:rPr>
              <w:t>3.</w:t>
            </w:r>
            <w:r w:rsidR="001E1FA1">
              <w:rPr>
                <w:noProof/>
              </w:rPr>
              <w:tab/>
            </w:r>
            <w:r w:rsidR="001E1FA1" w:rsidRPr="003861A1">
              <w:rPr>
                <w:rStyle w:val="Hyperlink"/>
                <w:noProof/>
              </w:rPr>
              <w:t>RESPONSIBLE FUNCTIONS</w:t>
            </w:r>
            <w:r w:rsidR="001E1FA1">
              <w:rPr>
                <w:noProof/>
                <w:webHidden/>
              </w:rPr>
              <w:tab/>
            </w:r>
            <w:r w:rsidR="001E1FA1">
              <w:rPr>
                <w:noProof/>
                <w:webHidden/>
              </w:rPr>
              <w:fldChar w:fldCharType="begin"/>
            </w:r>
            <w:r w:rsidR="001E1FA1">
              <w:rPr>
                <w:noProof/>
                <w:webHidden/>
              </w:rPr>
              <w:instrText xml:space="preserve"> PAGEREF _Toc166245690 \h </w:instrText>
            </w:r>
            <w:r w:rsidR="001E1FA1">
              <w:rPr>
                <w:noProof/>
                <w:webHidden/>
              </w:rPr>
            </w:r>
            <w:r w:rsidR="001E1FA1">
              <w:rPr>
                <w:noProof/>
                <w:webHidden/>
              </w:rPr>
              <w:fldChar w:fldCharType="separate"/>
            </w:r>
            <w:r w:rsidR="001E1FA1">
              <w:rPr>
                <w:noProof/>
                <w:webHidden/>
              </w:rPr>
              <w:t>2</w:t>
            </w:r>
            <w:r w:rsidR="001E1FA1">
              <w:rPr>
                <w:noProof/>
                <w:webHidden/>
              </w:rPr>
              <w:fldChar w:fldCharType="end"/>
            </w:r>
          </w:hyperlink>
        </w:p>
        <w:p w14:paraId="7878E3C9" w14:textId="0F796D33" w:rsidR="001E1FA1" w:rsidRDefault="00542B60">
          <w:pPr>
            <w:pStyle w:val="TOC2"/>
            <w:tabs>
              <w:tab w:val="left" w:pos="660"/>
              <w:tab w:val="right" w:leader="dot" w:pos="9350"/>
            </w:tabs>
            <w:rPr>
              <w:noProof/>
            </w:rPr>
          </w:pPr>
          <w:hyperlink w:anchor="_Toc166245691" w:history="1">
            <w:r w:rsidR="001E1FA1" w:rsidRPr="003861A1">
              <w:rPr>
                <w:rStyle w:val="Hyperlink"/>
                <w:noProof/>
              </w:rPr>
              <w:t>4.</w:t>
            </w:r>
            <w:r w:rsidR="001E1FA1">
              <w:rPr>
                <w:noProof/>
              </w:rPr>
              <w:tab/>
            </w:r>
            <w:r w:rsidR="001E1FA1" w:rsidRPr="003861A1">
              <w:rPr>
                <w:rStyle w:val="Hyperlink"/>
                <w:noProof/>
              </w:rPr>
              <w:t>DEFINITIONS and ABBREVIATIONS</w:t>
            </w:r>
            <w:r w:rsidR="001E1FA1">
              <w:rPr>
                <w:noProof/>
                <w:webHidden/>
              </w:rPr>
              <w:tab/>
            </w:r>
            <w:r w:rsidR="001E1FA1">
              <w:rPr>
                <w:noProof/>
                <w:webHidden/>
              </w:rPr>
              <w:fldChar w:fldCharType="begin"/>
            </w:r>
            <w:r w:rsidR="001E1FA1">
              <w:rPr>
                <w:noProof/>
                <w:webHidden/>
              </w:rPr>
              <w:instrText xml:space="preserve"> PAGEREF _Toc166245691 \h </w:instrText>
            </w:r>
            <w:r w:rsidR="001E1FA1">
              <w:rPr>
                <w:noProof/>
                <w:webHidden/>
              </w:rPr>
            </w:r>
            <w:r w:rsidR="001E1FA1">
              <w:rPr>
                <w:noProof/>
                <w:webHidden/>
              </w:rPr>
              <w:fldChar w:fldCharType="separate"/>
            </w:r>
            <w:r w:rsidR="001E1FA1">
              <w:rPr>
                <w:noProof/>
                <w:webHidden/>
              </w:rPr>
              <w:t>3</w:t>
            </w:r>
            <w:r w:rsidR="001E1FA1">
              <w:rPr>
                <w:noProof/>
                <w:webHidden/>
              </w:rPr>
              <w:fldChar w:fldCharType="end"/>
            </w:r>
          </w:hyperlink>
        </w:p>
        <w:p w14:paraId="50C7880F" w14:textId="3CFB9766" w:rsidR="001E1FA1" w:rsidRDefault="00542B60">
          <w:pPr>
            <w:pStyle w:val="TOC2"/>
            <w:tabs>
              <w:tab w:val="left" w:pos="660"/>
              <w:tab w:val="right" w:leader="dot" w:pos="9350"/>
            </w:tabs>
            <w:rPr>
              <w:noProof/>
            </w:rPr>
          </w:pPr>
          <w:hyperlink w:anchor="_Toc166245692" w:history="1">
            <w:r w:rsidR="001E1FA1" w:rsidRPr="003861A1">
              <w:rPr>
                <w:rStyle w:val="Hyperlink"/>
                <w:noProof/>
              </w:rPr>
              <w:t>5.</w:t>
            </w:r>
            <w:r w:rsidR="001E1FA1">
              <w:rPr>
                <w:noProof/>
              </w:rPr>
              <w:tab/>
            </w:r>
            <w:r w:rsidR="001E1FA1" w:rsidRPr="003861A1">
              <w:rPr>
                <w:rStyle w:val="Hyperlink"/>
                <w:noProof/>
              </w:rPr>
              <w:t>PROCEDURE</w:t>
            </w:r>
            <w:r w:rsidR="001E1FA1">
              <w:rPr>
                <w:noProof/>
                <w:webHidden/>
              </w:rPr>
              <w:tab/>
            </w:r>
            <w:r w:rsidR="001E1FA1">
              <w:rPr>
                <w:noProof/>
                <w:webHidden/>
              </w:rPr>
              <w:fldChar w:fldCharType="begin"/>
            </w:r>
            <w:r w:rsidR="001E1FA1">
              <w:rPr>
                <w:noProof/>
                <w:webHidden/>
              </w:rPr>
              <w:instrText xml:space="preserve"> PAGEREF _Toc166245692 \h </w:instrText>
            </w:r>
            <w:r w:rsidR="001E1FA1">
              <w:rPr>
                <w:noProof/>
                <w:webHidden/>
              </w:rPr>
            </w:r>
            <w:r w:rsidR="001E1FA1">
              <w:rPr>
                <w:noProof/>
                <w:webHidden/>
              </w:rPr>
              <w:fldChar w:fldCharType="separate"/>
            </w:r>
            <w:r w:rsidR="001E1FA1">
              <w:rPr>
                <w:noProof/>
                <w:webHidden/>
              </w:rPr>
              <w:t>3</w:t>
            </w:r>
            <w:r w:rsidR="001E1FA1">
              <w:rPr>
                <w:noProof/>
                <w:webHidden/>
              </w:rPr>
              <w:fldChar w:fldCharType="end"/>
            </w:r>
          </w:hyperlink>
        </w:p>
        <w:p w14:paraId="11BB92F9" w14:textId="78A1744E" w:rsidR="001E1FA1" w:rsidRDefault="00542B60">
          <w:pPr>
            <w:pStyle w:val="TOC3"/>
            <w:tabs>
              <w:tab w:val="left" w:pos="1100"/>
              <w:tab w:val="right" w:leader="dot" w:pos="9350"/>
            </w:tabs>
            <w:rPr>
              <w:noProof/>
            </w:rPr>
          </w:pPr>
          <w:hyperlink w:anchor="_Toc166245693" w:history="1">
            <w:r w:rsidR="001E1FA1" w:rsidRPr="003861A1">
              <w:rPr>
                <w:rStyle w:val="Hyperlink"/>
                <w:noProof/>
                <w:lang w:val="en-CA"/>
              </w:rPr>
              <w:t>5.1</w:t>
            </w:r>
            <w:r w:rsidR="001E1FA1">
              <w:rPr>
                <w:noProof/>
              </w:rPr>
              <w:tab/>
            </w:r>
            <w:r w:rsidR="001E1FA1" w:rsidRPr="003861A1">
              <w:rPr>
                <w:rStyle w:val="Hyperlink"/>
                <w:noProof/>
                <w:lang w:val="en-CA"/>
              </w:rPr>
              <w:t>Management of HIV infection</w:t>
            </w:r>
            <w:r w:rsidR="001E1FA1">
              <w:rPr>
                <w:noProof/>
                <w:webHidden/>
              </w:rPr>
              <w:tab/>
            </w:r>
            <w:r w:rsidR="001E1FA1">
              <w:rPr>
                <w:noProof/>
                <w:webHidden/>
              </w:rPr>
              <w:fldChar w:fldCharType="begin"/>
            </w:r>
            <w:r w:rsidR="001E1FA1">
              <w:rPr>
                <w:noProof/>
                <w:webHidden/>
              </w:rPr>
              <w:instrText xml:space="preserve"> PAGEREF _Toc166245693 \h </w:instrText>
            </w:r>
            <w:r w:rsidR="001E1FA1">
              <w:rPr>
                <w:noProof/>
                <w:webHidden/>
              </w:rPr>
            </w:r>
            <w:r w:rsidR="001E1FA1">
              <w:rPr>
                <w:noProof/>
                <w:webHidden/>
              </w:rPr>
              <w:fldChar w:fldCharType="separate"/>
            </w:r>
            <w:r w:rsidR="001E1FA1">
              <w:rPr>
                <w:noProof/>
                <w:webHidden/>
              </w:rPr>
              <w:t>3</w:t>
            </w:r>
            <w:r w:rsidR="001E1FA1">
              <w:rPr>
                <w:noProof/>
                <w:webHidden/>
              </w:rPr>
              <w:fldChar w:fldCharType="end"/>
            </w:r>
          </w:hyperlink>
        </w:p>
        <w:p w14:paraId="64022708" w14:textId="4055600D" w:rsidR="001E1FA1" w:rsidRDefault="00542B60">
          <w:pPr>
            <w:pStyle w:val="TOC3"/>
            <w:tabs>
              <w:tab w:val="left" w:pos="1100"/>
              <w:tab w:val="right" w:leader="dot" w:pos="9350"/>
            </w:tabs>
            <w:rPr>
              <w:noProof/>
            </w:rPr>
          </w:pPr>
          <w:hyperlink w:anchor="_Toc166245694" w:history="1">
            <w:r w:rsidR="001E1FA1" w:rsidRPr="003861A1">
              <w:rPr>
                <w:rStyle w:val="Hyperlink"/>
                <w:noProof/>
                <w:lang w:val="en-CA"/>
              </w:rPr>
              <w:t>5.2</w:t>
            </w:r>
            <w:r w:rsidR="001E1FA1">
              <w:rPr>
                <w:noProof/>
              </w:rPr>
              <w:tab/>
            </w:r>
            <w:r w:rsidR="001E1FA1" w:rsidRPr="003861A1">
              <w:rPr>
                <w:rStyle w:val="Hyperlink"/>
                <w:noProof/>
                <w:lang w:val="en-CA"/>
              </w:rPr>
              <w:t>Management of diabetes</w:t>
            </w:r>
            <w:r w:rsidR="001E1FA1">
              <w:rPr>
                <w:noProof/>
                <w:webHidden/>
              </w:rPr>
              <w:tab/>
            </w:r>
            <w:r w:rsidR="001E1FA1">
              <w:rPr>
                <w:noProof/>
                <w:webHidden/>
              </w:rPr>
              <w:fldChar w:fldCharType="begin"/>
            </w:r>
            <w:r w:rsidR="001E1FA1">
              <w:rPr>
                <w:noProof/>
                <w:webHidden/>
              </w:rPr>
              <w:instrText xml:space="preserve"> PAGEREF _Toc166245694 \h </w:instrText>
            </w:r>
            <w:r w:rsidR="001E1FA1">
              <w:rPr>
                <w:noProof/>
                <w:webHidden/>
              </w:rPr>
            </w:r>
            <w:r w:rsidR="001E1FA1">
              <w:rPr>
                <w:noProof/>
                <w:webHidden/>
              </w:rPr>
              <w:fldChar w:fldCharType="separate"/>
            </w:r>
            <w:r w:rsidR="001E1FA1">
              <w:rPr>
                <w:noProof/>
                <w:webHidden/>
              </w:rPr>
              <w:t>5</w:t>
            </w:r>
            <w:r w:rsidR="001E1FA1">
              <w:rPr>
                <w:noProof/>
                <w:webHidden/>
              </w:rPr>
              <w:fldChar w:fldCharType="end"/>
            </w:r>
          </w:hyperlink>
        </w:p>
        <w:p w14:paraId="41A0502C" w14:textId="464991C1" w:rsidR="001E1FA1" w:rsidRDefault="00542B60">
          <w:pPr>
            <w:pStyle w:val="TOC3"/>
            <w:tabs>
              <w:tab w:val="left" w:pos="1100"/>
              <w:tab w:val="right" w:leader="dot" w:pos="9350"/>
            </w:tabs>
            <w:rPr>
              <w:noProof/>
            </w:rPr>
          </w:pPr>
          <w:hyperlink w:anchor="_Toc166245695" w:history="1">
            <w:r w:rsidR="001E1FA1" w:rsidRPr="003861A1">
              <w:rPr>
                <w:rStyle w:val="Hyperlink"/>
                <w:noProof/>
                <w:lang w:val="en-CA"/>
              </w:rPr>
              <w:t>5.3</w:t>
            </w:r>
            <w:r w:rsidR="001E1FA1">
              <w:rPr>
                <w:noProof/>
              </w:rPr>
              <w:tab/>
            </w:r>
            <w:r w:rsidR="001E1FA1" w:rsidRPr="003861A1">
              <w:rPr>
                <w:rStyle w:val="Hyperlink"/>
                <w:noProof/>
                <w:lang w:val="en-CA"/>
              </w:rPr>
              <w:t>Management of patients with cardiovascular disease</w:t>
            </w:r>
            <w:r w:rsidR="001E1FA1">
              <w:rPr>
                <w:noProof/>
                <w:webHidden/>
              </w:rPr>
              <w:tab/>
            </w:r>
            <w:r w:rsidR="001E1FA1">
              <w:rPr>
                <w:noProof/>
                <w:webHidden/>
              </w:rPr>
              <w:fldChar w:fldCharType="begin"/>
            </w:r>
            <w:r w:rsidR="001E1FA1">
              <w:rPr>
                <w:noProof/>
                <w:webHidden/>
              </w:rPr>
              <w:instrText xml:space="preserve"> PAGEREF _Toc166245695 \h </w:instrText>
            </w:r>
            <w:r w:rsidR="001E1FA1">
              <w:rPr>
                <w:noProof/>
                <w:webHidden/>
              </w:rPr>
            </w:r>
            <w:r w:rsidR="001E1FA1">
              <w:rPr>
                <w:noProof/>
                <w:webHidden/>
              </w:rPr>
              <w:fldChar w:fldCharType="separate"/>
            </w:r>
            <w:r w:rsidR="001E1FA1">
              <w:rPr>
                <w:noProof/>
                <w:webHidden/>
              </w:rPr>
              <w:t>5</w:t>
            </w:r>
            <w:r w:rsidR="001E1FA1">
              <w:rPr>
                <w:noProof/>
                <w:webHidden/>
              </w:rPr>
              <w:fldChar w:fldCharType="end"/>
            </w:r>
          </w:hyperlink>
        </w:p>
        <w:p w14:paraId="3E3081E6" w14:textId="439E2478" w:rsidR="001E1FA1" w:rsidRDefault="00542B60">
          <w:pPr>
            <w:pStyle w:val="TOC3"/>
            <w:tabs>
              <w:tab w:val="left" w:pos="1100"/>
              <w:tab w:val="right" w:leader="dot" w:pos="9350"/>
            </w:tabs>
            <w:rPr>
              <w:noProof/>
            </w:rPr>
          </w:pPr>
          <w:hyperlink w:anchor="_Toc166245696" w:history="1">
            <w:r w:rsidR="001E1FA1" w:rsidRPr="003861A1">
              <w:rPr>
                <w:rStyle w:val="Hyperlink"/>
                <w:noProof/>
                <w:lang w:val="en-CA"/>
              </w:rPr>
              <w:t>5.4</w:t>
            </w:r>
            <w:r w:rsidR="001E1FA1">
              <w:rPr>
                <w:noProof/>
              </w:rPr>
              <w:tab/>
            </w:r>
            <w:r w:rsidR="001E1FA1" w:rsidRPr="003861A1">
              <w:rPr>
                <w:rStyle w:val="Hyperlink"/>
                <w:noProof/>
                <w:lang w:val="en-CA"/>
              </w:rPr>
              <w:t>Management of patients with psychiatric disorders including depression</w:t>
            </w:r>
            <w:r w:rsidR="001E1FA1">
              <w:rPr>
                <w:noProof/>
                <w:webHidden/>
              </w:rPr>
              <w:tab/>
            </w:r>
            <w:r w:rsidR="001E1FA1">
              <w:rPr>
                <w:noProof/>
                <w:webHidden/>
              </w:rPr>
              <w:fldChar w:fldCharType="begin"/>
            </w:r>
            <w:r w:rsidR="001E1FA1">
              <w:rPr>
                <w:noProof/>
                <w:webHidden/>
              </w:rPr>
              <w:instrText xml:space="preserve"> PAGEREF _Toc166245696 \h </w:instrText>
            </w:r>
            <w:r w:rsidR="001E1FA1">
              <w:rPr>
                <w:noProof/>
                <w:webHidden/>
              </w:rPr>
            </w:r>
            <w:r w:rsidR="001E1FA1">
              <w:rPr>
                <w:noProof/>
                <w:webHidden/>
              </w:rPr>
              <w:fldChar w:fldCharType="separate"/>
            </w:r>
            <w:r w:rsidR="001E1FA1">
              <w:rPr>
                <w:noProof/>
                <w:webHidden/>
              </w:rPr>
              <w:t>6</w:t>
            </w:r>
            <w:r w:rsidR="001E1FA1">
              <w:rPr>
                <w:noProof/>
                <w:webHidden/>
              </w:rPr>
              <w:fldChar w:fldCharType="end"/>
            </w:r>
          </w:hyperlink>
        </w:p>
        <w:p w14:paraId="65F42D31" w14:textId="4D67A511" w:rsidR="001E1FA1" w:rsidRDefault="00542B60">
          <w:pPr>
            <w:pStyle w:val="TOC3"/>
            <w:tabs>
              <w:tab w:val="left" w:pos="1100"/>
              <w:tab w:val="right" w:leader="dot" w:pos="9350"/>
            </w:tabs>
            <w:rPr>
              <w:noProof/>
            </w:rPr>
          </w:pPr>
          <w:hyperlink w:anchor="_Toc166245697" w:history="1">
            <w:r w:rsidR="001E1FA1" w:rsidRPr="003861A1">
              <w:rPr>
                <w:rStyle w:val="Hyperlink"/>
                <w:noProof/>
                <w:lang w:val="en-CA"/>
              </w:rPr>
              <w:t>5.5</w:t>
            </w:r>
            <w:r w:rsidR="001E1FA1">
              <w:rPr>
                <w:noProof/>
              </w:rPr>
              <w:tab/>
            </w:r>
            <w:r w:rsidR="001E1FA1" w:rsidRPr="003861A1">
              <w:rPr>
                <w:rStyle w:val="Hyperlink"/>
                <w:noProof/>
                <w:lang w:val="en-CA"/>
              </w:rPr>
              <w:t>Management of substance dependence</w:t>
            </w:r>
            <w:r w:rsidR="001E1FA1">
              <w:rPr>
                <w:noProof/>
                <w:webHidden/>
              </w:rPr>
              <w:tab/>
            </w:r>
            <w:r w:rsidR="001E1FA1">
              <w:rPr>
                <w:noProof/>
                <w:webHidden/>
              </w:rPr>
              <w:fldChar w:fldCharType="begin"/>
            </w:r>
            <w:r w:rsidR="001E1FA1">
              <w:rPr>
                <w:noProof/>
                <w:webHidden/>
              </w:rPr>
              <w:instrText xml:space="preserve"> PAGEREF _Toc166245697 \h </w:instrText>
            </w:r>
            <w:r w:rsidR="001E1FA1">
              <w:rPr>
                <w:noProof/>
                <w:webHidden/>
              </w:rPr>
            </w:r>
            <w:r w:rsidR="001E1FA1">
              <w:rPr>
                <w:noProof/>
                <w:webHidden/>
              </w:rPr>
              <w:fldChar w:fldCharType="separate"/>
            </w:r>
            <w:r w:rsidR="001E1FA1">
              <w:rPr>
                <w:noProof/>
                <w:webHidden/>
              </w:rPr>
              <w:t>6</w:t>
            </w:r>
            <w:r w:rsidR="001E1FA1">
              <w:rPr>
                <w:noProof/>
                <w:webHidden/>
              </w:rPr>
              <w:fldChar w:fldCharType="end"/>
            </w:r>
          </w:hyperlink>
        </w:p>
        <w:p w14:paraId="6376AC6E" w14:textId="0DAB771F" w:rsidR="001E1FA1" w:rsidRDefault="00542B60">
          <w:pPr>
            <w:pStyle w:val="TOC3"/>
            <w:tabs>
              <w:tab w:val="left" w:pos="1100"/>
              <w:tab w:val="right" w:leader="dot" w:pos="9350"/>
            </w:tabs>
            <w:rPr>
              <w:noProof/>
            </w:rPr>
          </w:pPr>
          <w:hyperlink w:anchor="_Toc166245698" w:history="1">
            <w:r w:rsidR="001E1FA1" w:rsidRPr="003861A1">
              <w:rPr>
                <w:rStyle w:val="Hyperlink"/>
                <w:noProof/>
                <w:lang w:val="en-CA"/>
              </w:rPr>
              <w:t>5.6</w:t>
            </w:r>
            <w:r w:rsidR="001E1FA1">
              <w:rPr>
                <w:noProof/>
              </w:rPr>
              <w:tab/>
            </w:r>
            <w:r w:rsidR="001E1FA1" w:rsidRPr="003861A1">
              <w:rPr>
                <w:rStyle w:val="Hyperlink"/>
                <w:noProof/>
                <w:lang w:val="en-CA"/>
              </w:rPr>
              <w:t>Management of Seizure disorders</w:t>
            </w:r>
            <w:r w:rsidR="001E1FA1">
              <w:rPr>
                <w:noProof/>
                <w:webHidden/>
              </w:rPr>
              <w:tab/>
            </w:r>
            <w:r w:rsidR="001E1FA1">
              <w:rPr>
                <w:noProof/>
                <w:webHidden/>
              </w:rPr>
              <w:fldChar w:fldCharType="begin"/>
            </w:r>
            <w:r w:rsidR="001E1FA1">
              <w:rPr>
                <w:noProof/>
                <w:webHidden/>
              </w:rPr>
              <w:instrText xml:space="preserve"> PAGEREF _Toc166245698 \h </w:instrText>
            </w:r>
            <w:r w:rsidR="001E1FA1">
              <w:rPr>
                <w:noProof/>
                <w:webHidden/>
              </w:rPr>
            </w:r>
            <w:r w:rsidR="001E1FA1">
              <w:rPr>
                <w:noProof/>
                <w:webHidden/>
              </w:rPr>
              <w:fldChar w:fldCharType="separate"/>
            </w:r>
            <w:r w:rsidR="001E1FA1">
              <w:rPr>
                <w:noProof/>
                <w:webHidden/>
              </w:rPr>
              <w:t>6</w:t>
            </w:r>
            <w:r w:rsidR="001E1FA1">
              <w:rPr>
                <w:noProof/>
                <w:webHidden/>
              </w:rPr>
              <w:fldChar w:fldCharType="end"/>
            </w:r>
          </w:hyperlink>
        </w:p>
        <w:p w14:paraId="5AC1ECEC" w14:textId="16E7BCC8" w:rsidR="001E1FA1" w:rsidRDefault="00542B60">
          <w:pPr>
            <w:pStyle w:val="TOC3"/>
            <w:tabs>
              <w:tab w:val="left" w:pos="1100"/>
              <w:tab w:val="right" w:leader="dot" w:pos="9350"/>
            </w:tabs>
            <w:rPr>
              <w:noProof/>
            </w:rPr>
          </w:pPr>
          <w:hyperlink w:anchor="_Toc166245699" w:history="1">
            <w:r w:rsidR="001E1FA1" w:rsidRPr="003861A1">
              <w:rPr>
                <w:rStyle w:val="Hyperlink"/>
                <w:noProof/>
                <w:lang w:val="en-CA"/>
              </w:rPr>
              <w:t>5.7</w:t>
            </w:r>
            <w:r w:rsidR="001E1FA1">
              <w:rPr>
                <w:noProof/>
              </w:rPr>
              <w:tab/>
            </w:r>
            <w:r w:rsidR="001E1FA1" w:rsidRPr="003861A1">
              <w:rPr>
                <w:rStyle w:val="Hyperlink"/>
                <w:noProof/>
                <w:lang w:val="en-CA"/>
              </w:rPr>
              <w:t>Management of hepatitis B and C</w:t>
            </w:r>
            <w:r w:rsidR="001E1FA1">
              <w:rPr>
                <w:noProof/>
                <w:webHidden/>
              </w:rPr>
              <w:tab/>
            </w:r>
            <w:r w:rsidR="001E1FA1">
              <w:rPr>
                <w:noProof/>
                <w:webHidden/>
              </w:rPr>
              <w:fldChar w:fldCharType="begin"/>
            </w:r>
            <w:r w:rsidR="001E1FA1">
              <w:rPr>
                <w:noProof/>
                <w:webHidden/>
              </w:rPr>
              <w:instrText xml:space="preserve"> PAGEREF _Toc166245699 \h </w:instrText>
            </w:r>
            <w:r w:rsidR="001E1FA1">
              <w:rPr>
                <w:noProof/>
                <w:webHidden/>
              </w:rPr>
            </w:r>
            <w:r w:rsidR="001E1FA1">
              <w:rPr>
                <w:noProof/>
                <w:webHidden/>
              </w:rPr>
              <w:fldChar w:fldCharType="separate"/>
            </w:r>
            <w:r w:rsidR="001E1FA1">
              <w:rPr>
                <w:noProof/>
                <w:webHidden/>
              </w:rPr>
              <w:t>7</w:t>
            </w:r>
            <w:r w:rsidR="001E1FA1">
              <w:rPr>
                <w:noProof/>
                <w:webHidden/>
              </w:rPr>
              <w:fldChar w:fldCharType="end"/>
            </w:r>
          </w:hyperlink>
        </w:p>
        <w:p w14:paraId="5CAB0854" w14:textId="49F51205" w:rsidR="001E1FA1" w:rsidRDefault="00542B60">
          <w:pPr>
            <w:pStyle w:val="TOC3"/>
            <w:tabs>
              <w:tab w:val="left" w:pos="1100"/>
              <w:tab w:val="right" w:leader="dot" w:pos="9350"/>
            </w:tabs>
            <w:rPr>
              <w:noProof/>
            </w:rPr>
          </w:pPr>
          <w:hyperlink w:anchor="_Toc166245700" w:history="1">
            <w:r w:rsidR="001E1FA1" w:rsidRPr="003861A1">
              <w:rPr>
                <w:rStyle w:val="Hyperlink"/>
                <w:noProof/>
                <w:lang w:val="en-CA"/>
              </w:rPr>
              <w:t>5.8</w:t>
            </w:r>
            <w:r w:rsidR="001E1FA1">
              <w:rPr>
                <w:noProof/>
              </w:rPr>
              <w:tab/>
            </w:r>
            <w:r w:rsidR="001E1FA1" w:rsidRPr="003861A1">
              <w:rPr>
                <w:rStyle w:val="Hyperlink"/>
                <w:noProof/>
                <w:lang w:val="en-CA"/>
              </w:rPr>
              <w:t>Management of renal insufficiency</w:t>
            </w:r>
            <w:r w:rsidR="001E1FA1">
              <w:rPr>
                <w:noProof/>
                <w:webHidden/>
              </w:rPr>
              <w:tab/>
            </w:r>
            <w:r w:rsidR="001E1FA1">
              <w:rPr>
                <w:noProof/>
                <w:webHidden/>
              </w:rPr>
              <w:fldChar w:fldCharType="begin"/>
            </w:r>
            <w:r w:rsidR="001E1FA1">
              <w:rPr>
                <w:noProof/>
                <w:webHidden/>
              </w:rPr>
              <w:instrText xml:space="preserve"> PAGEREF _Toc166245700 \h </w:instrText>
            </w:r>
            <w:r w:rsidR="001E1FA1">
              <w:rPr>
                <w:noProof/>
                <w:webHidden/>
              </w:rPr>
            </w:r>
            <w:r w:rsidR="001E1FA1">
              <w:rPr>
                <w:noProof/>
                <w:webHidden/>
              </w:rPr>
              <w:fldChar w:fldCharType="separate"/>
            </w:r>
            <w:r w:rsidR="001E1FA1">
              <w:rPr>
                <w:noProof/>
                <w:webHidden/>
              </w:rPr>
              <w:t>7</w:t>
            </w:r>
            <w:r w:rsidR="001E1FA1">
              <w:rPr>
                <w:noProof/>
                <w:webHidden/>
              </w:rPr>
              <w:fldChar w:fldCharType="end"/>
            </w:r>
          </w:hyperlink>
        </w:p>
        <w:p w14:paraId="286B5C41" w14:textId="7D3238FF" w:rsidR="001E1FA1" w:rsidRDefault="00542B60">
          <w:pPr>
            <w:pStyle w:val="TOC2"/>
            <w:tabs>
              <w:tab w:val="left" w:pos="660"/>
              <w:tab w:val="right" w:leader="dot" w:pos="9350"/>
            </w:tabs>
            <w:rPr>
              <w:noProof/>
            </w:rPr>
          </w:pPr>
          <w:hyperlink w:anchor="_Toc166245701" w:history="1">
            <w:r w:rsidR="001E1FA1" w:rsidRPr="003861A1">
              <w:rPr>
                <w:rStyle w:val="Hyperlink"/>
                <w:noProof/>
              </w:rPr>
              <w:t>6.</w:t>
            </w:r>
            <w:r w:rsidR="001E1FA1">
              <w:rPr>
                <w:noProof/>
              </w:rPr>
              <w:tab/>
            </w:r>
            <w:r w:rsidR="001E1FA1" w:rsidRPr="003861A1">
              <w:rPr>
                <w:rStyle w:val="Hyperlink"/>
                <w:noProof/>
              </w:rPr>
              <w:t>REFERENCES</w:t>
            </w:r>
            <w:r w:rsidR="001E1FA1">
              <w:rPr>
                <w:noProof/>
                <w:webHidden/>
              </w:rPr>
              <w:tab/>
            </w:r>
            <w:r w:rsidR="001E1FA1">
              <w:rPr>
                <w:noProof/>
                <w:webHidden/>
              </w:rPr>
              <w:fldChar w:fldCharType="begin"/>
            </w:r>
            <w:r w:rsidR="001E1FA1">
              <w:rPr>
                <w:noProof/>
                <w:webHidden/>
              </w:rPr>
              <w:instrText xml:space="preserve"> PAGEREF _Toc166245701 \h </w:instrText>
            </w:r>
            <w:r w:rsidR="001E1FA1">
              <w:rPr>
                <w:noProof/>
                <w:webHidden/>
              </w:rPr>
            </w:r>
            <w:r w:rsidR="001E1FA1">
              <w:rPr>
                <w:noProof/>
                <w:webHidden/>
              </w:rPr>
              <w:fldChar w:fldCharType="separate"/>
            </w:r>
            <w:r w:rsidR="001E1FA1">
              <w:rPr>
                <w:noProof/>
                <w:webHidden/>
              </w:rPr>
              <w:t>7</w:t>
            </w:r>
            <w:r w:rsidR="001E1FA1">
              <w:rPr>
                <w:noProof/>
                <w:webHidden/>
              </w:rPr>
              <w:fldChar w:fldCharType="end"/>
            </w:r>
          </w:hyperlink>
        </w:p>
        <w:p w14:paraId="39BEE602" w14:textId="38534B7A" w:rsidR="001E1FA1" w:rsidRDefault="00542B60">
          <w:pPr>
            <w:pStyle w:val="TOC2"/>
            <w:tabs>
              <w:tab w:val="left" w:pos="660"/>
              <w:tab w:val="right" w:leader="dot" w:pos="9350"/>
            </w:tabs>
            <w:rPr>
              <w:noProof/>
            </w:rPr>
          </w:pPr>
          <w:hyperlink w:anchor="_Toc166245702" w:history="1">
            <w:r w:rsidR="001E1FA1" w:rsidRPr="003861A1">
              <w:rPr>
                <w:rStyle w:val="Hyperlink"/>
                <w:noProof/>
              </w:rPr>
              <w:t>7.</w:t>
            </w:r>
            <w:r w:rsidR="001E1FA1">
              <w:rPr>
                <w:noProof/>
              </w:rPr>
              <w:tab/>
            </w:r>
            <w:r w:rsidR="001E1FA1" w:rsidRPr="003861A1">
              <w:rPr>
                <w:rStyle w:val="Hyperlink"/>
                <w:noProof/>
              </w:rPr>
              <w:t>SUPPORTING DOCUMENTS</w:t>
            </w:r>
            <w:r w:rsidR="001E1FA1">
              <w:rPr>
                <w:noProof/>
                <w:webHidden/>
              </w:rPr>
              <w:tab/>
            </w:r>
            <w:r w:rsidR="001E1FA1">
              <w:rPr>
                <w:noProof/>
                <w:webHidden/>
              </w:rPr>
              <w:fldChar w:fldCharType="begin"/>
            </w:r>
            <w:r w:rsidR="001E1FA1">
              <w:rPr>
                <w:noProof/>
                <w:webHidden/>
              </w:rPr>
              <w:instrText xml:space="preserve"> PAGEREF _Toc166245702 \h </w:instrText>
            </w:r>
            <w:r w:rsidR="001E1FA1">
              <w:rPr>
                <w:noProof/>
                <w:webHidden/>
              </w:rPr>
            </w:r>
            <w:r w:rsidR="001E1FA1">
              <w:rPr>
                <w:noProof/>
                <w:webHidden/>
              </w:rPr>
              <w:fldChar w:fldCharType="separate"/>
            </w:r>
            <w:r w:rsidR="001E1FA1">
              <w:rPr>
                <w:noProof/>
                <w:webHidden/>
              </w:rPr>
              <w:t>8</w:t>
            </w:r>
            <w:r w:rsidR="001E1FA1">
              <w:rPr>
                <w:noProof/>
                <w:webHidden/>
              </w:rPr>
              <w:fldChar w:fldCharType="end"/>
            </w:r>
          </w:hyperlink>
        </w:p>
        <w:p w14:paraId="6B8A9DA3" w14:textId="07C1474A" w:rsidR="001E1FA1" w:rsidRDefault="00542B60">
          <w:pPr>
            <w:pStyle w:val="TOC2"/>
            <w:tabs>
              <w:tab w:val="left" w:pos="660"/>
              <w:tab w:val="right" w:leader="dot" w:pos="9350"/>
            </w:tabs>
            <w:rPr>
              <w:noProof/>
            </w:rPr>
          </w:pPr>
          <w:hyperlink w:anchor="_Toc166245703" w:history="1">
            <w:r w:rsidR="001E1FA1" w:rsidRPr="003861A1">
              <w:rPr>
                <w:rStyle w:val="Hyperlink"/>
                <w:rFonts w:eastAsia="Calibri"/>
                <w:bCs/>
                <w:noProof/>
              </w:rPr>
              <w:t>8.</w:t>
            </w:r>
            <w:r w:rsidR="001E1FA1">
              <w:rPr>
                <w:noProof/>
              </w:rPr>
              <w:tab/>
            </w:r>
            <w:r w:rsidR="001E1FA1" w:rsidRPr="003861A1">
              <w:rPr>
                <w:rStyle w:val="Hyperlink"/>
                <w:noProof/>
              </w:rPr>
              <w:t>APPENDIX</w:t>
            </w:r>
            <w:r w:rsidR="001E1FA1">
              <w:rPr>
                <w:noProof/>
                <w:webHidden/>
              </w:rPr>
              <w:tab/>
            </w:r>
            <w:r w:rsidR="001E1FA1">
              <w:rPr>
                <w:noProof/>
                <w:webHidden/>
              </w:rPr>
              <w:fldChar w:fldCharType="begin"/>
            </w:r>
            <w:r w:rsidR="001E1FA1">
              <w:rPr>
                <w:noProof/>
                <w:webHidden/>
              </w:rPr>
              <w:instrText xml:space="preserve"> PAGEREF _Toc166245703 \h </w:instrText>
            </w:r>
            <w:r w:rsidR="001E1FA1">
              <w:rPr>
                <w:noProof/>
                <w:webHidden/>
              </w:rPr>
            </w:r>
            <w:r w:rsidR="001E1FA1">
              <w:rPr>
                <w:noProof/>
                <w:webHidden/>
              </w:rPr>
              <w:fldChar w:fldCharType="separate"/>
            </w:r>
            <w:r w:rsidR="001E1FA1">
              <w:rPr>
                <w:noProof/>
                <w:webHidden/>
              </w:rPr>
              <w:t>8</w:t>
            </w:r>
            <w:r w:rsidR="001E1FA1">
              <w:rPr>
                <w:noProof/>
                <w:webHidden/>
              </w:rPr>
              <w:fldChar w:fldCharType="end"/>
            </w:r>
          </w:hyperlink>
        </w:p>
        <w:p w14:paraId="7684DFE4" w14:textId="1CD888FF" w:rsidR="001E1FA1" w:rsidRDefault="001E1FA1">
          <w:r>
            <w:rPr>
              <w:b/>
              <w:bCs/>
              <w:noProof/>
            </w:rPr>
            <w:fldChar w:fldCharType="end"/>
          </w:r>
        </w:p>
      </w:sdtContent>
    </w:sdt>
    <w:p w14:paraId="5945C9A2" w14:textId="77777777" w:rsidR="001E1FA1" w:rsidRDefault="001E1FA1" w:rsidP="009139F6">
      <w:pPr>
        <w:tabs>
          <w:tab w:val="left" w:pos="3840"/>
          <w:tab w:val="center" w:pos="4680"/>
        </w:tabs>
        <w:spacing w:after="0"/>
        <w:rPr>
          <w:lang w:val="it-IT"/>
        </w:rPr>
      </w:pPr>
    </w:p>
    <w:p w14:paraId="1217807F" w14:textId="77777777" w:rsidR="001E1FA1" w:rsidRDefault="001E1FA1" w:rsidP="009139F6">
      <w:pPr>
        <w:tabs>
          <w:tab w:val="left" w:pos="3840"/>
          <w:tab w:val="center" w:pos="4680"/>
        </w:tabs>
        <w:spacing w:after="0"/>
        <w:rPr>
          <w:lang w:val="it-IT"/>
        </w:rPr>
      </w:pPr>
    </w:p>
    <w:p w14:paraId="50647B8C" w14:textId="65553D24" w:rsidR="007B12D1" w:rsidRPr="009139F6" w:rsidRDefault="009139F6" w:rsidP="009139F6">
      <w:pPr>
        <w:tabs>
          <w:tab w:val="left" w:pos="3840"/>
          <w:tab w:val="center" w:pos="4680"/>
        </w:tabs>
        <w:spacing w:after="0"/>
        <w:rPr>
          <w:lang w:val="it-IT"/>
        </w:rPr>
      </w:pPr>
      <w:r>
        <w:rPr>
          <w:lang w:val="it-IT"/>
        </w:rPr>
        <w:tab/>
      </w:r>
      <w:r>
        <w:rPr>
          <w:lang w:val="it-IT"/>
        </w:rPr>
        <w:tab/>
      </w:r>
    </w:p>
    <w:p w14:paraId="5ABA991A" w14:textId="2240B66D" w:rsidR="007472E9" w:rsidRDefault="007472E9" w:rsidP="007472E9">
      <w:pPr>
        <w:pStyle w:val="Heading1"/>
        <w:numPr>
          <w:ilvl w:val="0"/>
          <w:numId w:val="0"/>
        </w:numPr>
        <w:ind w:left="360"/>
      </w:pPr>
      <w:bookmarkStart w:id="1" w:name="_Toc166245687"/>
      <w:r>
        <w:lastRenderedPageBreak/>
        <w:t>Standard Operating Procedures for</w:t>
      </w:r>
      <w:r w:rsidR="008238DB">
        <w:br/>
      </w:r>
      <w:r>
        <w:t>Management of Comorbidities</w:t>
      </w:r>
      <w:bookmarkEnd w:id="1"/>
    </w:p>
    <w:p w14:paraId="43905B8D" w14:textId="77777777" w:rsidR="007B12D1" w:rsidRDefault="0DAA7A45" w:rsidP="007472E9">
      <w:pPr>
        <w:pStyle w:val="Heading2"/>
      </w:pPr>
      <w:bookmarkStart w:id="2" w:name="_Toc166245688"/>
      <w:r>
        <w:t>PURPOSE</w:t>
      </w:r>
      <w:bookmarkEnd w:id="2"/>
      <w:r>
        <w:t xml:space="preserve"> </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45"/>
      </w:tblGrid>
      <w:tr w:rsidR="007B12D1" w14:paraId="0885BE97" w14:textId="77777777" w:rsidTr="00F77108">
        <w:tc>
          <w:tcPr>
            <w:tcW w:w="9445" w:type="dxa"/>
          </w:tcPr>
          <w:p w14:paraId="141519A6" w14:textId="58C6EA3F" w:rsidR="00001BF3" w:rsidRDefault="00CA36A2" w:rsidP="00990C17">
            <w:pPr>
              <w:spacing w:before="120"/>
              <w:jc w:val="both"/>
            </w:pPr>
            <w:r>
              <w:t>This standard operati</w:t>
            </w:r>
            <w:r w:rsidR="007472E9">
              <w:t>ng</w:t>
            </w:r>
            <w:r>
              <w:t xml:space="preserve"> procedure (SOP)</w:t>
            </w:r>
            <w:r w:rsidR="00347CD3">
              <w:t xml:space="preserve"> describes the </w:t>
            </w:r>
            <w:r w:rsidR="00990C17">
              <w:t>management of</w:t>
            </w:r>
            <w:r w:rsidR="00E901BC">
              <w:t xml:space="preserve"> </w:t>
            </w:r>
            <w:r w:rsidR="00990C17">
              <w:t xml:space="preserve">co-morbidities in </w:t>
            </w:r>
            <w:r w:rsidR="004C0532">
              <w:t xml:space="preserve">the </w:t>
            </w:r>
            <w:r w:rsidR="00E901BC">
              <w:t xml:space="preserve">endTB </w:t>
            </w:r>
            <w:r w:rsidR="002F6C4C">
              <w:t xml:space="preserve">clinical </w:t>
            </w:r>
            <w:r w:rsidR="00E901BC">
              <w:t>trial</w:t>
            </w:r>
            <w:r w:rsidR="00B8048C">
              <w:t>s</w:t>
            </w:r>
            <w:r w:rsidR="00E901BC">
              <w:t>.</w:t>
            </w:r>
            <w:r w:rsidR="00001BF3">
              <w:t xml:space="preserve"> </w:t>
            </w:r>
          </w:p>
        </w:tc>
      </w:tr>
    </w:tbl>
    <w:p w14:paraId="0DED4CB3" w14:textId="77777777" w:rsidR="007B12D1" w:rsidRDefault="0DAA7A45" w:rsidP="007472E9">
      <w:pPr>
        <w:pStyle w:val="Heading2"/>
      </w:pPr>
      <w:bookmarkStart w:id="3" w:name="_Toc166245689"/>
      <w:r>
        <w:t>SCOPE</w:t>
      </w:r>
      <w:bookmarkEnd w:id="3"/>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45"/>
      </w:tblGrid>
      <w:tr w:rsidR="007B12D1" w14:paraId="66B2BF94" w14:textId="77777777" w:rsidTr="00F77108">
        <w:trPr>
          <w:trHeight w:val="3059"/>
        </w:trPr>
        <w:tc>
          <w:tcPr>
            <w:tcW w:w="9445" w:type="dxa"/>
          </w:tcPr>
          <w:p w14:paraId="63A41816" w14:textId="38796359" w:rsidR="00990C17" w:rsidRDefault="00721718" w:rsidP="006E4DE8">
            <w:pPr>
              <w:spacing w:after="0" w:line="240" w:lineRule="auto"/>
              <w:contextualSpacing/>
              <w:jc w:val="both"/>
            </w:pPr>
            <w:r>
              <w:t xml:space="preserve">This SOP applies to the activities at sites monitored by </w:t>
            </w:r>
            <w:r w:rsidR="007472E9">
              <w:t xml:space="preserve">the </w:t>
            </w:r>
            <w:r>
              <w:t>endTB clinical trial</w:t>
            </w:r>
            <w:r w:rsidR="00A648CA">
              <w:t>s</w:t>
            </w:r>
            <w:r>
              <w:t xml:space="preserve"> </w:t>
            </w:r>
            <w:r w:rsidR="004C0532">
              <w:t>for both the experimental and</w:t>
            </w:r>
            <w:r w:rsidR="00E901BC">
              <w:t xml:space="preserve"> control arm</w:t>
            </w:r>
            <w:r w:rsidR="004C0532">
              <w:t>s</w:t>
            </w:r>
            <w:r w:rsidR="00E901BC">
              <w:t xml:space="preserve">. </w:t>
            </w:r>
            <w:r w:rsidR="004C0532">
              <w:t>The specific co-morbidities covered in this SOP are</w:t>
            </w:r>
            <w:r w:rsidR="00990C17">
              <w:t>:</w:t>
            </w:r>
          </w:p>
          <w:p w14:paraId="293CF283" w14:textId="77777777" w:rsidR="00990C17" w:rsidRDefault="00990C17" w:rsidP="006E4DE8">
            <w:pPr>
              <w:pStyle w:val="ListParagraph"/>
              <w:numPr>
                <w:ilvl w:val="0"/>
                <w:numId w:val="41"/>
              </w:numPr>
              <w:spacing w:after="0" w:line="240" w:lineRule="auto"/>
              <w:jc w:val="both"/>
            </w:pPr>
            <w:r>
              <w:t>HIV disease</w:t>
            </w:r>
          </w:p>
          <w:p w14:paraId="2230625C" w14:textId="77777777" w:rsidR="00990C17" w:rsidRDefault="00990C17" w:rsidP="006E4DE8">
            <w:pPr>
              <w:pStyle w:val="ListParagraph"/>
              <w:numPr>
                <w:ilvl w:val="0"/>
                <w:numId w:val="41"/>
              </w:numPr>
              <w:spacing w:after="0" w:line="240" w:lineRule="auto"/>
              <w:jc w:val="both"/>
            </w:pPr>
            <w:r>
              <w:t>Diabetes</w:t>
            </w:r>
          </w:p>
          <w:p w14:paraId="353A23F0" w14:textId="77777777" w:rsidR="00990C17" w:rsidRDefault="00990C17" w:rsidP="006E4DE8">
            <w:pPr>
              <w:pStyle w:val="ListParagraph"/>
              <w:numPr>
                <w:ilvl w:val="0"/>
                <w:numId w:val="41"/>
              </w:numPr>
              <w:spacing w:after="0" w:line="240" w:lineRule="auto"/>
              <w:jc w:val="both"/>
            </w:pPr>
            <w:r>
              <w:rPr>
                <w:lang w:val="en-CA"/>
              </w:rPr>
              <w:t>Cardiovascular disease</w:t>
            </w:r>
          </w:p>
          <w:p w14:paraId="128170BA" w14:textId="77777777" w:rsidR="00990C17" w:rsidRPr="000071EC" w:rsidRDefault="00990C17" w:rsidP="006E4DE8">
            <w:pPr>
              <w:pStyle w:val="ListParagraph"/>
              <w:numPr>
                <w:ilvl w:val="0"/>
                <w:numId w:val="41"/>
              </w:numPr>
              <w:spacing w:after="0" w:line="240" w:lineRule="auto"/>
              <w:jc w:val="both"/>
            </w:pPr>
            <w:r>
              <w:rPr>
                <w:lang w:val="en-CA"/>
              </w:rPr>
              <w:t>Psychiatric disorders including depression</w:t>
            </w:r>
          </w:p>
          <w:p w14:paraId="0ACE4E70" w14:textId="77777777" w:rsidR="00990C17" w:rsidRPr="000071EC" w:rsidRDefault="00990C17" w:rsidP="006E4DE8">
            <w:pPr>
              <w:pStyle w:val="ListParagraph"/>
              <w:numPr>
                <w:ilvl w:val="0"/>
                <w:numId w:val="41"/>
              </w:numPr>
              <w:spacing w:after="0" w:line="240" w:lineRule="auto"/>
              <w:jc w:val="both"/>
            </w:pPr>
            <w:r>
              <w:rPr>
                <w:lang w:val="en-CA"/>
              </w:rPr>
              <w:t>Substance dependence</w:t>
            </w:r>
          </w:p>
          <w:p w14:paraId="27A3E160" w14:textId="77777777" w:rsidR="00990C17" w:rsidRPr="000071EC" w:rsidRDefault="00990C17" w:rsidP="00F77108">
            <w:pPr>
              <w:pStyle w:val="ListParagraph"/>
              <w:numPr>
                <w:ilvl w:val="0"/>
                <w:numId w:val="41"/>
              </w:numPr>
              <w:jc w:val="both"/>
            </w:pPr>
            <w:r>
              <w:t>Seizure disorder</w:t>
            </w:r>
          </w:p>
          <w:p w14:paraId="5509ECAD" w14:textId="77777777" w:rsidR="00990C17" w:rsidRPr="00001BF3" w:rsidRDefault="00990C17" w:rsidP="00F77108">
            <w:pPr>
              <w:pStyle w:val="ListParagraph"/>
              <w:numPr>
                <w:ilvl w:val="0"/>
                <w:numId w:val="41"/>
              </w:numPr>
              <w:jc w:val="both"/>
            </w:pPr>
            <w:r>
              <w:rPr>
                <w:lang w:val="en-CA"/>
              </w:rPr>
              <w:t>Hepatitis B and C</w:t>
            </w:r>
          </w:p>
          <w:p w14:paraId="78C989A7" w14:textId="77777777" w:rsidR="008B6323" w:rsidRPr="00721718" w:rsidRDefault="00990C17" w:rsidP="00F77108">
            <w:pPr>
              <w:pStyle w:val="ListParagraph"/>
              <w:numPr>
                <w:ilvl w:val="0"/>
                <w:numId w:val="41"/>
              </w:numPr>
              <w:jc w:val="both"/>
            </w:pPr>
            <w:r>
              <w:rPr>
                <w:lang w:val="en-CA"/>
              </w:rPr>
              <w:t>Renal insufficiency</w:t>
            </w:r>
          </w:p>
        </w:tc>
      </w:tr>
    </w:tbl>
    <w:p w14:paraId="726C90F7" w14:textId="77777777" w:rsidR="007B12D1" w:rsidRDefault="0DAA7A45" w:rsidP="007472E9">
      <w:pPr>
        <w:pStyle w:val="Heading2"/>
      </w:pPr>
      <w:bookmarkStart w:id="4" w:name="_Toc166245690"/>
      <w:r>
        <w:t>RESPONSIBLE FUNCTIONS</w:t>
      </w:r>
      <w:bookmarkEnd w:id="4"/>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218"/>
      </w:tblGrid>
      <w:tr w:rsidR="00996269" w:rsidRPr="00B11660" w14:paraId="7FFB902F" w14:textId="77777777" w:rsidTr="008830B9">
        <w:trPr>
          <w:trHeight w:val="70"/>
        </w:trPr>
        <w:tc>
          <w:tcPr>
            <w:tcW w:w="1473" w:type="pct"/>
            <w:shd w:val="clear" w:color="auto" w:fill="F2F2F2"/>
            <w:vAlign w:val="center"/>
          </w:tcPr>
          <w:p w14:paraId="4A024BC4" w14:textId="77777777" w:rsidR="001475C4" w:rsidRPr="008830B9" w:rsidRDefault="00A162BF" w:rsidP="008830B9">
            <w:pPr>
              <w:pStyle w:val="ListNumber"/>
              <w:numPr>
                <w:ilvl w:val="0"/>
                <w:numId w:val="0"/>
              </w:numPr>
              <w:spacing w:after="0"/>
              <w:ind w:left="360"/>
              <w:rPr>
                <w:b/>
              </w:rPr>
            </w:pPr>
            <w:r w:rsidRPr="008830B9">
              <w:rPr>
                <w:b/>
              </w:rPr>
              <w:t>Function</w:t>
            </w:r>
          </w:p>
        </w:tc>
        <w:tc>
          <w:tcPr>
            <w:tcW w:w="3527" w:type="pct"/>
            <w:shd w:val="clear" w:color="auto" w:fill="F2F2F2"/>
            <w:vAlign w:val="center"/>
          </w:tcPr>
          <w:p w14:paraId="552177BE" w14:textId="77777777" w:rsidR="00996269" w:rsidRPr="00B11660" w:rsidRDefault="00996269" w:rsidP="00FD0EC1">
            <w:pPr>
              <w:spacing w:before="80" w:after="80"/>
              <w:rPr>
                <w:rFonts w:asciiTheme="minorHAnsi" w:hAnsiTheme="minorHAnsi" w:cs="Arial"/>
                <w:b/>
              </w:rPr>
            </w:pPr>
            <w:r w:rsidRPr="00B11660">
              <w:rPr>
                <w:rFonts w:asciiTheme="minorHAnsi" w:hAnsiTheme="minorHAnsi" w:cs="Arial"/>
                <w:b/>
              </w:rPr>
              <w:t>Activities</w:t>
            </w:r>
          </w:p>
        </w:tc>
      </w:tr>
      <w:tr w:rsidR="00996269" w:rsidRPr="00B11660" w14:paraId="0C533F27" w14:textId="77777777" w:rsidTr="00F77108">
        <w:trPr>
          <w:trHeight w:val="503"/>
        </w:trPr>
        <w:tc>
          <w:tcPr>
            <w:tcW w:w="1473" w:type="pct"/>
            <w:shd w:val="clear" w:color="auto" w:fill="auto"/>
          </w:tcPr>
          <w:p w14:paraId="70D744F2" w14:textId="281AE5DB" w:rsidR="00996269" w:rsidRPr="00B11660" w:rsidRDefault="00996269" w:rsidP="00FD0EC1">
            <w:pPr>
              <w:spacing w:before="80" w:after="80"/>
              <w:rPr>
                <w:rFonts w:asciiTheme="minorHAnsi" w:hAnsiTheme="minorHAnsi" w:cs="Arial"/>
                <w:b/>
              </w:rPr>
            </w:pPr>
            <w:r w:rsidRPr="00B11660">
              <w:rPr>
                <w:rFonts w:asciiTheme="minorHAnsi" w:hAnsiTheme="minorHAnsi" w:cs="Arial"/>
                <w:b/>
              </w:rPr>
              <w:t xml:space="preserve">Site </w:t>
            </w:r>
            <w:r w:rsidR="00B8048C">
              <w:rPr>
                <w:rFonts w:asciiTheme="minorHAnsi" w:hAnsiTheme="minorHAnsi" w:cs="Arial"/>
                <w:b/>
              </w:rPr>
              <w:t>P</w:t>
            </w:r>
            <w:r w:rsidRPr="00B11660">
              <w:rPr>
                <w:rFonts w:asciiTheme="minorHAnsi" w:hAnsiTheme="minorHAnsi" w:cs="Arial"/>
                <w:b/>
              </w:rPr>
              <w:t xml:space="preserve">rincipal </w:t>
            </w:r>
            <w:r w:rsidR="00B8048C">
              <w:rPr>
                <w:rFonts w:asciiTheme="minorHAnsi" w:hAnsiTheme="minorHAnsi" w:cs="Arial"/>
                <w:b/>
              </w:rPr>
              <w:t>I</w:t>
            </w:r>
            <w:r w:rsidRPr="00B11660">
              <w:rPr>
                <w:rFonts w:asciiTheme="minorHAnsi" w:hAnsiTheme="minorHAnsi" w:cs="Arial"/>
                <w:b/>
              </w:rPr>
              <w:t>nvestigator</w:t>
            </w:r>
            <w:r w:rsidR="002A6E48">
              <w:rPr>
                <w:rFonts w:asciiTheme="minorHAnsi" w:hAnsiTheme="minorHAnsi" w:cs="Arial"/>
                <w:b/>
              </w:rPr>
              <w:t xml:space="preserve"> (Site PI)</w:t>
            </w:r>
          </w:p>
        </w:tc>
        <w:tc>
          <w:tcPr>
            <w:tcW w:w="3527" w:type="pct"/>
            <w:shd w:val="clear" w:color="auto" w:fill="auto"/>
            <w:vAlign w:val="center"/>
          </w:tcPr>
          <w:p w14:paraId="0D7CEB15" w14:textId="6D5D7C21" w:rsidR="00996269" w:rsidRPr="00F77108" w:rsidRDefault="00192D6A" w:rsidP="00F77108">
            <w:pPr>
              <w:pStyle w:val="ListParagraph"/>
              <w:numPr>
                <w:ilvl w:val="0"/>
                <w:numId w:val="45"/>
              </w:numPr>
              <w:spacing w:before="80" w:after="80" w:line="240" w:lineRule="auto"/>
              <w:jc w:val="both"/>
              <w:rPr>
                <w:rFonts w:asciiTheme="minorHAnsi" w:hAnsiTheme="minorHAnsi" w:cs="Arial"/>
              </w:rPr>
            </w:pPr>
            <w:r w:rsidRPr="00F77108">
              <w:rPr>
                <w:rFonts w:asciiTheme="minorHAnsi" w:hAnsiTheme="minorHAnsi" w:cs="Arial"/>
              </w:rPr>
              <w:t>Advise</w:t>
            </w:r>
            <w:r w:rsidR="008238DB">
              <w:rPr>
                <w:rFonts w:asciiTheme="minorHAnsi" w:hAnsiTheme="minorHAnsi" w:cs="Arial"/>
              </w:rPr>
              <w:t>s</w:t>
            </w:r>
            <w:r w:rsidR="00996269" w:rsidRPr="00F77108">
              <w:rPr>
                <w:rFonts w:asciiTheme="minorHAnsi" w:hAnsiTheme="minorHAnsi" w:cs="Arial"/>
              </w:rPr>
              <w:t xml:space="preserve"> the </w:t>
            </w:r>
            <w:r w:rsidR="00CD179C">
              <w:rPr>
                <w:rFonts w:asciiTheme="minorHAnsi" w:hAnsiTheme="minorHAnsi" w:cs="Arial"/>
              </w:rPr>
              <w:t>S</w:t>
            </w:r>
            <w:r w:rsidR="00996269" w:rsidRPr="00F77108">
              <w:rPr>
                <w:rFonts w:asciiTheme="minorHAnsi" w:hAnsiTheme="minorHAnsi" w:cs="Arial"/>
              </w:rPr>
              <w:t xml:space="preserve">ite </w:t>
            </w:r>
            <w:r w:rsidR="00CD179C">
              <w:rPr>
                <w:rFonts w:asciiTheme="minorHAnsi" w:hAnsiTheme="minorHAnsi" w:cs="Arial"/>
              </w:rPr>
              <w:t>C</w:t>
            </w:r>
            <w:r w:rsidR="00B365E7">
              <w:rPr>
                <w:rFonts w:asciiTheme="minorHAnsi" w:hAnsiTheme="minorHAnsi" w:cs="Arial"/>
              </w:rPr>
              <w:t>o</w:t>
            </w:r>
            <w:r w:rsidR="00996269" w:rsidRPr="00F77108">
              <w:rPr>
                <w:rFonts w:asciiTheme="minorHAnsi" w:hAnsiTheme="minorHAnsi" w:cs="Arial"/>
              </w:rPr>
              <w:t xml:space="preserve"> </w:t>
            </w:r>
            <w:r w:rsidR="00CD179C">
              <w:rPr>
                <w:rFonts w:asciiTheme="minorHAnsi" w:hAnsiTheme="minorHAnsi" w:cs="Arial"/>
              </w:rPr>
              <w:t>I</w:t>
            </w:r>
            <w:r w:rsidR="00996269" w:rsidRPr="00F77108">
              <w:rPr>
                <w:rFonts w:asciiTheme="minorHAnsi" w:hAnsiTheme="minorHAnsi" w:cs="Arial"/>
              </w:rPr>
              <w:t xml:space="preserve">nvestigator </w:t>
            </w:r>
            <w:r w:rsidR="00B365E7">
              <w:rPr>
                <w:rFonts w:asciiTheme="minorHAnsi" w:hAnsiTheme="minorHAnsi" w:cs="Arial"/>
              </w:rPr>
              <w:t xml:space="preserve">(Site CI) </w:t>
            </w:r>
            <w:r w:rsidR="00E3282D" w:rsidRPr="00F77108">
              <w:rPr>
                <w:rFonts w:asciiTheme="minorHAnsi" w:hAnsiTheme="minorHAnsi" w:cs="Arial"/>
              </w:rPr>
              <w:t>on</w:t>
            </w:r>
            <w:r w:rsidRPr="00F77108">
              <w:rPr>
                <w:rFonts w:asciiTheme="minorHAnsi" w:hAnsiTheme="minorHAnsi" w:cs="Arial"/>
              </w:rPr>
              <w:t xml:space="preserve"> </w:t>
            </w:r>
            <w:r w:rsidR="004C0532">
              <w:t>the management of co-morbidities</w:t>
            </w:r>
            <w:r w:rsidR="008238DB">
              <w:t>.</w:t>
            </w:r>
          </w:p>
        </w:tc>
      </w:tr>
      <w:tr w:rsidR="00996269" w:rsidRPr="00B11660" w14:paraId="4FE8DF43" w14:textId="77777777" w:rsidTr="00F77108">
        <w:tc>
          <w:tcPr>
            <w:tcW w:w="1473" w:type="pct"/>
            <w:shd w:val="clear" w:color="auto" w:fill="auto"/>
          </w:tcPr>
          <w:p w14:paraId="70AA6952" w14:textId="6B15E958" w:rsidR="00996269" w:rsidRPr="00B11660" w:rsidRDefault="00B365E7" w:rsidP="00FD0EC1">
            <w:pPr>
              <w:spacing w:before="80" w:after="80"/>
              <w:rPr>
                <w:rFonts w:asciiTheme="minorHAnsi" w:hAnsiTheme="minorHAnsi" w:cs="Arial"/>
                <w:b/>
              </w:rPr>
            </w:pPr>
            <w:r>
              <w:rPr>
                <w:rFonts w:asciiTheme="minorHAnsi" w:hAnsiTheme="minorHAnsi" w:cs="Arial"/>
                <w:b/>
              </w:rPr>
              <w:t>Site Principal Investigator (Site PI) and/or d</w:t>
            </w:r>
            <w:r w:rsidR="00B8048C">
              <w:rPr>
                <w:rFonts w:asciiTheme="minorHAnsi" w:hAnsiTheme="minorHAnsi" w:cs="Arial"/>
                <w:b/>
              </w:rPr>
              <w:t xml:space="preserve">elegated </w:t>
            </w:r>
            <w:r w:rsidR="00996269" w:rsidRPr="00B11660">
              <w:rPr>
                <w:rFonts w:asciiTheme="minorHAnsi" w:hAnsiTheme="minorHAnsi" w:cs="Arial"/>
                <w:b/>
              </w:rPr>
              <w:t xml:space="preserve">Site </w:t>
            </w:r>
            <w:r>
              <w:rPr>
                <w:rFonts w:asciiTheme="minorHAnsi" w:hAnsiTheme="minorHAnsi" w:cs="Arial"/>
                <w:b/>
              </w:rPr>
              <w:t>Co</w:t>
            </w:r>
            <w:r w:rsidR="00CD179C">
              <w:rPr>
                <w:rFonts w:asciiTheme="minorHAnsi" w:hAnsiTheme="minorHAnsi" w:cs="Arial"/>
                <w:b/>
              </w:rPr>
              <w:t xml:space="preserve"> </w:t>
            </w:r>
            <w:r>
              <w:rPr>
                <w:rFonts w:asciiTheme="minorHAnsi" w:hAnsiTheme="minorHAnsi" w:cs="Arial"/>
                <w:b/>
              </w:rPr>
              <w:t>I</w:t>
            </w:r>
            <w:r w:rsidR="00996269" w:rsidRPr="00B11660">
              <w:rPr>
                <w:rFonts w:asciiTheme="minorHAnsi" w:hAnsiTheme="minorHAnsi" w:cs="Arial"/>
                <w:b/>
              </w:rPr>
              <w:t>nvestigator</w:t>
            </w:r>
            <w:r w:rsidR="00CD179C">
              <w:rPr>
                <w:rFonts w:asciiTheme="minorHAnsi" w:hAnsiTheme="minorHAnsi" w:cs="Arial"/>
                <w:b/>
              </w:rPr>
              <w:t xml:space="preserve"> (Site CI)</w:t>
            </w:r>
          </w:p>
        </w:tc>
        <w:tc>
          <w:tcPr>
            <w:tcW w:w="3527" w:type="pct"/>
            <w:shd w:val="clear" w:color="auto" w:fill="auto"/>
            <w:vAlign w:val="center"/>
          </w:tcPr>
          <w:p w14:paraId="54976ACB" w14:textId="77777777" w:rsidR="00996269" w:rsidRPr="004C0532" w:rsidRDefault="00EE3175" w:rsidP="00F77108">
            <w:pPr>
              <w:pStyle w:val="ListParagraph"/>
              <w:numPr>
                <w:ilvl w:val="0"/>
                <w:numId w:val="45"/>
              </w:numPr>
              <w:spacing w:before="80" w:after="80" w:line="240" w:lineRule="auto"/>
              <w:jc w:val="both"/>
            </w:pPr>
            <w:r>
              <w:t>Oversee</w:t>
            </w:r>
            <w:r w:rsidR="00FE035B">
              <w:t>s</w:t>
            </w:r>
            <w:r>
              <w:t xml:space="preserve"> that the management of</w:t>
            </w:r>
            <w:r w:rsidR="004C0532">
              <w:t xml:space="preserve"> co-morbidities is pe</w:t>
            </w:r>
            <w:r w:rsidR="00C40E64">
              <w:t>r</w:t>
            </w:r>
            <w:r w:rsidR="004C0532">
              <w:t>formed within the standard of medical care.</w:t>
            </w:r>
          </w:p>
        </w:tc>
      </w:tr>
    </w:tbl>
    <w:p w14:paraId="64C7B518" w14:textId="77777777" w:rsidR="007B12D1" w:rsidRDefault="0DAA7A45" w:rsidP="007472E9">
      <w:pPr>
        <w:pStyle w:val="Heading2"/>
      </w:pPr>
      <w:bookmarkStart w:id="5" w:name="_Toc166245691"/>
      <w:r>
        <w:t>DEFINITIONS and ABBREVIATIONS</w:t>
      </w:r>
      <w:bookmarkEnd w:id="5"/>
    </w:p>
    <w:p w14:paraId="5C7B519A" w14:textId="77777777" w:rsidR="00FD0EC1" w:rsidRDefault="00FD0EC1" w:rsidP="00F77108">
      <w:pPr>
        <w:pStyle w:val="ListNumber"/>
        <w:numPr>
          <w:ilvl w:val="0"/>
          <w:numId w:val="0"/>
        </w:numPr>
        <w:jc w:val="both"/>
        <w:rPr>
          <w:highlight w:val="white"/>
        </w:rPr>
      </w:pPr>
      <w:r>
        <w:rPr>
          <w:b/>
        </w:rPr>
        <w:t xml:space="preserve">Clinical Advisory Committee (CAC): </w:t>
      </w:r>
      <w:r w:rsidRPr="00761B04">
        <w:rPr>
          <w:highlight w:val="white"/>
        </w:rPr>
        <w:t>The CAC is composed of both internal and external clinical experts representing various disciplines and specialties. It serves as an advisory body to endTB site investigators by providing consultation regarding subject eligibility, case management, medical monitoring, and permanent treatment discontinuati</w:t>
      </w:r>
      <w:r>
        <w:rPr>
          <w:highlight w:val="white"/>
        </w:rPr>
        <w:t>on.</w:t>
      </w:r>
    </w:p>
    <w:p w14:paraId="01F672C4" w14:textId="77777777" w:rsidR="00FD0EC1" w:rsidRDefault="00FD0EC1" w:rsidP="00F77108">
      <w:pPr>
        <w:pStyle w:val="ListNumber"/>
        <w:numPr>
          <w:ilvl w:val="0"/>
          <w:numId w:val="0"/>
        </w:numPr>
        <w:jc w:val="both"/>
        <w:rPr>
          <w:highlight w:val="white"/>
        </w:rPr>
      </w:pPr>
    </w:p>
    <w:p w14:paraId="669D794E" w14:textId="77777777" w:rsidR="0031267A" w:rsidRDefault="00FD0EC1" w:rsidP="00F77108">
      <w:pPr>
        <w:pStyle w:val="ListNumber"/>
        <w:numPr>
          <w:ilvl w:val="0"/>
          <w:numId w:val="0"/>
        </w:numPr>
        <w:jc w:val="both"/>
      </w:pPr>
      <w:r>
        <w:rPr>
          <w:highlight w:val="white"/>
        </w:rPr>
        <w:t>A</w:t>
      </w:r>
      <w:r w:rsidR="00990C17">
        <w:t>bbreviations are provided in the text in Section 5 as they are introduced.</w:t>
      </w:r>
    </w:p>
    <w:p w14:paraId="424396B4" w14:textId="77777777" w:rsidR="00744B79" w:rsidRPr="00744B79" w:rsidRDefault="0DAA7A45" w:rsidP="00F77108">
      <w:pPr>
        <w:pStyle w:val="Heading2"/>
        <w:jc w:val="both"/>
      </w:pPr>
      <w:bookmarkStart w:id="6" w:name="_Toc166245692"/>
      <w:r>
        <w:lastRenderedPageBreak/>
        <w:t>PROCEDURE</w:t>
      </w:r>
      <w:bookmarkEnd w:id="6"/>
    </w:p>
    <w:p w14:paraId="35F9616A" w14:textId="77777777" w:rsidR="007B12D1" w:rsidRPr="00990C17" w:rsidRDefault="0DAA7A45" w:rsidP="00F77108">
      <w:pPr>
        <w:pStyle w:val="Heading3"/>
        <w:jc w:val="both"/>
        <w:rPr>
          <w:lang w:val="en-CA"/>
        </w:rPr>
      </w:pPr>
      <w:bookmarkStart w:id="7" w:name="_Toc166245693"/>
      <w:r w:rsidRPr="0DAA7A45">
        <w:rPr>
          <w:lang w:val="en-CA"/>
        </w:rPr>
        <w:t>Management of HIV infection</w:t>
      </w:r>
      <w:bookmarkEnd w:id="7"/>
    </w:p>
    <w:p w14:paraId="3B1AFA2C" w14:textId="5F76E9FA" w:rsidR="0097796B" w:rsidRPr="00990C17" w:rsidRDefault="0031267A" w:rsidP="00F77108">
      <w:pPr>
        <w:widowControl w:val="0"/>
        <w:autoSpaceDE w:val="0"/>
        <w:autoSpaceDN w:val="0"/>
        <w:adjustRightInd w:val="0"/>
        <w:spacing w:after="240" w:line="340" w:lineRule="atLeast"/>
        <w:jc w:val="both"/>
        <w:rPr>
          <w:rFonts w:asciiTheme="minorHAnsi" w:hAnsiTheme="minorHAnsi"/>
          <w:lang w:val="en-CA"/>
        </w:rPr>
      </w:pPr>
      <w:r w:rsidRPr="00990C17">
        <w:rPr>
          <w:rFonts w:asciiTheme="minorHAnsi" w:hAnsiTheme="minorHAnsi"/>
          <w:lang w:val="en-CA"/>
        </w:rPr>
        <w:t>HIV-co</w:t>
      </w:r>
      <w:r w:rsidR="002A6E48">
        <w:rPr>
          <w:rFonts w:asciiTheme="minorHAnsi" w:hAnsiTheme="minorHAnsi"/>
          <w:lang w:val="en-CA"/>
        </w:rPr>
        <w:t>i</w:t>
      </w:r>
      <w:r w:rsidRPr="00990C17">
        <w:rPr>
          <w:rFonts w:asciiTheme="minorHAnsi" w:hAnsiTheme="minorHAnsi"/>
          <w:lang w:val="en-CA"/>
        </w:rPr>
        <w:t>nfected patients represent a population with special risks, in particular the risk of interactions</w:t>
      </w:r>
      <w:r w:rsidR="00191D87" w:rsidRPr="00990C17">
        <w:rPr>
          <w:rFonts w:asciiTheme="minorHAnsi" w:hAnsiTheme="minorHAnsi"/>
          <w:lang w:val="en-CA"/>
        </w:rPr>
        <w:t xml:space="preserve"> </w:t>
      </w:r>
      <w:r w:rsidR="00491DB3">
        <w:rPr>
          <w:rFonts w:asciiTheme="minorHAnsi" w:hAnsiTheme="minorHAnsi"/>
          <w:lang w:val="en-CA"/>
        </w:rPr>
        <w:t xml:space="preserve">and shared toxicities </w:t>
      </w:r>
      <w:r w:rsidR="00191D87" w:rsidRPr="00990C17">
        <w:rPr>
          <w:rFonts w:asciiTheme="minorHAnsi" w:hAnsiTheme="minorHAnsi"/>
          <w:lang w:val="en-CA"/>
        </w:rPr>
        <w:t>between antiretrovirals and</w:t>
      </w:r>
      <w:r w:rsidRPr="00990C17">
        <w:rPr>
          <w:rFonts w:asciiTheme="minorHAnsi" w:hAnsiTheme="minorHAnsi"/>
          <w:lang w:val="en-CA"/>
        </w:rPr>
        <w:t xml:space="preserve"> TB drugs. The use of lopinavir and ritonavir (a CYP3A4 inhibitor) was shown to increase the exposure to </w:t>
      </w:r>
      <w:proofErr w:type="spellStart"/>
      <w:r w:rsidRPr="00990C17">
        <w:rPr>
          <w:rFonts w:asciiTheme="minorHAnsi" w:hAnsiTheme="minorHAnsi"/>
          <w:lang w:val="en-CA"/>
        </w:rPr>
        <w:t>bedaquiline</w:t>
      </w:r>
      <w:proofErr w:type="spellEnd"/>
      <w:r w:rsidRPr="00F96314">
        <w:rPr>
          <w:rFonts w:asciiTheme="minorHAnsi" w:hAnsiTheme="minorHAnsi"/>
          <w:lang w:val="en-CA"/>
        </w:rPr>
        <w:t>. The co-administration of these drugs will therefore be contraindicated. In addition, the use of e</w:t>
      </w:r>
      <w:r w:rsidRPr="00990C17">
        <w:rPr>
          <w:rFonts w:asciiTheme="minorHAnsi" w:hAnsiTheme="minorHAnsi"/>
          <w:lang w:val="en-CA"/>
        </w:rPr>
        <w:t xml:space="preserve">favirenz (a CYP3A4 inducer) in </w:t>
      </w:r>
      <w:proofErr w:type="spellStart"/>
      <w:r w:rsidRPr="00990C17">
        <w:rPr>
          <w:rFonts w:asciiTheme="minorHAnsi" w:hAnsiTheme="minorHAnsi"/>
          <w:lang w:val="en-CA"/>
        </w:rPr>
        <w:t>bedaquiline</w:t>
      </w:r>
      <w:proofErr w:type="spellEnd"/>
      <w:r w:rsidRPr="00990C17">
        <w:rPr>
          <w:rFonts w:asciiTheme="minorHAnsi" w:hAnsiTheme="minorHAnsi"/>
          <w:lang w:val="en-CA"/>
        </w:rPr>
        <w:t>-containing</w:t>
      </w:r>
      <w:r w:rsidR="00D501D6" w:rsidRPr="00990C17">
        <w:rPr>
          <w:rFonts w:asciiTheme="minorHAnsi" w:hAnsiTheme="minorHAnsi"/>
          <w:lang w:val="en-CA"/>
        </w:rPr>
        <w:t xml:space="preserve"> arms will be disallowed.</w:t>
      </w:r>
      <w:r w:rsidRPr="00990C17">
        <w:rPr>
          <w:rFonts w:asciiTheme="minorHAnsi" w:hAnsiTheme="minorHAnsi"/>
          <w:lang w:val="en-CA"/>
        </w:rPr>
        <w:t xml:space="preserve"> </w:t>
      </w:r>
      <w:r w:rsidR="00025EC0" w:rsidRPr="00990C17">
        <w:rPr>
          <w:rFonts w:asciiTheme="minorHAnsi" w:hAnsiTheme="minorHAnsi"/>
          <w:lang w:val="en-CA"/>
        </w:rPr>
        <w:t xml:space="preserve">Table 1 summarizes the antiretroviral drugs that are </w:t>
      </w:r>
      <w:r w:rsidR="00EE3175" w:rsidRPr="00990C17">
        <w:rPr>
          <w:rFonts w:asciiTheme="minorHAnsi" w:hAnsiTheme="minorHAnsi"/>
          <w:lang w:val="en-CA"/>
        </w:rPr>
        <w:t>allowed and disallowed.</w:t>
      </w:r>
    </w:p>
    <w:p w14:paraId="14FC3B96" w14:textId="362BD79C" w:rsidR="00EE3175" w:rsidRPr="007472E9" w:rsidRDefault="00EE3175" w:rsidP="007472E9">
      <w:pPr>
        <w:widowControl w:val="0"/>
        <w:autoSpaceDE w:val="0"/>
        <w:autoSpaceDN w:val="0"/>
        <w:adjustRightInd w:val="0"/>
        <w:spacing w:after="0" w:line="340" w:lineRule="atLeast"/>
        <w:rPr>
          <w:rFonts w:asciiTheme="minorHAnsi" w:hAnsiTheme="minorHAnsi"/>
          <w:b/>
          <w:lang w:val="en-CA"/>
        </w:rPr>
      </w:pPr>
      <w:r w:rsidRPr="007472E9">
        <w:rPr>
          <w:rFonts w:asciiTheme="minorHAnsi" w:hAnsiTheme="minorHAnsi"/>
          <w:b/>
          <w:lang w:val="en-CA"/>
        </w:rPr>
        <w:t>Table 1</w:t>
      </w:r>
      <w:r w:rsidR="00DD0504">
        <w:rPr>
          <w:rFonts w:asciiTheme="minorHAnsi" w:hAnsiTheme="minorHAnsi"/>
          <w:b/>
          <w:lang w:val="en-CA"/>
        </w:rPr>
        <w:t xml:space="preserve"> –</w:t>
      </w:r>
      <w:r w:rsidRPr="007472E9">
        <w:rPr>
          <w:rFonts w:asciiTheme="minorHAnsi" w:hAnsiTheme="minorHAnsi"/>
          <w:b/>
          <w:lang w:val="en-CA"/>
        </w:rPr>
        <w:t xml:space="preserve"> </w:t>
      </w:r>
      <w:r w:rsidR="006E4DE8" w:rsidRPr="006E4DE8">
        <w:rPr>
          <w:rFonts w:asciiTheme="minorHAnsi" w:hAnsiTheme="minorHAnsi"/>
          <w:b/>
          <w:lang w:val="en-CA"/>
        </w:rPr>
        <w:t xml:space="preserve">Antiretroviral therapy </w:t>
      </w:r>
      <w:r w:rsidR="006E4DE8">
        <w:rPr>
          <w:rFonts w:asciiTheme="minorHAnsi" w:hAnsiTheme="minorHAnsi"/>
          <w:b/>
          <w:lang w:val="en-CA"/>
        </w:rPr>
        <w:t>(</w:t>
      </w:r>
      <w:r w:rsidRPr="007472E9">
        <w:rPr>
          <w:rFonts w:asciiTheme="minorHAnsi" w:hAnsiTheme="minorHAnsi"/>
          <w:b/>
          <w:lang w:val="en-CA"/>
        </w:rPr>
        <w:t>ART</w:t>
      </w:r>
      <w:r w:rsidR="006E4DE8">
        <w:rPr>
          <w:rFonts w:asciiTheme="minorHAnsi" w:hAnsiTheme="minorHAnsi"/>
          <w:b/>
          <w:lang w:val="en-CA"/>
        </w:rPr>
        <w:t>)</w:t>
      </w:r>
      <w:r w:rsidRPr="007472E9">
        <w:rPr>
          <w:rFonts w:asciiTheme="minorHAnsi" w:hAnsiTheme="minorHAnsi"/>
          <w:b/>
          <w:lang w:val="en-CA"/>
        </w:rPr>
        <w:t xml:space="preserve"> allowed and disallowed in the endTB Clinical Trial</w:t>
      </w:r>
      <w:r w:rsidR="00EF09EF">
        <w:rPr>
          <w:rFonts w:asciiTheme="minorHAnsi" w:hAnsiTheme="minorHAnsi"/>
          <w:b/>
          <w:lang w:val="en-CA"/>
        </w:rPr>
        <w:t>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962"/>
        <w:gridCol w:w="1408"/>
        <w:gridCol w:w="3538"/>
      </w:tblGrid>
      <w:tr w:rsidR="00025EC0" w:rsidRPr="00990C17" w14:paraId="1D2EF3A3" w14:textId="77777777" w:rsidTr="00542B60">
        <w:trPr>
          <w:trHeight w:val="270"/>
          <w:jc w:val="center"/>
        </w:trPr>
        <w:tc>
          <w:tcPr>
            <w:tcW w:w="2248" w:type="dxa"/>
            <w:shd w:val="clear" w:color="auto" w:fill="365F91"/>
          </w:tcPr>
          <w:p w14:paraId="2B86958D" w14:textId="77777777" w:rsidR="00D501D6" w:rsidRPr="00990C17" w:rsidRDefault="00D501D6" w:rsidP="00F77108">
            <w:pPr>
              <w:spacing w:before="160" w:after="0" w:line="240" w:lineRule="auto"/>
              <w:rPr>
                <w:rFonts w:asciiTheme="minorHAnsi" w:eastAsia="Cambria" w:hAnsiTheme="minorHAnsi" w:cs="Arial"/>
                <w:b/>
                <w:color w:val="FFFFFF"/>
                <w:lang w:eastAsia="en-US"/>
              </w:rPr>
            </w:pPr>
            <w:r w:rsidRPr="00990C17">
              <w:rPr>
                <w:rFonts w:asciiTheme="minorHAnsi" w:eastAsia="Cambria" w:hAnsiTheme="minorHAnsi" w:cs="Arial"/>
                <w:b/>
                <w:color w:val="FFFFFF"/>
                <w:lang w:eastAsia="en-US"/>
              </w:rPr>
              <w:t>Drug Class</w:t>
            </w:r>
          </w:p>
        </w:tc>
        <w:tc>
          <w:tcPr>
            <w:tcW w:w="1962" w:type="dxa"/>
            <w:shd w:val="clear" w:color="auto" w:fill="365F91"/>
          </w:tcPr>
          <w:p w14:paraId="65241491" w14:textId="77777777" w:rsidR="00D501D6" w:rsidRPr="00990C17" w:rsidRDefault="00D501D6" w:rsidP="00F77108">
            <w:pPr>
              <w:spacing w:before="160" w:after="0" w:line="240" w:lineRule="auto"/>
              <w:rPr>
                <w:rFonts w:asciiTheme="minorHAnsi" w:eastAsia="Cambria" w:hAnsiTheme="minorHAnsi" w:cs="Arial"/>
                <w:b/>
                <w:color w:val="FFFFFF"/>
                <w:lang w:eastAsia="en-US"/>
              </w:rPr>
            </w:pPr>
            <w:r w:rsidRPr="00990C17">
              <w:rPr>
                <w:rFonts w:asciiTheme="minorHAnsi" w:eastAsia="Cambria" w:hAnsiTheme="minorHAnsi" w:cs="Arial"/>
                <w:b/>
                <w:color w:val="FFFFFF"/>
                <w:lang w:eastAsia="en-US"/>
              </w:rPr>
              <w:t>Name</w:t>
            </w:r>
          </w:p>
        </w:tc>
        <w:tc>
          <w:tcPr>
            <w:tcW w:w="1408" w:type="dxa"/>
            <w:shd w:val="clear" w:color="auto" w:fill="365F91"/>
          </w:tcPr>
          <w:p w14:paraId="3435F06B" w14:textId="77777777" w:rsidR="00D501D6" w:rsidRPr="00990C17" w:rsidRDefault="00D501D6" w:rsidP="00F77108">
            <w:pPr>
              <w:spacing w:before="160" w:after="0" w:line="240" w:lineRule="auto"/>
              <w:rPr>
                <w:rFonts w:asciiTheme="minorHAnsi" w:eastAsia="Cambria" w:hAnsiTheme="minorHAnsi" w:cs="Arial"/>
                <w:b/>
                <w:color w:val="FFFFFF"/>
                <w:lang w:eastAsia="en-US"/>
              </w:rPr>
            </w:pPr>
            <w:r w:rsidRPr="00990C17">
              <w:rPr>
                <w:rFonts w:asciiTheme="minorHAnsi" w:eastAsia="Cambria" w:hAnsiTheme="minorHAnsi" w:cs="Arial"/>
                <w:b/>
                <w:color w:val="FFFFFF"/>
                <w:lang w:eastAsia="en-US"/>
              </w:rPr>
              <w:t>Abbreviation</w:t>
            </w:r>
          </w:p>
        </w:tc>
        <w:tc>
          <w:tcPr>
            <w:tcW w:w="3538" w:type="dxa"/>
            <w:shd w:val="clear" w:color="auto" w:fill="365F91"/>
          </w:tcPr>
          <w:p w14:paraId="1455085F" w14:textId="77777777" w:rsidR="00D501D6" w:rsidRPr="00990C17" w:rsidRDefault="00D501D6" w:rsidP="00F77108">
            <w:pPr>
              <w:spacing w:before="160" w:after="0" w:line="240" w:lineRule="auto"/>
              <w:rPr>
                <w:rFonts w:asciiTheme="minorHAnsi" w:eastAsia="Cambria" w:hAnsiTheme="minorHAnsi" w:cs="Arial"/>
                <w:b/>
                <w:color w:val="FFFFFF"/>
                <w:lang w:eastAsia="en-US"/>
              </w:rPr>
            </w:pPr>
            <w:r w:rsidRPr="00990C17">
              <w:rPr>
                <w:rFonts w:asciiTheme="minorHAnsi" w:eastAsia="Cambria" w:hAnsiTheme="minorHAnsi" w:cs="Arial"/>
                <w:b/>
                <w:color w:val="FFFFFF"/>
                <w:lang w:eastAsia="en-US"/>
              </w:rPr>
              <w:t>Use of ARV with TB drugs</w:t>
            </w:r>
          </w:p>
        </w:tc>
      </w:tr>
      <w:tr w:rsidR="00491DB3" w:rsidRPr="00990C17" w14:paraId="503DA8F2" w14:textId="77777777" w:rsidTr="00542B60">
        <w:trPr>
          <w:trHeight w:val="598"/>
          <w:jc w:val="center"/>
        </w:trPr>
        <w:tc>
          <w:tcPr>
            <w:tcW w:w="2248" w:type="dxa"/>
            <w:vMerge w:val="restart"/>
          </w:tcPr>
          <w:p w14:paraId="2D4586DD" w14:textId="77777777" w:rsidR="00491DB3" w:rsidRPr="00990C17" w:rsidRDefault="00491DB3"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Non-nucleoside Reverse Transcriptase Inhibitors (NNRTIs)</w:t>
            </w:r>
          </w:p>
        </w:tc>
        <w:tc>
          <w:tcPr>
            <w:tcW w:w="1962" w:type="dxa"/>
          </w:tcPr>
          <w:p w14:paraId="235BB65D" w14:textId="4EB00157" w:rsidR="00491DB3" w:rsidRPr="00990C17" w:rsidRDefault="00491DB3" w:rsidP="006E4DE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Efavirenz</w:t>
            </w:r>
          </w:p>
        </w:tc>
        <w:tc>
          <w:tcPr>
            <w:tcW w:w="1408" w:type="dxa"/>
          </w:tcPr>
          <w:p w14:paraId="106FDE69" w14:textId="77777777" w:rsidR="00491DB3" w:rsidRPr="00990C17" w:rsidRDefault="00491DB3"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EFV</w:t>
            </w:r>
          </w:p>
        </w:tc>
        <w:tc>
          <w:tcPr>
            <w:tcW w:w="3538" w:type="dxa"/>
          </w:tcPr>
          <w:p w14:paraId="2EB426B5" w14:textId="77777777" w:rsidR="00491DB3" w:rsidRPr="00990C17" w:rsidRDefault="00491DB3"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 xml:space="preserve">Disallowed </w:t>
            </w:r>
            <w:r>
              <w:rPr>
                <w:rFonts w:asciiTheme="minorHAnsi" w:eastAsia="Cambria" w:hAnsiTheme="minorHAnsi" w:cs="Arial"/>
                <w:color w:val="auto"/>
                <w:lang w:eastAsia="en-US"/>
              </w:rPr>
              <w:t>in</w:t>
            </w:r>
            <w:r w:rsidRPr="00990C17">
              <w:rPr>
                <w:rFonts w:asciiTheme="minorHAnsi" w:eastAsia="Cambria" w:hAnsiTheme="minorHAnsi" w:cs="Arial"/>
                <w:color w:val="auto"/>
                <w:lang w:eastAsia="en-US"/>
              </w:rPr>
              <w:t xml:space="preserve"> </w:t>
            </w:r>
            <w:proofErr w:type="spellStart"/>
            <w:r>
              <w:rPr>
                <w:rFonts w:asciiTheme="minorHAnsi" w:eastAsia="Cambria" w:hAnsiTheme="minorHAnsi" w:cs="Arial"/>
                <w:color w:val="auto"/>
                <w:lang w:eastAsia="en-US"/>
              </w:rPr>
              <w:t>b</w:t>
            </w:r>
            <w:r w:rsidRPr="00990C17">
              <w:rPr>
                <w:rFonts w:asciiTheme="minorHAnsi" w:eastAsia="Cambria" w:hAnsiTheme="minorHAnsi" w:cs="Arial"/>
                <w:color w:val="auto"/>
                <w:lang w:eastAsia="en-US"/>
              </w:rPr>
              <w:t>edaquiline</w:t>
            </w:r>
            <w:proofErr w:type="spellEnd"/>
            <w:r w:rsidRPr="00990C17">
              <w:rPr>
                <w:rFonts w:asciiTheme="minorHAnsi" w:eastAsia="Cambria" w:hAnsiTheme="minorHAnsi" w:cs="Arial"/>
                <w:color w:val="auto"/>
                <w:lang w:eastAsia="en-US"/>
              </w:rPr>
              <w:t xml:space="preserve"> arms</w:t>
            </w:r>
          </w:p>
        </w:tc>
      </w:tr>
      <w:tr w:rsidR="00491DB3" w:rsidRPr="00990C17" w14:paraId="61D806EA" w14:textId="77777777" w:rsidTr="00542B60">
        <w:trPr>
          <w:trHeight w:val="705"/>
          <w:jc w:val="center"/>
        </w:trPr>
        <w:tc>
          <w:tcPr>
            <w:tcW w:w="2248" w:type="dxa"/>
            <w:vMerge/>
          </w:tcPr>
          <w:p w14:paraId="688738C8" w14:textId="77777777" w:rsidR="00491DB3" w:rsidRPr="00990C17" w:rsidRDefault="00491DB3" w:rsidP="00F77108">
            <w:pPr>
              <w:spacing w:before="160" w:after="0" w:line="240" w:lineRule="auto"/>
              <w:jc w:val="center"/>
              <w:rPr>
                <w:rFonts w:asciiTheme="minorHAnsi" w:eastAsia="Cambria" w:hAnsiTheme="minorHAnsi" w:cs="Arial"/>
                <w:color w:val="auto"/>
                <w:lang w:eastAsia="en-US"/>
              </w:rPr>
            </w:pPr>
          </w:p>
        </w:tc>
        <w:tc>
          <w:tcPr>
            <w:tcW w:w="1962" w:type="dxa"/>
          </w:tcPr>
          <w:p w14:paraId="08ACBEA4" w14:textId="37CDED3A" w:rsidR="00491DB3" w:rsidRPr="00990C17" w:rsidRDefault="00491DB3" w:rsidP="006E4DE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Nevirapine</w:t>
            </w:r>
          </w:p>
        </w:tc>
        <w:tc>
          <w:tcPr>
            <w:tcW w:w="1408" w:type="dxa"/>
          </w:tcPr>
          <w:p w14:paraId="661A53DF" w14:textId="77777777" w:rsidR="00491DB3" w:rsidRPr="00990C17" w:rsidRDefault="00491DB3"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NVP</w:t>
            </w:r>
          </w:p>
        </w:tc>
        <w:tc>
          <w:tcPr>
            <w:tcW w:w="3538" w:type="dxa"/>
          </w:tcPr>
          <w:p w14:paraId="1B1077FE" w14:textId="77777777" w:rsidR="00491DB3" w:rsidRPr="00990C17" w:rsidRDefault="00491DB3"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p>
        </w:tc>
      </w:tr>
      <w:tr w:rsidR="00491DB3" w:rsidRPr="00990C17" w14:paraId="4622B446" w14:textId="77777777" w:rsidTr="00542B60">
        <w:trPr>
          <w:trHeight w:val="688"/>
          <w:jc w:val="center"/>
        </w:trPr>
        <w:tc>
          <w:tcPr>
            <w:tcW w:w="2248" w:type="dxa"/>
            <w:vMerge/>
          </w:tcPr>
          <w:p w14:paraId="507D7E96" w14:textId="77777777" w:rsidR="00491DB3" w:rsidRPr="00990C17" w:rsidRDefault="00491DB3" w:rsidP="00F77108">
            <w:pPr>
              <w:spacing w:before="160" w:after="0" w:line="240" w:lineRule="auto"/>
              <w:jc w:val="center"/>
              <w:rPr>
                <w:rFonts w:asciiTheme="minorHAnsi" w:eastAsia="Cambria" w:hAnsiTheme="minorHAnsi" w:cs="Arial"/>
                <w:color w:val="auto"/>
                <w:lang w:eastAsia="en-US"/>
              </w:rPr>
            </w:pPr>
          </w:p>
        </w:tc>
        <w:tc>
          <w:tcPr>
            <w:tcW w:w="1962" w:type="dxa"/>
          </w:tcPr>
          <w:p w14:paraId="796E2AF6" w14:textId="4F36AB2D" w:rsidR="00491DB3" w:rsidRPr="00990C17" w:rsidRDefault="00491DB3" w:rsidP="00F77108">
            <w:pPr>
              <w:spacing w:before="160" w:after="0" w:line="240" w:lineRule="auto"/>
              <w:jc w:val="center"/>
              <w:rPr>
                <w:rFonts w:asciiTheme="minorHAnsi" w:eastAsia="Cambria" w:hAnsiTheme="minorHAnsi" w:cs="Arial"/>
                <w:color w:val="auto"/>
                <w:lang w:eastAsia="en-US"/>
              </w:rPr>
            </w:pPr>
            <w:proofErr w:type="spellStart"/>
            <w:r>
              <w:rPr>
                <w:rFonts w:asciiTheme="minorHAnsi" w:eastAsia="Cambria" w:hAnsiTheme="minorHAnsi" w:cs="Arial"/>
                <w:color w:val="auto"/>
                <w:lang w:eastAsia="en-US"/>
              </w:rPr>
              <w:t>Rilpivirine</w:t>
            </w:r>
            <w:proofErr w:type="spellEnd"/>
          </w:p>
        </w:tc>
        <w:tc>
          <w:tcPr>
            <w:tcW w:w="1408" w:type="dxa"/>
          </w:tcPr>
          <w:p w14:paraId="127323D8" w14:textId="7367E799" w:rsidR="00491DB3" w:rsidRPr="00990C17" w:rsidRDefault="00491DB3" w:rsidP="00F77108">
            <w:pPr>
              <w:spacing w:before="160" w:after="0" w:line="240" w:lineRule="auto"/>
              <w:jc w:val="center"/>
              <w:rPr>
                <w:rFonts w:asciiTheme="minorHAnsi" w:eastAsia="Cambria" w:hAnsiTheme="minorHAnsi" w:cs="Arial"/>
                <w:color w:val="auto"/>
                <w:lang w:eastAsia="en-US"/>
              </w:rPr>
            </w:pPr>
            <w:r>
              <w:rPr>
                <w:rFonts w:asciiTheme="minorHAnsi" w:eastAsia="Cambria" w:hAnsiTheme="minorHAnsi" w:cs="Arial"/>
                <w:color w:val="auto"/>
                <w:lang w:eastAsia="en-US"/>
              </w:rPr>
              <w:t>RPV</w:t>
            </w:r>
          </w:p>
        </w:tc>
        <w:tc>
          <w:tcPr>
            <w:tcW w:w="3538" w:type="dxa"/>
          </w:tcPr>
          <w:p w14:paraId="6632CE56" w14:textId="625A63D4" w:rsidR="00491DB3" w:rsidRPr="00990C17" w:rsidRDefault="00491DB3" w:rsidP="00F77108">
            <w:pPr>
              <w:spacing w:before="160" w:after="0" w:line="240" w:lineRule="auto"/>
              <w:jc w:val="center"/>
              <w:rPr>
                <w:rFonts w:asciiTheme="minorHAnsi" w:eastAsia="Cambria" w:hAnsiTheme="minorHAnsi" w:cs="Arial"/>
                <w:color w:val="auto"/>
                <w:lang w:eastAsia="en-US"/>
              </w:rPr>
            </w:pPr>
            <w:r>
              <w:rPr>
                <w:rFonts w:asciiTheme="minorHAnsi" w:eastAsia="Cambria" w:hAnsiTheme="minorHAnsi" w:cs="Arial"/>
                <w:color w:val="auto"/>
                <w:lang w:eastAsia="en-US"/>
              </w:rPr>
              <w:t>Allowed</w:t>
            </w:r>
          </w:p>
        </w:tc>
      </w:tr>
      <w:tr w:rsidR="00025EC0" w:rsidRPr="00990C17" w14:paraId="4B72498E" w14:textId="77777777" w:rsidTr="00542B60">
        <w:trPr>
          <w:jc w:val="center"/>
        </w:trPr>
        <w:tc>
          <w:tcPr>
            <w:tcW w:w="2248" w:type="dxa"/>
            <w:vMerge w:val="restart"/>
            <w:shd w:val="clear" w:color="auto" w:fill="D9D9D9"/>
          </w:tcPr>
          <w:p w14:paraId="378E2F53" w14:textId="77777777" w:rsidR="00D501D6" w:rsidRPr="00990C17" w:rsidRDefault="00D501D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Nucleoside Reverse Transcriptase Inhibitors (NRTIs)</w:t>
            </w:r>
          </w:p>
        </w:tc>
        <w:tc>
          <w:tcPr>
            <w:tcW w:w="1962" w:type="dxa"/>
            <w:shd w:val="clear" w:color="auto" w:fill="D9D9D9"/>
          </w:tcPr>
          <w:p w14:paraId="64BA67B4" w14:textId="77777777" w:rsidR="00D501D6" w:rsidRPr="00990C17" w:rsidRDefault="00D501D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Abacavir</w:t>
            </w:r>
          </w:p>
        </w:tc>
        <w:tc>
          <w:tcPr>
            <w:tcW w:w="1408" w:type="dxa"/>
            <w:shd w:val="clear" w:color="auto" w:fill="D9D9D9"/>
          </w:tcPr>
          <w:p w14:paraId="5E295B73" w14:textId="77777777" w:rsidR="00D501D6" w:rsidRPr="00990C17" w:rsidRDefault="00D501D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ABC</w:t>
            </w:r>
          </w:p>
        </w:tc>
        <w:tc>
          <w:tcPr>
            <w:tcW w:w="3538" w:type="dxa"/>
            <w:shd w:val="clear" w:color="auto" w:fill="D9D9D9"/>
          </w:tcPr>
          <w:p w14:paraId="73A63CAA" w14:textId="77777777" w:rsidR="00D501D6"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p>
        </w:tc>
      </w:tr>
      <w:tr w:rsidR="00025EC0" w:rsidRPr="00990C17" w14:paraId="1B159869" w14:textId="77777777" w:rsidTr="00542B60">
        <w:trPr>
          <w:trHeight w:val="215"/>
          <w:jc w:val="center"/>
        </w:trPr>
        <w:tc>
          <w:tcPr>
            <w:tcW w:w="2248" w:type="dxa"/>
            <w:vMerge/>
            <w:shd w:val="clear" w:color="auto" w:fill="D9D9D9"/>
          </w:tcPr>
          <w:p w14:paraId="7A7CB9E7" w14:textId="77777777" w:rsidR="00D501D6" w:rsidRPr="00990C17" w:rsidRDefault="00D501D6" w:rsidP="00F77108">
            <w:pPr>
              <w:spacing w:before="160" w:after="0" w:line="240" w:lineRule="auto"/>
              <w:jc w:val="center"/>
              <w:rPr>
                <w:rFonts w:asciiTheme="minorHAnsi" w:eastAsia="Cambria" w:hAnsiTheme="minorHAnsi" w:cs="Arial"/>
                <w:color w:val="auto"/>
                <w:lang w:eastAsia="en-US"/>
              </w:rPr>
            </w:pPr>
          </w:p>
        </w:tc>
        <w:tc>
          <w:tcPr>
            <w:tcW w:w="1962" w:type="dxa"/>
            <w:shd w:val="clear" w:color="auto" w:fill="D9D9D9"/>
          </w:tcPr>
          <w:p w14:paraId="1DF4D3A6" w14:textId="77777777" w:rsidR="00D501D6" w:rsidRPr="00990C17" w:rsidRDefault="00D501D6" w:rsidP="00F77108">
            <w:pPr>
              <w:spacing w:before="160" w:after="0" w:line="240" w:lineRule="auto"/>
              <w:jc w:val="center"/>
              <w:rPr>
                <w:rFonts w:asciiTheme="minorHAnsi" w:eastAsia="Cambria" w:hAnsiTheme="minorHAnsi" w:cs="Arial"/>
                <w:color w:val="auto"/>
                <w:lang w:eastAsia="en-US"/>
              </w:rPr>
            </w:pPr>
            <w:proofErr w:type="spellStart"/>
            <w:r w:rsidRPr="00990C17">
              <w:rPr>
                <w:rFonts w:asciiTheme="minorHAnsi" w:eastAsia="Cambria" w:hAnsiTheme="minorHAnsi" w:cs="Arial"/>
                <w:color w:val="auto"/>
                <w:lang w:eastAsia="en-US"/>
              </w:rPr>
              <w:t>Didanosine</w:t>
            </w:r>
            <w:proofErr w:type="spellEnd"/>
          </w:p>
        </w:tc>
        <w:tc>
          <w:tcPr>
            <w:tcW w:w="1408" w:type="dxa"/>
            <w:shd w:val="clear" w:color="auto" w:fill="D9D9D9"/>
          </w:tcPr>
          <w:p w14:paraId="54683D2D" w14:textId="77777777" w:rsidR="00D501D6" w:rsidRPr="00990C17" w:rsidRDefault="00D501D6" w:rsidP="00F77108">
            <w:pPr>
              <w:spacing w:before="160" w:after="0" w:line="240" w:lineRule="auto"/>
              <w:jc w:val="center"/>
              <w:rPr>
                <w:rFonts w:asciiTheme="minorHAnsi" w:eastAsia="Cambria" w:hAnsiTheme="minorHAnsi" w:cs="Arial"/>
                <w:color w:val="auto"/>
                <w:lang w:eastAsia="en-US"/>
              </w:rPr>
            </w:pPr>
            <w:proofErr w:type="spellStart"/>
            <w:r w:rsidRPr="00990C17">
              <w:rPr>
                <w:rFonts w:asciiTheme="minorHAnsi" w:eastAsia="Cambria" w:hAnsiTheme="minorHAnsi" w:cs="Arial"/>
                <w:color w:val="auto"/>
                <w:lang w:eastAsia="en-US"/>
              </w:rPr>
              <w:t>ddI</w:t>
            </w:r>
            <w:proofErr w:type="spellEnd"/>
          </w:p>
        </w:tc>
        <w:tc>
          <w:tcPr>
            <w:tcW w:w="3538" w:type="dxa"/>
            <w:shd w:val="clear" w:color="auto" w:fill="D9D9D9"/>
          </w:tcPr>
          <w:p w14:paraId="3DFFD831" w14:textId="77777777" w:rsidR="00D501D6" w:rsidRPr="00990C17" w:rsidRDefault="00ED30E1"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 (avoid because of increased risk of neuropathy)</w:t>
            </w:r>
          </w:p>
        </w:tc>
      </w:tr>
      <w:tr w:rsidR="00025EC0" w:rsidRPr="00990C17" w14:paraId="3E96555A" w14:textId="77777777" w:rsidTr="00542B60">
        <w:trPr>
          <w:trHeight w:val="251"/>
          <w:jc w:val="center"/>
        </w:trPr>
        <w:tc>
          <w:tcPr>
            <w:tcW w:w="2248" w:type="dxa"/>
            <w:vMerge/>
            <w:shd w:val="clear" w:color="auto" w:fill="D9D9D9"/>
          </w:tcPr>
          <w:p w14:paraId="2684A7FF" w14:textId="77777777" w:rsidR="00A308D7" w:rsidRPr="00990C17" w:rsidRDefault="00A308D7" w:rsidP="00F77108">
            <w:pPr>
              <w:spacing w:before="160" w:after="0" w:line="240" w:lineRule="auto"/>
              <w:jc w:val="center"/>
              <w:rPr>
                <w:rFonts w:asciiTheme="minorHAnsi" w:eastAsia="Cambria" w:hAnsiTheme="minorHAnsi" w:cs="Arial"/>
                <w:color w:val="auto"/>
                <w:lang w:eastAsia="en-US"/>
              </w:rPr>
            </w:pPr>
          </w:p>
        </w:tc>
        <w:tc>
          <w:tcPr>
            <w:tcW w:w="1962" w:type="dxa"/>
            <w:shd w:val="clear" w:color="auto" w:fill="D9D9D9"/>
          </w:tcPr>
          <w:p w14:paraId="4A2DAFC9" w14:textId="77777777" w:rsidR="00A308D7" w:rsidRPr="00990C17" w:rsidRDefault="00A308D7"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Zalcitabine</w:t>
            </w:r>
          </w:p>
        </w:tc>
        <w:tc>
          <w:tcPr>
            <w:tcW w:w="1408" w:type="dxa"/>
            <w:shd w:val="clear" w:color="auto" w:fill="D9D9D9"/>
          </w:tcPr>
          <w:p w14:paraId="55BD9D2A" w14:textId="77777777" w:rsidR="00A308D7" w:rsidRPr="00990C17" w:rsidRDefault="00A308D7"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ddC</w:t>
            </w:r>
          </w:p>
        </w:tc>
        <w:tc>
          <w:tcPr>
            <w:tcW w:w="3538" w:type="dxa"/>
            <w:shd w:val="clear" w:color="auto" w:fill="D9D9D9"/>
          </w:tcPr>
          <w:p w14:paraId="66434AB8" w14:textId="77777777" w:rsidR="00A308D7" w:rsidRPr="00990C17" w:rsidRDefault="00ED30E1"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 xml:space="preserve">Allowed </w:t>
            </w:r>
          </w:p>
        </w:tc>
      </w:tr>
      <w:tr w:rsidR="00025EC0" w:rsidRPr="00990C17" w14:paraId="45CA93B1" w14:textId="77777777" w:rsidTr="00542B60">
        <w:trPr>
          <w:jc w:val="center"/>
        </w:trPr>
        <w:tc>
          <w:tcPr>
            <w:tcW w:w="2248" w:type="dxa"/>
            <w:vMerge/>
            <w:shd w:val="clear" w:color="auto" w:fill="D9D9D9"/>
          </w:tcPr>
          <w:p w14:paraId="285535BD"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p>
        </w:tc>
        <w:tc>
          <w:tcPr>
            <w:tcW w:w="1962" w:type="dxa"/>
            <w:shd w:val="clear" w:color="auto" w:fill="D9D9D9"/>
          </w:tcPr>
          <w:p w14:paraId="67FB578B"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Emtricitabine</w:t>
            </w:r>
          </w:p>
        </w:tc>
        <w:tc>
          <w:tcPr>
            <w:tcW w:w="1408" w:type="dxa"/>
            <w:shd w:val="clear" w:color="auto" w:fill="D9D9D9"/>
          </w:tcPr>
          <w:p w14:paraId="305A5F11"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FTC</w:t>
            </w:r>
          </w:p>
        </w:tc>
        <w:tc>
          <w:tcPr>
            <w:tcW w:w="3538" w:type="dxa"/>
            <w:shd w:val="clear" w:color="auto" w:fill="D9D9D9"/>
          </w:tcPr>
          <w:p w14:paraId="15FDD46A"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p>
        </w:tc>
      </w:tr>
      <w:tr w:rsidR="00025EC0" w:rsidRPr="00990C17" w14:paraId="26BB9F2A" w14:textId="77777777" w:rsidTr="00542B60">
        <w:trPr>
          <w:jc w:val="center"/>
        </w:trPr>
        <w:tc>
          <w:tcPr>
            <w:tcW w:w="2248" w:type="dxa"/>
            <w:vMerge/>
            <w:shd w:val="clear" w:color="auto" w:fill="D9D9D9"/>
          </w:tcPr>
          <w:p w14:paraId="0790B516"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p>
        </w:tc>
        <w:tc>
          <w:tcPr>
            <w:tcW w:w="1962" w:type="dxa"/>
            <w:shd w:val="clear" w:color="auto" w:fill="D9D9D9"/>
          </w:tcPr>
          <w:p w14:paraId="557FC0EB"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Lamivudine</w:t>
            </w:r>
          </w:p>
        </w:tc>
        <w:tc>
          <w:tcPr>
            <w:tcW w:w="1408" w:type="dxa"/>
            <w:shd w:val="clear" w:color="auto" w:fill="D9D9D9"/>
          </w:tcPr>
          <w:p w14:paraId="2118CC7E"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3TC</w:t>
            </w:r>
          </w:p>
        </w:tc>
        <w:tc>
          <w:tcPr>
            <w:tcW w:w="3538" w:type="dxa"/>
            <w:shd w:val="clear" w:color="auto" w:fill="D9D9D9"/>
          </w:tcPr>
          <w:p w14:paraId="4F69BE70"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p>
        </w:tc>
      </w:tr>
      <w:tr w:rsidR="00025EC0" w:rsidRPr="00990C17" w14:paraId="01AD72AF" w14:textId="77777777" w:rsidTr="00542B60">
        <w:trPr>
          <w:jc w:val="center"/>
        </w:trPr>
        <w:tc>
          <w:tcPr>
            <w:tcW w:w="2248" w:type="dxa"/>
            <w:vMerge/>
            <w:shd w:val="clear" w:color="auto" w:fill="D9D9D9"/>
          </w:tcPr>
          <w:p w14:paraId="06D5C4E2"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p>
        </w:tc>
        <w:tc>
          <w:tcPr>
            <w:tcW w:w="1962" w:type="dxa"/>
            <w:shd w:val="clear" w:color="auto" w:fill="D9D9D9"/>
          </w:tcPr>
          <w:p w14:paraId="51EED589"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Stavudine</w:t>
            </w:r>
          </w:p>
        </w:tc>
        <w:tc>
          <w:tcPr>
            <w:tcW w:w="1408" w:type="dxa"/>
            <w:shd w:val="clear" w:color="auto" w:fill="D9D9D9"/>
          </w:tcPr>
          <w:p w14:paraId="5282D4E4"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D4T</w:t>
            </w:r>
          </w:p>
        </w:tc>
        <w:tc>
          <w:tcPr>
            <w:tcW w:w="3538" w:type="dxa"/>
            <w:shd w:val="clear" w:color="auto" w:fill="D9D9D9"/>
          </w:tcPr>
          <w:p w14:paraId="002E0CCB"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r w:rsidR="00012210">
              <w:rPr>
                <w:rFonts w:asciiTheme="minorHAnsi" w:eastAsia="Cambria" w:hAnsiTheme="minorHAnsi" w:cs="Arial"/>
                <w:color w:val="auto"/>
                <w:lang w:eastAsia="en-US"/>
              </w:rPr>
              <w:t xml:space="preserve"> </w:t>
            </w:r>
            <w:r w:rsidR="00012210" w:rsidRPr="00990C17">
              <w:rPr>
                <w:rFonts w:asciiTheme="minorHAnsi" w:eastAsia="Cambria" w:hAnsiTheme="minorHAnsi" w:cs="Arial"/>
                <w:color w:val="auto"/>
                <w:lang w:eastAsia="en-US"/>
              </w:rPr>
              <w:t>(avoid because of increased risk of neuropathy)</w:t>
            </w:r>
          </w:p>
        </w:tc>
      </w:tr>
      <w:tr w:rsidR="00025EC0" w:rsidRPr="00990C17" w14:paraId="6B3D25FB" w14:textId="77777777" w:rsidTr="00542B60">
        <w:trPr>
          <w:jc w:val="center"/>
        </w:trPr>
        <w:tc>
          <w:tcPr>
            <w:tcW w:w="2248" w:type="dxa"/>
            <w:vMerge/>
            <w:shd w:val="clear" w:color="auto" w:fill="D9D9D9"/>
          </w:tcPr>
          <w:p w14:paraId="76155A1F"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p>
        </w:tc>
        <w:tc>
          <w:tcPr>
            <w:tcW w:w="1962" w:type="dxa"/>
            <w:shd w:val="clear" w:color="auto" w:fill="D9D9D9"/>
          </w:tcPr>
          <w:p w14:paraId="2C2F4878"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Tenofovir</w:t>
            </w:r>
          </w:p>
        </w:tc>
        <w:tc>
          <w:tcPr>
            <w:tcW w:w="1408" w:type="dxa"/>
            <w:shd w:val="clear" w:color="auto" w:fill="D9D9D9"/>
          </w:tcPr>
          <w:p w14:paraId="2CFBE8E7"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TDF</w:t>
            </w:r>
          </w:p>
        </w:tc>
        <w:tc>
          <w:tcPr>
            <w:tcW w:w="3538" w:type="dxa"/>
            <w:shd w:val="clear" w:color="auto" w:fill="D9D9D9"/>
          </w:tcPr>
          <w:p w14:paraId="5722C06E"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p>
        </w:tc>
      </w:tr>
      <w:tr w:rsidR="00025EC0" w:rsidRPr="00990C17" w14:paraId="7C2883B9" w14:textId="77777777" w:rsidTr="00542B60">
        <w:trPr>
          <w:jc w:val="center"/>
        </w:trPr>
        <w:tc>
          <w:tcPr>
            <w:tcW w:w="2248" w:type="dxa"/>
            <w:vMerge/>
            <w:shd w:val="clear" w:color="auto" w:fill="D9D9D9"/>
          </w:tcPr>
          <w:p w14:paraId="23E70F36"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p>
        </w:tc>
        <w:tc>
          <w:tcPr>
            <w:tcW w:w="1962" w:type="dxa"/>
            <w:shd w:val="clear" w:color="auto" w:fill="D9D9D9"/>
          </w:tcPr>
          <w:p w14:paraId="723F5C5C"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Zidovudine</w:t>
            </w:r>
          </w:p>
        </w:tc>
        <w:tc>
          <w:tcPr>
            <w:tcW w:w="1408" w:type="dxa"/>
            <w:shd w:val="clear" w:color="auto" w:fill="D9D9D9"/>
          </w:tcPr>
          <w:p w14:paraId="03C73C26" w14:textId="77777777"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AZT</w:t>
            </w:r>
          </w:p>
        </w:tc>
        <w:tc>
          <w:tcPr>
            <w:tcW w:w="3538" w:type="dxa"/>
            <w:shd w:val="clear" w:color="auto" w:fill="D9D9D9"/>
          </w:tcPr>
          <w:p w14:paraId="0D5B21B3" w14:textId="5F27EB16" w:rsidR="00025EC0" w:rsidRPr="00990C17" w:rsidRDefault="00025EC0"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r w:rsidR="00491DB3">
              <w:rPr>
                <w:rFonts w:asciiTheme="minorHAnsi" w:eastAsia="Cambria" w:hAnsiTheme="minorHAnsi" w:cs="Arial"/>
                <w:color w:val="auto"/>
                <w:lang w:eastAsia="en-US"/>
              </w:rPr>
              <w:t xml:space="preserve"> (avoid with linezolid)</w:t>
            </w:r>
          </w:p>
        </w:tc>
      </w:tr>
      <w:tr w:rsidR="00012576" w:rsidRPr="00990C17" w14:paraId="0E9D885B" w14:textId="77777777" w:rsidTr="00542B60">
        <w:trPr>
          <w:jc w:val="center"/>
        </w:trPr>
        <w:tc>
          <w:tcPr>
            <w:tcW w:w="2248" w:type="dxa"/>
            <w:vMerge w:val="restart"/>
          </w:tcPr>
          <w:p w14:paraId="39525D26"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Protease Inhibitors (PIs)</w:t>
            </w:r>
          </w:p>
        </w:tc>
        <w:tc>
          <w:tcPr>
            <w:tcW w:w="1962" w:type="dxa"/>
          </w:tcPr>
          <w:p w14:paraId="27CC47E8"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Atazanavir + ritonavir</w:t>
            </w:r>
          </w:p>
        </w:tc>
        <w:tc>
          <w:tcPr>
            <w:tcW w:w="1408" w:type="dxa"/>
          </w:tcPr>
          <w:p w14:paraId="62EF6599"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(ATV/r)</w:t>
            </w:r>
          </w:p>
        </w:tc>
        <w:tc>
          <w:tcPr>
            <w:tcW w:w="3538" w:type="dxa"/>
            <w:vMerge w:val="restart"/>
          </w:tcPr>
          <w:p w14:paraId="15198204" w14:textId="77777777" w:rsidR="00012576" w:rsidRPr="00990C17" w:rsidRDefault="00990C17" w:rsidP="00F77108">
            <w:pPr>
              <w:spacing w:before="160" w:after="0" w:line="240" w:lineRule="auto"/>
              <w:jc w:val="center"/>
              <w:rPr>
                <w:rFonts w:asciiTheme="minorHAnsi" w:eastAsia="Cambria" w:hAnsiTheme="minorHAnsi" w:cs="Arial"/>
                <w:color w:val="auto"/>
                <w:lang w:eastAsia="en-US"/>
              </w:rPr>
            </w:pPr>
            <w:r w:rsidRPr="00F96314">
              <w:rPr>
                <w:rFonts w:asciiTheme="minorHAnsi" w:eastAsia="Cambria" w:hAnsiTheme="minorHAnsi" w:cs="Arial"/>
                <w:color w:val="auto"/>
                <w:lang w:eastAsia="en-US"/>
              </w:rPr>
              <w:t xml:space="preserve">Disallowed in </w:t>
            </w:r>
            <w:proofErr w:type="spellStart"/>
            <w:r w:rsidR="00012576" w:rsidRPr="00F96314">
              <w:rPr>
                <w:rFonts w:asciiTheme="minorHAnsi" w:eastAsia="Cambria" w:hAnsiTheme="minorHAnsi" w:cs="Arial"/>
                <w:color w:val="auto"/>
                <w:lang w:eastAsia="en-US"/>
              </w:rPr>
              <w:t>bedaquiline</w:t>
            </w:r>
            <w:proofErr w:type="spellEnd"/>
            <w:r w:rsidR="00012576" w:rsidRPr="00F96314">
              <w:rPr>
                <w:rFonts w:asciiTheme="minorHAnsi" w:eastAsia="Cambria" w:hAnsiTheme="minorHAnsi" w:cs="Arial"/>
                <w:color w:val="auto"/>
                <w:lang w:eastAsia="en-US"/>
              </w:rPr>
              <w:t xml:space="preserve"> arms</w:t>
            </w:r>
          </w:p>
        </w:tc>
      </w:tr>
      <w:tr w:rsidR="00012576" w:rsidRPr="00990C17" w14:paraId="17A39E91" w14:textId="77777777" w:rsidTr="00542B60">
        <w:trPr>
          <w:jc w:val="center"/>
        </w:trPr>
        <w:tc>
          <w:tcPr>
            <w:tcW w:w="2248" w:type="dxa"/>
            <w:vMerge/>
          </w:tcPr>
          <w:p w14:paraId="4C84C7AD"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p>
        </w:tc>
        <w:tc>
          <w:tcPr>
            <w:tcW w:w="1962" w:type="dxa"/>
          </w:tcPr>
          <w:p w14:paraId="1CED0FAB"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Darunavir + ritonavir</w:t>
            </w:r>
          </w:p>
        </w:tc>
        <w:tc>
          <w:tcPr>
            <w:tcW w:w="1408" w:type="dxa"/>
          </w:tcPr>
          <w:p w14:paraId="4D7EC21A"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(DRV/r)</w:t>
            </w:r>
          </w:p>
        </w:tc>
        <w:tc>
          <w:tcPr>
            <w:tcW w:w="3538" w:type="dxa"/>
            <w:vMerge/>
          </w:tcPr>
          <w:p w14:paraId="12E93504"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p>
        </w:tc>
      </w:tr>
      <w:tr w:rsidR="00012576" w:rsidRPr="00990C17" w14:paraId="78B99175" w14:textId="77777777" w:rsidTr="00542B60">
        <w:trPr>
          <w:jc w:val="center"/>
        </w:trPr>
        <w:tc>
          <w:tcPr>
            <w:tcW w:w="2248" w:type="dxa"/>
            <w:vMerge/>
          </w:tcPr>
          <w:p w14:paraId="7B06D86B"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p>
        </w:tc>
        <w:tc>
          <w:tcPr>
            <w:tcW w:w="1962" w:type="dxa"/>
          </w:tcPr>
          <w:p w14:paraId="50A98678"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Lopinavir/ritonavir</w:t>
            </w:r>
          </w:p>
        </w:tc>
        <w:tc>
          <w:tcPr>
            <w:tcW w:w="1408" w:type="dxa"/>
          </w:tcPr>
          <w:p w14:paraId="12987E57"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(DRV/r)</w:t>
            </w:r>
          </w:p>
        </w:tc>
        <w:tc>
          <w:tcPr>
            <w:tcW w:w="3538" w:type="dxa"/>
            <w:vMerge/>
          </w:tcPr>
          <w:p w14:paraId="7F3393C9" w14:textId="77777777" w:rsidR="00012576" w:rsidRPr="00990C17" w:rsidRDefault="00012576" w:rsidP="00F77108">
            <w:pPr>
              <w:spacing w:before="160" w:after="0" w:line="240" w:lineRule="auto"/>
              <w:jc w:val="center"/>
              <w:rPr>
                <w:rFonts w:asciiTheme="minorHAnsi" w:eastAsia="Cambria" w:hAnsiTheme="minorHAnsi" w:cs="Arial"/>
                <w:color w:val="auto"/>
                <w:lang w:eastAsia="en-US"/>
              </w:rPr>
            </w:pPr>
          </w:p>
        </w:tc>
      </w:tr>
      <w:tr w:rsidR="00025EC0" w:rsidRPr="00990C17" w14:paraId="758E9B0F" w14:textId="77777777" w:rsidTr="00542B60">
        <w:trPr>
          <w:jc w:val="center"/>
        </w:trPr>
        <w:tc>
          <w:tcPr>
            <w:tcW w:w="2248" w:type="dxa"/>
            <w:shd w:val="clear" w:color="auto" w:fill="D9D9D9"/>
          </w:tcPr>
          <w:p w14:paraId="020E370F" w14:textId="77777777" w:rsidR="00D501D6" w:rsidRPr="00990C17" w:rsidRDefault="00D501D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bCs/>
                <w:color w:val="auto"/>
                <w:lang w:eastAsia="en-US"/>
              </w:rPr>
              <w:lastRenderedPageBreak/>
              <w:t>Integrase strand transfer inhibitors (INSTIs)</w:t>
            </w:r>
          </w:p>
        </w:tc>
        <w:tc>
          <w:tcPr>
            <w:tcW w:w="1962" w:type="dxa"/>
            <w:shd w:val="clear" w:color="auto" w:fill="D9D9D9"/>
          </w:tcPr>
          <w:p w14:paraId="7662F02B" w14:textId="77777777" w:rsidR="00D501D6" w:rsidRDefault="00D501D6" w:rsidP="00F77108">
            <w:pPr>
              <w:spacing w:before="160" w:after="0" w:line="240" w:lineRule="auto"/>
              <w:jc w:val="center"/>
              <w:rPr>
                <w:rFonts w:asciiTheme="minorHAnsi" w:eastAsia="Cambria" w:hAnsiTheme="minorHAnsi" w:cs="Arial"/>
                <w:color w:val="auto"/>
                <w:lang w:eastAsia="en-US"/>
              </w:rPr>
            </w:pPr>
            <w:proofErr w:type="spellStart"/>
            <w:r w:rsidRPr="00990C17">
              <w:rPr>
                <w:rFonts w:asciiTheme="minorHAnsi" w:eastAsia="Cambria" w:hAnsiTheme="minorHAnsi" w:cs="Arial"/>
                <w:color w:val="auto"/>
                <w:lang w:eastAsia="en-US"/>
              </w:rPr>
              <w:t>Raltegravir</w:t>
            </w:r>
            <w:proofErr w:type="spellEnd"/>
          </w:p>
          <w:p w14:paraId="4CA4AAE4" w14:textId="77777777" w:rsidR="006E690A" w:rsidRPr="00990C17" w:rsidRDefault="006E690A" w:rsidP="00F77108">
            <w:pPr>
              <w:spacing w:before="160" w:after="0" w:line="240" w:lineRule="auto"/>
              <w:jc w:val="center"/>
              <w:rPr>
                <w:rFonts w:asciiTheme="minorHAnsi" w:eastAsia="Cambria" w:hAnsiTheme="minorHAnsi" w:cs="Arial"/>
                <w:color w:val="auto"/>
                <w:lang w:eastAsia="en-US"/>
              </w:rPr>
            </w:pPr>
            <w:r>
              <w:rPr>
                <w:rFonts w:asciiTheme="minorHAnsi" w:eastAsia="Cambria" w:hAnsiTheme="minorHAnsi" w:cs="Arial"/>
                <w:color w:val="auto"/>
                <w:lang w:eastAsia="en-US"/>
              </w:rPr>
              <w:t>Dolutegravir</w:t>
            </w:r>
          </w:p>
        </w:tc>
        <w:tc>
          <w:tcPr>
            <w:tcW w:w="1408" w:type="dxa"/>
            <w:shd w:val="clear" w:color="auto" w:fill="D9D9D9"/>
          </w:tcPr>
          <w:p w14:paraId="643CD4C0" w14:textId="77777777" w:rsidR="00D501D6" w:rsidRDefault="00D501D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RAL</w:t>
            </w:r>
          </w:p>
          <w:p w14:paraId="0CBAC77C" w14:textId="77777777" w:rsidR="00F96314" w:rsidRPr="00990C17" w:rsidRDefault="00F96314" w:rsidP="00F77108">
            <w:pPr>
              <w:spacing w:before="160" w:after="0" w:line="240" w:lineRule="auto"/>
              <w:jc w:val="center"/>
              <w:rPr>
                <w:rFonts w:asciiTheme="minorHAnsi" w:eastAsia="Cambria" w:hAnsiTheme="minorHAnsi" w:cs="Arial"/>
                <w:color w:val="auto"/>
                <w:lang w:eastAsia="en-US"/>
              </w:rPr>
            </w:pPr>
            <w:r>
              <w:rPr>
                <w:rFonts w:asciiTheme="minorHAnsi" w:eastAsia="Cambria" w:hAnsiTheme="minorHAnsi" w:cs="Arial"/>
                <w:color w:val="auto"/>
                <w:lang w:eastAsia="en-US"/>
              </w:rPr>
              <w:t>DTG</w:t>
            </w:r>
          </w:p>
        </w:tc>
        <w:tc>
          <w:tcPr>
            <w:tcW w:w="3538" w:type="dxa"/>
            <w:shd w:val="clear" w:color="auto" w:fill="D9D9D9"/>
          </w:tcPr>
          <w:p w14:paraId="74838B94" w14:textId="77777777" w:rsidR="00D501D6" w:rsidRPr="00990C17" w:rsidRDefault="00012576" w:rsidP="00F77108">
            <w:pPr>
              <w:spacing w:before="160" w:after="0" w:line="240" w:lineRule="auto"/>
              <w:jc w:val="center"/>
              <w:rPr>
                <w:rFonts w:asciiTheme="minorHAnsi" w:eastAsia="Cambria" w:hAnsiTheme="minorHAnsi" w:cs="Arial"/>
                <w:color w:val="auto"/>
                <w:lang w:eastAsia="en-US"/>
              </w:rPr>
            </w:pPr>
            <w:r w:rsidRPr="00990C17">
              <w:rPr>
                <w:rFonts w:asciiTheme="minorHAnsi" w:eastAsia="Cambria" w:hAnsiTheme="minorHAnsi" w:cs="Arial"/>
                <w:color w:val="auto"/>
                <w:lang w:eastAsia="en-US"/>
              </w:rPr>
              <w:t>Allowed</w:t>
            </w:r>
          </w:p>
        </w:tc>
      </w:tr>
    </w:tbl>
    <w:p w14:paraId="69D897CC" w14:textId="77777777" w:rsidR="00012576" w:rsidRPr="00990C17" w:rsidRDefault="00012576" w:rsidP="00F77108">
      <w:pPr>
        <w:spacing w:after="0"/>
        <w:contextualSpacing/>
        <w:jc w:val="both"/>
        <w:rPr>
          <w:rFonts w:asciiTheme="minorHAnsi" w:hAnsiTheme="minorHAnsi"/>
          <w:color w:val="0C0C0C"/>
        </w:rPr>
      </w:pPr>
      <w:r w:rsidRPr="00990C17">
        <w:rPr>
          <w:rFonts w:asciiTheme="minorHAnsi" w:hAnsiTheme="minorHAnsi"/>
          <w:color w:val="0C0C0C"/>
        </w:rPr>
        <w:t>HIV must be managed closely throughout the MDR-TB treatment. The following is recommended:</w:t>
      </w:r>
    </w:p>
    <w:p w14:paraId="35445BEE" w14:textId="77777777" w:rsidR="00012576" w:rsidRPr="00990C17" w:rsidRDefault="00012576" w:rsidP="00F77108">
      <w:pPr>
        <w:pStyle w:val="ListParagraph"/>
        <w:numPr>
          <w:ilvl w:val="0"/>
          <w:numId w:val="38"/>
        </w:numPr>
        <w:spacing w:after="0"/>
        <w:jc w:val="both"/>
        <w:rPr>
          <w:rFonts w:asciiTheme="minorHAnsi" w:hAnsiTheme="minorHAnsi"/>
          <w:color w:val="0C0C0C"/>
        </w:rPr>
      </w:pPr>
      <w:r w:rsidRPr="00990C17">
        <w:rPr>
          <w:rFonts w:asciiTheme="minorHAnsi" w:hAnsiTheme="minorHAnsi"/>
          <w:color w:val="0C0C0C"/>
        </w:rPr>
        <w:t xml:space="preserve">The physician managing the patient’s TB </w:t>
      </w:r>
      <w:r w:rsidR="00E10827">
        <w:rPr>
          <w:rFonts w:asciiTheme="minorHAnsi" w:hAnsiTheme="minorHAnsi"/>
          <w:color w:val="0C0C0C"/>
        </w:rPr>
        <w:t xml:space="preserve">treatment </w:t>
      </w:r>
      <w:r w:rsidRPr="00990C17">
        <w:rPr>
          <w:rFonts w:asciiTheme="minorHAnsi" w:hAnsiTheme="minorHAnsi"/>
          <w:color w:val="0C0C0C"/>
        </w:rPr>
        <w:t>should be in close communication with the physician</w:t>
      </w:r>
      <w:r w:rsidR="0003087B" w:rsidRPr="00990C17">
        <w:rPr>
          <w:rFonts w:asciiTheme="minorHAnsi" w:hAnsiTheme="minorHAnsi"/>
          <w:color w:val="0C0C0C"/>
        </w:rPr>
        <w:t xml:space="preserve"> or clinic that</w:t>
      </w:r>
      <w:r w:rsidRPr="00990C17">
        <w:rPr>
          <w:rFonts w:asciiTheme="minorHAnsi" w:hAnsiTheme="minorHAnsi"/>
          <w:color w:val="0C0C0C"/>
        </w:rPr>
        <w:t xml:space="preserve"> manages the patient’s HIV</w:t>
      </w:r>
      <w:r w:rsidR="00990C17">
        <w:rPr>
          <w:rFonts w:asciiTheme="minorHAnsi" w:hAnsiTheme="minorHAnsi"/>
          <w:color w:val="0C0C0C"/>
        </w:rPr>
        <w:t xml:space="preserve"> treatment</w:t>
      </w:r>
      <w:r w:rsidR="0003087B" w:rsidRPr="00990C17">
        <w:rPr>
          <w:rFonts w:asciiTheme="minorHAnsi" w:hAnsiTheme="minorHAnsi"/>
          <w:color w:val="0C0C0C"/>
        </w:rPr>
        <w:t>.</w:t>
      </w:r>
    </w:p>
    <w:p w14:paraId="1A8785BE" w14:textId="77777777" w:rsidR="00E4378B" w:rsidRDefault="0003087B" w:rsidP="00F77108">
      <w:pPr>
        <w:pStyle w:val="ListParagraph"/>
        <w:numPr>
          <w:ilvl w:val="0"/>
          <w:numId w:val="38"/>
        </w:numPr>
        <w:jc w:val="both"/>
        <w:rPr>
          <w:rFonts w:asciiTheme="minorHAnsi" w:hAnsiTheme="minorHAnsi"/>
          <w:color w:val="0C0C0C"/>
        </w:rPr>
      </w:pPr>
      <w:r w:rsidRPr="00990C17">
        <w:rPr>
          <w:rFonts w:asciiTheme="minorHAnsi" w:hAnsiTheme="minorHAnsi"/>
          <w:color w:val="0C0C0C"/>
        </w:rPr>
        <w:t>Antiretroviral therapy</w:t>
      </w:r>
      <w:r w:rsidR="00E4378B">
        <w:rPr>
          <w:rFonts w:asciiTheme="minorHAnsi" w:hAnsiTheme="minorHAnsi"/>
          <w:color w:val="0C0C0C"/>
        </w:rPr>
        <w:t xml:space="preserve"> (ART)</w:t>
      </w:r>
      <w:r w:rsidRPr="00990C17">
        <w:rPr>
          <w:rFonts w:asciiTheme="minorHAnsi" w:hAnsiTheme="minorHAnsi"/>
          <w:color w:val="0C0C0C"/>
        </w:rPr>
        <w:t xml:space="preserve"> is recommended for all patients with HIV and MDR-TB</w:t>
      </w:r>
      <w:r w:rsidR="00C40E64">
        <w:rPr>
          <w:rFonts w:asciiTheme="minorHAnsi" w:hAnsiTheme="minorHAnsi"/>
          <w:color w:val="0C0C0C"/>
        </w:rPr>
        <w:t>. T</w:t>
      </w:r>
      <w:r w:rsidRPr="00990C17">
        <w:rPr>
          <w:rFonts w:asciiTheme="minorHAnsi" w:hAnsiTheme="minorHAnsi"/>
          <w:color w:val="0C0C0C"/>
        </w:rPr>
        <w:t>he initiation or continuation of ART should be prescribed according to WHO guidelines</w:t>
      </w:r>
      <w:bookmarkStart w:id="8" w:name="_Ref455854987"/>
      <w:r w:rsidR="009B39EF" w:rsidRPr="00990C17">
        <w:rPr>
          <w:rFonts w:asciiTheme="minorHAnsi" w:hAnsiTheme="minorHAnsi"/>
          <w:color w:val="0C0C0C"/>
        </w:rPr>
        <w:t xml:space="preserve"> </w:t>
      </w:r>
      <w:bookmarkEnd w:id="8"/>
      <w:r w:rsidR="00E4378B">
        <w:rPr>
          <w:rFonts w:asciiTheme="minorHAnsi" w:hAnsiTheme="minorHAnsi" w:cstheme="minorHAnsi"/>
        </w:rPr>
        <w:t xml:space="preserve">on the use of antiretroviral (ARV) drugs </w:t>
      </w:r>
      <w:r w:rsidRPr="00990C17">
        <w:rPr>
          <w:rFonts w:asciiTheme="minorHAnsi" w:hAnsiTheme="minorHAnsi"/>
          <w:color w:val="0C0C0C"/>
        </w:rPr>
        <w:t>with the allowed HIV medic</w:t>
      </w:r>
      <w:r w:rsidR="00990C17">
        <w:rPr>
          <w:rFonts w:asciiTheme="minorHAnsi" w:hAnsiTheme="minorHAnsi"/>
          <w:color w:val="0C0C0C"/>
        </w:rPr>
        <w:t>ines described in this SOP (</w:t>
      </w:r>
      <w:r w:rsidRPr="00990C17">
        <w:rPr>
          <w:rFonts w:asciiTheme="minorHAnsi" w:hAnsiTheme="minorHAnsi"/>
          <w:color w:val="0C0C0C"/>
        </w:rPr>
        <w:t>Table 1).</w:t>
      </w:r>
      <w:r w:rsidR="00C40E64">
        <w:rPr>
          <w:rFonts w:asciiTheme="minorHAnsi" w:hAnsiTheme="minorHAnsi"/>
          <w:color w:val="0C0C0C"/>
        </w:rPr>
        <w:t xml:space="preserve"> Refer to the </w:t>
      </w:r>
      <w:r w:rsidR="00A162BF" w:rsidRPr="00E53814">
        <w:rPr>
          <w:rFonts w:asciiTheme="minorHAnsi" w:hAnsiTheme="minorHAnsi"/>
          <w:color w:val="0C0C0C"/>
        </w:rPr>
        <w:t>SOP</w:t>
      </w:r>
      <w:r w:rsidR="00C40E64" w:rsidRPr="00F77108">
        <w:rPr>
          <w:rFonts w:asciiTheme="minorHAnsi" w:hAnsiTheme="minorHAnsi"/>
          <w:b/>
          <w:i/>
          <w:color w:val="0C0C0C"/>
        </w:rPr>
        <w:t xml:space="preserve"> SP-019-CT</w:t>
      </w:r>
      <w:r w:rsidR="00C40E64">
        <w:rPr>
          <w:rFonts w:asciiTheme="minorHAnsi" w:hAnsiTheme="minorHAnsi"/>
          <w:color w:val="0C0C0C"/>
        </w:rPr>
        <w:t xml:space="preserve"> on </w:t>
      </w:r>
      <w:r w:rsidR="00C40E64" w:rsidRPr="00F77108">
        <w:rPr>
          <w:rFonts w:asciiTheme="minorHAnsi" w:hAnsiTheme="minorHAnsi"/>
          <w:b/>
          <w:i/>
          <w:color w:val="0C0C0C"/>
        </w:rPr>
        <w:t>Concomitant Medications</w:t>
      </w:r>
      <w:r w:rsidR="00C40E64">
        <w:rPr>
          <w:rFonts w:asciiTheme="minorHAnsi" w:hAnsiTheme="minorHAnsi"/>
          <w:color w:val="0C0C0C"/>
        </w:rPr>
        <w:t xml:space="preserve"> for guidance.</w:t>
      </w:r>
    </w:p>
    <w:p w14:paraId="5C227A0D" w14:textId="77777777" w:rsidR="00E4378B" w:rsidRDefault="00E4378B" w:rsidP="00F77108">
      <w:pPr>
        <w:pStyle w:val="ListParagraph"/>
        <w:numPr>
          <w:ilvl w:val="1"/>
          <w:numId w:val="38"/>
        </w:numPr>
        <w:jc w:val="both"/>
        <w:rPr>
          <w:rFonts w:asciiTheme="minorHAnsi" w:hAnsiTheme="minorHAnsi"/>
          <w:color w:val="0C0C0C"/>
        </w:rPr>
      </w:pPr>
      <w:r>
        <w:rPr>
          <w:rFonts w:asciiTheme="minorHAnsi" w:hAnsiTheme="minorHAnsi"/>
          <w:color w:val="0C0C0C"/>
        </w:rPr>
        <w:t>If an HIV</w:t>
      </w:r>
      <w:r w:rsidR="00C40E64">
        <w:rPr>
          <w:rFonts w:asciiTheme="minorHAnsi" w:hAnsiTheme="minorHAnsi"/>
          <w:color w:val="0C0C0C"/>
        </w:rPr>
        <w:t>-positive</w:t>
      </w:r>
      <w:r>
        <w:rPr>
          <w:rFonts w:asciiTheme="minorHAnsi" w:hAnsiTheme="minorHAnsi"/>
          <w:color w:val="0C0C0C"/>
        </w:rPr>
        <w:t xml:space="preserve"> patient is not on ART at the start of</w:t>
      </w:r>
      <w:r w:rsidR="00C40E64">
        <w:rPr>
          <w:rFonts w:asciiTheme="minorHAnsi" w:hAnsiTheme="minorHAnsi"/>
          <w:color w:val="0C0C0C"/>
        </w:rPr>
        <w:t xml:space="preserve"> MDR-TB</w:t>
      </w:r>
      <w:r>
        <w:rPr>
          <w:rFonts w:asciiTheme="minorHAnsi" w:hAnsiTheme="minorHAnsi"/>
          <w:color w:val="0C0C0C"/>
        </w:rPr>
        <w:t xml:space="preserve"> therapy</w:t>
      </w:r>
      <w:r w:rsidR="00C40E64">
        <w:rPr>
          <w:rFonts w:asciiTheme="minorHAnsi" w:hAnsiTheme="minorHAnsi"/>
          <w:color w:val="0C0C0C"/>
        </w:rPr>
        <w:t>,</w:t>
      </w:r>
      <w:r>
        <w:rPr>
          <w:rFonts w:asciiTheme="minorHAnsi" w:hAnsiTheme="minorHAnsi"/>
          <w:color w:val="0C0C0C"/>
        </w:rPr>
        <w:t xml:space="preserve"> a </w:t>
      </w:r>
      <w:r w:rsidR="0003087B" w:rsidRPr="00990C17">
        <w:rPr>
          <w:rFonts w:asciiTheme="minorHAnsi" w:hAnsiTheme="minorHAnsi"/>
          <w:color w:val="0C0C0C"/>
        </w:rPr>
        <w:t>regimen</w:t>
      </w:r>
      <w:r>
        <w:rPr>
          <w:rFonts w:asciiTheme="minorHAnsi" w:hAnsiTheme="minorHAnsi"/>
          <w:color w:val="0C0C0C"/>
        </w:rPr>
        <w:t xml:space="preserve"> of allowed medications should be started shortly after start of the MDR-TB study regimen</w:t>
      </w:r>
      <w:r w:rsidR="00C10D4A">
        <w:rPr>
          <w:rFonts w:asciiTheme="minorHAnsi" w:hAnsiTheme="minorHAnsi"/>
          <w:color w:val="0C0C0C"/>
        </w:rPr>
        <w:t>, as per WHO recommendations (see Reference 1</w:t>
      </w:r>
      <w:r w:rsidR="002A6E48">
        <w:rPr>
          <w:rFonts w:asciiTheme="minorHAnsi" w:hAnsiTheme="minorHAnsi"/>
          <w:color w:val="0C0C0C"/>
        </w:rPr>
        <w:t xml:space="preserve">, </w:t>
      </w:r>
      <w:r w:rsidR="00C10D4A">
        <w:rPr>
          <w:rFonts w:asciiTheme="minorHAnsi" w:hAnsiTheme="minorHAnsi"/>
          <w:color w:val="0C0C0C"/>
        </w:rPr>
        <w:t>2</w:t>
      </w:r>
      <w:r w:rsidR="002A6E48">
        <w:rPr>
          <w:rFonts w:asciiTheme="minorHAnsi" w:hAnsiTheme="minorHAnsi"/>
          <w:color w:val="0C0C0C"/>
        </w:rPr>
        <w:t xml:space="preserve">, </w:t>
      </w:r>
      <w:r w:rsidR="0077405F">
        <w:rPr>
          <w:rFonts w:asciiTheme="minorHAnsi" w:hAnsiTheme="minorHAnsi"/>
          <w:color w:val="0C0C0C"/>
        </w:rPr>
        <w:t xml:space="preserve"> and 3</w:t>
      </w:r>
      <w:r w:rsidR="00C40E64">
        <w:rPr>
          <w:rFonts w:asciiTheme="minorHAnsi" w:hAnsiTheme="minorHAnsi"/>
          <w:color w:val="0C0C0C"/>
        </w:rPr>
        <w:t xml:space="preserve"> </w:t>
      </w:r>
      <w:r w:rsidR="00C10D4A">
        <w:rPr>
          <w:rFonts w:asciiTheme="minorHAnsi" w:hAnsiTheme="minorHAnsi"/>
          <w:color w:val="0C0C0C"/>
        </w:rPr>
        <w:t>below)</w:t>
      </w:r>
      <w:r>
        <w:rPr>
          <w:rFonts w:asciiTheme="minorHAnsi" w:hAnsiTheme="minorHAnsi"/>
          <w:color w:val="0C0C0C"/>
        </w:rPr>
        <w:t>.</w:t>
      </w:r>
    </w:p>
    <w:p w14:paraId="31B12F1F" w14:textId="77777777" w:rsidR="00C10D4A" w:rsidRDefault="00C10D4A" w:rsidP="00F77108">
      <w:pPr>
        <w:pStyle w:val="ListParagraph"/>
        <w:numPr>
          <w:ilvl w:val="1"/>
          <w:numId w:val="38"/>
        </w:numPr>
        <w:jc w:val="both"/>
        <w:rPr>
          <w:rFonts w:asciiTheme="minorHAnsi" w:hAnsiTheme="minorHAnsi"/>
          <w:color w:val="0C0C0C"/>
        </w:rPr>
      </w:pPr>
      <w:r>
        <w:rPr>
          <w:rFonts w:asciiTheme="minorHAnsi" w:hAnsiTheme="minorHAnsi"/>
          <w:color w:val="0C0C0C"/>
        </w:rPr>
        <w:t xml:space="preserve">All patients on an ART regimen at the start of MDR-TB therapy should be assessed to evaluate if the regimen is working </w:t>
      </w:r>
      <w:r w:rsidR="00D45D58">
        <w:rPr>
          <w:rFonts w:asciiTheme="minorHAnsi" w:hAnsiTheme="minorHAnsi"/>
          <w:color w:val="0C0C0C"/>
        </w:rPr>
        <w:t>through a</w:t>
      </w:r>
      <w:r>
        <w:rPr>
          <w:rFonts w:asciiTheme="minorHAnsi" w:hAnsiTheme="minorHAnsi"/>
          <w:color w:val="0C0C0C"/>
        </w:rPr>
        <w:t xml:space="preserve"> clinical evaluation, CD4</w:t>
      </w:r>
      <w:r w:rsidR="00D45D58">
        <w:rPr>
          <w:rFonts w:asciiTheme="minorHAnsi" w:hAnsiTheme="minorHAnsi"/>
          <w:color w:val="0C0C0C"/>
        </w:rPr>
        <w:t xml:space="preserve"> count</w:t>
      </w:r>
      <w:r>
        <w:rPr>
          <w:rFonts w:asciiTheme="minorHAnsi" w:hAnsiTheme="minorHAnsi"/>
          <w:color w:val="0C0C0C"/>
        </w:rPr>
        <w:t>, and</w:t>
      </w:r>
      <w:r w:rsidR="00C40E64">
        <w:rPr>
          <w:rFonts w:asciiTheme="minorHAnsi" w:hAnsiTheme="minorHAnsi"/>
          <w:color w:val="0C0C0C"/>
        </w:rPr>
        <w:t xml:space="preserve"> measurement of the</w:t>
      </w:r>
      <w:r>
        <w:rPr>
          <w:rFonts w:asciiTheme="minorHAnsi" w:hAnsiTheme="minorHAnsi"/>
          <w:color w:val="0C0C0C"/>
        </w:rPr>
        <w:t xml:space="preserve"> viral load (and HIV drug resistance testing</w:t>
      </w:r>
      <w:r w:rsidR="00C40E64">
        <w:rPr>
          <w:rFonts w:asciiTheme="minorHAnsi" w:hAnsiTheme="minorHAnsi"/>
          <w:color w:val="0C0C0C"/>
        </w:rPr>
        <w:t>,</w:t>
      </w:r>
      <w:r>
        <w:rPr>
          <w:rFonts w:asciiTheme="minorHAnsi" w:hAnsiTheme="minorHAnsi"/>
          <w:color w:val="0C0C0C"/>
        </w:rPr>
        <w:t xml:space="preserve"> if indicated and available).</w:t>
      </w:r>
    </w:p>
    <w:p w14:paraId="75698F66" w14:textId="77777777" w:rsidR="00C10D4A" w:rsidRDefault="00E4378B" w:rsidP="00F77108">
      <w:pPr>
        <w:pStyle w:val="ListParagraph"/>
        <w:numPr>
          <w:ilvl w:val="2"/>
          <w:numId w:val="38"/>
        </w:numPr>
        <w:jc w:val="both"/>
        <w:rPr>
          <w:rFonts w:asciiTheme="minorHAnsi" w:hAnsiTheme="minorHAnsi"/>
          <w:color w:val="0C0C0C"/>
        </w:rPr>
      </w:pPr>
      <w:r>
        <w:rPr>
          <w:rFonts w:asciiTheme="minorHAnsi" w:hAnsiTheme="minorHAnsi"/>
          <w:color w:val="0C0C0C"/>
        </w:rPr>
        <w:t xml:space="preserve">If </w:t>
      </w:r>
      <w:r w:rsidR="0003087B" w:rsidRPr="00990C17">
        <w:rPr>
          <w:rFonts w:asciiTheme="minorHAnsi" w:hAnsiTheme="minorHAnsi"/>
          <w:color w:val="0C0C0C"/>
        </w:rPr>
        <w:t>the patient</w:t>
      </w:r>
      <w:r w:rsidR="00D45D58">
        <w:rPr>
          <w:rFonts w:asciiTheme="minorHAnsi" w:hAnsiTheme="minorHAnsi"/>
          <w:color w:val="0C0C0C"/>
        </w:rPr>
        <w:t xml:space="preserve"> is</w:t>
      </w:r>
      <w:r w:rsidR="00C10D4A">
        <w:rPr>
          <w:rFonts w:asciiTheme="minorHAnsi" w:hAnsiTheme="minorHAnsi"/>
          <w:color w:val="0C0C0C"/>
        </w:rPr>
        <w:t xml:space="preserve"> on an ART regimen with allowed medications</w:t>
      </w:r>
      <w:r w:rsidR="00066A68">
        <w:rPr>
          <w:rFonts w:asciiTheme="minorHAnsi" w:hAnsiTheme="minorHAnsi"/>
          <w:color w:val="0C0C0C"/>
        </w:rPr>
        <w:t>,</w:t>
      </w:r>
      <w:r w:rsidR="00D45D58">
        <w:rPr>
          <w:rFonts w:asciiTheme="minorHAnsi" w:hAnsiTheme="minorHAnsi"/>
          <w:color w:val="0C0C0C"/>
        </w:rPr>
        <w:t xml:space="preserve"> </w:t>
      </w:r>
      <w:r w:rsidR="00C10D4A">
        <w:rPr>
          <w:rFonts w:asciiTheme="minorHAnsi" w:hAnsiTheme="minorHAnsi"/>
          <w:color w:val="0C0C0C"/>
        </w:rPr>
        <w:t>continue the regimen.</w:t>
      </w:r>
    </w:p>
    <w:p w14:paraId="6DAF45C5" w14:textId="7C88525A" w:rsidR="004F5F88" w:rsidRPr="00C33F47" w:rsidRDefault="0BD68B54" w:rsidP="00C33F47">
      <w:pPr>
        <w:pStyle w:val="ListParagraph"/>
        <w:numPr>
          <w:ilvl w:val="2"/>
          <w:numId w:val="38"/>
        </w:numPr>
        <w:jc w:val="both"/>
        <w:rPr>
          <w:rFonts w:asciiTheme="minorHAnsi" w:hAnsiTheme="minorHAnsi"/>
          <w:color w:val="0C0C0C"/>
        </w:rPr>
      </w:pPr>
      <w:r w:rsidRPr="0BD68B54">
        <w:rPr>
          <w:rFonts w:asciiTheme="minorHAnsi" w:hAnsiTheme="minorHAnsi"/>
          <w:color w:val="0C0C0C"/>
        </w:rPr>
        <w:t xml:space="preserve">If the patient is on an ART regimen with disallowed medications, evaluate if the patient can be safely changed to an ART regimen with allowed medicines. </w:t>
      </w:r>
      <w:r w:rsidRPr="0BD68B54">
        <w:rPr>
          <w:rFonts w:asciiTheme="minorHAnsi" w:hAnsiTheme="minorHAnsi"/>
          <w:color w:val="auto"/>
        </w:rPr>
        <w:t>If this is possible, the patient is eligible</w:t>
      </w:r>
      <w:r w:rsidRPr="0BD68B54">
        <w:rPr>
          <w:rFonts w:asciiTheme="minorHAnsi" w:hAnsiTheme="minorHAnsi" w:cstheme="minorBidi"/>
        </w:rPr>
        <w:t xml:space="preserve"> for randomization</w:t>
      </w:r>
      <w:r w:rsidRPr="0BD68B54">
        <w:rPr>
          <w:rFonts w:asciiTheme="minorHAnsi" w:hAnsiTheme="minorHAnsi"/>
          <w:color w:val="auto"/>
        </w:rPr>
        <w:t xml:space="preserve"> and may have to change his/her antiretroviral treatment regimen after randomization according to</w:t>
      </w:r>
      <w:r w:rsidRPr="0BD68B54">
        <w:rPr>
          <w:rFonts w:asciiTheme="minorHAnsi" w:hAnsiTheme="minorHAnsi"/>
          <w:color w:val="0C0C0C"/>
        </w:rPr>
        <w:t xml:space="preserve"> the SOP</w:t>
      </w:r>
      <w:r w:rsidRPr="0BD68B54">
        <w:rPr>
          <w:rFonts w:asciiTheme="minorHAnsi" w:hAnsiTheme="minorHAnsi"/>
          <w:b/>
          <w:bCs/>
          <w:i/>
          <w:iCs/>
          <w:color w:val="0C0C0C"/>
        </w:rPr>
        <w:t xml:space="preserve"> SP-019-CT</w:t>
      </w:r>
      <w:r w:rsidRPr="0BD68B54">
        <w:rPr>
          <w:rFonts w:asciiTheme="minorHAnsi" w:hAnsiTheme="minorHAnsi"/>
          <w:color w:val="0C0C0C"/>
        </w:rPr>
        <w:t xml:space="preserve">. If the change is not possible, </w:t>
      </w:r>
      <w:r w:rsidRPr="0BD68B54">
        <w:rPr>
          <w:rFonts w:asciiTheme="minorHAnsi" w:hAnsiTheme="minorHAnsi" w:cstheme="minorBidi"/>
        </w:rPr>
        <w:t>the patient is considered ineligible for randomization.</w:t>
      </w:r>
    </w:p>
    <w:p w14:paraId="14CC470D" w14:textId="082D4983" w:rsidR="00C33F47" w:rsidRPr="00C33F47" w:rsidRDefault="00C33F47" w:rsidP="00C33F47">
      <w:pPr>
        <w:pStyle w:val="ListParagraph"/>
        <w:numPr>
          <w:ilvl w:val="2"/>
          <w:numId w:val="38"/>
        </w:numPr>
        <w:jc w:val="both"/>
        <w:rPr>
          <w:rFonts w:asciiTheme="minorHAnsi" w:hAnsiTheme="minorHAnsi"/>
          <w:color w:val="0C0C0C"/>
        </w:rPr>
      </w:pPr>
      <w:r w:rsidRPr="00C33F47">
        <w:rPr>
          <w:rFonts w:asciiTheme="minorHAnsi" w:hAnsiTheme="minorHAnsi"/>
          <w:color w:val="0C0C0C"/>
        </w:rPr>
        <w:t>A recent study (</w:t>
      </w:r>
      <w:proofErr w:type="spellStart"/>
      <w:r w:rsidRPr="00C33F47">
        <w:rPr>
          <w:rFonts w:asciiTheme="minorHAnsi" w:hAnsiTheme="minorHAnsi"/>
          <w:color w:val="0C0C0C"/>
        </w:rPr>
        <w:t>Meintjes</w:t>
      </w:r>
      <w:proofErr w:type="spellEnd"/>
      <w:r w:rsidRPr="00C33F47">
        <w:rPr>
          <w:rFonts w:asciiTheme="minorHAnsi" w:hAnsiTheme="minorHAnsi"/>
          <w:color w:val="0C0C0C"/>
        </w:rPr>
        <w:t xml:space="preserve"> et al, see References) found that prophylactic prednisone may reduce the incidence of TB-IRIS in patients on treatment for drug-susceptible tuberculosis who were starting ART and with a CD4 count of 100 cells or fewer per microliter. In the study the incidence of TB-IRIS was 30% lower in participants who received prednisone compared to those who received placebo. Prednisone was started on the same day of ART start at 40 mg daily orally for 2 weeks, followed by 20 mg daily orally for 2 weeks, and then stopped. Currently, no evidence is available on the use of prednisone in patients with rifampin-resistant tuberculosis cases. Rifampin lowers the blood concentrations of corticosteroids and the equivalent dose of prednisone in a regimen that does not include rifampin is therefore unknown. In addition, the use of prednisone is not recommended in patients affected by cryptococcal meningitis and could be contraindicated in the presence of other comorbidities (e.g., diabetes). Given the above, the use of prednisone </w:t>
      </w:r>
      <w:r w:rsidR="004260CD">
        <w:rPr>
          <w:rFonts w:asciiTheme="minorHAnsi" w:hAnsiTheme="minorHAnsi"/>
          <w:color w:val="0C0C0C"/>
        </w:rPr>
        <w:t>could</w:t>
      </w:r>
      <w:r w:rsidRPr="00C33F47">
        <w:rPr>
          <w:rFonts w:asciiTheme="minorHAnsi" w:hAnsiTheme="minorHAnsi"/>
          <w:color w:val="0C0C0C"/>
        </w:rPr>
        <w:t xml:space="preserve"> be considered on a case-by-case basis for trial patients starting an ART regimen and with a CD4 count of 100 cells or fewer per microliter, after the exclusion of cryptococcal meningitis and in consultation with the CAC. The dose of prednisone could be half of what has been used in the study.</w:t>
      </w:r>
    </w:p>
    <w:p w14:paraId="7814915F" w14:textId="70454B62" w:rsidR="00012576" w:rsidRPr="00C10D4A" w:rsidRDefault="004F5F88" w:rsidP="00F77108">
      <w:pPr>
        <w:pStyle w:val="ListParagraph"/>
        <w:numPr>
          <w:ilvl w:val="0"/>
          <w:numId w:val="38"/>
        </w:numPr>
        <w:jc w:val="both"/>
        <w:rPr>
          <w:rFonts w:asciiTheme="minorHAnsi" w:hAnsiTheme="minorHAnsi"/>
          <w:color w:val="0C0C0C"/>
        </w:rPr>
      </w:pPr>
      <w:r w:rsidRPr="004E6C15">
        <w:rPr>
          <w:rFonts w:asciiTheme="minorHAnsi" w:hAnsiTheme="minorHAnsi"/>
          <w:color w:val="auto"/>
        </w:rPr>
        <w:lastRenderedPageBreak/>
        <w:t>Changing a patient’s ART regimen</w:t>
      </w:r>
      <w:r w:rsidR="00DE1461" w:rsidRPr="004E6C15">
        <w:rPr>
          <w:rFonts w:asciiTheme="minorHAnsi" w:hAnsiTheme="minorHAnsi"/>
          <w:color w:val="auto"/>
        </w:rPr>
        <w:t xml:space="preserve"> because it contains disallowed drugs</w:t>
      </w:r>
      <w:r w:rsidRPr="004E6C15">
        <w:rPr>
          <w:rFonts w:asciiTheme="minorHAnsi" w:hAnsiTheme="minorHAnsi"/>
          <w:color w:val="auto"/>
        </w:rPr>
        <w:t xml:space="preserve"> or because o</w:t>
      </w:r>
      <w:r>
        <w:rPr>
          <w:rFonts w:asciiTheme="minorHAnsi" w:hAnsiTheme="minorHAnsi"/>
          <w:color w:val="auto"/>
        </w:rPr>
        <w:t>f drug resistance</w:t>
      </w:r>
      <w:r w:rsidR="00D45D58">
        <w:rPr>
          <w:rFonts w:asciiTheme="minorHAnsi" w:hAnsiTheme="minorHAnsi"/>
          <w:color w:val="auto"/>
        </w:rPr>
        <w:t xml:space="preserve"> (regimen failure)</w:t>
      </w:r>
      <w:r>
        <w:rPr>
          <w:rFonts w:asciiTheme="minorHAnsi" w:hAnsiTheme="minorHAnsi"/>
          <w:color w:val="auto"/>
        </w:rPr>
        <w:t xml:space="preserve"> should be done in consultation with an experienced physician</w:t>
      </w:r>
      <w:r w:rsidR="00D45D58">
        <w:rPr>
          <w:rFonts w:asciiTheme="minorHAnsi" w:hAnsiTheme="minorHAnsi"/>
          <w:color w:val="auto"/>
        </w:rPr>
        <w:t xml:space="preserve"> in HIV. T</w:t>
      </w:r>
      <w:r>
        <w:rPr>
          <w:rFonts w:asciiTheme="minorHAnsi" w:hAnsiTheme="minorHAnsi"/>
          <w:color w:val="auto"/>
        </w:rPr>
        <w:t>he specific protocols</w:t>
      </w:r>
      <w:r w:rsidR="00D45D58">
        <w:rPr>
          <w:rFonts w:asciiTheme="minorHAnsi" w:hAnsiTheme="minorHAnsi"/>
          <w:color w:val="auto"/>
        </w:rPr>
        <w:t xml:space="preserve"> of ART design and changes</w:t>
      </w:r>
      <w:r>
        <w:rPr>
          <w:rFonts w:asciiTheme="minorHAnsi" w:hAnsiTheme="minorHAnsi"/>
          <w:color w:val="auto"/>
        </w:rPr>
        <w:t xml:space="preserve"> are beyond the scope of this SOP.</w:t>
      </w:r>
      <w:r w:rsidR="00D45D58">
        <w:rPr>
          <w:rFonts w:asciiTheme="minorHAnsi" w:hAnsiTheme="minorHAnsi"/>
          <w:color w:val="auto"/>
        </w:rPr>
        <w:t xml:space="preserve"> The C</w:t>
      </w:r>
      <w:r w:rsidR="00CD131C">
        <w:rPr>
          <w:rFonts w:asciiTheme="minorHAnsi" w:hAnsiTheme="minorHAnsi"/>
          <w:color w:val="auto"/>
        </w:rPr>
        <w:t>linical Advisory Committee (CAC)</w:t>
      </w:r>
      <w:r w:rsidR="00D45D58">
        <w:rPr>
          <w:rFonts w:asciiTheme="minorHAnsi" w:hAnsiTheme="minorHAnsi"/>
          <w:color w:val="auto"/>
        </w:rPr>
        <w:t xml:space="preserve"> </w:t>
      </w:r>
      <w:r w:rsidR="00CD131C">
        <w:rPr>
          <w:rFonts w:asciiTheme="minorHAnsi" w:hAnsiTheme="minorHAnsi"/>
          <w:color w:val="auto"/>
        </w:rPr>
        <w:t xml:space="preserve">(see </w:t>
      </w:r>
      <w:r w:rsidR="00A162BF" w:rsidRPr="00E53814">
        <w:rPr>
          <w:rFonts w:asciiTheme="minorHAnsi" w:hAnsiTheme="minorHAnsi"/>
          <w:color w:val="auto"/>
        </w:rPr>
        <w:t>SOP</w:t>
      </w:r>
      <w:r w:rsidR="00CD131C" w:rsidRPr="00F77108">
        <w:rPr>
          <w:rFonts w:asciiTheme="minorHAnsi" w:hAnsiTheme="minorHAnsi"/>
          <w:b/>
          <w:i/>
          <w:color w:val="auto"/>
        </w:rPr>
        <w:t xml:space="preserve"> SP-024-CT</w:t>
      </w:r>
      <w:r w:rsidR="003C5C79">
        <w:rPr>
          <w:rFonts w:asciiTheme="minorHAnsi" w:hAnsiTheme="minorHAnsi"/>
          <w:color w:val="auto"/>
        </w:rPr>
        <w:t xml:space="preserve"> on</w:t>
      </w:r>
      <w:r w:rsidR="00CD131C" w:rsidRPr="00F77108">
        <w:rPr>
          <w:rFonts w:asciiTheme="minorHAnsi" w:hAnsiTheme="minorHAnsi"/>
          <w:b/>
          <w:i/>
          <w:color w:val="auto"/>
        </w:rPr>
        <w:t xml:space="preserve"> </w:t>
      </w:r>
      <w:r w:rsidR="00D0333A">
        <w:rPr>
          <w:rFonts w:asciiTheme="minorHAnsi" w:hAnsiTheme="minorHAnsi"/>
          <w:b/>
          <w:i/>
          <w:color w:val="auto"/>
        </w:rPr>
        <w:t xml:space="preserve">Modus Operandi and </w:t>
      </w:r>
      <w:r w:rsidR="00CD131C" w:rsidRPr="00F77108">
        <w:rPr>
          <w:rFonts w:asciiTheme="minorHAnsi" w:hAnsiTheme="minorHAnsi"/>
          <w:b/>
          <w:i/>
          <w:color w:val="auto"/>
        </w:rPr>
        <w:t>Communication with the Clinical Advisory Committee</w:t>
      </w:r>
      <w:r w:rsidR="00CD131C">
        <w:rPr>
          <w:rFonts w:asciiTheme="minorHAnsi" w:hAnsiTheme="minorHAnsi"/>
          <w:color w:val="auto"/>
        </w:rPr>
        <w:t xml:space="preserve">) </w:t>
      </w:r>
      <w:r w:rsidR="00D45D58">
        <w:rPr>
          <w:rFonts w:asciiTheme="minorHAnsi" w:hAnsiTheme="minorHAnsi"/>
          <w:color w:val="auto"/>
        </w:rPr>
        <w:t>is available for advice with patient management on designing or changing a patient’s ART.</w:t>
      </w:r>
    </w:p>
    <w:p w14:paraId="4819DEA0" w14:textId="77777777" w:rsidR="00643FD5" w:rsidRPr="00990C17" w:rsidRDefault="007A0C05" w:rsidP="00F77108">
      <w:pPr>
        <w:pStyle w:val="ListParagraph"/>
        <w:numPr>
          <w:ilvl w:val="0"/>
          <w:numId w:val="38"/>
        </w:numPr>
        <w:jc w:val="both"/>
        <w:rPr>
          <w:rFonts w:asciiTheme="minorHAnsi" w:hAnsiTheme="minorHAnsi"/>
          <w:color w:val="0C0C0C"/>
        </w:rPr>
      </w:pPr>
      <w:r w:rsidRPr="00990C17">
        <w:rPr>
          <w:rFonts w:asciiTheme="minorHAnsi" w:hAnsiTheme="minorHAnsi"/>
        </w:rPr>
        <w:t>Provide co-</w:t>
      </w:r>
      <w:r w:rsidR="004E6C15">
        <w:rPr>
          <w:rFonts w:asciiTheme="minorHAnsi" w:hAnsiTheme="minorHAnsi"/>
        </w:rPr>
        <w:t>trim</w:t>
      </w:r>
      <w:r w:rsidR="00F96314" w:rsidRPr="00990C17">
        <w:rPr>
          <w:rFonts w:asciiTheme="minorHAnsi" w:hAnsiTheme="minorHAnsi"/>
        </w:rPr>
        <w:t>oxazole</w:t>
      </w:r>
      <w:r w:rsidRPr="00990C17">
        <w:rPr>
          <w:rFonts w:asciiTheme="minorHAnsi" w:hAnsiTheme="minorHAnsi"/>
        </w:rPr>
        <w:t xml:space="preserve"> to</w:t>
      </w:r>
      <w:r w:rsidR="00643FD5" w:rsidRPr="00990C17">
        <w:rPr>
          <w:rFonts w:asciiTheme="minorHAnsi" w:hAnsiTheme="minorHAnsi"/>
        </w:rPr>
        <w:t xml:space="preserve"> patients with HIV according to WHO recommendations</w:t>
      </w:r>
      <w:r w:rsidR="00C10D4A">
        <w:rPr>
          <w:rFonts w:asciiTheme="minorHAnsi" w:hAnsiTheme="minorHAnsi"/>
        </w:rPr>
        <w:t xml:space="preserve"> </w:t>
      </w:r>
      <w:r w:rsidR="00C10D4A">
        <w:rPr>
          <w:rFonts w:asciiTheme="minorHAnsi" w:hAnsiTheme="minorHAnsi"/>
          <w:color w:val="0C0C0C"/>
        </w:rPr>
        <w:t>(see Reference 1 below).</w:t>
      </w:r>
      <w:r w:rsidR="00F96314">
        <w:rPr>
          <w:rFonts w:asciiTheme="minorHAnsi" w:hAnsiTheme="minorHAnsi"/>
          <w:color w:val="0C0C0C"/>
        </w:rPr>
        <w:t xml:space="preserve"> Considering that co-trimoxazole has the potential to prolong the QT interval, use caution when administering it together with other QT-prolonging drugs.</w:t>
      </w:r>
    </w:p>
    <w:p w14:paraId="237E765F" w14:textId="77777777" w:rsidR="008B4222" w:rsidRPr="00990C17" w:rsidRDefault="00F96314" w:rsidP="00F77108">
      <w:pPr>
        <w:pStyle w:val="ListParagraph"/>
        <w:numPr>
          <w:ilvl w:val="0"/>
          <w:numId w:val="38"/>
        </w:numPr>
        <w:jc w:val="both"/>
        <w:rPr>
          <w:rFonts w:asciiTheme="minorHAnsi" w:hAnsiTheme="minorHAnsi"/>
          <w:color w:val="0C0C0C"/>
        </w:rPr>
      </w:pPr>
      <w:r w:rsidRPr="00F77108">
        <w:rPr>
          <w:rFonts w:asciiTheme="minorHAnsi" w:hAnsiTheme="minorHAnsi"/>
          <w:color w:val="auto"/>
        </w:rPr>
        <w:t>The use</w:t>
      </w:r>
      <w:r w:rsidR="008B4222" w:rsidRPr="00F77108">
        <w:rPr>
          <w:rFonts w:asciiTheme="minorHAnsi" w:hAnsiTheme="minorHAnsi"/>
          <w:color w:val="auto"/>
        </w:rPr>
        <w:t xml:space="preserve"> </w:t>
      </w:r>
      <w:r w:rsidR="008B4222" w:rsidRPr="00990C17">
        <w:rPr>
          <w:rFonts w:asciiTheme="minorHAnsi" w:hAnsiTheme="minorHAnsi"/>
          <w:color w:val="auto"/>
        </w:rPr>
        <w:t>of azole antifungals</w:t>
      </w:r>
      <w:r w:rsidR="008B4222" w:rsidRPr="00990C17">
        <w:rPr>
          <w:rFonts w:asciiTheme="minorHAnsi" w:hAnsiTheme="minorHAnsi"/>
        </w:rPr>
        <w:t xml:space="preserve"> is co</w:t>
      </w:r>
      <w:r w:rsidR="004F5F88">
        <w:rPr>
          <w:rFonts w:asciiTheme="minorHAnsi" w:hAnsiTheme="minorHAnsi"/>
        </w:rPr>
        <w:t xml:space="preserve">ntraindicated in the patients </w:t>
      </w:r>
      <w:r w:rsidR="004E2851">
        <w:rPr>
          <w:rFonts w:asciiTheme="minorHAnsi" w:hAnsiTheme="minorHAnsi"/>
        </w:rPr>
        <w:t xml:space="preserve">who </w:t>
      </w:r>
      <w:r w:rsidR="004F5F88">
        <w:rPr>
          <w:rFonts w:asciiTheme="minorHAnsi" w:hAnsiTheme="minorHAnsi"/>
        </w:rPr>
        <w:t xml:space="preserve">are </w:t>
      </w:r>
      <w:r>
        <w:rPr>
          <w:rFonts w:asciiTheme="minorHAnsi" w:hAnsiTheme="minorHAnsi"/>
        </w:rPr>
        <w:t>receiving</w:t>
      </w:r>
      <w:r w:rsidR="008B4222" w:rsidRPr="00990C17">
        <w:rPr>
          <w:rFonts w:asciiTheme="minorHAnsi" w:hAnsiTheme="minorHAnsi"/>
        </w:rPr>
        <w:t xml:space="preserve"> </w:t>
      </w:r>
      <w:proofErr w:type="spellStart"/>
      <w:r w:rsidR="005F608B" w:rsidRPr="00990C17">
        <w:rPr>
          <w:rFonts w:asciiTheme="minorHAnsi" w:hAnsiTheme="minorHAnsi"/>
        </w:rPr>
        <w:t>bedaquiline</w:t>
      </w:r>
      <w:proofErr w:type="spellEnd"/>
      <w:r w:rsidR="008B4222" w:rsidRPr="00990C17">
        <w:rPr>
          <w:rFonts w:asciiTheme="minorHAnsi" w:hAnsiTheme="minorHAnsi"/>
        </w:rPr>
        <w:t>.</w:t>
      </w:r>
    </w:p>
    <w:p w14:paraId="458FD09C" w14:textId="77777777" w:rsidR="00E624A3" w:rsidRPr="00990C17" w:rsidRDefault="00F71006" w:rsidP="00F77108">
      <w:pPr>
        <w:pStyle w:val="ListParagraph"/>
        <w:numPr>
          <w:ilvl w:val="0"/>
          <w:numId w:val="38"/>
        </w:numPr>
        <w:jc w:val="both"/>
        <w:rPr>
          <w:rFonts w:asciiTheme="minorHAnsi" w:hAnsiTheme="minorHAnsi"/>
          <w:color w:val="0C0C0C"/>
        </w:rPr>
      </w:pPr>
      <w:r w:rsidRPr="00990C17">
        <w:rPr>
          <w:rFonts w:asciiTheme="minorHAnsi" w:hAnsiTheme="minorHAnsi"/>
        </w:rPr>
        <w:t>Adverse events are more frequent in HIV infected patients and o</w:t>
      </w:r>
      <w:r w:rsidR="00E624A3" w:rsidRPr="00990C17">
        <w:rPr>
          <w:rFonts w:asciiTheme="minorHAnsi" w:hAnsiTheme="minorHAnsi"/>
        </w:rPr>
        <w:t>verlapping toxicities can occur</w:t>
      </w:r>
      <w:r w:rsidR="007A0C05" w:rsidRPr="00990C17">
        <w:rPr>
          <w:rFonts w:asciiTheme="minorHAnsi" w:hAnsiTheme="minorHAnsi"/>
        </w:rPr>
        <w:t xml:space="preserve"> wi</w:t>
      </w:r>
      <w:r w:rsidR="00DD1299" w:rsidRPr="00990C17">
        <w:rPr>
          <w:rFonts w:asciiTheme="minorHAnsi" w:hAnsiTheme="minorHAnsi"/>
        </w:rPr>
        <w:t>th ART and MDR-TB treatment. Th</w:t>
      </w:r>
      <w:r w:rsidRPr="00990C17">
        <w:rPr>
          <w:rFonts w:asciiTheme="minorHAnsi" w:hAnsiTheme="minorHAnsi"/>
        </w:rPr>
        <w:t xml:space="preserve">e following </w:t>
      </w:r>
      <w:r w:rsidR="00DD1299" w:rsidRPr="00990C17">
        <w:rPr>
          <w:rFonts w:asciiTheme="minorHAnsi" w:hAnsiTheme="minorHAnsi"/>
        </w:rPr>
        <w:t>adjustments should be made to the monitoring schedule</w:t>
      </w:r>
      <w:r w:rsidRPr="00990C17">
        <w:rPr>
          <w:rFonts w:asciiTheme="minorHAnsi" w:hAnsiTheme="minorHAnsi"/>
        </w:rPr>
        <w:t>:</w:t>
      </w:r>
    </w:p>
    <w:p w14:paraId="3942D00E" w14:textId="77777777" w:rsidR="00DD1299" w:rsidRPr="00990C17" w:rsidRDefault="00737E28" w:rsidP="00F77108">
      <w:pPr>
        <w:pStyle w:val="ListParagraph"/>
        <w:numPr>
          <w:ilvl w:val="1"/>
          <w:numId w:val="38"/>
        </w:numPr>
        <w:jc w:val="both"/>
        <w:rPr>
          <w:rFonts w:asciiTheme="minorHAnsi" w:hAnsiTheme="minorHAnsi"/>
          <w:color w:val="0C0C0C"/>
        </w:rPr>
      </w:pPr>
      <w:r w:rsidRPr="00990C17">
        <w:rPr>
          <w:rFonts w:asciiTheme="minorHAnsi" w:hAnsiTheme="minorHAnsi"/>
        </w:rPr>
        <w:t>Risk of nephrotoxicity is increased for HIV</w:t>
      </w:r>
      <w:r w:rsidR="00DD1299" w:rsidRPr="00990C17">
        <w:rPr>
          <w:rFonts w:asciiTheme="minorHAnsi" w:hAnsiTheme="minorHAnsi"/>
        </w:rPr>
        <w:t xml:space="preserve"> patients</w:t>
      </w:r>
      <w:r w:rsidRPr="00990C17">
        <w:rPr>
          <w:rFonts w:asciiTheme="minorHAnsi" w:hAnsiTheme="minorHAnsi"/>
        </w:rPr>
        <w:t xml:space="preserve"> on MDR-TB treatment. </w:t>
      </w:r>
      <w:r w:rsidRPr="00F77108">
        <w:rPr>
          <w:rFonts w:asciiTheme="minorHAnsi" w:hAnsiTheme="minorHAnsi"/>
          <w:color w:val="auto"/>
        </w:rPr>
        <w:t>Therefore, while</w:t>
      </w:r>
      <w:r w:rsidR="00DD1299" w:rsidRPr="00F77108">
        <w:rPr>
          <w:rFonts w:asciiTheme="minorHAnsi" w:hAnsiTheme="minorHAnsi"/>
          <w:color w:val="auto"/>
        </w:rPr>
        <w:t xml:space="preserve"> on the injectable agent (kanamycin, amikacin, and capreomycin) creatinine and potassium levels should be monitored more often, weekly for the first month</w:t>
      </w:r>
      <w:r w:rsidR="00B07F6F" w:rsidRPr="00F77108">
        <w:rPr>
          <w:rFonts w:asciiTheme="minorHAnsi" w:hAnsiTheme="minorHAnsi"/>
          <w:color w:val="auto"/>
        </w:rPr>
        <w:t>,</w:t>
      </w:r>
      <w:r w:rsidR="00DD1299" w:rsidRPr="00F77108">
        <w:rPr>
          <w:rFonts w:asciiTheme="minorHAnsi" w:hAnsiTheme="minorHAnsi"/>
          <w:color w:val="auto"/>
        </w:rPr>
        <w:t xml:space="preserve"> and then at least twice </w:t>
      </w:r>
      <w:r w:rsidR="00DE1461" w:rsidRPr="00F77108">
        <w:rPr>
          <w:rFonts w:asciiTheme="minorHAnsi" w:hAnsiTheme="minorHAnsi"/>
          <w:color w:val="auto"/>
        </w:rPr>
        <w:t xml:space="preserve">monthly </w:t>
      </w:r>
      <w:r w:rsidR="00DD1299" w:rsidRPr="00F77108">
        <w:rPr>
          <w:rFonts w:asciiTheme="minorHAnsi" w:hAnsiTheme="minorHAnsi"/>
          <w:color w:val="auto"/>
        </w:rPr>
        <w:t>while receiving the injectable agent</w:t>
      </w:r>
      <w:r w:rsidR="00DD1299" w:rsidRPr="00990C17">
        <w:rPr>
          <w:rFonts w:asciiTheme="minorHAnsi" w:hAnsiTheme="minorHAnsi"/>
        </w:rPr>
        <w:t>.</w:t>
      </w:r>
    </w:p>
    <w:p w14:paraId="53348BB1" w14:textId="77777777" w:rsidR="00F71006" w:rsidRPr="00990C17" w:rsidRDefault="00F71006" w:rsidP="00F77108">
      <w:pPr>
        <w:pStyle w:val="ListParagraph"/>
        <w:numPr>
          <w:ilvl w:val="1"/>
          <w:numId w:val="38"/>
        </w:numPr>
        <w:jc w:val="both"/>
        <w:rPr>
          <w:rFonts w:asciiTheme="minorHAnsi" w:hAnsiTheme="minorHAnsi"/>
          <w:color w:val="0C0C0C"/>
        </w:rPr>
      </w:pPr>
      <w:r w:rsidRPr="00990C17">
        <w:rPr>
          <w:rFonts w:asciiTheme="minorHAnsi" w:hAnsiTheme="minorHAnsi"/>
        </w:rPr>
        <w:t>Risk of nephrotoxicity m</w:t>
      </w:r>
      <w:r w:rsidR="00DD1299" w:rsidRPr="00990C17">
        <w:rPr>
          <w:rFonts w:asciiTheme="minorHAnsi" w:hAnsiTheme="minorHAnsi"/>
        </w:rPr>
        <w:t xml:space="preserve">ay be increased with tenofovir – </w:t>
      </w:r>
      <w:r w:rsidR="00FE162A">
        <w:rPr>
          <w:rFonts w:asciiTheme="minorHAnsi" w:hAnsiTheme="minorHAnsi"/>
        </w:rPr>
        <w:t xml:space="preserve">the </w:t>
      </w:r>
      <w:r w:rsidR="00DD1299" w:rsidRPr="00990C17">
        <w:rPr>
          <w:rFonts w:asciiTheme="minorHAnsi" w:hAnsiTheme="minorHAnsi"/>
        </w:rPr>
        <w:t>same adjustment in creatini</w:t>
      </w:r>
      <w:r w:rsidR="00FE162A">
        <w:rPr>
          <w:rFonts w:asciiTheme="minorHAnsi" w:hAnsiTheme="minorHAnsi"/>
        </w:rPr>
        <w:t>ne and electrolyte monitoring</w:t>
      </w:r>
      <w:r w:rsidR="00DD1299" w:rsidRPr="00990C17">
        <w:rPr>
          <w:rFonts w:asciiTheme="minorHAnsi" w:hAnsiTheme="minorHAnsi"/>
        </w:rPr>
        <w:t xml:space="preserve"> for all HIV patients</w:t>
      </w:r>
      <w:r w:rsidR="00FE162A">
        <w:rPr>
          <w:rFonts w:asciiTheme="minorHAnsi" w:hAnsiTheme="minorHAnsi"/>
        </w:rPr>
        <w:t xml:space="preserve"> should be followed</w:t>
      </w:r>
      <w:r w:rsidR="00DD1299" w:rsidRPr="00990C17">
        <w:rPr>
          <w:rFonts w:asciiTheme="minorHAnsi" w:hAnsiTheme="minorHAnsi"/>
        </w:rPr>
        <w:t xml:space="preserve"> (weekly for the first month and then at least twice </w:t>
      </w:r>
      <w:r w:rsidR="00AE2826">
        <w:rPr>
          <w:rFonts w:asciiTheme="minorHAnsi" w:hAnsiTheme="minorHAnsi"/>
        </w:rPr>
        <w:t>monthly</w:t>
      </w:r>
      <w:r w:rsidR="00AE2826" w:rsidRPr="00990C17">
        <w:rPr>
          <w:rFonts w:asciiTheme="minorHAnsi" w:hAnsiTheme="minorHAnsi"/>
        </w:rPr>
        <w:t xml:space="preserve"> </w:t>
      </w:r>
      <w:r w:rsidR="00DD1299" w:rsidRPr="00990C17">
        <w:rPr>
          <w:rFonts w:asciiTheme="minorHAnsi" w:hAnsiTheme="minorHAnsi"/>
        </w:rPr>
        <w:t>while receiving the injectable agent).</w:t>
      </w:r>
    </w:p>
    <w:p w14:paraId="21DFE0A4" w14:textId="5D67787D" w:rsidR="00DD1299" w:rsidRPr="00990C17" w:rsidRDefault="00DD1299" w:rsidP="00F77108">
      <w:pPr>
        <w:pStyle w:val="ListParagraph"/>
        <w:numPr>
          <w:ilvl w:val="1"/>
          <w:numId w:val="38"/>
        </w:numPr>
        <w:jc w:val="both"/>
        <w:rPr>
          <w:rFonts w:asciiTheme="minorHAnsi" w:hAnsiTheme="minorHAnsi"/>
          <w:color w:val="0C0C0C"/>
        </w:rPr>
      </w:pPr>
      <w:r w:rsidRPr="00990C17">
        <w:rPr>
          <w:rFonts w:asciiTheme="minorHAnsi" w:hAnsiTheme="minorHAnsi"/>
        </w:rPr>
        <w:t>Risk of myelosu</w:t>
      </w:r>
      <w:r w:rsidR="008F731A">
        <w:rPr>
          <w:rFonts w:asciiTheme="minorHAnsi" w:hAnsiTheme="minorHAnsi"/>
        </w:rPr>
        <w:t>p</w:t>
      </w:r>
      <w:r w:rsidRPr="00990C17">
        <w:rPr>
          <w:rFonts w:asciiTheme="minorHAnsi" w:hAnsiTheme="minorHAnsi"/>
        </w:rPr>
        <w:t>pression is increased with AZT – no change in monitoring schedule</w:t>
      </w:r>
      <w:r w:rsidR="00491DB3">
        <w:rPr>
          <w:rFonts w:asciiTheme="minorHAnsi" w:hAnsiTheme="minorHAnsi"/>
        </w:rPr>
        <w:t>, avoid concomitant use with linezolid</w:t>
      </w:r>
      <w:r w:rsidRPr="00990C17">
        <w:rPr>
          <w:rFonts w:asciiTheme="minorHAnsi" w:hAnsiTheme="minorHAnsi"/>
        </w:rPr>
        <w:t>.</w:t>
      </w:r>
    </w:p>
    <w:p w14:paraId="24B9B72A" w14:textId="77777777" w:rsidR="00ED30E1" w:rsidRPr="00990C17" w:rsidRDefault="00ED30E1" w:rsidP="00F77108">
      <w:pPr>
        <w:pStyle w:val="ListParagraph"/>
        <w:numPr>
          <w:ilvl w:val="1"/>
          <w:numId w:val="38"/>
        </w:numPr>
        <w:jc w:val="both"/>
        <w:rPr>
          <w:rFonts w:asciiTheme="minorHAnsi" w:hAnsiTheme="minorHAnsi"/>
          <w:color w:val="0C0C0C"/>
        </w:rPr>
      </w:pPr>
      <w:r w:rsidRPr="00990C17">
        <w:rPr>
          <w:rFonts w:asciiTheme="minorHAnsi" w:hAnsiTheme="minorHAnsi"/>
          <w:color w:val="0C0C0C"/>
        </w:rPr>
        <w:t xml:space="preserve">Risk of peripheral neuropathy </w:t>
      </w:r>
      <w:r w:rsidR="003628ED" w:rsidRPr="00990C17">
        <w:rPr>
          <w:rFonts w:asciiTheme="minorHAnsi" w:hAnsiTheme="minorHAnsi"/>
          <w:color w:val="0C0C0C"/>
        </w:rPr>
        <w:t xml:space="preserve">is increased with D4T and </w:t>
      </w:r>
      <w:proofErr w:type="spellStart"/>
      <w:r w:rsidR="003628ED" w:rsidRPr="00990C17">
        <w:rPr>
          <w:rFonts w:asciiTheme="minorHAnsi" w:hAnsiTheme="minorHAnsi"/>
          <w:color w:val="0C0C0C"/>
        </w:rPr>
        <w:t>ddI</w:t>
      </w:r>
      <w:proofErr w:type="spellEnd"/>
      <w:r w:rsidR="003628ED" w:rsidRPr="00990C17">
        <w:rPr>
          <w:rFonts w:asciiTheme="minorHAnsi" w:hAnsiTheme="minorHAnsi"/>
          <w:color w:val="0C0C0C"/>
        </w:rPr>
        <w:t xml:space="preserve"> </w:t>
      </w:r>
      <w:r w:rsidRPr="00990C17">
        <w:rPr>
          <w:rFonts w:asciiTheme="minorHAnsi" w:hAnsiTheme="minorHAnsi"/>
          <w:color w:val="0C0C0C"/>
        </w:rPr>
        <w:t xml:space="preserve">– avoid these drugs if possible. </w:t>
      </w:r>
      <w:r w:rsidRPr="00990C17">
        <w:rPr>
          <w:rFonts w:asciiTheme="minorHAnsi" w:hAnsiTheme="minorHAnsi"/>
        </w:rPr>
        <w:t xml:space="preserve">No change in monitoring schedule required if </w:t>
      </w:r>
      <w:r w:rsidR="00FE162A">
        <w:rPr>
          <w:rFonts w:asciiTheme="minorHAnsi" w:hAnsiTheme="minorHAnsi"/>
        </w:rPr>
        <w:t xml:space="preserve">they are </w:t>
      </w:r>
      <w:r w:rsidRPr="00990C17">
        <w:rPr>
          <w:rFonts w:asciiTheme="minorHAnsi" w:hAnsiTheme="minorHAnsi"/>
        </w:rPr>
        <w:t>prescribed.</w:t>
      </w:r>
    </w:p>
    <w:p w14:paraId="03B499F5" w14:textId="77777777" w:rsidR="00737E28" w:rsidRPr="00990C17" w:rsidRDefault="003628ED" w:rsidP="00F77108">
      <w:pPr>
        <w:pStyle w:val="ListParagraph"/>
        <w:numPr>
          <w:ilvl w:val="1"/>
          <w:numId w:val="38"/>
        </w:numPr>
        <w:jc w:val="both"/>
        <w:rPr>
          <w:rFonts w:asciiTheme="minorHAnsi" w:hAnsiTheme="minorHAnsi"/>
          <w:color w:val="0C0C0C"/>
        </w:rPr>
      </w:pPr>
      <w:r w:rsidRPr="00990C17">
        <w:rPr>
          <w:rFonts w:asciiTheme="minorHAnsi" w:hAnsiTheme="minorHAnsi"/>
          <w:color w:val="0C0C0C"/>
        </w:rPr>
        <w:t>Risk of hepatotoxicity increases with n</w:t>
      </w:r>
      <w:r w:rsidR="005E4884">
        <w:rPr>
          <w:rFonts w:asciiTheme="minorHAnsi" w:hAnsiTheme="minorHAnsi"/>
          <w:color w:val="0C0C0C"/>
        </w:rPr>
        <w:t>e</w:t>
      </w:r>
      <w:r w:rsidRPr="00990C17">
        <w:rPr>
          <w:rFonts w:asciiTheme="minorHAnsi" w:hAnsiTheme="minorHAnsi"/>
          <w:color w:val="0C0C0C"/>
        </w:rPr>
        <w:t>virapine, efavi</w:t>
      </w:r>
      <w:r w:rsidR="007472E9">
        <w:rPr>
          <w:rFonts w:asciiTheme="minorHAnsi" w:hAnsiTheme="minorHAnsi"/>
          <w:color w:val="0C0C0C"/>
        </w:rPr>
        <w:t>renz</w:t>
      </w:r>
      <w:r w:rsidR="00B07F6F">
        <w:rPr>
          <w:rFonts w:asciiTheme="minorHAnsi" w:hAnsiTheme="minorHAnsi"/>
          <w:color w:val="0C0C0C"/>
        </w:rPr>
        <w:t>,</w:t>
      </w:r>
      <w:r w:rsidR="007472E9">
        <w:rPr>
          <w:rFonts w:asciiTheme="minorHAnsi" w:hAnsiTheme="minorHAnsi"/>
          <w:color w:val="0C0C0C"/>
        </w:rPr>
        <w:t xml:space="preserve"> and protease inhibitors </w:t>
      </w:r>
      <w:r w:rsidR="008F731A">
        <w:rPr>
          <w:rFonts w:asciiTheme="minorHAnsi" w:hAnsiTheme="minorHAnsi"/>
          <w:color w:val="0C0C0C"/>
        </w:rPr>
        <w:t xml:space="preserve">– </w:t>
      </w:r>
      <w:r w:rsidRPr="00990C17">
        <w:rPr>
          <w:rFonts w:asciiTheme="minorHAnsi" w:hAnsiTheme="minorHAnsi"/>
        </w:rPr>
        <w:t>no change in monitoring schedule.</w:t>
      </w:r>
    </w:p>
    <w:p w14:paraId="4282FB5C" w14:textId="77777777" w:rsidR="00025EC0" w:rsidRPr="00990C17" w:rsidRDefault="00737E28" w:rsidP="00F77108">
      <w:pPr>
        <w:pStyle w:val="ListParagraph"/>
        <w:numPr>
          <w:ilvl w:val="1"/>
          <w:numId w:val="38"/>
        </w:numPr>
        <w:jc w:val="both"/>
        <w:rPr>
          <w:rFonts w:asciiTheme="minorHAnsi" w:hAnsiTheme="minorHAnsi"/>
          <w:color w:val="0C0C0C"/>
        </w:rPr>
      </w:pPr>
      <w:r w:rsidRPr="00990C17">
        <w:rPr>
          <w:rFonts w:asciiTheme="minorHAnsi" w:hAnsiTheme="minorHAnsi"/>
        </w:rPr>
        <w:t>ART has been associated with QTc prolongation – no change in mo</w:t>
      </w:r>
      <w:r w:rsidR="00F26EF5" w:rsidRPr="00990C17">
        <w:rPr>
          <w:rFonts w:asciiTheme="minorHAnsi" w:hAnsiTheme="minorHAnsi"/>
        </w:rPr>
        <w:t>nitoring schedule.</w:t>
      </w:r>
    </w:p>
    <w:p w14:paraId="35F1CA78" w14:textId="77777777" w:rsidR="00D501D6" w:rsidRPr="00990C17" w:rsidRDefault="0DAA7A45" w:rsidP="00F77108">
      <w:pPr>
        <w:pStyle w:val="Heading3"/>
        <w:jc w:val="both"/>
        <w:rPr>
          <w:lang w:val="en-CA"/>
        </w:rPr>
      </w:pPr>
      <w:bookmarkStart w:id="9" w:name="_Toc166245694"/>
      <w:r w:rsidRPr="0DAA7A45">
        <w:rPr>
          <w:lang w:val="en-CA"/>
        </w:rPr>
        <w:t>Management of diabetes</w:t>
      </w:r>
      <w:bookmarkEnd w:id="9"/>
    </w:p>
    <w:p w14:paraId="17F13377" w14:textId="173EAB2F" w:rsidR="00025EC0" w:rsidRPr="00990C17" w:rsidRDefault="00025EC0" w:rsidP="00F77108">
      <w:pPr>
        <w:jc w:val="both"/>
        <w:rPr>
          <w:rFonts w:asciiTheme="minorHAnsi" w:hAnsiTheme="minorHAnsi"/>
          <w:color w:val="0C0C0C"/>
        </w:rPr>
      </w:pPr>
      <w:r w:rsidRPr="00990C17">
        <w:rPr>
          <w:rFonts w:asciiTheme="minorHAnsi" w:hAnsiTheme="minorHAnsi"/>
          <w:color w:val="0C0C0C"/>
        </w:rPr>
        <w:t>Diabetic patients with MDR-TB are at risk for poor treatment outcomes. In addition, the presence of diabetes mellitus may potentiate the adverse effects of TB drugs, especially renal dysfunction</w:t>
      </w:r>
      <w:r w:rsidR="007C6381">
        <w:rPr>
          <w:rFonts w:asciiTheme="minorHAnsi" w:hAnsiTheme="minorHAnsi"/>
          <w:color w:val="0C0C0C"/>
        </w:rPr>
        <w:t>,</w:t>
      </w:r>
      <w:r w:rsidRPr="00990C17">
        <w:rPr>
          <w:rFonts w:asciiTheme="minorHAnsi" w:hAnsiTheme="minorHAnsi"/>
          <w:color w:val="0C0C0C"/>
        </w:rPr>
        <w:t xml:space="preserve"> peripheral neuropathy</w:t>
      </w:r>
      <w:r w:rsidR="00FE21FD">
        <w:rPr>
          <w:rFonts w:asciiTheme="minorHAnsi" w:hAnsiTheme="minorHAnsi"/>
          <w:color w:val="0C0C0C"/>
        </w:rPr>
        <w:t>,</w:t>
      </w:r>
      <w:r w:rsidR="007C6381">
        <w:rPr>
          <w:rFonts w:asciiTheme="minorHAnsi" w:hAnsiTheme="minorHAnsi"/>
          <w:color w:val="0C0C0C"/>
        </w:rPr>
        <w:t xml:space="preserve"> and </w:t>
      </w:r>
      <w:proofErr w:type="spellStart"/>
      <w:r w:rsidR="007C6381">
        <w:rPr>
          <w:rFonts w:asciiTheme="minorHAnsi" w:hAnsiTheme="minorHAnsi"/>
          <w:color w:val="0C0C0C"/>
        </w:rPr>
        <w:t>dysg</w:t>
      </w:r>
      <w:r w:rsidR="00A46B82">
        <w:rPr>
          <w:rFonts w:asciiTheme="minorHAnsi" w:hAnsiTheme="minorHAnsi"/>
          <w:color w:val="0C0C0C"/>
        </w:rPr>
        <w:t>lycemia</w:t>
      </w:r>
      <w:proofErr w:type="spellEnd"/>
      <w:r w:rsidRPr="00990C17">
        <w:rPr>
          <w:rFonts w:asciiTheme="minorHAnsi" w:hAnsiTheme="minorHAnsi"/>
          <w:color w:val="0C0C0C"/>
        </w:rPr>
        <w:t>. Diabetes must be managed closely throughout the MDR-TB treatment. The following is recommended:</w:t>
      </w:r>
    </w:p>
    <w:p w14:paraId="1B5015DA" w14:textId="77777777" w:rsidR="00025EC0" w:rsidRPr="00990C17" w:rsidRDefault="00025EC0" w:rsidP="00F77108">
      <w:pPr>
        <w:pStyle w:val="ListParagraph"/>
        <w:numPr>
          <w:ilvl w:val="0"/>
          <w:numId w:val="38"/>
        </w:numPr>
        <w:jc w:val="both"/>
        <w:rPr>
          <w:rFonts w:asciiTheme="minorHAnsi" w:hAnsiTheme="minorHAnsi"/>
          <w:color w:val="0C0C0C"/>
        </w:rPr>
      </w:pPr>
      <w:r w:rsidRPr="00990C17">
        <w:rPr>
          <w:rFonts w:asciiTheme="minorHAnsi" w:hAnsiTheme="minorHAnsi"/>
          <w:color w:val="0C0C0C"/>
        </w:rPr>
        <w:t>The physician managing the patient’s TB should be in close communication with the physician</w:t>
      </w:r>
      <w:r w:rsidR="00DD79BA" w:rsidRPr="00990C17">
        <w:rPr>
          <w:rFonts w:asciiTheme="minorHAnsi" w:hAnsiTheme="minorHAnsi"/>
          <w:color w:val="0C0C0C"/>
        </w:rPr>
        <w:t xml:space="preserve"> or clinic that</w:t>
      </w:r>
      <w:r w:rsidRPr="00990C17">
        <w:rPr>
          <w:rFonts w:asciiTheme="minorHAnsi" w:hAnsiTheme="minorHAnsi"/>
          <w:color w:val="0C0C0C"/>
        </w:rPr>
        <w:t xml:space="preserve"> manages the patient’s diabetes.</w:t>
      </w:r>
    </w:p>
    <w:p w14:paraId="6A6319D2" w14:textId="5A39F081" w:rsidR="00384301" w:rsidRPr="00231D2C" w:rsidRDefault="00025EC0" w:rsidP="00F77108">
      <w:pPr>
        <w:pStyle w:val="ListParagraph"/>
        <w:numPr>
          <w:ilvl w:val="0"/>
          <w:numId w:val="38"/>
        </w:numPr>
        <w:jc w:val="both"/>
        <w:rPr>
          <w:rFonts w:asciiTheme="minorHAnsi" w:hAnsiTheme="minorHAnsi"/>
          <w:color w:val="auto"/>
        </w:rPr>
      </w:pPr>
      <w:r w:rsidRPr="00990C17">
        <w:rPr>
          <w:rFonts w:asciiTheme="minorHAnsi" w:hAnsiTheme="minorHAnsi"/>
          <w:color w:val="0C0C0C"/>
        </w:rPr>
        <w:t xml:space="preserve">Medicines to control the diabetes (oral </w:t>
      </w:r>
      <w:r w:rsidR="00400E67" w:rsidRPr="00990C17">
        <w:rPr>
          <w:rFonts w:asciiTheme="minorHAnsi" w:hAnsiTheme="minorHAnsi"/>
          <w:color w:val="0C0C0C"/>
        </w:rPr>
        <w:t>hypoglycemic</w:t>
      </w:r>
      <w:r w:rsidRPr="00990C17">
        <w:rPr>
          <w:rFonts w:asciiTheme="minorHAnsi" w:hAnsiTheme="minorHAnsi"/>
          <w:color w:val="0C0C0C"/>
        </w:rPr>
        <w:t xml:space="preserve"> agents and insulin) are not contraindicated during the MDR-TB treatment of drug-resis</w:t>
      </w:r>
      <w:r w:rsidR="00DD79BA" w:rsidRPr="00990C17">
        <w:rPr>
          <w:rFonts w:asciiTheme="minorHAnsi" w:hAnsiTheme="minorHAnsi"/>
          <w:color w:val="0C0C0C"/>
        </w:rPr>
        <w:t xml:space="preserve">tant TB but may require dose adjustments </w:t>
      </w:r>
      <w:r w:rsidRPr="00990C17">
        <w:rPr>
          <w:rFonts w:asciiTheme="minorHAnsi" w:hAnsiTheme="minorHAnsi"/>
          <w:color w:val="0C0C0C"/>
        </w:rPr>
        <w:t>as the use of ethionamide</w:t>
      </w:r>
      <w:r w:rsidR="00CC7233">
        <w:rPr>
          <w:rFonts w:asciiTheme="minorHAnsi" w:hAnsiTheme="minorHAnsi"/>
          <w:color w:val="0C0C0C"/>
        </w:rPr>
        <w:t>,</w:t>
      </w:r>
      <w:r w:rsidRPr="00990C17">
        <w:rPr>
          <w:rFonts w:asciiTheme="minorHAnsi" w:hAnsiTheme="minorHAnsi"/>
          <w:color w:val="0C0C0C"/>
        </w:rPr>
        <w:t xml:space="preserve"> </w:t>
      </w:r>
      <w:proofErr w:type="spellStart"/>
      <w:r w:rsidRPr="003B39A2">
        <w:rPr>
          <w:rFonts w:asciiTheme="minorHAnsi" w:hAnsiTheme="minorHAnsi"/>
          <w:color w:val="auto"/>
        </w:rPr>
        <w:t>prothionamide</w:t>
      </w:r>
      <w:proofErr w:type="spellEnd"/>
      <w:r w:rsidR="006A59E5" w:rsidRPr="003B39A2">
        <w:rPr>
          <w:rFonts w:asciiTheme="minorHAnsi" w:hAnsiTheme="minorHAnsi"/>
          <w:color w:val="auto"/>
        </w:rPr>
        <w:t>,</w:t>
      </w:r>
      <w:r w:rsidR="00CC7233" w:rsidRPr="003B39A2">
        <w:rPr>
          <w:rFonts w:asciiTheme="minorHAnsi" w:hAnsiTheme="minorHAnsi"/>
          <w:color w:val="auto"/>
        </w:rPr>
        <w:t xml:space="preserve"> linezolid or fluoroquinolones (moxifloxacin, levofloxacin)</w:t>
      </w:r>
      <w:r w:rsidRPr="003B39A2">
        <w:rPr>
          <w:rFonts w:asciiTheme="minorHAnsi" w:hAnsiTheme="minorHAnsi"/>
          <w:color w:val="auto"/>
        </w:rPr>
        <w:t xml:space="preserve"> may make it </w:t>
      </w:r>
      <w:r w:rsidRPr="006A59E5">
        <w:rPr>
          <w:rFonts w:asciiTheme="minorHAnsi" w:hAnsiTheme="minorHAnsi"/>
          <w:color w:val="auto"/>
        </w:rPr>
        <w:t>more dif</w:t>
      </w:r>
      <w:r w:rsidR="008E36E4" w:rsidRPr="006A59E5">
        <w:rPr>
          <w:rFonts w:asciiTheme="minorHAnsi" w:hAnsiTheme="minorHAnsi"/>
          <w:color w:val="auto"/>
        </w:rPr>
        <w:t>f</w:t>
      </w:r>
      <w:r w:rsidRPr="006A59E5">
        <w:rPr>
          <w:rFonts w:asciiTheme="minorHAnsi" w:hAnsiTheme="minorHAnsi"/>
          <w:color w:val="auto"/>
        </w:rPr>
        <w:t xml:space="preserve">icult to control </w:t>
      </w:r>
      <w:r w:rsidR="00DD79BA" w:rsidRPr="006A59E5">
        <w:rPr>
          <w:rFonts w:asciiTheme="minorHAnsi" w:hAnsiTheme="minorHAnsi"/>
          <w:color w:val="auto"/>
        </w:rPr>
        <w:t>blood sugar levels</w:t>
      </w:r>
      <w:r w:rsidRPr="00231D2C">
        <w:rPr>
          <w:rFonts w:asciiTheme="minorHAnsi" w:hAnsiTheme="minorHAnsi"/>
          <w:color w:val="auto"/>
        </w:rPr>
        <w:t>.</w:t>
      </w:r>
    </w:p>
    <w:p w14:paraId="76E26E05" w14:textId="4AB06AED" w:rsidR="00025EC0" w:rsidRDefault="00025EC0">
      <w:pPr>
        <w:pStyle w:val="ListParagraph"/>
        <w:numPr>
          <w:ilvl w:val="0"/>
          <w:numId w:val="38"/>
        </w:numPr>
        <w:jc w:val="both"/>
        <w:rPr>
          <w:rFonts w:asciiTheme="minorHAnsi" w:hAnsiTheme="minorHAnsi"/>
          <w:color w:val="auto"/>
        </w:rPr>
      </w:pPr>
      <w:r w:rsidRPr="00231D2C">
        <w:rPr>
          <w:rFonts w:asciiTheme="minorHAnsi" w:hAnsiTheme="minorHAnsi"/>
          <w:color w:val="auto"/>
        </w:rPr>
        <w:lastRenderedPageBreak/>
        <w:t>Creatinine and potassium levels should be monitored more frequently</w:t>
      </w:r>
      <w:r w:rsidR="00384301" w:rsidRPr="00231D2C">
        <w:rPr>
          <w:rFonts w:asciiTheme="minorHAnsi" w:hAnsiTheme="minorHAnsi"/>
          <w:color w:val="auto"/>
        </w:rPr>
        <w:t xml:space="preserve"> for </w:t>
      </w:r>
      <w:r w:rsidR="00734FE3" w:rsidRPr="00231D2C">
        <w:rPr>
          <w:rFonts w:asciiTheme="minorHAnsi" w:hAnsiTheme="minorHAnsi"/>
          <w:color w:val="auto"/>
        </w:rPr>
        <w:t xml:space="preserve">diabetic </w:t>
      </w:r>
      <w:r w:rsidR="00384301" w:rsidRPr="00231D2C">
        <w:rPr>
          <w:rFonts w:asciiTheme="minorHAnsi" w:hAnsiTheme="minorHAnsi"/>
          <w:color w:val="auto"/>
        </w:rPr>
        <w:t xml:space="preserve">patients on injectable </w:t>
      </w:r>
      <w:r w:rsidR="00012576" w:rsidRPr="00231D2C">
        <w:rPr>
          <w:rFonts w:asciiTheme="minorHAnsi" w:hAnsiTheme="minorHAnsi"/>
          <w:color w:val="auto"/>
        </w:rPr>
        <w:t>agents (kanamycin, amikacin,</w:t>
      </w:r>
      <w:r w:rsidR="00384301" w:rsidRPr="00231D2C">
        <w:rPr>
          <w:rFonts w:asciiTheme="minorHAnsi" w:hAnsiTheme="minorHAnsi"/>
          <w:color w:val="auto"/>
        </w:rPr>
        <w:t xml:space="preserve"> </w:t>
      </w:r>
      <w:r w:rsidR="00012576" w:rsidRPr="00231D2C">
        <w:rPr>
          <w:rFonts w:asciiTheme="minorHAnsi" w:hAnsiTheme="minorHAnsi"/>
          <w:color w:val="auto"/>
        </w:rPr>
        <w:t xml:space="preserve">and </w:t>
      </w:r>
      <w:r w:rsidR="00384301" w:rsidRPr="00231D2C">
        <w:rPr>
          <w:rFonts w:asciiTheme="minorHAnsi" w:hAnsiTheme="minorHAnsi"/>
          <w:color w:val="auto"/>
        </w:rPr>
        <w:t>capreomycin</w:t>
      </w:r>
      <w:r w:rsidR="00012576" w:rsidRPr="00231D2C">
        <w:rPr>
          <w:rFonts w:asciiTheme="minorHAnsi" w:hAnsiTheme="minorHAnsi"/>
          <w:color w:val="auto"/>
        </w:rPr>
        <w:t>)</w:t>
      </w:r>
      <w:r w:rsidRPr="00231D2C">
        <w:rPr>
          <w:rFonts w:asciiTheme="minorHAnsi" w:hAnsiTheme="minorHAnsi"/>
          <w:color w:val="auto"/>
        </w:rPr>
        <w:t xml:space="preserve">, weekly for the </w:t>
      </w:r>
      <w:r w:rsidR="00384301" w:rsidRPr="00231D2C">
        <w:rPr>
          <w:rFonts w:asciiTheme="minorHAnsi" w:hAnsiTheme="minorHAnsi"/>
          <w:color w:val="auto"/>
        </w:rPr>
        <w:t xml:space="preserve">first </w:t>
      </w:r>
      <w:r w:rsidRPr="00231D2C">
        <w:rPr>
          <w:rFonts w:asciiTheme="minorHAnsi" w:hAnsiTheme="minorHAnsi"/>
          <w:color w:val="auto"/>
        </w:rPr>
        <w:t xml:space="preserve">month and then at least </w:t>
      </w:r>
      <w:r w:rsidR="00012576" w:rsidRPr="00231D2C">
        <w:rPr>
          <w:rFonts w:asciiTheme="minorHAnsi" w:hAnsiTheme="minorHAnsi"/>
          <w:color w:val="auto"/>
        </w:rPr>
        <w:t xml:space="preserve">twice </w:t>
      </w:r>
      <w:r w:rsidR="00400E67" w:rsidRPr="00231D2C">
        <w:rPr>
          <w:rFonts w:asciiTheme="minorHAnsi" w:hAnsiTheme="minorHAnsi"/>
          <w:color w:val="auto"/>
        </w:rPr>
        <w:t xml:space="preserve">monthly </w:t>
      </w:r>
      <w:r w:rsidR="00012576" w:rsidRPr="00231D2C">
        <w:rPr>
          <w:rFonts w:asciiTheme="minorHAnsi" w:hAnsiTheme="minorHAnsi"/>
          <w:color w:val="auto"/>
        </w:rPr>
        <w:t xml:space="preserve">while </w:t>
      </w:r>
      <w:r w:rsidR="00DD79BA" w:rsidRPr="00231D2C">
        <w:rPr>
          <w:rFonts w:asciiTheme="minorHAnsi" w:hAnsiTheme="minorHAnsi"/>
          <w:color w:val="auto"/>
        </w:rPr>
        <w:t>receiving</w:t>
      </w:r>
      <w:r w:rsidR="00012576" w:rsidRPr="00231D2C">
        <w:rPr>
          <w:rFonts w:asciiTheme="minorHAnsi" w:hAnsiTheme="minorHAnsi"/>
          <w:color w:val="auto"/>
        </w:rPr>
        <w:t xml:space="preserve"> the injectable agent.</w:t>
      </w:r>
    </w:p>
    <w:p w14:paraId="6D02D0CC" w14:textId="6BBE7275" w:rsidR="00E71678" w:rsidRPr="003B39A2" w:rsidRDefault="00E71678">
      <w:pPr>
        <w:pStyle w:val="ListParagraph"/>
        <w:numPr>
          <w:ilvl w:val="0"/>
          <w:numId w:val="38"/>
        </w:numPr>
        <w:jc w:val="both"/>
        <w:rPr>
          <w:rFonts w:asciiTheme="minorHAnsi" w:hAnsiTheme="minorHAnsi"/>
          <w:color w:val="auto"/>
        </w:rPr>
      </w:pPr>
      <w:r w:rsidRPr="00E71678">
        <w:rPr>
          <w:rFonts w:asciiTheme="minorHAnsi" w:hAnsiTheme="minorHAnsi"/>
          <w:color w:val="auto"/>
        </w:rPr>
        <w:t xml:space="preserve">Patients receiving fluoroquinolones (moxifloxacin, levofloxacin) and linezolid should be instructed to be vigilant for signs of hypo/hyperglycemia and monitor their blood sugar as indicated by their physician. </w:t>
      </w:r>
    </w:p>
    <w:p w14:paraId="67A3A2C3" w14:textId="77777777" w:rsidR="00025EC0" w:rsidRPr="00990C17" w:rsidRDefault="0DAA7A45" w:rsidP="00F77108">
      <w:pPr>
        <w:pStyle w:val="Heading3"/>
        <w:jc w:val="both"/>
        <w:rPr>
          <w:lang w:val="en-CA"/>
        </w:rPr>
      </w:pPr>
      <w:bookmarkStart w:id="10" w:name="_Toc166245695"/>
      <w:r w:rsidRPr="0DAA7A45">
        <w:rPr>
          <w:lang w:val="en-CA"/>
        </w:rPr>
        <w:t>Management of patients with cardiovascular disease</w:t>
      </w:r>
      <w:bookmarkEnd w:id="10"/>
    </w:p>
    <w:p w14:paraId="0BA7F0E1" w14:textId="70118FF9" w:rsidR="00734FE3" w:rsidRDefault="00DD79BA" w:rsidP="00F77108">
      <w:pPr>
        <w:jc w:val="both"/>
        <w:rPr>
          <w:rFonts w:asciiTheme="minorHAnsi" w:hAnsiTheme="minorHAnsi"/>
          <w:color w:val="0C0C0C"/>
        </w:rPr>
      </w:pPr>
      <w:r w:rsidRPr="00990C17">
        <w:rPr>
          <w:rFonts w:asciiTheme="minorHAnsi" w:hAnsiTheme="minorHAnsi"/>
          <w:color w:val="0C0C0C"/>
        </w:rPr>
        <w:t xml:space="preserve">If the patient has </w:t>
      </w:r>
      <w:r w:rsidR="00136E77">
        <w:rPr>
          <w:rFonts w:asciiTheme="minorHAnsi" w:hAnsiTheme="minorHAnsi"/>
          <w:color w:val="0C0C0C"/>
        </w:rPr>
        <w:t xml:space="preserve">diagnosed </w:t>
      </w:r>
      <w:r w:rsidRPr="00990C17">
        <w:rPr>
          <w:rFonts w:asciiTheme="minorHAnsi" w:hAnsiTheme="minorHAnsi"/>
          <w:color w:val="0C0C0C"/>
        </w:rPr>
        <w:t>cardiovascular dis</w:t>
      </w:r>
      <w:r w:rsidR="004D2405" w:rsidRPr="00990C17">
        <w:rPr>
          <w:rFonts w:asciiTheme="minorHAnsi" w:hAnsiTheme="minorHAnsi"/>
          <w:color w:val="0C0C0C"/>
        </w:rPr>
        <w:t xml:space="preserve">ease but no cardiac </w:t>
      </w:r>
      <w:r w:rsidR="00136E77">
        <w:rPr>
          <w:rFonts w:asciiTheme="minorHAnsi" w:hAnsiTheme="minorHAnsi"/>
          <w:color w:val="0C0C0C"/>
        </w:rPr>
        <w:t>condition</w:t>
      </w:r>
      <w:r w:rsidR="004D2405" w:rsidRPr="00990C17">
        <w:rPr>
          <w:rFonts w:asciiTheme="minorHAnsi" w:hAnsiTheme="minorHAnsi"/>
          <w:color w:val="0C0C0C"/>
        </w:rPr>
        <w:t xml:space="preserve"> that resulted in</w:t>
      </w:r>
      <w:r w:rsidRPr="00990C17">
        <w:rPr>
          <w:rFonts w:asciiTheme="minorHAnsi" w:hAnsiTheme="minorHAnsi"/>
          <w:color w:val="0C0C0C"/>
        </w:rPr>
        <w:t xml:space="preserve"> </w:t>
      </w:r>
      <w:r w:rsidR="004D2405" w:rsidRPr="00990C17">
        <w:rPr>
          <w:rFonts w:asciiTheme="minorHAnsi" w:hAnsiTheme="minorHAnsi"/>
          <w:color w:val="0C0C0C"/>
        </w:rPr>
        <w:t>exclusion of</w:t>
      </w:r>
      <w:r w:rsidRPr="00990C17">
        <w:rPr>
          <w:rFonts w:asciiTheme="minorHAnsi" w:hAnsiTheme="minorHAnsi"/>
          <w:color w:val="0C0C0C"/>
        </w:rPr>
        <w:t xml:space="preserve"> the patient from </w:t>
      </w:r>
      <w:r w:rsidR="004D2405" w:rsidRPr="00990C17">
        <w:rPr>
          <w:rFonts w:asciiTheme="minorHAnsi" w:hAnsiTheme="minorHAnsi"/>
          <w:color w:val="0C0C0C"/>
        </w:rPr>
        <w:t>entering the stud</w:t>
      </w:r>
      <w:r w:rsidR="004706E5">
        <w:rPr>
          <w:rFonts w:asciiTheme="minorHAnsi" w:hAnsiTheme="minorHAnsi"/>
          <w:color w:val="0C0C0C"/>
        </w:rPr>
        <w:t>ies</w:t>
      </w:r>
      <w:r w:rsidR="004D2405" w:rsidRPr="00990C17">
        <w:rPr>
          <w:rFonts w:asciiTheme="minorHAnsi" w:hAnsiTheme="minorHAnsi"/>
          <w:color w:val="0C0C0C"/>
        </w:rPr>
        <w:t xml:space="preserve">, the patient should be followed under the normal </w:t>
      </w:r>
      <w:r w:rsidRPr="00990C17">
        <w:rPr>
          <w:rFonts w:asciiTheme="minorHAnsi" w:hAnsiTheme="minorHAnsi"/>
          <w:color w:val="0C0C0C"/>
        </w:rPr>
        <w:t>study monitoring schedule</w:t>
      </w:r>
      <w:r w:rsidR="004D2405" w:rsidRPr="00990C17">
        <w:rPr>
          <w:rFonts w:asciiTheme="minorHAnsi" w:hAnsiTheme="minorHAnsi"/>
          <w:color w:val="0C0C0C"/>
        </w:rPr>
        <w:t>.</w:t>
      </w:r>
      <w:r w:rsidR="008B434E">
        <w:rPr>
          <w:rFonts w:asciiTheme="minorHAnsi" w:hAnsiTheme="minorHAnsi"/>
          <w:color w:val="0C0C0C"/>
        </w:rPr>
        <w:t xml:space="preserve"> I</w:t>
      </w:r>
      <w:r w:rsidR="0053069D">
        <w:rPr>
          <w:rFonts w:asciiTheme="minorHAnsi" w:hAnsiTheme="minorHAnsi"/>
          <w:color w:val="0C0C0C"/>
        </w:rPr>
        <w:t>n patients with congestive heart failure, i</w:t>
      </w:r>
      <w:r w:rsidR="008B434E">
        <w:rPr>
          <w:rFonts w:asciiTheme="minorHAnsi" w:hAnsiTheme="minorHAnsi"/>
          <w:color w:val="0C0C0C"/>
        </w:rPr>
        <w:t>ncreased frequency of ECQ monitoring is warranted due to the increased risk of developing QT prolongation and severe arrhythmia</w:t>
      </w:r>
      <w:r w:rsidR="00A80385">
        <w:rPr>
          <w:rFonts w:asciiTheme="minorHAnsi" w:hAnsiTheme="minorHAnsi"/>
          <w:color w:val="0C0C0C"/>
        </w:rPr>
        <w:t>.</w:t>
      </w:r>
    </w:p>
    <w:p w14:paraId="44D099A4" w14:textId="7BCC7B2C" w:rsidR="00734FE3" w:rsidRDefault="004D2405" w:rsidP="00F77108">
      <w:pPr>
        <w:jc w:val="both"/>
        <w:rPr>
          <w:rFonts w:asciiTheme="minorHAnsi" w:hAnsiTheme="minorHAnsi"/>
          <w:color w:val="0C0C0C"/>
        </w:rPr>
      </w:pPr>
      <w:r w:rsidRPr="00990C17">
        <w:rPr>
          <w:rFonts w:asciiTheme="minorHAnsi" w:hAnsiTheme="minorHAnsi"/>
          <w:color w:val="0C0C0C"/>
        </w:rPr>
        <w:t xml:space="preserve">Medicines for </w:t>
      </w:r>
      <w:r w:rsidR="00B471A3">
        <w:rPr>
          <w:rFonts w:asciiTheme="minorHAnsi" w:hAnsiTheme="minorHAnsi"/>
          <w:color w:val="0C0C0C"/>
        </w:rPr>
        <w:t>the management of cardiovascular disease</w:t>
      </w:r>
      <w:r w:rsidRPr="00990C17">
        <w:rPr>
          <w:rFonts w:asciiTheme="minorHAnsi" w:hAnsiTheme="minorHAnsi"/>
          <w:color w:val="0C0C0C"/>
        </w:rPr>
        <w:t xml:space="preserve"> should be continued if medically indicated. T</w:t>
      </w:r>
      <w:r w:rsidR="00DD79BA" w:rsidRPr="00990C17">
        <w:rPr>
          <w:rFonts w:asciiTheme="minorHAnsi" w:hAnsiTheme="minorHAnsi"/>
          <w:color w:val="0C0C0C"/>
        </w:rPr>
        <w:t xml:space="preserve">he physician managing the patient’s TB should be in close communication with the physician or clinic that manages the </w:t>
      </w:r>
      <w:r w:rsidRPr="00990C17">
        <w:rPr>
          <w:rFonts w:asciiTheme="minorHAnsi" w:hAnsiTheme="minorHAnsi"/>
          <w:color w:val="0C0C0C"/>
        </w:rPr>
        <w:t>cardiovascular disease.</w:t>
      </w:r>
      <w:r w:rsidR="00633B80">
        <w:rPr>
          <w:rFonts w:asciiTheme="minorHAnsi" w:hAnsiTheme="minorHAnsi"/>
          <w:color w:val="0C0C0C"/>
        </w:rPr>
        <w:t xml:space="preserve"> The CAC</w:t>
      </w:r>
      <w:r w:rsidR="000B01A7">
        <w:rPr>
          <w:rFonts w:asciiTheme="minorHAnsi" w:hAnsiTheme="minorHAnsi"/>
          <w:color w:val="0C0C0C"/>
        </w:rPr>
        <w:t xml:space="preserve"> should be contacted</w:t>
      </w:r>
      <w:r w:rsidR="00633B80">
        <w:rPr>
          <w:rFonts w:asciiTheme="minorHAnsi" w:hAnsiTheme="minorHAnsi"/>
          <w:color w:val="0C0C0C"/>
        </w:rPr>
        <w:t xml:space="preserve"> </w:t>
      </w:r>
      <w:r w:rsidR="000B01A7">
        <w:rPr>
          <w:rFonts w:asciiTheme="minorHAnsi" w:hAnsiTheme="minorHAnsi"/>
          <w:color w:val="0C0C0C"/>
        </w:rPr>
        <w:t>to</w:t>
      </w:r>
      <w:r w:rsidR="00633B80">
        <w:rPr>
          <w:rFonts w:asciiTheme="minorHAnsi" w:hAnsiTheme="minorHAnsi"/>
          <w:color w:val="0C0C0C"/>
        </w:rPr>
        <w:t xml:space="preserve"> </w:t>
      </w:r>
      <w:r w:rsidR="000B01A7">
        <w:rPr>
          <w:rFonts w:asciiTheme="minorHAnsi" w:hAnsiTheme="minorHAnsi"/>
          <w:color w:val="0C0C0C"/>
        </w:rPr>
        <w:t>support in the management of patients with severe cardiovascular disease</w:t>
      </w:r>
      <w:r w:rsidR="002047FE">
        <w:rPr>
          <w:rFonts w:asciiTheme="minorHAnsi" w:hAnsiTheme="minorHAnsi"/>
          <w:color w:val="0C0C0C"/>
        </w:rPr>
        <w:t>.</w:t>
      </w:r>
    </w:p>
    <w:p w14:paraId="661C16B5" w14:textId="6FDFABFE" w:rsidR="00633B80" w:rsidRPr="00990C17" w:rsidRDefault="00734FE3" w:rsidP="00F77108">
      <w:pPr>
        <w:jc w:val="both"/>
        <w:rPr>
          <w:rFonts w:asciiTheme="minorHAnsi" w:hAnsiTheme="minorHAnsi"/>
          <w:color w:val="0C0C0C"/>
        </w:rPr>
      </w:pPr>
      <w:r>
        <w:rPr>
          <w:rFonts w:asciiTheme="minorHAnsi" w:hAnsiTheme="minorHAnsi"/>
          <w:color w:val="0C0C0C"/>
        </w:rPr>
        <w:t xml:space="preserve">As the same for any patient, if a cardiac </w:t>
      </w:r>
      <w:r w:rsidR="002D013F">
        <w:rPr>
          <w:rFonts w:asciiTheme="minorHAnsi" w:hAnsiTheme="minorHAnsi"/>
          <w:color w:val="0C0C0C"/>
        </w:rPr>
        <w:t>arrhythmia, ischemia, infarction or worsening congestive heart failure occurs the patient should receive proper medical care</w:t>
      </w:r>
      <w:r w:rsidR="00400E67">
        <w:rPr>
          <w:rFonts w:asciiTheme="minorHAnsi" w:hAnsiTheme="minorHAnsi"/>
          <w:color w:val="0C0C0C"/>
        </w:rPr>
        <w:t>.</w:t>
      </w:r>
      <w:r w:rsidR="002D013F">
        <w:rPr>
          <w:rFonts w:asciiTheme="minorHAnsi" w:hAnsiTheme="minorHAnsi"/>
          <w:color w:val="0C0C0C"/>
        </w:rPr>
        <w:t xml:space="preserve"> </w:t>
      </w:r>
      <w:r w:rsidR="00400E67">
        <w:rPr>
          <w:rFonts w:asciiTheme="minorHAnsi" w:hAnsiTheme="minorHAnsi"/>
          <w:color w:val="0C0C0C"/>
        </w:rPr>
        <w:t>S</w:t>
      </w:r>
      <w:r w:rsidR="002D013F">
        <w:rPr>
          <w:rFonts w:asciiTheme="minorHAnsi" w:hAnsiTheme="minorHAnsi"/>
          <w:color w:val="0C0C0C"/>
        </w:rPr>
        <w:t>tudy</w:t>
      </w:r>
      <w:r w:rsidR="00400E67">
        <w:rPr>
          <w:rFonts w:asciiTheme="minorHAnsi" w:hAnsiTheme="minorHAnsi"/>
          <w:color w:val="0C0C0C"/>
        </w:rPr>
        <w:t xml:space="preserve"> medicines</w:t>
      </w:r>
      <w:r w:rsidR="002D013F">
        <w:rPr>
          <w:rFonts w:asciiTheme="minorHAnsi" w:hAnsiTheme="minorHAnsi"/>
          <w:color w:val="0C0C0C"/>
        </w:rPr>
        <w:t xml:space="preserve"> or other medicines that may have contributed to the condition</w:t>
      </w:r>
      <w:r w:rsidR="00400E67">
        <w:rPr>
          <w:rFonts w:asciiTheme="minorHAnsi" w:hAnsiTheme="minorHAnsi"/>
          <w:color w:val="0C0C0C"/>
        </w:rPr>
        <w:t xml:space="preserve"> should</w:t>
      </w:r>
      <w:r w:rsidR="002D013F">
        <w:rPr>
          <w:rFonts w:asciiTheme="minorHAnsi" w:hAnsiTheme="minorHAnsi"/>
          <w:color w:val="0C0C0C"/>
        </w:rPr>
        <w:t xml:space="preserve"> be considered for suspension</w:t>
      </w:r>
      <w:r w:rsidR="006F6218">
        <w:rPr>
          <w:rFonts w:asciiTheme="minorHAnsi" w:hAnsiTheme="minorHAnsi"/>
          <w:color w:val="0C0C0C"/>
        </w:rPr>
        <w:t xml:space="preserve"> (</w:t>
      </w:r>
      <w:r w:rsidR="00E37567">
        <w:rPr>
          <w:rFonts w:asciiTheme="minorHAnsi" w:hAnsiTheme="minorHAnsi"/>
          <w:color w:val="0C0C0C"/>
        </w:rPr>
        <w:t xml:space="preserve">e.g., </w:t>
      </w:r>
      <w:r w:rsidR="006F6218">
        <w:rPr>
          <w:rFonts w:asciiTheme="minorHAnsi" w:hAnsiTheme="minorHAnsi"/>
          <w:color w:val="0C0C0C"/>
        </w:rPr>
        <w:t xml:space="preserve">see </w:t>
      </w:r>
      <w:r w:rsidR="00396DED" w:rsidRPr="002250D7">
        <w:rPr>
          <w:rFonts w:asciiTheme="minorHAnsi" w:hAnsiTheme="minorHAnsi"/>
          <w:color w:val="0C0C0C"/>
        </w:rPr>
        <w:t>SOP</w:t>
      </w:r>
      <w:r w:rsidR="00A162BF" w:rsidRPr="00E53814">
        <w:rPr>
          <w:rFonts w:asciiTheme="minorHAnsi" w:hAnsiTheme="minorHAnsi"/>
          <w:b/>
          <w:i/>
          <w:color w:val="0C0C0C"/>
        </w:rPr>
        <w:t xml:space="preserve"> SP-018-CT</w:t>
      </w:r>
      <w:r w:rsidR="00396DED">
        <w:rPr>
          <w:rFonts w:asciiTheme="minorHAnsi" w:hAnsiTheme="minorHAnsi"/>
          <w:color w:val="0C0C0C"/>
        </w:rPr>
        <w:t xml:space="preserve"> on </w:t>
      </w:r>
      <w:r w:rsidR="00A162BF" w:rsidRPr="00E53814">
        <w:rPr>
          <w:rFonts w:asciiTheme="minorHAnsi" w:hAnsiTheme="minorHAnsi"/>
          <w:b/>
          <w:i/>
          <w:color w:val="0C0C0C"/>
        </w:rPr>
        <w:t>Management of Specific Adverse Events</w:t>
      </w:r>
      <w:r w:rsidR="00396DED">
        <w:rPr>
          <w:rFonts w:asciiTheme="minorHAnsi" w:hAnsiTheme="minorHAnsi"/>
          <w:color w:val="0C0C0C"/>
        </w:rPr>
        <w:t>, section 5.2.3 on management of QT interval prolongation)</w:t>
      </w:r>
      <w:r w:rsidR="002D013F">
        <w:rPr>
          <w:rFonts w:asciiTheme="minorHAnsi" w:hAnsiTheme="minorHAnsi"/>
          <w:color w:val="0C0C0C"/>
        </w:rPr>
        <w:t>.</w:t>
      </w:r>
    </w:p>
    <w:p w14:paraId="3578565B" w14:textId="77777777" w:rsidR="00025EC0" w:rsidRPr="00990C17" w:rsidRDefault="0DAA7A45" w:rsidP="00F77108">
      <w:pPr>
        <w:pStyle w:val="Heading3"/>
        <w:jc w:val="both"/>
        <w:rPr>
          <w:lang w:val="en-CA"/>
        </w:rPr>
      </w:pPr>
      <w:bookmarkStart w:id="11" w:name="_Toc166245696"/>
      <w:r w:rsidRPr="0DAA7A45">
        <w:rPr>
          <w:lang w:val="en-CA"/>
        </w:rPr>
        <w:t>Management of patients with psychiatric disorders including depression</w:t>
      </w:r>
      <w:bookmarkEnd w:id="11"/>
    </w:p>
    <w:p w14:paraId="6495A76A" w14:textId="77777777" w:rsidR="002D0C9F" w:rsidRPr="00990C17" w:rsidRDefault="004D2405" w:rsidP="00F77108">
      <w:pPr>
        <w:widowControl w:val="0"/>
        <w:spacing w:before="240" w:after="0" w:line="240" w:lineRule="auto"/>
        <w:jc w:val="both"/>
        <w:rPr>
          <w:rFonts w:asciiTheme="minorHAnsi" w:hAnsiTheme="minorHAnsi"/>
          <w:color w:val="auto"/>
        </w:rPr>
      </w:pPr>
      <w:r w:rsidRPr="00990C17">
        <w:rPr>
          <w:rFonts w:asciiTheme="minorHAnsi" w:hAnsiTheme="minorHAnsi"/>
          <w:color w:val="0C0C0C"/>
        </w:rPr>
        <w:t xml:space="preserve">Because of potential interactions with linezolid, patients </w:t>
      </w:r>
      <w:r w:rsidR="00F53E0D">
        <w:rPr>
          <w:rFonts w:asciiTheme="minorHAnsi" w:hAnsiTheme="minorHAnsi"/>
          <w:color w:val="0C0C0C"/>
        </w:rPr>
        <w:t>that have or develop</w:t>
      </w:r>
      <w:r w:rsidRPr="00990C17">
        <w:rPr>
          <w:rFonts w:asciiTheme="minorHAnsi" w:hAnsiTheme="minorHAnsi"/>
          <w:color w:val="0C0C0C"/>
        </w:rPr>
        <w:t xml:space="preserve"> psychiatric disorders including depression that are on linezolid containing regimens must be managed without the use of</w:t>
      </w:r>
      <w:r w:rsidR="00F53E0D">
        <w:rPr>
          <w:rFonts w:asciiTheme="minorHAnsi" w:hAnsiTheme="minorHAnsi"/>
          <w:color w:val="0C0C0C"/>
        </w:rPr>
        <w:t>:</w:t>
      </w:r>
    </w:p>
    <w:p w14:paraId="5C447CDA" w14:textId="77777777" w:rsidR="002D0C9F" w:rsidRPr="00990C17" w:rsidRDefault="002D0C9F" w:rsidP="00F77108">
      <w:pPr>
        <w:pStyle w:val="ListParagraph"/>
        <w:widowControl w:val="0"/>
        <w:numPr>
          <w:ilvl w:val="0"/>
          <w:numId w:val="40"/>
        </w:numPr>
        <w:spacing w:before="240" w:after="0" w:line="240" w:lineRule="auto"/>
        <w:jc w:val="both"/>
        <w:rPr>
          <w:rFonts w:asciiTheme="minorHAnsi" w:hAnsiTheme="minorHAnsi"/>
          <w:color w:val="auto"/>
        </w:rPr>
      </w:pPr>
      <w:r w:rsidRPr="00990C17">
        <w:rPr>
          <w:rFonts w:asciiTheme="minorHAnsi" w:hAnsiTheme="minorHAnsi"/>
          <w:color w:val="auto"/>
        </w:rPr>
        <w:t>Any medicinal product that inhibits monoamine oxidases A or B (e.g.</w:t>
      </w:r>
      <w:r w:rsidR="00227F4E">
        <w:rPr>
          <w:rFonts w:asciiTheme="minorHAnsi" w:hAnsiTheme="minorHAnsi"/>
          <w:color w:val="auto"/>
        </w:rPr>
        <w:t xml:space="preserve"> </w:t>
      </w:r>
      <w:r w:rsidRPr="00990C17">
        <w:rPr>
          <w:rFonts w:asciiTheme="minorHAnsi" w:hAnsiTheme="minorHAnsi"/>
          <w:color w:val="auto"/>
        </w:rPr>
        <w:t>phenelzine, isocarboxazid</w:t>
      </w:r>
      <w:proofErr w:type="gramStart"/>
      <w:r w:rsidRPr="00990C17">
        <w:rPr>
          <w:rFonts w:asciiTheme="minorHAnsi" w:hAnsiTheme="minorHAnsi"/>
          <w:color w:val="auto"/>
        </w:rPr>
        <w:t>);</w:t>
      </w:r>
      <w:proofErr w:type="gramEnd"/>
    </w:p>
    <w:p w14:paraId="4A768DE3" w14:textId="77777777" w:rsidR="002D0C9F" w:rsidRPr="00990C17" w:rsidRDefault="002D0C9F" w:rsidP="00F77108">
      <w:pPr>
        <w:pStyle w:val="ListParagraph"/>
        <w:widowControl w:val="0"/>
        <w:numPr>
          <w:ilvl w:val="0"/>
          <w:numId w:val="40"/>
        </w:numPr>
        <w:spacing w:before="240" w:after="0" w:line="240" w:lineRule="auto"/>
        <w:jc w:val="both"/>
        <w:rPr>
          <w:rFonts w:asciiTheme="minorHAnsi" w:hAnsiTheme="minorHAnsi"/>
          <w:color w:val="auto"/>
        </w:rPr>
      </w:pPr>
      <w:r w:rsidRPr="00990C17">
        <w:rPr>
          <w:rFonts w:asciiTheme="minorHAnsi" w:hAnsiTheme="minorHAnsi"/>
          <w:color w:val="auto"/>
        </w:rPr>
        <w:t>Tricyclic antidepressants (e.g. amitriptyline</w:t>
      </w:r>
      <w:proofErr w:type="gramStart"/>
      <w:r w:rsidRPr="00990C17">
        <w:rPr>
          <w:rFonts w:asciiTheme="minorHAnsi" w:hAnsiTheme="minorHAnsi"/>
          <w:color w:val="auto"/>
        </w:rPr>
        <w:t>);</w:t>
      </w:r>
      <w:proofErr w:type="gramEnd"/>
    </w:p>
    <w:p w14:paraId="412E1D60" w14:textId="77777777" w:rsidR="002D0C9F" w:rsidRPr="00990C17" w:rsidRDefault="002D0C9F" w:rsidP="00F77108">
      <w:pPr>
        <w:pStyle w:val="ListParagraph"/>
        <w:widowControl w:val="0"/>
        <w:numPr>
          <w:ilvl w:val="0"/>
          <w:numId w:val="40"/>
        </w:numPr>
        <w:spacing w:before="240" w:after="0" w:line="240" w:lineRule="auto"/>
        <w:jc w:val="both"/>
        <w:rPr>
          <w:rFonts w:asciiTheme="minorHAnsi" w:hAnsiTheme="minorHAnsi"/>
          <w:color w:val="auto"/>
        </w:rPr>
      </w:pPr>
      <w:r w:rsidRPr="00990C17">
        <w:rPr>
          <w:rFonts w:asciiTheme="minorHAnsi" w:hAnsiTheme="minorHAnsi"/>
          <w:color w:val="auto"/>
        </w:rPr>
        <w:t>Selective serotonin reuptake inhibitors (e.g. fluoxetine, paroxetine</w:t>
      </w:r>
      <w:proofErr w:type="gramStart"/>
      <w:r w:rsidRPr="00990C17">
        <w:rPr>
          <w:rFonts w:asciiTheme="minorHAnsi" w:hAnsiTheme="minorHAnsi"/>
          <w:color w:val="auto"/>
        </w:rPr>
        <w:t>);</w:t>
      </w:r>
      <w:proofErr w:type="gramEnd"/>
    </w:p>
    <w:p w14:paraId="2129B289" w14:textId="77777777" w:rsidR="002D0C9F" w:rsidRPr="00990C17" w:rsidRDefault="002D0C9F" w:rsidP="00F77108">
      <w:pPr>
        <w:pStyle w:val="ListParagraph"/>
        <w:widowControl w:val="0"/>
        <w:numPr>
          <w:ilvl w:val="0"/>
          <w:numId w:val="40"/>
        </w:numPr>
        <w:spacing w:before="240" w:after="0" w:line="240" w:lineRule="auto"/>
        <w:jc w:val="both"/>
        <w:rPr>
          <w:rFonts w:asciiTheme="minorHAnsi" w:hAnsiTheme="minorHAnsi"/>
          <w:color w:val="auto"/>
        </w:rPr>
      </w:pPr>
      <w:r w:rsidRPr="00990C17">
        <w:rPr>
          <w:rFonts w:asciiTheme="minorHAnsi" w:hAnsiTheme="minorHAnsi"/>
          <w:color w:val="auto"/>
        </w:rPr>
        <w:t>Selective serotonin/norepinephrine re-uptake inhibitor (e.g.</w:t>
      </w:r>
      <w:r w:rsidR="00266706">
        <w:rPr>
          <w:rFonts w:asciiTheme="minorHAnsi" w:hAnsiTheme="minorHAnsi"/>
          <w:color w:val="auto"/>
        </w:rPr>
        <w:t xml:space="preserve"> </w:t>
      </w:r>
      <w:r w:rsidRPr="00990C17">
        <w:rPr>
          <w:rFonts w:asciiTheme="minorHAnsi" w:hAnsiTheme="minorHAnsi"/>
          <w:color w:val="auto"/>
        </w:rPr>
        <w:t>venlafaxine, duloxetine</w:t>
      </w:r>
      <w:proofErr w:type="gramStart"/>
      <w:r w:rsidRPr="00990C17">
        <w:rPr>
          <w:rFonts w:asciiTheme="minorHAnsi" w:hAnsiTheme="minorHAnsi"/>
          <w:color w:val="auto"/>
        </w:rPr>
        <w:t>);</w:t>
      </w:r>
      <w:proofErr w:type="gramEnd"/>
    </w:p>
    <w:p w14:paraId="57B2F042" w14:textId="77777777" w:rsidR="002D0C9F" w:rsidRPr="00990C17" w:rsidRDefault="002D0C9F" w:rsidP="00F77108">
      <w:pPr>
        <w:pStyle w:val="ListParagraph"/>
        <w:widowControl w:val="0"/>
        <w:numPr>
          <w:ilvl w:val="0"/>
          <w:numId w:val="40"/>
        </w:numPr>
        <w:spacing w:before="240" w:after="0" w:line="240" w:lineRule="auto"/>
        <w:jc w:val="both"/>
        <w:rPr>
          <w:rFonts w:asciiTheme="minorHAnsi" w:hAnsiTheme="minorHAnsi"/>
          <w:color w:val="auto"/>
        </w:rPr>
      </w:pPr>
      <w:r w:rsidRPr="00990C17">
        <w:rPr>
          <w:rFonts w:asciiTheme="minorHAnsi" w:hAnsiTheme="minorHAnsi"/>
          <w:color w:val="auto"/>
        </w:rPr>
        <w:t>Other serotoninergic agents.</w:t>
      </w:r>
    </w:p>
    <w:p w14:paraId="06B8008D" w14:textId="77777777" w:rsidR="00F53E0D" w:rsidRDefault="00F53E0D" w:rsidP="00F77108">
      <w:pPr>
        <w:widowControl w:val="0"/>
        <w:spacing w:before="240" w:after="0" w:line="240" w:lineRule="auto"/>
        <w:jc w:val="both"/>
        <w:rPr>
          <w:rFonts w:asciiTheme="minorHAnsi" w:hAnsiTheme="minorHAnsi"/>
          <w:color w:val="0C0C0C"/>
        </w:rPr>
      </w:pPr>
      <w:r>
        <w:rPr>
          <w:rFonts w:asciiTheme="minorHAnsi" w:hAnsiTheme="minorHAnsi"/>
          <w:color w:val="0C0C0C"/>
        </w:rPr>
        <w:t xml:space="preserve">If management of the patient’s psychiatric condition cannot be managed safely without the inclusion of the above medicines, the linezolid may have to be suspended </w:t>
      </w:r>
      <w:r w:rsidR="00FE25B0">
        <w:rPr>
          <w:rFonts w:asciiTheme="minorHAnsi" w:hAnsiTheme="minorHAnsi"/>
          <w:color w:val="0C0C0C"/>
        </w:rPr>
        <w:t>or suspended with a TB drug replacement.</w:t>
      </w:r>
      <w:r w:rsidR="00400E67">
        <w:rPr>
          <w:rFonts w:asciiTheme="minorHAnsi" w:hAnsiTheme="minorHAnsi"/>
          <w:color w:val="0C0C0C"/>
        </w:rPr>
        <w:t xml:space="preserve"> Refer to the SOP </w:t>
      </w:r>
      <w:r w:rsidR="00400E67" w:rsidRPr="00F77108">
        <w:rPr>
          <w:rFonts w:asciiTheme="minorHAnsi" w:hAnsiTheme="minorHAnsi"/>
          <w:b/>
          <w:i/>
          <w:color w:val="0C0C0C"/>
        </w:rPr>
        <w:t xml:space="preserve">SP-019-CT </w:t>
      </w:r>
      <w:r w:rsidR="00A162BF" w:rsidRPr="00E53814">
        <w:rPr>
          <w:rFonts w:asciiTheme="minorHAnsi" w:hAnsiTheme="minorHAnsi"/>
          <w:color w:val="0C0C0C"/>
        </w:rPr>
        <w:t>on</w:t>
      </w:r>
      <w:r w:rsidR="00400E67" w:rsidRPr="00F77108">
        <w:rPr>
          <w:rFonts w:asciiTheme="minorHAnsi" w:hAnsiTheme="minorHAnsi"/>
          <w:b/>
          <w:i/>
          <w:color w:val="0C0C0C"/>
        </w:rPr>
        <w:t xml:space="preserve"> Concomitant Medications</w:t>
      </w:r>
      <w:r w:rsidR="00400E67">
        <w:rPr>
          <w:rFonts w:asciiTheme="minorHAnsi" w:hAnsiTheme="minorHAnsi"/>
          <w:color w:val="0C0C0C"/>
        </w:rPr>
        <w:t xml:space="preserve"> for the full list of disallowed drugs and guidance on the management of possible drug interactions.</w:t>
      </w:r>
    </w:p>
    <w:p w14:paraId="5BF9DC44" w14:textId="77777777" w:rsidR="002D0C9F" w:rsidRPr="00990C17" w:rsidRDefault="002D0C9F" w:rsidP="00F77108">
      <w:pPr>
        <w:widowControl w:val="0"/>
        <w:spacing w:before="240" w:after="0" w:line="240" w:lineRule="auto"/>
        <w:jc w:val="both"/>
        <w:rPr>
          <w:rFonts w:asciiTheme="minorHAnsi" w:hAnsiTheme="minorHAnsi"/>
          <w:color w:val="auto"/>
        </w:rPr>
      </w:pPr>
      <w:r w:rsidRPr="00990C17">
        <w:rPr>
          <w:rFonts w:asciiTheme="minorHAnsi" w:hAnsiTheme="minorHAnsi"/>
          <w:color w:val="0C0C0C"/>
        </w:rPr>
        <w:t>The physician managing the patient’s TB should be in close communication with the physician or clinic that manages the psychiatric disorder. This is extremely important as many psychiatrists are not aware of the drug-drug interactions with psychiatric medicines and linezolid.</w:t>
      </w:r>
    </w:p>
    <w:p w14:paraId="1B83FBA4" w14:textId="77777777" w:rsidR="00025EC0" w:rsidRPr="00990C17" w:rsidRDefault="00025EC0" w:rsidP="00F77108">
      <w:pPr>
        <w:jc w:val="both"/>
        <w:rPr>
          <w:rFonts w:asciiTheme="minorHAnsi" w:hAnsiTheme="minorHAnsi"/>
          <w:color w:val="0C0C0C"/>
        </w:rPr>
      </w:pPr>
    </w:p>
    <w:p w14:paraId="31597B60" w14:textId="77777777" w:rsidR="000071EC" w:rsidRPr="00990C17" w:rsidRDefault="0DAA7A45" w:rsidP="00F77108">
      <w:pPr>
        <w:pStyle w:val="Heading3"/>
        <w:jc w:val="both"/>
        <w:rPr>
          <w:lang w:val="en-CA"/>
        </w:rPr>
      </w:pPr>
      <w:bookmarkStart w:id="12" w:name="_Toc166245697"/>
      <w:r w:rsidRPr="0DAA7A45">
        <w:rPr>
          <w:lang w:val="en-CA"/>
        </w:rPr>
        <w:lastRenderedPageBreak/>
        <w:t>Management of substance dependence</w:t>
      </w:r>
      <w:bookmarkEnd w:id="12"/>
    </w:p>
    <w:p w14:paraId="50DEDF93" w14:textId="77777777" w:rsidR="000071EC" w:rsidRPr="00990C17" w:rsidRDefault="000071EC" w:rsidP="00F77108">
      <w:pPr>
        <w:jc w:val="both"/>
        <w:rPr>
          <w:rFonts w:asciiTheme="minorHAnsi" w:hAnsiTheme="minorHAnsi"/>
          <w:color w:val="0C0C0C"/>
        </w:rPr>
      </w:pPr>
      <w:r w:rsidRPr="00FE25B0">
        <w:rPr>
          <w:rFonts w:asciiTheme="minorHAnsi" w:hAnsiTheme="minorHAnsi"/>
          <w:color w:val="0C0C0C"/>
        </w:rPr>
        <w:t>Patients with substance dependence and on opioid replacement therapy require increased monitoring for potential QT prolongation – with weekly ECGs for 4 weeks and then return to</w:t>
      </w:r>
      <w:r w:rsidR="00FE25B0" w:rsidRPr="00FE25B0">
        <w:rPr>
          <w:rFonts w:asciiTheme="minorHAnsi" w:hAnsiTheme="minorHAnsi"/>
          <w:color w:val="0C0C0C"/>
        </w:rPr>
        <w:t xml:space="preserve"> the normal monitoring schedule. Whenever there is an increase in the opioid replacement therapy, weekly ECGs should be done for 4 weeks.</w:t>
      </w:r>
      <w:r w:rsidR="00400E67">
        <w:rPr>
          <w:rFonts w:asciiTheme="minorHAnsi" w:hAnsiTheme="minorHAnsi"/>
          <w:color w:val="0C0C0C"/>
        </w:rPr>
        <w:t xml:space="preserve"> Note that because of potential interaction with linezolid, patients receiving this drug should not receive methadone. Refer to the SOP </w:t>
      </w:r>
      <w:r w:rsidR="00400E67" w:rsidRPr="00F77108">
        <w:rPr>
          <w:rFonts w:asciiTheme="minorHAnsi" w:hAnsiTheme="minorHAnsi"/>
          <w:b/>
          <w:i/>
          <w:color w:val="0C0C0C"/>
        </w:rPr>
        <w:t>SP-019-CT</w:t>
      </w:r>
      <w:r w:rsidR="00A162BF" w:rsidRPr="00E53814">
        <w:rPr>
          <w:rFonts w:asciiTheme="minorHAnsi" w:hAnsiTheme="minorHAnsi"/>
          <w:color w:val="0C0C0C"/>
        </w:rPr>
        <w:t xml:space="preserve"> on</w:t>
      </w:r>
      <w:r w:rsidR="00400E67" w:rsidRPr="00F77108">
        <w:rPr>
          <w:rFonts w:asciiTheme="minorHAnsi" w:hAnsiTheme="minorHAnsi"/>
          <w:b/>
          <w:i/>
          <w:color w:val="0C0C0C"/>
        </w:rPr>
        <w:t xml:space="preserve"> Concomitant Medications</w:t>
      </w:r>
      <w:r w:rsidR="00400E67">
        <w:rPr>
          <w:rFonts w:asciiTheme="minorHAnsi" w:hAnsiTheme="minorHAnsi"/>
          <w:color w:val="0C0C0C"/>
        </w:rPr>
        <w:t xml:space="preserve"> for guidance on the management of possible drug interactions.</w:t>
      </w:r>
    </w:p>
    <w:p w14:paraId="1133F21B" w14:textId="77777777" w:rsidR="00025EC0" w:rsidRPr="00990C17" w:rsidRDefault="0DAA7A45" w:rsidP="00F77108">
      <w:pPr>
        <w:pStyle w:val="Heading3"/>
        <w:jc w:val="both"/>
        <w:rPr>
          <w:lang w:val="en-CA"/>
        </w:rPr>
      </w:pPr>
      <w:bookmarkStart w:id="13" w:name="_Toc166245698"/>
      <w:r w:rsidRPr="0DAA7A45">
        <w:rPr>
          <w:lang w:val="en-CA"/>
        </w:rPr>
        <w:t>Management of Seizure disorders</w:t>
      </w:r>
      <w:bookmarkEnd w:id="13"/>
    </w:p>
    <w:p w14:paraId="10DBB846" w14:textId="77777777" w:rsidR="002D0C9F" w:rsidRPr="00990C17" w:rsidRDefault="002D0C9F" w:rsidP="00F77108">
      <w:pPr>
        <w:widowControl w:val="0"/>
        <w:spacing w:before="240" w:after="0" w:line="240" w:lineRule="auto"/>
        <w:jc w:val="both"/>
        <w:rPr>
          <w:rFonts w:asciiTheme="minorHAnsi" w:hAnsiTheme="minorHAnsi"/>
          <w:color w:val="auto"/>
        </w:rPr>
      </w:pPr>
      <w:r w:rsidRPr="00990C17">
        <w:rPr>
          <w:rFonts w:asciiTheme="minorHAnsi" w:hAnsiTheme="minorHAnsi"/>
          <w:color w:val="0C0C0C"/>
        </w:rPr>
        <w:t xml:space="preserve">Because of potential interactions with </w:t>
      </w:r>
      <w:proofErr w:type="spellStart"/>
      <w:r w:rsidRPr="00990C17">
        <w:rPr>
          <w:rFonts w:asciiTheme="minorHAnsi" w:hAnsiTheme="minorHAnsi"/>
          <w:color w:val="0C0C0C"/>
        </w:rPr>
        <w:t>bedaquiline</w:t>
      </w:r>
      <w:proofErr w:type="spellEnd"/>
      <w:r w:rsidRPr="00990C17">
        <w:rPr>
          <w:rFonts w:asciiTheme="minorHAnsi" w:hAnsiTheme="minorHAnsi"/>
          <w:color w:val="0C0C0C"/>
        </w:rPr>
        <w:t xml:space="preserve"> and </w:t>
      </w:r>
      <w:proofErr w:type="spellStart"/>
      <w:r w:rsidRPr="00990C17">
        <w:rPr>
          <w:rFonts w:asciiTheme="minorHAnsi" w:hAnsiTheme="minorHAnsi"/>
          <w:color w:val="0C0C0C"/>
        </w:rPr>
        <w:t>delamanid</w:t>
      </w:r>
      <w:proofErr w:type="spellEnd"/>
      <w:r w:rsidRPr="00990C17">
        <w:rPr>
          <w:rFonts w:asciiTheme="minorHAnsi" w:hAnsiTheme="minorHAnsi"/>
          <w:color w:val="0C0C0C"/>
        </w:rPr>
        <w:t>, patients with seizure disorder must be managed without the use of the following medicines</w:t>
      </w:r>
      <w:r w:rsidR="00104CE9">
        <w:rPr>
          <w:rFonts w:asciiTheme="minorHAnsi" w:hAnsiTheme="minorHAnsi"/>
          <w:color w:val="0C0C0C"/>
        </w:rPr>
        <w:t>:</w:t>
      </w:r>
    </w:p>
    <w:p w14:paraId="58390D53" w14:textId="77777777" w:rsidR="002D0C9F" w:rsidRPr="00990C17" w:rsidRDefault="002D0C9F" w:rsidP="00F77108">
      <w:pPr>
        <w:pStyle w:val="ListParagraph"/>
        <w:widowControl w:val="0"/>
        <w:numPr>
          <w:ilvl w:val="0"/>
          <w:numId w:val="40"/>
        </w:numPr>
        <w:spacing w:before="240" w:after="0" w:line="240" w:lineRule="auto"/>
        <w:jc w:val="both"/>
        <w:rPr>
          <w:rFonts w:asciiTheme="minorHAnsi" w:hAnsiTheme="minorHAnsi"/>
          <w:color w:val="auto"/>
        </w:rPr>
      </w:pPr>
      <w:r w:rsidRPr="00990C17">
        <w:rPr>
          <w:rFonts w:asciiTheme="minorHAnsi" w:hAnsiTheme="minorHAnsi"/>
          <w:color w:val="auto"/>
        </w:rPr>
        <w:t xml:space="preserve">For </w:t>
      </w:r>
      <w:proofErr w:type="spellStart"/>
      <w:r w:rsidRPr="00990C17">
        <w:rPr>
          <w:rFonts w:asciiTheme="minorHAnsi" w:hAnsiTheme="minorHAnsi"/>
          <w:color w:val="auto"/>
        </w:rPr>
        <w:t>bedaquiline</w:t>
      </w:r>
      <w:proofErr w:type="spellEnd"/>
      <w:r w:rsidRPr="00990C17">
        <w:rPr>
          <w:rFonts w:asciiTheme="minorHAnsi" w:hAnsiTheme="minorHAnsi"/>
          <w:color w:val="auto"/>
        </w:rPr>
        <w:t xml:space="preserve">: phenytoin, carbamazepine, </w:t>
      </w:r>
      <w:proofErr w:type="gramStart"/>
      <w:r w:rsidRPr="00990C17">
        <w:rPr>
          <w:rFonts w:asciiTheme="minorHAnsi" w:hAnsiTheme="minorHAnsi"/>
          <w:color w:val="auto"/>
        </w:rPr>
        <w:t>phenobarbital</w:t>
      </w:r>
      <w:r w:rsidR="00104CE9">
        <w:rPr>
          <w:rFonts w:asciiTheme="minorHAnsi" w:hAnsiTheme="minorHAnsi"/>
          <w:color w:val="auto"/>
        </w:rPr>
        <w:t>;</w:t>
      </w:r>
      <w:proofErr w:type="gramEnd"/>
    </w:p>
    <w:p w14:paraId="1FC11653" w14:textId="77777777" w:rsidR="0038413E" w:rsidRPr="0038413E" w:rsidRDefault="002D0C9F" w:rsidP="00F77108">
      <w:pPr>
        <w:pStyle w:val="ListParagraph"/>
        <w:widowControl w:val="0"/>
        <w:numPr>
          <w:ilvl w:val="0"/>
          <w:numId w:val="40"/>
        </w:numPr>
        <w:spacing w:before="240" w:after="0" w:line="240" w:lineRule="auto"/>
        <w:jc w:val="both"/>
        <w:rPr>
          <w:rFonts w:asciiTheme="minorHAnsi" w:hAnsiTheme="minorHAnsi"/>
          <w:color w:val="0C0C0C"/>
        </w:rPr>
      </w:pPr>
      <w:r w:rsidRPr="00990C17">
        <w:rPr>
          <w:rFonts w:asciiTheme="minorHAnsi" w:hAnsiTheme="minorHAnsi"/>
          <w:color w:val="auto"/>
        </w:rPr>
        <w:t xml:space="preserve">For </w:t>
      </w:r>
      <w:proofErr w:type="spellStart"/>
      <w:r w:rsidRPr="00990C17">
        <w:rPr>
          <w:rFonts w:asciiTheme="minorHAnsi" w:hAnsiTheme="minorHAnsi"/>
          <w:color w:val="auto"/>
        </w:rPr>
        <w:t>delamanid</w:t>
      </w:r>
      <w:proofErr w:type="spellEnd"/>
      <w:r w:rsidRPr="00990C17">
        <w:rPr>
          <w:rFonts w:asciiTheme="minorHAnsi" w:hAnsiTheme="minorHAnsi"/>
          <w:color w:val="auto"/>
        </w:rPr>
        <w:t>: phenytoin, carbamazepine</w:t>
      </w:r>
      <w:r w:rsidR="005F608B" w:rsidRPr="00990C17">
        <w:rPr>
          <w:rFonts w:asciiTheme="minorHAnsi" w:hAnsiTheme="minorHAnsi"/>
          <w:color w:val="auto"/>
        </w:rPr>
        <w:t>.</w:t>
      </w:r>
    </w:p>
    <w:p w14:paraId="4D823A94" w14:textId="77777777" w:rsidR="00400E67" w:rsidRDefault="00400E67" w:rsidP="00F77108">
      <w:pPr>
        <w:widowControl w:val="0"/>
        <w:spacing w:before="240" w:after="0" w:line="240" w:lineRule="auto"/>
        <w:jc w:val="both"/>
        <w:rPr>
          <w:rFonts w:asciiTheme="minorHAnsi" w:hAnsiTheme="minorHAnsi"/>
          <w:color w:val="0C0C0C"/>
        </w:rPr>
      </w:pPr>
      <w:r>
        <w:rPr>
          <w:rFonts w:asciiTheme="minorHAnsi" w:hAnsiTheme="minorHAnsi"/>
          <w:color w:val="0C0C0C"/>
        </w:rPr>
        <w:t xml:space="preserve">Refer to the </w:t>
      </w:r>
      <w:r w:rsidR="00A162BF" w:rsidRPr="00E53814">
        <w:rPr>
          <w:rFonts w:asciiTheme="minorHAnsi" w:hAnsiTheme="minorHAnsi"/>
          <w:color w:val="0C0C0C"/>
        </w:rPr>
        <w:t>SOP</w:t>
      </w:r>
      <w:r w:rsidRPr="007472E9">
        <w:rPr>
          <w:rFonts w:asciiTheme="minorHAnsi" w:hAnsiTheme="minorHAnsi"/>
          <w:b/>
          <w:i/>
          <w:color w:val="0C0C0C"/>
        </w:rPr>
        <w:t xml:space="preserve"> SP-019-CT </w:t>
      </w:r>
      <w:r w:rsidR="00A162BF" w:rsidRPr="00E53814">
        <w:rPr>
          <w:rFonts w:asciiTheme="minorHAnsi" w:hAnsiTheme="minorHAnsi"/>
          <w:color w:val="0C0C0C"/>
        </w:rPr>
        <w:t>on</w:t>
      </w:r>
      <w:r w:rsidRPr="007472E9">
        <w:rPr>
          <w:rFonts w:asciiTheme="minorHAnsi" w:hAnsiTheme="minorHAnsi"/>
          <w:b/>
          <w:i/>
          <w:color w:val="0C0C0C"/>
        </w:rPr>
        <w:t xml:space="preserve"> Concomitant Medications</w:t>
      </w:r>
      <w:r>
        <w:rPr>
          <w:rFonts w:asciiTheme="minorHAnsi" w:hAnsiTheme="minorHAnsi"/>
          <w:color w:val="0C0C0C"/>
        </w:rPr>
        <w:t xml:space="preserve"> for guidance on the management of possible drug interactions.</w:t>
      </w:r>
    </w:p>
    <w:p w14:paraId="718B8EDF" w14:textId="31429F04" w:rsidR="00887A8D" w:rsidRDefault="002D0C9F" w:rsidP="00F77108">
      <w:pPr>
        <w:widowControl w:val="0"/>
        <w:spacing w:before="240" w:after="0" w:line="240" w:lineRule="auto"/>
        <w:jc w:val="both"/>
        <w:rPr>
          <w:rFonts w:asciiTheme="minorHAnsi" w:hAnsiTheme="minorHAnsi"/>
          <w:color w:val="0C0C0C"/>
        </w:rPr>
      </w:pPr>
      <w:r w:rsidRPr="0038413E">
        <w:rPr>
          <w:rFonts w:asciiTheme="minorHAnsi" w:hAnsiTheme="minorHAnsi"/>
          <w:color w:val="0C0C0C"/>
        </w:rPr>
        <w:t>The physician managing the patient’s TB should be in close communication with the physician or clinic that manages the seizure disorder. This is extremely important as many</w:t>
      </w:r>
      <w:r w:rsidR="0038413E">
        <w:rPr>
          <w:rFonts w:asciiTheme="minorHAnsi" w:hAnsiTheme="minorHAnsi"/>
          <w:color w:val="0C0C0C"/>
        </w:rPr>
        <w:t xml:space="preserve"> care providers including physicians</w:t>
      </w:r>
      <w:r w:rsidRPr="0038413E">
        <w:rPr>
          <w:rFonts w:asciiTheme="minorHAnsi" w:hAnsiTheme="minorHAnsi"/>
          <w:color w:val="0C0C0C"/>
        </w:rPr>
        <w:t xml:space="preserve"> are not aware of the drug-drug interactions with anti-seizure medicines and </w:t>
      </w:r>
      <w:r w:rsidR="005F608B" w:rsidRPr="0038413E">
        <w:rPr>
          <w:rFonts w:asciiTheme="minorHAnsi" w:hAnsiTheme="minorHAnsi"/>
          <w:color w:val="0C0C0C"/>
        </w:rPr>
        <w:t xml:space="preserve">the new TB drugs </w:t>
      </w:r>
      <w:proofErr w:type="spellStart"/>
      <w:r w:rsidR="005F608B" w:rsidRPr="0038413E">
        <w:rPr>
          <w:rFonts w:asciiTheme="minorHAnsi" w:hAnsiTheme="minorHAnsi"/>
          <w:color w:val="0C0C0C"/>
        </w:rPr>
        <w:t>bedaquiline</w:t>
      </w:r>
      <w:proofErr w:type="spellEnd"/>
      <w:r w:rsidR="005F608B" w:rsidRPr="0038413E">
        <w:rPr>
          <w:rFonts w:asciiTheme="minorHAnsi" w:hAnsiTheme="minorHAnsi"/>
          <w:color w:val="0C0C0C"/>
        </w:rPr>
        <w:t xml:space="preserve"> and </w:t>
      </w:r>
      <w:proofErr w:type="spellStart"/>
      <w:r w:rsidR="005F608B" w:rsidRPr="0038413E">
        <w:rPr>
          <w:rFonts w:asciiTheme="minorHAnsi" w:hAnsiTheme="minorHAnsi"/>
          <w:color w:val="0C0C0C"/>
        </w:rPr>
        <w:t>delamanid</w:t>
      </w:r>
      <w:proofErr w:type="spellEnd"/>
      <w:r w:rsidR="005F608B" w:rsidRPr="0038413E">
        <w:rPr>
          <w:rFonts w:asciiTheme="minorHAnsi" w:hAnsiTheme="minorHAnsi"/>
          <w:color w:val="0C0C0C"/>
        </w:rPr>
        <w:t>.</w:t>
      </w:r>
    </w:p>
    <w:p w14:paraId="11F4FF45" w14:textId="77777777" w:rsidR="00025EC0" w:rsidRPr="00990C17" w:rsidRDefault="0DAA7A45" w:rsidP="00F77108">
      <w:pPr>
        <w:pStyle w:val="Heading3"/>
        <w:jc w:val="both"/>
        <w:rPr>
          <w:lang w:val="en-CA"/>
        </w:rPr>
      </w:pPr>
      <w:bookmarkStart w:id="14" w:name="_Toc166245699"/>
      <w:r w:rsidRPr="0DAA7A45">
        <w:rPr>
          <w:lang w:val="en-CA"/>
        </w:rPr>
        <w:t>Management of hepatitis B and C</w:t>
      </w:r>
      <w:bookmarkEnd w:id="14"/>
    </w:p>
    <w:p w14:paraId="7EF1B016" w14:textId="1F915631" w:rsidR="00CE770D" w:rsidRDefault="00C31EC7" w:rsidP="00F77108">
      <w:pPr>
        <w:jc w:val="both"/>
        <w:rPr>
          <w:rFonts w:asciiTheme="minorHAnsi" w:eastAsia="Times New Roman" w:hAnsiTheme="minorHAnsi"/>
        </w:rPr>
      </w:pPr>
      <w:r>
        <w:rPr>
          <w:rFonts w:asciiTheme="minorHAnsi" w:eastAsia="Times New Roman" w:hAnsiTheme="minorHAnsi"/>
        </w:rPr>
        <w:t xml:space="preserve">The </w:t>
      </w:r>
      <w:r w:rsidR="00A55945">
        <w:rPr>
          <w:rFonts w:asciiTheme="minorHAnsi" w:eastAsia="Times New Roman" w:hAnsiTheme="minorHAnsi"/>
        </w:rPr>
        <w:t>treatment</w:t>
      </w:r>
      <w:r>
        <w:rPr>
          <w:rFonts w:asciiTheme="minorHAnsi" w:eastAsia="Times New Roman" w:hAnsiTheme="minorHAnsi"/>
        </w:rPr>
        <w:t xml:space="preserve"> for v</w:t>
      </w:r>
      <w:r w:rsidR="00E219DC" w:rsidRPr="00990C17">
        <w:rPr>
          <w:rFonts w:asciiTheme="minorHAnsi" w:eastAsia="Times New Roman" w:hAnsiTheme="minorHAnsi"/>
        </w:rPr>
        <w:t xml:space="preserve">iral hepatitis B and C </w:t>
      </w:r>
      <w:r>
        <w:rPr>
          <w:rFonts w:asciiTheme="minorHAnsi" w:eastAsia="Times New Roman" w:hAnsiTheme="minorHAnsi"/>
        </w:rPr>
        <w:t>is rapidly ev</w:t>
      </w:r>
      <w:r w:rsidR="00A55945">
        <w:rPr>
          <w:rFonts w:asciiTheme="minorHAnsi" w:eastAsia="Times New Roman" w:hAnsiTheme="minorHAnsi"/>
        </w:rPr>
        <w:t xml:space="preserve">olving and includes </w:t>
      </w:r>
      <w:proofErr w:type="gramStart"/>
      <w:r w:rsidR="00A55945">
        <w:rPr>
          <w:rFonts w:asciiTheme="minorHAnsi" w:eastAsia="Times New Roman" w:hAnsiTheme="minorHAnsi"/>
        </w:rPr>
        <w:t>a number of</w:t>
      </w:r>
      <w:proofErr w:type="gramEnd"/>
      <w:r w:rsidR="00A55945">
        <w:rPr>
          <w:rFonts w:asciiTheme="minorHAnsi" w:eastAsia="Times New Roman" w:hAnsiTheme="minorHAnsi"/>
        </w:rPr>
        <w:t xml:space="preserve"> options</w:t>
      </w:r>
      <w:r w:rsidR="002050D6">
        <w:rPr>
          <w:rFonts w:asciiTheme="minorHAnsi" w:eastAsia="Times New Roman" w:hAnsiTheme="minorHAnsi"/>
        </w:rPr>
        <w:t xml:space="preserve"> of multidrug regimens </w:t>
      </w:r>
      <w:r w:rsidR="00FD0EC1">
        <w:rPr>
          <w:rFonts w:asciiTheme="minorHAnsi" w:eastAsia="Times New Roman" w:hAnsiTheme="minorHAnsi"/>
        </w:rPr>
        <w:t>with a</w:t>
      </w:r>
      <w:r w:rsidR="002050D6">
        <w:rPr>
          <w:rFonts w:asciiTheme="minorHAnsi" w:eastAsia="Times New Roman" w:hAnsiTheme="minorHAnsi"/>
        </w:rPr>
        <w:t xml:space="preserve"> backbone of</w:t>
      </w:r>
      <w:r w:rsidR="00A55945">
        <w:rPr>
          <w:rFonts w:asciiTheme="minorHAnsi" w:eastAsia="Times New Roman" w:hAnsiTheme="minorHAnsi"/>
        </w:rPr>
        <w:t xml:space="preserve"> ant</w:t>
      </w:r>
      <w:r w:rsidR="00490636">
        <w:rPr>
          <w:rFonts w:asciiTheme="minorHAnsi" w:eastAsia="Times New Roman" w:hAnsiTheme="minorHAnsi"/>
        </w:rPr>
        <w:t>i</w:t>
      </w:r>
      <w:r w:rsidR="00A55945">
        <w:rPr>
          <w:rFonts w:asciiTheme="minorHAnsi" w:eastAsia="Times New Roman" w:hAnsiTheme="minorHAnsi"/>
        </w:rPr>
        <w:t>virals</w:t>
      </w:r>
      <w:r w:rsidR="00FD0EC1">
        <w:rPr>
          <w:rFonts w:asciiTheme="minorHAnsi" w:eastAsia="Times New Roman" w:hAnsiTheme="minorHAnsi"/>
        </w:rPr>
        <w:t>. The exact regimen</w:t>
      </w:r>
      <w:r w:rsidR="006A7724">
        <w:rPr>
          <w:rFonts w:asciiTheme="minorHAnsi" w:eastAsia="Times New Roman" w:hAnsiTheme="minorHAnsi"/>
        </w:rPr>
        <w:t xml:space="preserve"> depending on the</w:t>
      </w:r>
      <w:r w:rsidR="00FD0EC1">
        <w:rPr>
          <w:rFonts w:asciiTheme="minorHAnsi" w:eastAsia="Times New Roman" w:hAnsiTheme="minorHAnsi"/>
        </w:rPr>
        <w:t xml:space="preserve"> viral</w:t>
      </w:r>
      <w:r w:rsidR="006A7724">
        <w:rPr>
          <w:rFonts w:asciiTheme="minorHAnsi" w:eastAsia="Times New Roman" w:hAnsiTheme="minorHAnsi"/>
        </w:rPr>
        <w:t xml:space="preserve"> </w:t>
      </w:r>
      <w:r w:rsidR="003F0B9C">
        <w:rPr>
          <w:rFonts w:asciiTheme="minorHAnsi" w:eastAsia="Times New Roman" w:hAnsiTheme="minorHAnsi"/>
        </w:rPr>
        <w:t>genotype</w:t>
      </w:r>
      <w:r w:rsidR="00A55945">
        <w:rPr>
          <w:rFonts w:asciiTheme="minorHAnsi" w:eastAsia="Times New Roman" w:hAnsiTheme="minorHAnsi"/>
        </w:rPr>
        <w:t>. Some of the anti-hepatitis antiretroviral medicines are</w:t>
      </w:r>
      <w:r w:rsidR="00A55945" w:rsidRPr="00A55945">
        <w:rPr>
          <w:rFonts w:asciiTheme="minorHAnsi" w:eastAsia="Times New Roman" w:hAnsiTheme="minorHAnsi"/>
        </w:rPr>
        <w:t xml:space="preserve"> inhibitors of CYP3A4</w:t>
      </w:r>
      <w:r w:rsidR="00A55945">
        <w:rPr>
          <w:rFonts w:asciiTheme="minorHAnsi" w:eastAsia="Times New Roman" w:hAnsiTheme="minorHAnsi"/>
        </w:rPr>
        <w:t xml:space="preserve"> (such as b</w:t>
      </w:r>
      <w:r w:rsidR="00A55945" w:rsidRPr="00A55945">
        <w:rPr>
          <w:rFonts w:asciiTheme="minorHAnsi" w:eastAsia="Times New Roman" w:hAnsiTheme="minorHAnsi"/>
        </w:rPr>
        <w:t>oth boceprevir and telaprevir</w:t>
      </w:r>
      <w:r w:rsidR="00A55945">
        <w:rPr>
          <w:rFonts w:asciiTheme="minorHAnsi" w:eastAsia="Times New Roman" w:hAnsiTheme="minorHAnsi"/>
        </w:rPr>
        <w:t>)</w:t>
      </w:r>
      <w:r w:rsidR="00A55945" w:rsidRPr="00A55945">
        <w:rPr>
          <w:rFonts w:asciiTheme="minorHAnsi" w:eastAsia="Times New Roman" w:hAnsiTheme="minorHAnsi"/>
        </w:rPr>
        <w:t xml:space="preserve"> </w:t>
      </w:r>
      <w:r w:rsidR="00A55945">
        <w:rPr>
          <w:rFonts w:asciiTheme="minorHAnsi" w:eastAsia="Times New Roman" w:hAnsiTheme="minorHAnsi"/>
        </w:rPr>
        <w:t xml:space="preserve">and others have QT prolongation effect. Therefore, </w:t>
      </w:r>
      <w:r w:rsidR="006E1AEF">
        <w:rPr>
          <w:rFonts w:asciiTheme="minorHAnsi" w:eastAsia="Times New Roman" w:hAnsiTheme="minorHAnsi"/>
        </w:rPr>
        <w:t xml:space="preserve">the choice of drugs </w:t>
      </w:r>
      <w:r w:rsidR="008F5984">
        <w:rPr>
          <w:rFonts w:asciiTheme="minorHAnsi" w:eastAsia="Times New Roman" w:hAnsiTheme="minorHAnsi"/>
        </w:rPr>
        <w:t>for the treatment of hepatitis B and C during the treatment of MDR-TB should be evaluated carefully</w:t>
      </w:r>
      <w:r w:rsidR="006A7724">
        <w:rPr>
          <w:rFonts w:asciiTheme="minorHAnsi" w:eastAsia="Times New Roman" w:hAnsiTheme="minorHAnsi"/>
        </w:rPr>
        <w:t>. If treatment of hepatitis B or C is indicated</w:t>
      </w:r>
      <w:r w:rsidR="0056307E">
        <w:rPr>
          <w:rFonts w:asciiTheme="minorHAnsi" w:eastAsia="Times New Roman" w:hAnsiTheme="minorHAnsi"/>
        </w:rPr>
        <w:t xml:space="preserve"> and a hepatitis regimen cannot be designed that does not</w:t>
      </w:r>
      <w:r w:rsidR="002050D6">
        <w:rPr>
          <w:rFonts w:asciiTheme="minorHAnsi" w:eastAsia="Times New Roman" w:hAnsiTheme="minorHAnsi"/>
        </w:rPr>
        <w:t xml:space="preserve"> have significant drug-drug interactions</w:t>
      </w:r>
      <w:r w:rsidR="006A7724">
        <w:rPr>
          <w:rFonts w:asciiTheme="minorHAnsi" w:eastAsia="Times New Roman" w:hAnsiTheme="minorHAnsi"/>
        </w:rPr>
        <w:t xml:space="preserve">, it is suggested the patient be removed from the study and an individualized MDR-TB regimen and hepatitis </w:t>
      </w:r>
      <w:r w:rsidR="0056307E">
        <w:rPr>
          <w:rFonts w:asciiTheme="minorHAnsi" w:eastAsia="Times New Roman" w:hAnsiTheme="minorHAnsi"/>
        </w:rPr>
        <w:t xml:space="preserve">antiviral </w:t>
      </w:r>
      <w:r w:rsidR="006A7724">
        <w:rPr>
          <w:rFonts w:asciiTheme="minorHAnsi" w:eastAsia="Times New Roman" w:hAnsiTheme="minorHAnsi"/>
        </w:rPr>
        <w:t xml:space="preserve">regimen be designed by appropriate experts. </w:t>
      </w:r>
      <w:r w:rsidR="00FD0EC1">
        <w:rPr>
          <w:rFonts w:asciiTheme="minorHAnsi" w:eastAsia="Times New Roman" w:hAnsiTheme="minorHAnsi"/>
        </w:rPr>
        <w:t xml:space="preserve">It is recommended that all study participants that plan to have a hepatitis antiviral regimen during the study be reviewed by the CAC. </w:t>
      </w:r>
    </w:p>
    <w:p w14:paraId="18FD3AC6" w14:textId="51E1E500" w:rsidR="00FD0EC1" w:rsidRDefault="006A7724" w:rsidP="00F77108">
      <w:pPr>
        <w:jc w:val="both"/>
        <w:rPr>
          <w:rFonts w:asciiTheme="minorHAnsi" w:eastAsia="Times New Roman" w:hAnsiTheme="minorHAnsi"/>
        </w:rPr>
      </w:pPr>
      <w:r>
        <w:rPr>
          <w:rFonts w:asciiTheme="minorHAnsi" w:eastAsia="Times New Roman" w:hAnsiTheme="minorHAnsi"/>
        </w:rPr>
        <w:t>Patients that are hepatitis B</w:t>
      </w:r>
      <w:r w:rsidR="00490636">
        <w:rPr>
          <w:rFonts w:asciiTheme="minorHAnsi" w:eastAsia="Times New Roman" w:hAnsiTheme="minorHAnsi"/>
        </w:rPr>
        <w:t>-</w:t>
      </w:r>
      <w:r>
        <w:rPr>
          <w:rFonts w:asciiTheme="minorHAnsi" w:eastAsia="Times New Roman" w:hAnsiTheme="minorHAnsi"/>
        </w:rPr>
        <w:t xml:space="preserve"> or C</w:t>
      </w:r>
      <w:r w:rsidR="00490636">
        <w:rPr>
          <w:rFonts w:asciiTheme="minorHAnsi" w:eastAsia="Times New Roman" w:hAnsiTheme="minorHAnsi"/>
        </w:rPr>
        <w:t>-</w:t>
      </w:r>
      <w:r>
        <w:rPr>
          <w:rFonts w:asciiTheme="minorHAnsi" w:eastAsia="Times New Roman" w:hAnsiTheme="minorHAnsi"/>
        </w:rPr>
        <w:t xml:space="preserve">infected with </w:t>
      </w:r>
      <w:r w:rsidR="002050D6">
        <w:rPr>
          <w:rFonts w:asciiTheme="minorHAnsi" w:eastAsia="Times New Roman" w:hAnsiTheme="minorHAnsi"/>
        </w:rPr>
        <w:t>or without</w:t>
      </w:r>
      <w:r>
        <w:rPr>
          <w:rFonts w:asciiTheme="minorHAnsi" w:eastAsia="Times New Roman" w:hAnsiTheme="minorHAnsi"/>
        </w:rPr>
        <w:t xml:space="preserve"> </w:t>
      </w:r>
      <w:r w:rsidR="002050D6">
        <w:rPr>
          <w:rFonts w:asciiTheme="minorHAnsi" w:eastAsia="Times New Roman" w:hAnsiTheme="minorHAnsi"/>
        </w:rPr>
        <w:t xml:space="preserve">significant liver fibrosis </w:t>
      </w:r>
      <w:r>
        <w:rPr>
          <w:rFonts w:asciiTheme="minorHAnsi" w:eastAsia="Times New Roman" w:hAnsiTheme="minorHAnsi"/>
        </w:rPr>
        <w:t>may have entered the study</w:t>
      </w:r>
      <w:r w:rsidR="002050D6">
        <w:rPr>
          <w:rFonts w:asciiTheme="minorHAnsi" w:eastAsia="Times New Roman" w:hAnsiTheme="minorHAnsi"/>
        </w:rPr>
        <w:t xml:space="preserve"> without any plans for hepatitis antiviral therapy because many </w:t>
      </w:r>
      <w:r w:rsidR="0056307E">
        <w:rPr>
          <w:rFonts w:asciiTheme="minorHAnsi" w:eastAsia="Times New Roman" w:hAnsiTheme="minorHAnsi"/>
        </w:rPr>
        <w:t>areas</w:t>
      </w:r>
      <w:r>
        <w:rPr>
          <w:rFonts w:asciiTheme="minorHAnsi" w:eastAsia="Times New Roman" w:hAnsiTheme="minorHAnsi"/>
        </w:rPr>
        <w:t xml:space="preserve"> </w:t>
      </w:r>
      <w:r w:rsidR="002050D6">
        <w:rPr>
          <w:rFonts w:asciiTheme="minorHAnsi" w:eastAsia="Times New Roman" w:hAnsiTheme="minorHAnsi"/>
        </w:rPr>
        <w:t xml:space="preserve">have </w:t>
      </w:r>
      <w:r>
        <w:rPr>
          <w:rFonts w:asciiTheme="minorHAnsi" w:eastAsia="Times New Roman" w:hAnsiTheme="minorHAnsi"/>
        </w:rPr>
        <w:t xml:space="preserve">no treatment with </w:t>
      </w:r>
      <w:r w:rsidR="0056307E">
        <w:rPr>
          <w:rFonts w:asciiTheme="minorHAnsi" w:eastAsia="Times New Roman" w:hAnsiTheme="minorHAnsi"/>
        </w:rPr>
        <w:t>hepatitis antivirals available</w:t>
      </w:r>
      <w:r>
        <w:rPr>
          <w:rFonts w:asciiTheme="minorHAnsi" w:eastAsia="Times New Roman" w:hAnsiTheme="minorHAnsi"/>
        </w:rPr>
        <w:t xml:space="preserve">. </w:t>
      </w:r>
      <w:r w:rsidR="0056307E">
        <w:rPr>
          <w:rFonts w:asciiTheme="minorHAnsi" w:eastAsia="Times New Roman" w:hAnsiTheme="minorHAnsi"/>
        </w:rPr>
        <w:t>If treatment of hepatitis B or C becomes ava</w:t>
      </w:r>
      <w:r w:rsidR="002050D6">
        <w:rPr>
          <w:rFonts w:asciiTheme="minorHAnsi" w:eastAsia="Times New Roman" w:hAnsiTheme="minorHAnsi"/>
        </w:rPr>
        <w:t xml:space="preserve">ilable in the </w:t>
      </w:r>
      <w:proofErr w:type="gramStart"/>
      <w:r w:rsidR="002050D6">
        <w:rPr>
          <w:rFonts w:asciiTheme="minorHAnsi" w:eastAsia="Times New Roman" w:hAnsiTheme="minorHAnsi"/>
        </w:rPr>
        <w:t>time period</w:t>
      </w:r>
      <w:proofErr w:type="gramEnd"/>
      <w:r w:rsidR="002050D6">
        <w:rPr>
          <w:rFonts w:asciiTheme="minorHAnsi" w:eastAsia="Times New Roman" w:hAnsiTheme="minorHAnsi"/>
        </w:rPr>
        <w:t xml:space="preserve"> that a patient is in the</w:t>
      </w:r>
      <w:r w:rsidR="0056307E">
        <w:rPr>
          <w:rFonts w:asciiTheme="minorHAnsi" w:eastAsia="Times New Roman" w:hAnsiTheme="minorHAnsi"/>
        </w:rPr>
        <w:t xml:space="preserve"> study</w:t>
      </w:r>
      <w:r w:rsidR="002050D6">
        <w:rPr>
          <w:rFonts w:asciiTheme="minorHAnsi" w:eastAsia="Times New Roman" w:hAnsiTheme="minorHAnsi"/>
        </w:rPr>
        <w:t xml:space="preserve"> and the treating physician feels hepatitis treatment is indicated</w:t>
      </w:r>
      <w:r w:rsidR="0056307E">
        <w:rPr>
          <w:rFonts w:asciiTheme="minorHAnsi" w:eastAsia="Times New Roman" w:hAnsiTheme="minorHAnsi"/>
        </w:rPr>
        <w:t>, it is suggested</w:t>
      </w:r>
      <w:r w:rsidR="00FD0EC1">
        <w:rPr>
          <w:rFonts w:asciiTheme="minorHAnsi" w:eastAsia="Times New Roman" w:hAnsiTheme="minorHAnsi"/>
        </w:rPr>
        <w:t xml:space="preserve"> to review </w:t>
      </w:r>
      <w:r w:rsidR="00DB6CA1">
        <w:rPr>
          <w:rFonts w:asciiTheme="minorHAnsi" w:eastAsia="Times New Roman" w:hAnsiTheme="minorHAnsi"/>
        </w:rPr>
        <w:t>each case with</w:t>
      </w:r>
      <w:r w:rsidR="00FD0EC1">
        <w:rPr>
          <w:rFonts w:asciiTheme="minorHAnsi" w:eastAsia="Times New Roman" w:hAnsiTheme="minorHAnsi"/>
        </w:rPr>
        <w:t xml:space="preserve"> the CAC</w:t>
      </w:r>
      <w:r w:rsidR="0056307E">
        <w:rPr>
          <w:rFonts w:asciiTheme="minorHAnsi" w:eastAsia="Times New Roman" w:hAnsiTheme="minorHAnsi"/>
        </w:rPr>
        <w:t>.</w:t>
      </w:r>
      <w:r w:rsidR="008F5984">
        <w:rPr>
          <w:rFonts w:asciiTheme="minorHAnsi" w:eastAsia="Times New Roman" w:hAnsiTheme="minorHAnsi"/>
        </w:rPr>
        <w:t xml:space="preserve"> For specific guidance on</w:t>
      </w:r>
      <w:r w:rsidR="009518DF">
        <w:rPr>
          <w:rFonts w:asciiTheme="minorHAnsi" w:eastAsia="Times New Roman" w:hAnsiTheme="minorHAnsi"/>
        </w:rPr>
        <w:t xml:space="preserve"> the</w:t>
      </w:r>
      <w:r w:rsidR="008F5984">
        <w:rPr>
          <w:rFonts w:asciiTheme="minorHAnsi" w:eastAsia="Times New Roman" w:hAnsiTheme="minorHAnsi"/>
        </w:rPr>
        <w:t xml:space="preserve"> </w:t>
      </w:r>
      <w:r w:rsidR="009518DF">
        <w:rPr>
          <w:rFonts w:asciiTheme="minorHAnsi" w:eastAsia="Times New Roman" w:hAnsiTheme="minorHAnsi"/>
        </w:rPr>
        <w:t xml:space="preserve">management of </w:t>
      </w:r>
      <w:r w:rsidR="008F5984">
        <w:rPr>
          <w:rFonts w:asciiTheme="minorHAnsi" w:eastAsia="Times New Roman" w:hAnsiTheme="minorHAnsi"/>
        </w:rPr>
        <w:t xml:space="preserve">hepatitis C </w:t>
      </w:r>
      <w:r w:rsidR="009518DF">
        <w:rPr>
          <w:rFonts w:asciiTheme="minorHAnsi" w:eastAsia="Times New Roman" w:hAnsiTheme="minorHAnsi"/>
        </w:rPr>
        <w:t>infection</w:t>
      </w:r>
      <w:r w:rsidR="008F5984">
        <w:rPr>
          <w:rFonts w:asciiTheme="minorHAnsi" w:eastAsia="Times New Roman" w:hAnsiTheme="minorHAnsi"/>
        </w:rPr>
        <w:t xml:space="preserve">, refer to </w:t>
      </w:r>
      <w:r w:rsidR="008F5984">
        <w:rPr>
          <w:rFonts w:asciiTheme="minorHAnsi" w:hAnsiTheme="minorHAnsi"/>
          <w:color w:val="0C0C0C"/>
        </w:rPr>
        <w:t xml:space="preserve">the SOP </w:t>
      </w:r>
      <w:r w:rsidR="008F5984" w:rsidRPr="00F77108">
        <w:rPr>
          <w:rFonts w:asciiTheme="minorHAnsi" w:hAnsiTheme="minorHAnsi"/>
          <w:b/>
          <w:i/>
          <w:color w:val="0C0C0C"/>
        </w:rPr>
        <w:t>SP-0</w:t>
      </w:r>
      <w:r w:rsidR="00D0333A">
        <w:rPr>
          <w:rFonts w:asciiTheme="minorHAnsi" w:hAnsiTheme="minorHAnsi"/>
          <w:b/>
          <w:i/>
          <w:color w:val="0C0C0C"/>
        </w:rPr>
        <w:t>33</w:t>
      </w:r>
      <w:r w:rsidR="008F5984" w:rsidRPr="00F77108">
        <w:rPr>
          <w:rFonts w:asciiTheme="minorHAnsi" w:hAnsiTheme="minorHAnsi"/>
          <w:b/>
          <w:i/>
          <w:color w:val="0C0C0C"/>
        </w:rPr>
        <w:t>-CT</w:t>
      </w:r>
      <w:r w:rsidR="008F5984" w:rsidRPr="00E53814">
        <w:rPr>
          <w:rFonts w:asciiTheme="minorHAnsi" w:hAnsiTheme="minorHAnsi"/>
          <w:color w:val="0C0C0C"/>
        </w:rPr>
        <w:t xml:space="preserve"> on</w:t>
      </w:r>
      <w:r w:rsidR="008F5984" w:rsidRPr="00F77108">
        <w:rPr>
          <w:rFonts w:asciiTheme="minorHAnsi" w:hAnsiTheme="minorHAnsi"/>
          <w:b/>
          <w:i/>
          <w:color w:val="0C0C0C"/>
        </w:rPr>
        <w:t xml:space="preserve"> </w:t>
      </w:r>
      <w:r w:rsidR="009518DF">
        <w:rPr>
          <w:rFonts w:asciiTheme="minorHAnsi" w:hAnsiTheme="minorHAnsi"/>
          <w:b/>
          <w:i/>
          <w:color w:val="0C0C0C"/>
        </w:rPr>
        <w:t>Management</w:t>
      </w:r>
      <w:r w:rsidR="00C33F47">
        <w:rPr>
          <w:rFonts w:asciiTheme="minorHAnsi" w:hAnsiTheme="minorHAnsi"/>
          <w:b/>
          <w:i/>
          <w:color w:val="0C0C0C"/>
        </w:rPr>
        <w:t xml:space="preserve"> of Hepatitis C</w:t>
      </w:r>
      <w:r w:rsidR="00C33F47" w:rsidRPr="00C33F47">
        <w:rPr>
          <w:rFonts w:asciiTheme="minorHAnsi" w:hAnsiTheme="minorHAnsi"/>
          <w:i/>
          <w:color w:val="0C0C0C"/>
        </w:rPr>
        <w:t>.</w:t>
      </w:r>
    </w:p>
    <w:p w14:paraId="45C47E4B" w14:textId="77777777" w:rsidR="006A7724" w:rsidRPr="00990C17" w:rsidRDefault="0056307E" w:rsidP="00F77108">
      <w:pPr>
        <w:jc w:val="both"/>
        <w:rPr>
          <w:rFonts w:asciiTheme="minorHAnsi" w:hAnsiTheme="minorHAnsi"/>
          <w:color w:val="0C0C0C"/>
        </w:rPr>
      </w:pPr>
      <w:r w:rsidRPr="0038413E">
        <w:rPr>
          <w:rFonts w:asciiTheme="minorHAnsi" w:hAnsiTheme="minorHAnsi"/>
          <w:color w:val="0C0C0C"/>
        </w:rPr>
        <w:lastRenderedPageBreak/>
        <w:t xml:space="preserve">The physician managing the patient’s TB should be in close communication with the physician or clinic that manages the </w:t>
      </w:r>
      <w:r>
        <w:rPr>
          <w:rFonts w:asciiTheme="minorHAnsi" w:hAnsiTheme="minorHAnsi"/>
          <w:color w:val="0C0C0C"/>
        </w:rPr>
        <w:t>hepatitis</w:t>
      </w:r>
      <w:r w:rsidR="008B3073">
        <w:rPr>
          <w:rFonts w:asciiTheme="minorHAnsi" w:hAnsiTheme="minorHAnsi"/>
          <w:color w:val="0C0C0C"/>
        </w:rPr>
        <w:t>, independent o</w:t>
      </w:r>
      <w:r w:rsidR="00887A8D">
        <w:rPr>
          <w:rFonts w:asciiTheme="minorHAnsi" w:hAnsiTheme="minorHAnsi"/>
          <w:color w:val="0C0C0C"/>
        </w:rPr>
        <w:t>f</w:t>
      </w:r>
      <w:r w:rsidR="008B3073">
        <w:rPr>
          <w:rFonts w:asciiTheme="minorHAnsi" w:hAnsiTheme="minorHAnsi"/>
          <w:color w:val="0C0C0C"/>
        </w:rPr>
        <w:t xml:space="preserve"> whether the patient will rece</w:t>
      </w:r>
      <w:r w:rsidR="00490636">
        <w:rPr>
          <w:rFonts w:asciiTheme="minorHAnsi" w:hAnsiTheme="minorHAnsi"/>
          <w:color w:val="0C0C0C"/>
        </w:rPr>
        <w:t>i</w:t>
      </w:r>
      <w:r w:rsidR="008B3073">
        <w:rPr>
          <w:rFonts w:asciiTheme="minorHAnsi" w:hAnsiTheme="minorHAnsi"/>
          <w:color w:val="0C0C0C"/>
        </w:rPr>
        <w:t>ve</w:t>
      </w:r>
      <w:r w:rsidR="00DB6CA1">
        <w:rPr>
          <w:rFonts w:asciiTheme="minorHAnsi" w:hAnsiTheme="minorHAnsi"/>
          <w:color w:val="0C0C0C"/>
        </w:rPr>
        <w:t xml:space="preserve"> </w:t>
      </w:r>
      <w:r w:rsidR="00DB6CA1">
        <w:rPr>
          <w:rFonts w:asciiTheme="minorHAnsi" w:eastAsia="Times New Roman" w:hAnsiTheme="minorHAnsi"/>
        </w:rPr>
        <w:t>hepatitis antiviral therapy or not</w:t>
      </w:r>
      <w:r w:rsidRPr="0038413E">
        <w:rPr>
          <w:rFonts w:asciiTheme="minorHAnsi" w:hAnsiTheme="minorHAnsi"/>
          <w:color w:val="0C0C0C"/>
        </w:rPr>
        <w:t>.</w:t>
      </w:r>
    </w:p>
    <w:p w14:paraId="1E2DDE36" w14:textId="77777777" w:rsidR="00025EC0" w:rsidRPr="00990C17" w:rsidRDefault="0DAA7A45" w:rsidP="00F77108">
      <w:pPr>
        <w:pStyle w:val="Heading3"/>
        <w:jc w:val="both"/>
        <w:rPr>
          <w:lang w:val="en-CA"/>
        </w:rPr>
      </w:pPr>
      <w:bookmarkStart w:id="15" w:name="_Toc166245700"/>
      <w:r w:rsidRPr="0DAA7A45">
        <w:rPr>
          <w:lang w:val="en-CA"/>
        </w:rPr>
        <w:t>Management of renal insufficiency</w:t>
      </w:r>
      <w:bookmarkEnd w:id="15"/>
    </w:p>
    <w:p w14:paraId="60B284B9" w14:textId="5A932A34" w:rsidR="00D501D6" w:rsidRPr="00990C17" w:rsidRDefault="00C34C05" w:rsidP="00F77108">
      <w:pPr>
        <w:widowControl w:val="0"/>
        <w:autoSpaceDE w:val="0"/>
        <w:autoSpaceDN w:val="0"/>
        <w:adjustRightInd w:val="0"/>
        <w:spacing w:after="240" w:line="340" w:lineRule="atLeast"/>
        <w:jc w:val="both"/>
        <w:rPr>
          <w:rFonts w:asciiTheme="minorHAnsi" w:eastAsia="Times New Roman" w:hAnsiTheme="minorHAnsi"/>
        </w:rPr>
      </w:pPr>
      <w:r w:rsidRPr="00990C17">
        <w:rPr>
          <w:rFonts w:asciiTheme="minorHAnsi" w:eastAsia="Times New Roman" w:hAnsiTheme="minorHAnsi"/>
        </w:rPr>
        <w:t xml:space="preserve">Great care should be taken in the administration of TB drugs in patients with renal insufficiency, and the dose and/or the interval between dosing should be adjusted according to </w:t>
      </w:r>
      <w:r w:rsidR="00C0079A">
        <w:rPr>
          <w:rFonts w:asciiTheme="minorHAnsi" w:eastAsia="Times New Roman" w:hAnsiTheme="minorHAnsi"/>
        </w:rPr>
        <w:t>Adjustment of anti-TB drugs in renal insufficiency (</w:t>
      </w:r>
      <w:r w:rsidR="001F137C">
        <w:rPr>
          <w:rFonts w:asciiTheme="minorHAnsi" w:eastAsia="Times New Roman" w:hAnsiTheme="minorHAnsi"/>
        </w:rPr>
        <w:t xml:space="preserve">See </w:t>
      </w:r>
      <w:r w:rsidR="00C0079A">
        <w:rPr>
          <w:rFonts w:asciiTheme="minorHAnsi" w:eastAsia="Times New Roman" w:hAnsiTheme="minorHAnsi"/>
        </w:rPr>
        <w:t xml:space="preserve">Appendix of SP-018-CT </w:t>
      </w:r>
      <w:r w:rsidR="001F137C" w:rsidRPr="00D0333A">
        <w:rPr>
          <w:rFonts w:asciiTheme="minorHAnsi" w:hAnsiTheme="minorHAnsi"/>
          <w:color w:val="0C0C0C"/>
        </w:rPr>
        <w:t>Management of Specific Adverse Events</w:t>
      </w:r>
      <w:r w:rsidR="001F137C">
        <w:rPr>
          <w:rFonts w:asciiTheme="minorHAnsi" w:hAnsiTheme="minorHAnsi"/>
          <w:color w:val="0C0C0C"/>
        </w:rPr>
        <w:t>)</w:t>
      </w:r>
      <w:r w:rsidRPr="00990C17">
        <w:rPr>
          <w:rFonts w:asciiTheme="minorHAnsi" w:eastAsia="Times New Roman" w:hAnsiTheme="minorHAnsi"/>
        </w:rPr>
        <w:t>. Note</w:t>
      </w:r>
      <w:r w:rsidR="00490636">
        <w:rPr>
          <w:rFonts w:asciiTheme="minorHAnsi" w:eastAsia="Times New Roman" w:hAnsiTheme="minorHAnsi"/>
        </w:rPr>
        <w:t xml:space="preserve"> that</w:t>
      </w:r>
      <w:r w:rsidRPr="00990C17">
        <w:rPr>
          <w:rFonts w:asciiTheme="minorHAnsi" w:eastAsia="Times New Roman" w:hAnsiTheme="minorHAnsi"/>
        </w:rPr>
        <w:t xml:space="preserve"> the dosing wit</w:t>
      </w:r>
      <w:r w:rsidR="00F825B7" w:rsidRPr="00990C17">
        <w:rPr>
          <w:rFonts w:asciiTheme="minorHAnsi" w:eastAsia="Times New Roman" w:hAnsiTheme="minorHAnsi"/>
        </w:rPr>
        <w:t xml:space="preserve">h </w:t>
      </w:r>
      <w:proofErr w:type="spellStart"/>
      <w:r w:rsidR="00F825B7" w:rsidRPr="00990C17">
        <w:rPr>
          <w:rFonts w:asciiTheme="minorHAnsi" w:eastAsia="Times New Roman" w:hAnsiTheme="minorHAnsi"/>
        </w:rPr>
        <w:t>bedaquiline</w:t>
      </w:r>
      <w:proofErr w:type="spellEnd"/>
      <w:r w:rsidR="00F825B7" w:rsidRPr="00990C17">
        <w:rPr>
          <w:rFonts w:asciiTheme="minorHAnsi" w:eastAsia="Times New Roman" w:hAnsiTheme="minorHAnsi"/>
        </w:rPr>
        <w:t xml:space="preserve"> and </w:t>
      </w:r>
      <w:proofErr w:type="spellStart"/>
      <w:r w:rsidR="00F825B7" w:rsidRPr="00990C17">
        <w:rPr>
          <w:rFonts w:asciiTheme="minorHAnsi" w:eastAsia="Times New Roman" w:hAnsiTheme="minorHAnsi"/>
        </w:rPr>
        <w:t>delamanid</w:t>
      </w:r>
      <w:proofErr w:type="spellEnd"/>
      <w:r w:rsidR="00F825B7" w:rsidRPr="00990C17">
        <w:rPr>
          <w:rFonts w:asciiTheme="minorHAnsi" w:eastAsia="Times New Roman" w:hAnsiTheme="minorHAnsi"/>
        </w:rPr>
        <w:t xml:space="preserve"> has</w:t>
      </w:r>
      <w:r w:rsidRPr="00990C17">
        <w:rPr>
          <w:rFonts w:asciiTheme="minorHAnsi" w:eastAsia="Times New Roman" w:hAnsiTheme="minorHAnsi"/>
        </w:rPr>
        <w:t xml:space="preserve"> not been well established in severe renal failure</w:t>
      </w:r>
      <w:r w:rsidR="00F825B7" w:rsidRPr="00990C17">
        <w:rPr>
          <w:rFonts w:asciiTheme="minorHAnsi" w:eastAsia="Times New Roman" w:hAnsiTheme="minorHAnsi"/>
        </w:rPr>
        <w:t xml:space="preserve"> and caution is warr</w:t>
      </w:r>
      <w:r w:rsidR="00490636">
        <w:rPr>
          <w:rFonts w:asciiTheme="minorHAnsi" w:eastAsia="Times New Roman" w:hAnsiTheme="minorHAnsi"/>
        </w:rPr>
        <w:t>a</w:t>
      </w:r>
      <w:r w:rsidR="00F825B7" w:rsidRPr="00990C17">
        <w:rPr>
          <w:rFonts w:asciiTheme="minorHAnsi" w:eastAsia="Times New Roman" w:hAnsiTheme="minorHAnsi"/>
        </w:rPr>
        <w:t>nted</w:t>
      </w:r>
      <w:r w:rsidRPr="00990C17">
        <w:rPr>
          <w:rFonts w:asciiTheme="minorHAnsi" w:eastAsia="Times New Roman" w:hAnsiTheme="minorHAnsi"/>
        </w:rPr>
        <w:t>. The dosing in Table 2 is based on the patient’s creatinine clearance, which is an estimate of the glomerular filtration rate or renal function.</w:t>
      </w:r>
    </w:p>
    <w:p w14:paraId="46746D53" w14:textId="77777777" w:rsidR="007B12D1" w:rsidRPr="00990C17" w:rsidRDefault="0DAA7A45" w:rsidP="00F77108">
      <w:pPr>
        <w:pStyle w:val="Heading2"/>
        <w:jc w:val="both"/>
      </w:pPr>
      <w:bookmarkStart w:id="16" w:name="_Toc166245701"/>
      <w:r>
        <w:t>REFERENCES</w:t>
      </w:r>
      <w:bookmarkEnd w:id="16"/>
    </w:p>
    <w:p w14:paraId="7B92F160" w14:textId="77777777" w:rsidR="009B39EF" w:rsidRPr="00FD0EC1" w:rsidRDefault="009B39EF" w:rsidP="00F77108">
      <w:pPr>
        <w:numPr>
          <w:ilvl w:val="0"/>
          <w:numId w:val="24"/>
        </w:numPr>
        <w:jc w:val="both"/>
        <w:rPr>
          <w:rFonts w:asciiTheme="minorHAnsi" w:hAnsiTheme="minorHAnsi" w:cstheme="minorHAnsi"/>
          <w:b/>
        </w:rPr>
      </w:pPr>
      <w:r w:rsidRPr="00990C17">
        <w:rPr>
          <w:rFonts w:asciiTheme="minorHAnsi" w:hAnsiTheme="minorHAnsi" w:cstheme="minorHAnsi"/>
        </w:rPr>
        <w:t xml:space="preserve">World Health Organization. Consolidated Guidelines on the Use of Antiretroviral Drugs and Preventing HIV Infection: Recommendations for a Public Health </w:t>
      </w:r>
      <w:r w:rsidRPr="00FD0EC1">
        <w:rPr>
          <w:rFonts w:asciiTheme="minorHAnsi" w:hAnsiTheme="minorHAnsi" w:cstheme="minorHAnsi"/>
        </w:rPr>
        <w:t xml:space="preserve">Approach. Geneva. 2013. </w:t>
      </w:r>
    </w:p>
    <w:p w14:paraId="4F42E31D" w14:textId="77777777" w:rsidR="00D00BAB" w:rsidRPr="00990C17" w:rsidRDefault="008B15CD" w:rsidP="00F77108">
      <w:pPr>
        <w:numPr>
          <w:ilvl w:val="0"/>
          <w:numId w:val="24"/>
        </w:numPr>
        <w:jc w:val="both"/>
        <w:rPr>
          <w:rFonts w:asciiTheme="minorHAnsi" w:hAnsiTheme="minorHAnsi" w:cstheme="minorHAnsi"/>
          <w:b/>
        </w:rPr>
      </w:pPr>
      <w:r w:rsidRPr="00990C17">
        <w:rPr>
          <w:rFonts w:asciiTheme="minorHAnsi" w:hAnsiTheme="minorHAnsi" w:cstheme="minorHAnsi"/>
        </w:rPr>
        <w:t xml:space="preserve">World Health Organization. </w:t>
      </w:r>
      <w:r w:rsidR="00D00BAB" w:rsidRPr="00990C17">
        <w:rPr>
          <w:rFonts w:asciiTheme="minorHAnsi" w:hAnsiTheme="minorHAnsi" w:cstheme="minorHAnsi"/>
        </w:rPr>
        <w:t>Guidelines for the programmatic management of drug-resistant tuberculosis: Emergency update 2008</w:t>
      </w:r>
      <w:r w:rsidRPr="00990C17">
        <w:rPr>
          <w:rFonts w:asciiTheme="minorHAnsi" w:hAnsiTheme="minorHAnsi" w:cstheme="minorHAnsi"/>
        </w:rPr>
        <w:t xml:space="preserve">. </w:t>
      </w:r>
      <w:r w:rsidRPr="00990C17">
        <w:rPr>
          <w:rFonts w:asciiTheme="minorHAnsi" w:hAnsiTheme="minorHAnsi" w:cs="Times"/>
          <w:color w:val="auto"/>
        </w:rPr>
        <w:t xml:space="preserve">World Health Organization. Geneva. </w:t>
      </w:r>
      <w:r w:rsidR="00D00BAB" w:rsidRPr="00990C17">
        <w:rPr>
          <w:rFonts w:asciiTheme="minorHAnsi" w:hAnsiTheme="minorHAnsi" w:cstheme="minorHAnsi"/>
        </w:rPr>
        <w:t>(WHO/HTM/TB/2008.402).</w:t>
      </w:r>
    </w:p>
    <w:p w14:paraId="540FB776" w14:textId="77777777" w:rsidR="008B15CD" w:rsidRPr="00990C17" w:rsidRDefault="008B15CD" w:rsidP="00F77108">
      <w:pPr>
        <w:pStyle w:val="ListParagraph"/>
        <w:numPr>
          <w:ilvl w:val="0"/>
          <w:numId w:val="24"/>
        </w:numPr>
        <w:jc w:val="both"/>
        <w:rPr>
          <w:rFonts w:asciiTheme="minorHAnsi" w:hAnsiTheme="minorHAnsi" w:cstheme="minorHAnsi"/>
        </w:rPr>
      </w:pPr>
      <w:r w:rsidRPr="00990C17">
        <w:rPr>
          <w:rFonts w:asciiTheme="minorHAnsi" w:hAnsiTheme="minorHAnsi" w:cs="Times"/>
          <w:color w:val="auto"/>
        </w:rPr>
        <w:t xml:space="preserve">World Health Organization. Companion handbook to the WHO guidelines for the programmatic management of drug-resistant tuberculosis. </w:t>
      </w:r>
      <w:r w:rsidRPr="00990C17">
        <w:rPr>
          <w:rFonts w:asciiTheme="minorHAnsi" w:hAnsiTheme="minorHAnsi" w:cstheme="minorHAnsi"/>
        </w:rPr>
        <w:t>World Health Organization Geneva. 2015 (WHO/HTM/TB/2014.11</w:t>
      </w:r>
      <w:r w:rsidRPr="00990C17">
        <w:rPr>
          <w:rFonts w:asciiTheme="minorHAnsi" w:eastAsia="MS Mincho" w:hAnsiTheme="minorHAnsi" w:cs="MS Mincho"/>
        </w:rPr>
        <w:t>).</w:t>
      </w:r>
    </w:p>
    <w:p w14:paraId="79FE013B" w14:textId="5BE95BD9" w:rsidR="008B15CD" w:rsidRDefault="717C2945" w:rsidP="717C2945">
      <w:pPr>
        <w:pStyle w:val="ListParagraph"/>
        <w:numPr>
          <w:ilvl w:val="0"/>
          <w:numId w:val="24"/>
        </w:numPr>
        <w:jc w:val="both"/>
        <w:rPr>
          <w:rFonts w:asciiTheme="minorHAnsi" w:hAnsiTheme="minorHAnsi" w:cs="Times"/>
          <w:color w:val="auto"/>
        </w:rPr>
      </w:pPr>
      <w:r w:rsidRPr="717C2945">
        <w:rPr>
          <w:rFonts w:asciiTheme="minorHAnsi" w:hAnsiTheme="minorHAnsi" w:cs="Times"/>
          <w:color w:val="auto"/>
        </w:rPr>
        <w:t xml:space="preserve">World Health Organization. </w:t>
      </w:r>
      <w:r w:rsidRPr="717C2945">
        <w:rPr>
          <w:rFonts w:asciiTheme="minorHAnsi" w:hAnsiTheme="minorHAnsi"/>
          <w:color w:val="auto"/>
        </w:rPr>
        <w:t xml:space="preserve">WHO Treatment guidelines for drug-resistant tuberculosis – 2016 update. </w:t>
      </w:r>
      <w:r w:rsidRPr="717C2945">
        <w:rPr>
          <w:rFonts w:asciiTheme="minorHAnsi" w:hAnsiTheme="minorHAnsi" w:cs="Times"/>
          <w:color w:val="auto"/>
        </w:rPr>
        <w:t>World Health Organization. Geneva.</w:t>
      </w:r>
      <w:r w:rsidRPr="717C2945">
        <w:rPr>
          <w:rFonts w:asciiTheme="minorHAnsi" w:hAnsiTheme="minorHAnsi" w:cs="Times"/>
          <w:b/>
          <w:bCs/>
          <w:color w:val="auto"/>
        </w:rPr>
        <w:t xml:space="preserve"> </w:t>
      </w:r>
      <w:r w:rsidRPr="717C2945">
        <w:rPr>
          <w:rFonts w:asciiTheme="minorHAnsi" w:hAnsiTheme="minorHAnsi" w:cs="Times"/>
          <w:color w:val="auto"/>
        </w:rPr>
        <w:t xml:space="preserve">2016. (WHO/HTM/TB/2016.04). </w:t>
      </w:r>
    </w:p>
    <w:p w14:paraId="22758B1F" w14:textId="65706A99" w:rsidR="00C33F47" w:rsidRPr="00C33F47" w:rsidRDefault="00C33F47" w:rsidP="00C33F47">
      <w:pPr>
        <w:pStyle w:val="ListParagraph"/>
        <w:numPr>
          <w:ilvl w:val="0"/>
          <w:numId w:val="24"/>
        </w:numPr>
        <w:jc w:val="both"/>
        <w:rPr>
          <w:color w:val="000000" w:themeColor="text1"/>
        </w:rPr>
      </w:pPr>
      <w:proofErr w:type="spellStart"/>
      <w:r w:rsidRPr="717C2945">
        <w:t>Meintjes</w:t>
      </w:r>
      <w:proofErr w:type="spellEnd"/>
      <w:r w:rsidRPr="717C2945">
        <w:t xml:space="preserve"> G, et al. Prednisone for the Prevention of Paradoxical Tuberculosis-Associated IRIS. Engl J Med 2018;379:1915-25. DOI: 10.1056/NEJMoa1800762</w:t>
      </w:r>
    </w:p>
    <w:p w14:paraId="145DAAFE" w14:textId="51C0D871" w:rsidR="00C0079A" w:rsidRDefault="0DAA7A45" w:rsidP="007472E9">
      <w:pPr>
        <w:pStyle w:val="Heading2"/>
      </w:pPr>
      <w:bookmarkStart w:id="17" w:name="_Toc166245702"/>
      <w:r>
        <w:t>SUPPORTING DOCUMENTS</w:t>
      </w:r>
      <w:bookmarkEnd w:id="17"/>
    </w:p>
    <w:p w14:paraId="1E698931" w14:textId="66615BFD" w:rsidR="00C0079A" w:rsidRDefault="00C0079A" w:rsidP="00C0079A">
      <w:pPr>
        <w:pStyle w:val="ListParagraph"/>
        <w:numPr>
          <w:ilvl w:val="0"/>
          <w:numId w:val="46"/>
        </w:numPr>
      </w:pPr>
      <w:r w:rsidRPr="00DE0C72">
        <w:rPr>
          <w:rFonts w:eastAsia="MS ??" w:cs="Times New Roman"/>
          <w:lang w:eastAsia="ja-JP"/>
        </w:rPr>
        <w:t>Adjustment of anti-TB drugs in renal insufficiency</w:t>
      </w:r>
      <w:r w:rsidRPr="004D598D">
        <w:t xml:space="preserve"> (Appendix to SOP </w:t>
      </w:r>
      <w:r>
        <w:t>SP-018-CT</w:t>
      </w:r>
      <w:r w:rsidRPr="004D598D">
        <w:t>)</w:t>
      </w:r>
      <w:r>
        <w:t xml:space="preserve"> (endTB Site Study Document)</w:t>
      </w:r>
    </w:p>
    <w:p w14:paraId="7D28668E" w14:textId="2E625375" w:rsidR="00D0333A" w:rsidRPr="00D0333A" w:rsidRDefault="00D0333A" w:rsidP="00D0333A">
      <w:pPr>
        <w:pStyle w:val="ListParagraph"/>
        <w:numPr>
          <w:ilvl w:val="0"/>
          <w:numId w:val="46"/>
        </w:numPr>
      </w:pPr>
      <w:r w:rsidRPr="00D0333A">
        <w:rPr>
          <w:rFonts w:asciiTheme="minorHAnsi" w:hAnsiTheme="minorHAnsi"/>
          <w:color w:val="0C0C0C"/>
        </w:rPr>
        <w:t>SOP SP-018-CT Management of Specific Adverse Events</w:t>
      </w:r>
      <w:r w:rsidR="00AD380D">
        <w:rPr>
          <w:rFonts w:asciiTheme="minorHAnsi" w:hAnsiTheme="minorHAnsi"/>
          <w:color w:val="0C0C0C"/>
        </w:rPr>
        <w:t xml:space="preserve"> </w:t>
      </w:r>
      <w:r w:rsidR="00AD380D">
        <w:t>(endTB Site Study Document)</w:t>
      </w:r>
    </w:p>
    <w:p w14:paraId="174236D1" w14:textId="0B324AA7" w:rsidR="00D0333A" w:rsidRPr="00D0333A" w:rsidRDefault="00D0333A" w:rsidP="00C0079A">
      <w:pPr>
        <w:pStyle w:val="ListParagraph"/>
        <w:numPr>
          <w:ilvl w:val="0"/>
          <w:numId w:val="46"/>
        </w:numPr>
      </w:pPr>
      <w:r>
        <w:t xml:space="preserve">SOP </w:t>
      </w:r>
      <w:r w:rsidRPr="00D0333A">
        <w:rPr>
          <w:rFonts w:asciiTheme="minorHAnsi" w:hAnsiTheme="minorHAnsi"/>
          <w:color w:val="0C0C0C"/>
        </w:rPr>
        <w:t>SP-019-CT Concomitant Medications</w:t>
      </w:r>
      <w:r w:rsidR="00AD380D">
        <w:rPr>
          <w:rFonts w:asciiTheme="minorHAnsi" w:hAnsiTheme="minorHAnsi"/>
          <w:color w:val="0C0C0C"/>
        </w:rPr>
        <w:t xml:space="preserve"> </w:t>
      </w:r>
      <w:r w:rsidR="00AD380D">
        <w:t>(endTB Site Study Document)</w:t>
      </w:r>
    </w:p>
    <w:p w14:paraId="2595C356" w14:textId="236B7FC6" w:rsidR="003524A7" w:rsidRDefault="0DAA7A45" w:rsidP="0DAA7A45">
      <w:pPr>
        <w:pStyle w:val="ListParagraph"/>
        <w:numPr>
          <w:ilvl w:val="0"/>
          <w:numId w:val="46"/>
        </w:numPr>
      </w:pPr>
      <w:r w:rsidRPr="0DAA7A45">
        <w:rPr>
          <w:rFonts w:asciiTheme="minorHAnsi" w:hAnsiTheme="minorHAnsi"/>
          <w:color w:val="auto"/>
        </w:rPr>
        <w:t>SOP</w:t>
      </w:r>
      <w:r w:rsidRPr="0DAA7A45">
        <w:rPr>
          <w:rFonts w:asciiTheme="minorHAnsi" w:hAnsiTheme="minorHAnsi"/>
          <w:b/>
          <w:bCs/>
          <w:i/>
          <w:iCs/>
          <w:color w:val="auto"/>
        </w:rPr>
        <w:t xml:space="preserve"> </w:t>
      </w:r>
      <w:r w:rsidRPr="0DAA7A45">
        <w:rPr>
          <w:rFonts w:asciiTheme="minorHAnsi" w:hAnsiTheme="minorHAnsi"/>
          <w:color w:val="auto"/>
        </w:rPr>
        <w:t xml:space="preserve">SP-024-CT </w:t>
      </w:r>
      <w:r w:rsidRPr="0DAA7A45">
        <w:rPr>
          <w:rFonts w:asciiTheme="minorHAnsi" w:hAnsiTheme="minorHAnsi"/>
          <w:i/>
          <w:iCs/>
          <w:color w:val="auto"/>
        </w:rPr>
        <w:t>Modus Operandi</w:t>
      </w:r>
      <w:r w:rsidRPr="0DAA7A45">
        <w:rPr>
          <w:rFonts w:asciiTheme="minorHAnsi" w:hAnsiTheme="minorHAnsi"/>
          <w:color w:val="auto"/>
        </w:rPr>
        <w:t xml:space="preserve"> and Communication with the Clinical Advisory Committee</w:t>
      </w:r>
      <w:r w:rsidR="00AD380D">
        <w:rPr>
          <w:rFonts w:asciiTheme="minorHAnsi" w:hAnsiTheme="minorHAnsi"/>
          <w:color w:val="auto"/>
        </w:rPr>
        <w:t xml:space="preserve"> </w:t>
      </w:r>
      <w:r w:rsidR="00AD380D">
        <w:t>(endTB Site Study Document)</w:t>
      </w:r>
    </w:p>
    <w:p w14:paraId="43801DDB" w14:textId="075E7773" w:rsidR="003524A7" w:rsidRDefault="0DAA7A45" w:rsidP="0DAA7A45">
      <w:pPr>
        <w:pStyle w:val="ListParagraph"/>
        <w:numPr>
          <w:ilvl w:val="0"/>
          <w:numId w:val="46"/>
        </w:numPr>
      </w:pPr>
      <w:r w:rsidRPr="0DAA7A45">
        <w:rPr>
          <w:rFonts w:asciiTheme="minorHAnsi" w:hAnsiTheme="minorHAnsi"/>
          <w:color w:val="0C0C0C"/>
        </w:rPr>
        <w:t>SOP SP-033-CT Management of Hepatitis C</w:t>
      </w:r>
      <w:r w:rsidR="00AD380D">
        <w:rPr>
          <w:rFonts w:asciiTheme="minorHAnsi" w:hAnsiTheme="minorHAnsi"/>
          <w:color w:val="0C0C0C"/>
        </w:rPr>
        <w:t xml:space="preserve"> </w:t>
      </w:r>
      <w:r w:rsidR="00AD380D">
        <w:t>(endTB Site Study Document)</w:t>
      </w:r>
    </w:p>
    <w:p w14:paraId="3CF970AC" w14:textId="332425CF" w:rsidR="003524A7" w:rsidRDefault="0DAA7A45" w:rsidP="0DAA7A45">
      <w:pPr>
        <w:pStyle w:val="Heading2"/>
        <w:rPr>
          <w:rFonts w:eastAsia="Calibri"/>
          <w:bCs/>
          <w:color w:val="000000" w:themeColor="text1"/>
          <w:szCs w:val="24"/>
        </w:rPr>
      </w:pPr>
      <w:bookmarkStart w:id="18" w:name="_Toc166245703"/>
      <w:r w:rsidRPr="0DAA7A45">
        <w:t>APPENDIX</w:t>
      </w:r>
      <w:bookmarkEnd w:id="18"/>
    </w:p>
    <w:p w14:paraId="7059EC00" w14:textId="50BD24FA" w:rsidR="00932037" w:rsidRDefault="00C0079A" w:rsidP="00D27D20">
      <w:pPr>
        <w:pStyle w:val="ListNumber"/>
        <w:numPr>
          <w:ilvl w:val="0"/>
          <w:numId w:val="0"/>
        </w:numPr>
        <w:ind w:left="720" w:hanging="360"/>
      </w:pPr>
      <w:r>
        <w:t>None</w:t>
      </w:r>
    </w:p>
    <w:sectPr w:rsidR="00932037" w:rsidSect="00987472">
      <w:headerReference w:type="default" r:id="rId11"/>
      <w:footerReference w:type="default" r:id="rId12"/>
      <w:endnotePr>
        <w:numFmt w:val="decimal"/>
      </w:endnotePr>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2CCB" w14:textId="77777777" w:rsidR="00C60845" w:rsidRDefault="00C60845">
      <w:pPr>
        <w:spacing w:after="0" w:line="240" w:lineRule="auto"/>
      </w:pPr>
      <w:r>
        <w:separator/>
      </w:r>
    </w:p>
  </w:endnote>
  <w:endnote w:type="continuationSeparator" w:id="0">
    <w:p w14:paraId="4893204D" w14:textId="77777777" w:rsidR="00C60845" w:rsidRDefault="00C60845">
      <w:pPr>
        <w:spacing w:after="0" w:line="240" w:lineRule="auto"/>
      </w:pPr>
      <w:r>
        <w:continuationSeparator/>
      </w:r>
    </w:p>
  </w:endnote>
  <w:endnote w:type="continuationNotice" w:id="1">
    <w:p w14:paraId="0979CFC9" w14:textId="77777777" w:rsidR="00C60845" w:rsidRDefault="00C60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Book">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7129" w14:textId="77777777" w:rsidR="00D27D20" w:rsidRPr="00CF066E" w:rsidRDefault="00D27D20" w:rsidP="00D27D20">
    <w:pPr>
      <w:tabs>
        <w:tab w:val="center" w:pos="4680"/>
        <w:tab w:val="right" w:pos="9360"/>
      </w:tabs>
      <w:spacing w:after="0" w:line="240" w:lineRule="auto"/>
      <w:jc w:val="both"/>
      <w:rPr>
        <w:rFonts w:asciiTheme="minorHAnsi" w:hAnsiTheme="minorHAnsi" w:cstheme="minorHAnsi"/>
        <w:i/>
        <w:iCs/>
        <w:sz w:val="18"/>
        <w:szCs w:val="18"/>
      </w:rPr>
    </w:pPr>
    <w:r w:rsidRPr="00CF066E">
      <w:rPr>
        <w:rFonts w:asciiTheme="minorHAnsi" w:hAnsiTheme="minorHAnsi" w:cstheme="minorHAnsi"/>
        <w:b/>
        <w:bCs/>
        <w:i/>
        <w:iCs/>
        <w:sz w:val="18"/>
        <w:szCs w:val="18"/>
      </w:rPr>
      <w:t>NOTE:</w:t>
    </w:r>
    <w:r w:rsidRPr="00CF066E">
      <w:rPr>
        <w:rFonts w:asciiTheme="minorHAnsi" w:hAnsiTheme="minorHAnsi" w:cstheme="minorHAnsi"/>
        <w:i/>
        <w:iCs/>
        <w:sz w:val="18"/>
        <w:szCs w:val="18"/>
      </w:rPr>
      <w:t xml:space="preserve"> This work is licensed under the Creative Commons CC BY-SA by the endTB Research Partners. To view a copy of this license, visit: </w:t>
    </w:r>
    <w:hyperlink r:id="rId1" w:history="1">
      <w:r w:rsidRPr="00CF066E">
        <w:rPr>
          <w:rStyle w:val="Hyperlink"/>
          <w:rFonts w:asciiTheme="minorHAnsi" w:hAnsiTheme="minorHAnsi" w:cstheme="minorHAnsi"/>
          <w:i/>
          <w:iCs/>
          <w:sz w:val="18"/>
          <w:szCs w:val="18"/>
        </w:rPr>
        <w:t>https://creativecommons.org/licenses/by-sa/4.0/</w:t>
      </w:r>
    </w:hyperlink>
    <w:r w:rsidRPr="00CF066E">
      <w:rPr>
        <w:rFonts w:asciiTheme="minorHAnsi" w:hAnsiTheme="minorHAnsi" w:cstheme="minorHAnsi"/>
        <w:i/>
        <w:iCs/>
        <w:sz w:val="18"/>
        <w:szCs w:val="18"/>
      </w:rPr>
      <w:t>. More information about this copyright is available in the endTB website:</w:t>
    </w:r>
    <w:r w:rsidRPr="00CF066E">
      <w:rPr>
        <w:rFonts w:asciiTheme="minorHAnsi" w:hAnsiTheme="minorHAnsi" w:cstheme="minorHAnsi"/>
      </w:rPr>
      <w:t xml:space="preserve"> </w:t>
    </w:r>
    <w:hyperlink r:id="rId2" w:history="1">
      <w:r w:rsidRPr="00CF066E">
        <w:rPr>
          <w:rStyle w:val="Hyperlink"/>
          <w:rFonts w:asciiTheme="minorHAnsi" w:hAnsiTheme="minorHAnsi" w:cstheme="minorHAnsi"/>
          <w:i/>
          <w:iCs/>
          <w:sz w:val="18"/>
          <w:szCs w:val="18"/>
        </w:rPr>
        <w:t>https://endtb.org/</w:t>
      </w:r>
    </w:hyperlink>
    <w:r w:rsidRPr="00CF066E">
      <w:rPr>
        <w:rFonts w:asciiTheme="minorHAnsi" w:hAnsiTheme="minorHAnsi" w:cstheme="minorHAnsi"/>
        <w:i/>
        <w:iCs/>
        <w:sz w:val="18"/>
        <w:szCs w:val="18"/>
      </w:rPr>
      <w:t xml:space="preserve"> in the “Toolkit” section.</w:t>
    </w:r>
  </w:p>
  <w:p w14:paraId="7F0CFDA5" w14:textId="15E3E82E" w:rsidR="00FD0EC1" w:rsidRDefault="00FD0EC1">
    <w:pPr>
      <w:tabs>
        <w:tab w:val="center" w:pos="4680"/>
        <w:tab w:val="right" w:pos="9360"/>
      </w:tabs>
      <w:spacing w:after="720" w:line="240" w:lineRule="auto"/>
      <w:jc w:val="center"/>
    </w:pPr>
    <w:r>
      <w:t xml:space="preserve">Page </w:t>
    </w:r>
    <w:r w:rsidR="00A162BF" w:rsidRPr="009139F6">
      <w:rPr>
        <w:b/>
      </w:rPr>
      <w:fldChar w:fldCharType="begin"/>
    </w:r>
    <w:r w:rsidRPr="009139F6">
      <w:rPr>
        <w:b/>
      </w:rPr>
      <w:instrText>PAGE</w:instrText>
    </w:r>
    <w:r w:rsidR="00A162BF" w:rsidRPr="009139F6">
      <w:rPr>
        <w:b/>
      </w:rPr>
      <w:fldChar w:fldCharType="separate"/>
    </w:r>
    <w:r w:rsidR="001B1156">
      <w:rPr>
        <w:b/>
        <w:noProof/>
      </w:rPr>
      <w:t>8</w:t>
    </w:r>
    <w:r w:rsidR="00A162BF" w:rsidRPr="009139F6">
      <w:rPr>
        <w:b/>
      </w:rPr>
      <w:fldChar w:fldCharType="end"/>
    </w:r>
    <w:r>
      <w:t xml:space="preserve"> of </w:t>
    </w:r>
    <w:r w:rsidR="00A162BF" w:rsidRPr="009139F6">
      <w:rPr>
        <w:b/>
      </w:rPr>
      <w:fldChar w:fldCharType="begin"/>
    </w:r>
    <w:r w:rsidRPr="009139F6">
      <w:rPr>
        <w:b/>
      </w:rPr>
      <w:instrText>NUMPAGES</w:instrText>
    </w:r>
    <w:r w:rsidR="00A162BF" w:rsidRPr="009139F6">
      <w:rPr>
        <w:b/>
      </w:rPr>
      <w:fldChar w:fldCharType="separate"/>
    </w:r>
    <w:r w:rsidR="001B1156">
      <w:rPr>
        <w:b/>
        <w:noProof/>
      </w:rPr>
      <w:t>8</w:t>
    </w:r>
    <w:r w:rsidR="00A162BF" w:rsidRPr="009139F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CEBFA" w14:textId="77777777" w:rsidR="00C60845" w:rsidRDefault="00C60845">
      <w:pPr>
        <w:spacing w:after="0" w:line="240" w:lineRule="auto"/>
      </w:pPr>
      <w:r>
        <w:separator/>
      </w:r>
    </w:p>
  </w:footnote>
  <w:footnote w:type="continuationSeparator" w:id="0">
    <w:p w14:paraId="4763F335" w14:textId="77777777" w:rsidR="00C60845" w:rsidRDefault="00C60845">
      <w:pPr>
        <w:spacing w:after="0" w:line="240" w:lineRule="auto"/>
      </w:pPr>
      <w:r>
        <w:continuationSeparator/>
      </w:r>
    </w:p>
  </w:footnote>
  <w:footnote w:type="continuationNotice" w:id="1">
    <w:p w14:paraId="2EC5FBB1" w14:textId="77777777" w:rsidR="00C60845" w:rsidRDefault="00C60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6B3D" w14:textId="7D9D94BB" w:rsidR="00FD0EC1" w:rsidRDefault="001E1FA1">
    <w:pPr>
      <w:tabs>
        <w:tab w:val="center" w:pos="4680"/>
        <w:tab w:val="right" w:pos="9360"/>
      </w:tabs>
      <w:spacing w:before="720" w:after="0" w:line="240" w:lineRule="auto"/>
    </w:pPr>
    <w:r>
      <w:rPr>
        <w:noProof/>
      </w:rPr>
      <w:drawing>
        <wp:anchor distT="0" distB="0" distL="114300" distR="114300" simplePos="0" relativeHeight="251658240" behindDoc="0" locked="0" layoutInCell="1" allowOverlap="1" wp14:anchorId="215FD4A1" wp14:editId="4B8C9338">
          <wp:simplePos x="0" y="0"/>
          <wp:positionH relativeFrom="column">
            <wp:posOffset>-498475</wp:posOffset>
          </wp:positionH>
          <wp:positionV relativeFrom="paragraph">
            <wp:posOffset>401782</wp:posOffset>
          </wp:positionV>
          <wp:extent cx="498475" cy="307975"/>
          <wp:effectExtent l="0" t="0" r="0" b="0"/>
          <wp:wrapThrough wrapText="bothSides">
            <wp:wrapPolygon edited="0">
              <wp:start x="0" y="0"/>
              <wp:lineTo x="0" y="20041"/>
              <wp:lineTo x="20637" y="20041"/>
              <wp:lineTo x="20637" y="0"/>
              <wp:lineTo x="0" y="0"/>
            </wp:wrapPolygon>
          </wp:wrapThrough>
          <wp:docPr id="613051271"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51271" name="Picture 1"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475"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EC1">
      <w:rPr>
        <w:b/>
      </w:rPr>
      <w:t>endTB Clinical Trial</w:t>
    </w:r>
    <w:r w:rsidR="00D0333A">
      <w:rPr>
        <w:b/>
      </w:rPr>
      <w:t>s</w:t>
    </w:r>
    <w:r w:rsidR="00FD0EC1">
      <w:rPr>
        <w:b/>
      </w:rPr>
      <w:tab/>
    </w:r>
    <w:r w:rsidR="00FD0EC1">
      <w:rPr>
        <w:b/>
      </w:rPr>
      <w:tab/>
    </w:r>
    <w:r w:rsidR="003E2EBD">
      <w:rPr>
        <w:b/>
      </w:rPr>
      <w:t xml:space="preserve">  </w:t>
    </w:r>
    <w:r w:rsidR="00FD0EC1">
      <w:rPr>
        <w:b/>
      </w:rPr>
      <w:t>SOP SP-02</w:t>
    </w:r>
    <w:r w:rsidR="002F6C4C">
      <w:rPr>
        <w:b/>
      </w:rPr>
      <w:t>5</w:t>
    </w:r>
    <w:r w:rsidR="00FD0EC1">
      <w:rPr>
        <w:b/>
      </w:rPr>
      <w:t xml:space="preserve">-CT Version </w:t>
    </w:r>
    <w:r w:rsidR="008B35EB">
      <w:rPr>
        <w:b/>
      </w:rPr>
      <w:t>4.</w:t>
    </w:r>
    <w:r w:rsidR="004540B2">
      <w:rPr>
        <w:b/>
      </w:rPr>
      <w:t>1</w:t>
    </w:r>
    <w:r w:rsidR="00FD0EC1">
      <w:rPr>
        <w:b/>
      </w:rPr>
      <w:t xml:space="preserve">, Date </w:t>
    </w:r>
    <w:r w:rsidR="003B39A2">
      <w:rPr>
        <w:b/>
      </w:rPr>
      <w:t>15</w:t>
    </w:r>
    <w:r w:rsidR="00FD0EC1" w:rsidRPr="00BB2319">
      <w:rPr>
        <w:b/>
      </w:rPr>
      <w:t>-</w:t>
    </w:r>
    <w:r w:rsidR="003B39A2">
      <w:rPr>
        <w:b/>
      </w:rPr>
      <w:t>Nov</w:t>
    </w:r>
    <w:r w:rsidR="00FD0EC1" w:rsidRPr="00BB2319">
      <w:rPr>
        <w:b/>
      </w:rPr>
      <w:t>-</w:t>
    </w:r>
    <w:r w:rsidR="004540B2" w:rsidRPr="00BB2319">
      <w:rPr>
        <w:b/>
      </w:rPr>
      <w:t>20</w:t>
    </w:r>
    <w:r w:rsidR="004540B2">
      <w:rPr>
        <w: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83A6D714"/>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FFFFFF89"/>
    <w:multiLevelType w:val="singleLevel"/>
    <w:tmpl w:val="538CAF94"/>
    <w:lvl w:ilvl="0">
      <w:start w:val="1"/>
      <w:numFmt w:val="bullet"/>
      <w:pStyle w:val="ListBullet"/>
      <w:lvlText w:val=""/>
      <w:lvlJc w:val="left"/>
      <w:pPr>
        <w:tabs>
          <w:tab w:val="num" w:pos="360"/>
        </w:tabs>
        <w:ind w:left="360" w:hanging="360"/>
      </w:pPr>
      <w:rPr>
        <w:rFonts w:ascii="Symbol" w:hAnsi="Symbol" w:hint="default"/>
        <w:color w:val="auto"/>
        <w:sz w:val="28"/>
        <w:szCs w:val="28"/>
      </w:rPr>
    </w:lvl>
  </w:abstractNum>
  <w:abstractNum w:abstractNumId="2" w15:restartNumberingAfterBreak="0">
    <w:nsid w:val="03882956"/>
    <w:multiLevelType w:val="hybridMultilevel"/>
    <w:tmpl w:val="23666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333C1"/>
    <w:multiLevelType w:val="hybridMultilevel"/>
    <w:tmpl w:val="762CD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A40173"/>
    <w:multiLevelType w:val="hybridMultilevel"/>
    <w:tmpl w:val="AEEAF5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B3778FA"/>
    <w:multiLevelType w:val="hybridMultilevel"/>
    <w:tmpl w:val="00007C42"/>
    <w:lvl w:ilvl="0" w:tplc="995A91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9B3F0F"/>
    <w:multiLevelType w:val="hybridMultilevel"/>
    <w:tmpl w:val="BB621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F3152"/>
    <w:multiLevelType w:val="hybridMultilevel"/>
    <w:tmpl w:val="CB44A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2DD4966"/>
    <w:multiLevelType w:val="hybridMultilevel"/>
    <w:tmpl w:val="1E3EA2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97657D"/>
    <w:multiLevelType w:val="multilevel"/>
    <w:tmpl w:val="90766FF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E487AA2"/>
    <w:multiLevelType w:val="hybridMultilevel"/>
    <w:tmpl w:val="DD7C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A22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FD22C6"/>
    <w:multiLevelType w:val="hybridMultilevel"/>
    <w:tmpl w:val="547C7C3C"/>
    <w:lvl w:ilvl="0" w:tplc="A35C788E">
      <w:start w:val="51"/>
      <w:numFmt w:val="bullet"/>
      <w:lvlText w:val="–"/>
      <w:lvlJc w:val="left"/>
      <w:pPr>
        <w:ind w:left="720" w:hanging="360"/>
      </w:pPr>
      <w:rPr>
        <w:rFonts w:ascii="ITCFranklinGothicStd-Book" w:eastAsia="ITCFranklinGothicStd-Book" w:hAnsi="Calibri" w:cs="ITCFranklinGothicStd-Book"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B0270"/>
    <w:multiLevelType w:val="multilevel"/>
    <w:tmpl w:val="6114C9DA"/>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EBD369B"/>
    <w:multiLevelType w:val="hybridMultilevel"/>
    <w:tmpl w:val="1F58F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53067A"/>
    <w:multiLevelType w:val="hybridMultilevel"/>
    <w:tmpl w:val="2F8432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45EBC"/>
    <w:multiLevelType w:val="hybridMultilevel"/>
    <w:tmpl w:val="29866E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E911261"/>
    <w:multiLevelType w:val="hybridMultilevel"/>
    <w:tmpl w:val="8FAAF46A"/>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EA15C83"/>
    <w:multiLevelType w:val="multilevel"/>
    <w:tmpl w:val="614E8ACA"/>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lvlText w:val="%2."/>
      <w:lvlJc w:val="left"/>
      <w:pPr>
        <w:ind w:left="720" w:hanging="360"/>
      </w:pPr>
      <w:rPr>
        <w:b/>
        <w:i w:val="0"/>
        <w:sz w:val="24"/>
      </w:rPr>
    </w:lvl>
    <w:lvl w:ilvl="2">
      <w:start w:val="1"/>
      <w:numFmt w:val="decimal"/>
      <w:pStyle w:val="Heading3"/>
      <w:lvlText w:val="%2.%3"/>
      <w:lvlJc w:val="left"/>
      <w:pPr>
        <w:ind w:left="1080" w:hanging="360"/>
      </w:pPr>
      <w:rPr>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B25716"/>
    <w:multiLevelType w:val="hybridMultilevel"/>
    <w:tmpl w:val="5A38720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AFD0C73"/>
    <w:multiLevelType w:val="multilevel"/>
    <w:tmpl w:val="839C7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BE27508"/>
    <w:multiLevelType w:val="hybridMultilevel"/>
    <w:tmpl w:val="24B465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4C40071F"/>
    <w:multiLevelType w:val="hybridMultilevel"/>
    <w:tmpl w:val="C03A18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F75D79"/>
    <w:multiLevelType w:val="hybridMultilevel"/>
    <w:tmpl w:val="A2D8C624"/>
    <w:lvl w:ilvl="0" w:tplc="D1EE1008">
      <w:start w:val="1"/>
      <w:numFmt w:val="bullet"/>
      <w:lvlText w:val=""/>
      <w:lvlJc w:val="left"/>
      <w:pPr>
        <w:ind w:left="360" w:hanging="360"/>
      </w:pPr>
      <w:rPr>
        <w:rFonts w:ascii="Webdings" w:hAnsi="Webdings" w:hint="default"/>
        <w:color w:val="008000"/>
      </w:rPr>
    </w:lvl>
    <w:lvl w:ilvl="1" w:tplc="1C090003">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EED181F"/>
    <w:multiLevelType w:val="hybridMultilevel"/>
    <w:tmpl w:val="1C84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B7A49"/>
    <w:multiLevelType w:val="hybridMultilevel"/>
    <w:tmpl w:val="4BA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C5D54"/>
    <w:multiLevelType w:val="hybridMultilevel"/>
    <w:tmpl w:val="65AE4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3B34B8"/>
    <w:multiLevelType w:val="multilevel"/>
    <w:tmpl w:val="4ABEBE5A"/>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28" w15:restartNumberingAfterBreak="0">
    <w:nsid w:val="58C4228E"/>
    <w:multiLevelType w:val="hybridMultilevel"/>
    <w:tmpl w:val="BB5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81BDF"/>
    <w:multiLevelType w:val="hybridMultilevel"/>
    <w:tmpl w:val="D6CA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5186E"/>
    <w:multiLevelType w:val="hybridMultilevel"/>
    <w:tmpl w:val="5078808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2231FE3"/>
    <w:multiLevelType w:val="hybridMultilevel"/>
    <w:tmpl w:val="0F3839B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229E3"/>
    <w:multiLevelType w:val="hybridMultilevel"/>
    <w:tmpl w:val="DD7C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A0B61"/>
    <w:multiLevelType w:val="hybridMultilevel"/>
    <w:tmpl w:val="58089226"/>
    <w:lvl w:ilvl="0" w:tplc="10090001">
      <w:start w:val="1"/>
      <w:numFmt w:val="bullet"/>
      <w:lvlText w:val=""/>
      <w:lvlJc w:val="left"/>
      <w:pPr>
        <w:ind w:left="2425" w:hanging="360"/>
      </w:pPr>
      <w:rPr>
        <w:rFonts w:ascii="Symbol" w:hAnsi="Symbol" w:hint="default"/>
      </w:rPr>
    </w:lvl>
    <w:lvl w:ilvl="1" w:tplc="10090003" w:tentative="1">
      <w:start w:val="1"/>
      <w:numFmt w:val="bullet"/>
      <w:lvlText w:val="o"/>
      <w:lvlJc w:val="left"/>
      <w:pPr>
        <w:ind w:left="3145" w:hanging="360"/>
      </w:pPr>
      <w:rPr>
        <w:rFonts w:ascii="Courier New" w:hAnsi="Courier New" w:cs="Courier New" w:hint="default"/>
      </w:rPr>
    </w:lvl>
    <w:lvl w:ilvl="2" w:tplc="10090005" w:tentative="1">
      <w:start w:val="1"/>
      <w:numFmt w:val="bullet"/>
      <w:lvlText w:val=""/>
      <w:lvlJc w:val="left"/>
      <w:pPr>
        <w:ind w:left="3865" w:hanging="360"/>
      </w:pPr>
      <w:rPr>
        <w:rFonts w:ascii="Wingdings" w:hAnsi="Wingdings" w:hint="default"/>
      </w:rPr>
    </w:lvl>
    <w:lvl w:ilvl="3" w:tplc="10090001" w:tentative="1">
      <w:start w:val="1"/>
      <w:numFmt w:val="bullet"/>
      <w:lvlText w:val=""/>
      <w:lvlJc w:val="left"/>
      <w:pPr>
        <w:ind w:left="4585" w:hanging="360"/>
      </w:pPr>
      <w:rPr>
        <w:rFonts w:ascii="Symbol" w:hAnsi="Symbol" w:hint="default"/>
      </w:rPr>
    </w:lvl>
    <w:lvl w:ilvl="4" w:tplc="10090003" w:tentative="1">
      <w:start w:val="1"/>
      <w:numFmt w:val="bullet"/>
      <w:lvlText w:val="o"/>
      <w:lvlJc w:val="left"/>
      <w:pPr>
        <w:ind w:left="5305" w:hanging="360"/>
      </w:pPr>
      <w:rPr>
        <w:rFonts w:ascii="Courier New" w:hAnsi="Courier New" w:cs="Courier New" w:hint="default"/>
      </w:rPr>
    </w:lvl>
    <w:lvl w:ilvl="5" w:tplc="10090005" w:tentative="1">
      <w:start w:val="1"/>
      <w:numFmt w:val="bullet"/>
      <w:lvlText w:val=""/>
      <w:lvlJc w:val="left"/>
      <w:pPr>
        <w:ind w:left="6025" w:hanging="360"/>
      </w:pPr>
      <w:rPr>
        <w:rFonts w:ascii="Wingdings" w:hAnsi="Wingdings" w:hint="default"/>
      </w:rPr>
    </w:lvl>
    <w:lvl w:ilvl="6" w:tplc="10090001" w:tentative="1">
      <w:start w:val="1"/>
      <w:numFmt w:val="bullet"/>
      <w:lvlText w:val=""/>
      <w:lvlJc w:val="left"/>
      <w:pPr>
        <w:ind w:left="6745" w:hanging="360"/>
      </w:pPr>
      <w:rPr>
        <w:rFonts w:ascii="Symbol" w:hAnsi="Symbol" w:hint="default"/>
      </w:rPr>
    </w:lvl>
    <w:lvl w:ilvl="7" w:tplc="10090003" w:tentative="1">
      <w:start w:val="1"/>
      <w:numFmt w:val="bullet"/>
      <w:lvlText w:val="o"/>
      <w:lvlJc w:val="left"/>
      <w:pPr>
        <w:ind w:left="7465" w:hanging="360"/>
      </w:pPr>
      <w:rPr>
        <w:rFonts w:ascii="Courier New" w:hAnsi="Courier New" w:cs="Courier New" w:hint="default"/>
      </w:rPr>
    </w:lvl>
    <w:lvl w:ilvl="8" w:tplc="10090005" w:tentative="1">
      <w:start w:val="1"/>
      <w:numFmt w:val="bullet"/>
      <w:lvlText w:val=""/>
      <w:lvlJc w:val="left"/>
      <w:pPr>
        <w:ind w:left="8185" w:hanging="360"/>
      </w:pPr>
      <w:rPr>
        <w:rFonts w:ascii="Wingdings" w:hAnsi="Wingdings" w:hint="default"/>
      </w:rPr>
    </w:lvl>
  </w:abstractNum>
  <w:abstractNum w:abstractNumId="34" w15:restartNumberingAfterBreak="0">
    <w:nsid w:val="671674F6"/>
    <w:multiLevelType w:val="hybridMultilevel"/>
    <w:tmpl w:val="B9FA615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945D70"/>
    <w:multiLevelType w:val="hybridMultilevel"/>
    <w:tmpl w:val="A37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B379B"/>
    <w:multiLevelType w:val="hybridMultilevel"/>
    <w:tmpl w:val="FC5AC0B8"/>
    <w:lvl w:ilvl="0" w:tplc="04090003">
      <w:start w:val="1"/>
      <w:numFmt w:val="bullet"/>
      <w:lvlText w:val="o"/>
      <w:lvlJc w:val="left"/>
      <w:pPr>
        <w:ind w:left="1080" w:hanging="360"/>
      </w:pPr>
      <w:rPr>
        <w:rFonts w:ascii="Courier New" w:hAnsi="Courier New" w:hint="default"/>
        <w:color w:val="008000"/>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B724FAA"/>
    <w:multiLevelType w:val="hybridMultilevel"/>
    <w:tmpl w:val="07BC17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3B1C0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B95994"/>
    <w:multiLevelType w:val="multilevel"/>
    <w:tmpl w:val="614E8ACA"/>
    <w:numStyleLink w:val="SOPFormat"/>
  </w:abstractNum>
  <w:abstractNum w:abstractNumId="40" w15:restartNumberingAfterBreak="0">
    <w:nsid w:val="73347220"/>
    <w:multiLevelType w:val="multilevel"/>
    <w:tmpl w:val="13505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45520BC"/>
    <w:multiLevelType w:val="hybridMultilevel"/>
    <w:tmpl w:val="0B5ADB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AEB6E8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826F9A"/>
    <w:multiLevelType w:val="hybridMultilevel"/>
    <w:tmpl w:val="4812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F469B"/>
    <w:multiLevelType w:val="hybridMultilevel"/>
    <w:tmpl w:val="C6125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7CBB5AB5"/>
    <w:multiLevelType w:val="multilevel"/>
    <w:tmpl w:val="040C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16cid:durableId="153423814">
    <w:abstractNumId w:val="0"/>
  </w:num>
  <w:num w:numId="2" w16cid:durableId="1941376655">
    <w:abstractNumId w:val="27"/>
  </w:num>
  <w:num w:numId="3" w16cid:durableId="1130441162">
    <w:abstractNumId w:val="40"/>
  </w:num>
  <w:num w:numId="4" w16cid:durableId="1215432478">
    <w:abstractNumId w:val="20"/>
  </w:num>
  <w:num w:numId="5" w16cid:durableId="2077586672">
    <w:abstractNumId w:val="13"/>
  </w:num>
  <w:num w:numId="6" w16cid:durableId="1114204474">
    <w:abstractNumId w:val="22"/>
  </w:num>
  <w:num w:numId="7" w16cid:durableId="1478648550">
    <w:abstractNumId w:val="6"/>
  </w:num>
  <w:num w:numId="8" w16cid:durableId="39281675">
    <w:abstractNumId w:val="15"/>
  </w:num>
  <w:num w:numId="9" w16cid:durableId="830295969">
    <w:abstractNumId w:val="37"/>
  </w:num>
  <w:num w:numId="10" w16cid:durableId="1847010472">
    <w:abstractNumId w:val="43"/>
  </w:num>
  <w:num w:numId="11" w16cid:durableId="1623489104">
    <w:abstractNumId w:val="35"/>
  </w:num>
  <w:num w:numId="12" w16cid:durableId="122894099">
    <w:abstractNumId w:val="7"/>
  </w:num>
  <w:num w:numId="13" w16cid:durableId="1472601378">
    <w:abstractNumId w:val="44"/>
  </w:num>
  <w:num w:numId="14" w16cid:durableId="1407074937">
    <w:abstractNumId w:val="41"/>
  </w:num>
  <w:num w:numId="15" w16cid:durableId="595214034">
    <w:abstractNumId w:val="9"/>
  </w:num>
  <w:num w:numId="16" w16cid:durableId="1505320260">
    <w:abstractNumId w:val="16"/>
  </w:num>
  <w:num w:numId="17" w16cid:durableId="1258901256">
    <w:abstractNumId w:val="30"/>
  </w:num>
  <w:num w:numId="18" w16cid:durableId="492991341">
    <w:abstractNumId w:val="21"/>
  </w:num>
  <w:num w:numId="19" w16cid:durableId="1856385">
    <w:abstractNumId w:val="33"/>
  </w:num>
  <w:num w:numId="20" w16cid:durableId="1990358137">
    <w:abstractNumId w:val="19"/>
  </w:num>
  <w:num w:numId="21" w16cid:durableId="527063684">
    <w:abstractNumId w:val="4"/>
  </w:num>
  <w:num w:numId="22" w16cid:durableId="1818720952">
    <w:abstractNumId w:val="17"/>
  </w:num>
  <w:num w:numId="23" w16cid:durableId="419448205">
    <w:abstractNumId w:val="1"/>
  </w:num>
  <w:num w:numId="24" w16cid:durableId="1038311518">
    <w:abstractNumId w:val="34"/>
  </w:num>
  <w:num w:numId="25" w16cid:durableId="965547119">
    <w:abstractNumId w:val="45"/>
  </w:num>
  <w:num w:numId="26" w16cid:durableId="445319752">
    <w:abstractNumId w:val="42"/>
  </w:num>
  <w:num w:numId="27" w16cid:durableId="1182623100">
    <w:abstractNumId w:val="38"/>
  </w:num>
  <w:num w:numId="28" w16cid:durableId="1013844319">
    <w:abstractNumId w:val="11"/>
  </w:num>
  <w:num w:numId="29" w16cid:durableId="1493639545">
    <w:abstractNumId w:val="5"/>
  </w:num>
  <w:num w:numId="30" w16cid:durableId="1218277398">
    <w:abstractNumId w:val="12"/>
  </w:num>
  <w:num w:numId="31" w16cid:durableId="2085911437">
    <w:abstractNumId w:val="24"/>
  </w:num>
  <w:num w:numId="32" w16cid:durableId="114518886">
    <w:abstractNumId w:val="8"/>
  </w:num>
  <w:num w:numId="33" w16cid:durableId="929241863">
    <w:abstractNumId w:val="23"/>
  </w:num>
  <w:num w:numId="34" w16cid:durableId="2012103366">
    <w:abstractNumId w:val="36"/>
  </w:num>
  <w:num w:numId="35" w16cid:durableId="1569726233">
    <w:abstractNumId w:val="29"/>
  </w:num>
  <w:num w:numId="36" w16cid:durableId="875893003">
    <w:abstractNumId w:val="3"/>
  </w:num>
  <w:num w:numId="37" w16cid:durableId="1715691978">
    <w:abstractNumId w:val="10"/>
  </w:num>
  <w:num w:numId="38" w16cid:durableId="466701226">
    <w:abstractNumId w:val="31"/>
  </w:num>
  <w:num w:numId="39" w16cid:durableId="183135152">
    <w:abstractNumId w:val="32"/>
  </w:num>
  <w:num w:numId="40" w16cid:durableId="608902285">
    <w:abstractNumId w:val="26"/>
  </w:num>
  <w:num w:numId="41" w16cid:durableId="1027877971">
    <w:abstractNumId w:val="25"/>
  </w:num>
  <w:num w:numId="42" w16cid:durableId="12387464">
    <w:abstractNumId w:val="28"/>
  </w:num>
  <w:num w:numId="43" w16cid:durableId="601259521">
    <w:abstractNumId w:val="18"/>
  </w:num>
  <w:num w:numId="44" w16cid:durableId="2141223582">
    <w:abstractNumId w:val="39"/>
  </w:num>
  <w:num w:numId="45" w16cid:durableId="1359772800">
    <w:abstractNumId w:val="14"/>
  </w:num>
  <w:num w:numId="46" w16cid:durableId="56800364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D1"/>
    <w:rsid w:val="00001BF3"/>
    <w:rsid w:val="000071EC"/>
    <w:rsid w:val="00011A75"/>
    <w:rsid w:val="00011C0B"/>
    <w:rsid w:val="00012210"/>
    <w:rsid w:val="00012576"/>
    <w:rsid w:val="000251BA"/>
    <w:rsid w:val="00025EC0"/>
    <w:rsid w:val="0003087B"/>
    <w:rsid w:val="00031C35"/>
    <w:rsid w:val="0004083C"/>
    <w:rsid w:val="00043279"/>
    <w:rsid w:val="0004634E"/>
    <w:rsid w:val="00066A68"/>
    <w:rsid w:val="000723EB"/>
    <w:rsid w:val="00073313"/>
    <w:rsid w:val="000A1FD6"/>
    <w:rsid w:val="000A21DE"/>
    <w:rsid w:val="000B01A7"/>
    <w:rsid w:val="000B2C99"/>
    <w:rsid w:val="000D50B5"/>
    <w:rsid w:val="000D5ED6"/>
    <w:rsid w:val="000F09B8"/>
    <w:rsid w:val="000F3549"/>
    <w:rsid w:val="00102218"/>
    <w:rsid w:val="00103FC6"/>
    <w:rsid w:val="00104CE9"/>
    <w:rsid w:val="00124ED4"/>
    <w:rsid w:val="001327B4"/>
    <w:rsid w:val="00136E77"/>
    <w:rsid w:val="001475C4"/>
    <w:rsid w:val="00150C3F"/>
    <w:rsid w:val="0017116A"/>
    <w:rsid w:val="00185B01"/>
    <w:rsid w:val="00190C19"/>
    <w:rsid w:val="00191D87"/>
    <w:rsid w:val="00192D6A"/>
    <w:rsid w:val="001B1156"/>
    <w:rsid w:val="001B41C5"/>
    <w:rsid w:val="001B45CB"/>
    <w:rsid w:val="001B542E"/>
    <w:rsid w:val="001D04E8"/>
    <w:rsid w:val="001D0D47"/>
    <w:rsid w:val="001D2530"/>
    <w:rsid w:val="001D5677"/>
    <w:rsid w:val="001D6D00"/>
    <w:rsid w:val="001D7721"/>
    <w:rsid w:val="001E1FA1"/>
    <w:rsid w:val="001E24D6"/>
    <w:rsid w:val="001F137C"/>
    <w:rsid w:val="001F7783"/>
    <w:rsid w:val="00202240"/>
    <w:rsid w:val="002047FE"/>
    <w:rsid w:val="002050D6"/>
    <w:rsid w:val="00205B7D"/>
    <w:rsid w:val="00222798"/>
    <w:rsid w:val="002250D7"/>
    <w:rsid w:val="0022586A"/>
    <w:rsid w:val="00225B5D"/>
    <w:rsid w:val="00227F4E"/>
    <w:rsid w:val="00231D2C"/>
    <w:rsid w:val="00241332"/>
    <w:rsid w:val="00242217"/>
    <w:rsid w:val="00242F47"/>
    <w:rsid w:val="002658AA"/>
    <w:rsid w:val="00266706"/>
    <w:rsid w:val="0027017A"/>
    <w:rsid w:val="0027074C"/>
    <w:rsid w:val="002763CC"/>
    <w:rsid w:val="00280DA9"/>
    <w:rsid w:val="00282ED6"/>
    <w:rsid w:val="002843E7"/>
    <w:rsid w:val="002854C5"/>
    <w:rsid w:val="00291876"/>
    <w:rsid w:val="002924C5"/>
    <w:rsid w:val="0029635B"/>
    <w:rsid w:val="002A1E1C"/>
    <w:rsid w:val="002A2A64"/>
    <w:rsid w:val="002A6E48"/>
    <w:rsid w:val="002B51E8"/>
    <w:rsid w:val="002B6E4F"/>
    <w:rsid w:val="002C0D2A"/>
    <w:rsid w:val="002C7146"/>
    <w:rsid w:val="002D013F"/>
    <w:rsid w:val="002D0C9F"/>
    <w:rsid w:val="002D0D48"/>
    <w:rsid w:val="002E2F61"/>
    <w:rsid w:val="002F4CA2"/>
    <w:rsid w:val="002F5FD1"/>
    <w:rsid w:val="002F6C4C"/>
    <w:rsid w:val="002F7A25"/>
    <w:rsid w:val="00301ABC"/>
    <w:rsid w:val="0030690D"/>
    <w:rsid w:val="003104AC"/>
    <w:rsid w:val="0031267A"/>
    <w:rsid w:val="003343FF"/>
    <w:rsid w:val="00334CC5"/>
    <w:rsid w:val="00347CD3"/>
    <w:rsid w:val="003523DC"/>
    <w:rsid w:val="003524A7"/>
    <w:rsid w:val="003628ED"/>
    <w:rsid w:val="0036681B"/>
    <w:rsid w:val="00383BAB"/>
    <w:rsid w:val="00383F65"/>
    <w:rsid w:val="0038413E"/>
    <w:rsid w:val="00384301"/>
    <w:rsid w:val="00392A0B"/>
    <w:rsid w:val="003947C1"/>
    <w:rsid w:val="00396DED"/>
    <w:rsid w:val="003A23B0"/>
    <w:rsid w:val="003A2F97"/>
    <w:rsid w:val="003B39A2"/>
    <w:rsid w:val="003C5C79"/>
    <w:rsid w:val="003D0F3F"/>
    <w:rsid w:val="003D2198"/>
    <w:rsid w:val="003D46B8"/>
    <w:rsid w:val="003D7081"/>
    <w:rsid w:val="003E2EBD"/>
    <w:rsid w:val="003E60A6"/>
    <w:rsid w:val="003F0B9C"/>
    <w:rsid w:val="003F2368"/>
    <w:rsid w:val="00400E67"/>
    <w:rsid w:val="00415FAB"/>
    <w:rsid w:val="004260CD"/>
    <w:rsid w:val="00443652"/>
    <w:rsid w:val="00445796"/>
    <w:rsid w:val="004540B2"/>
    <w:rsid w:val="00456662"/>
    <w:rsid w:val="00456F30"/>
    <w:rsid w:val="0046051D"/>
    <w:rsid w:val="00464A09"/>
    <w:rsid w:val="004706E5"/>
    <w:rsid w:val="00485D0A"/>
    <w:rsid w:val="0048756E"/>
    <w:rsid w:val="00490636"/>
    <w:rsid w:val="00490A91"/>
    <w:rsid w:val="00491DB3"/>
    <w:rsid w:val="0049647E"/>
    <w:rsid w:val="004A2C76"/>
    <w:rsid w:val="004A3843"/>
    <w:rsid w:val="004A3A2D"/>
    <w:rsid w:val="004A7453"/>
    <w:rsid w:val="004B26C6"/>
    <w:rsid w:val="004B33AA"/>
    <w:rsid w:val="004C0532"/>
    <w:rsid w:val="004C2B3F"/>
    <w:rsid w:val="004D0D8E"/>
    <w:rsid w:val="004D2405"/>
    <w:rsid w:val="004D4585"/>
    <w:rsid w:val="004E2851"/>
    <w:rsid w:val="004E6C15"/>
    <w:rsid w:val="004F0AAB"/>
    <w:rsid w:val="004F1333"/>
    <w:rsid w:val="004F4546"/>
    <w:rsid w:val="004F4F48"/>
    <w:rsid w:val="004F5F88"/>
    <w:rsid w:val="005132C0"/>
    <w:rsid w:val="00517325"/>
    <w:rsid w:val="005242BF"/>
    <w:rsid w:val="0053069D"/>
    <w:rsid w:val="00532471"/>
    <w:rsid w:val="0053553F"/>
    <w:rsid w:val="00542B60"/>
    <w:rsid w:val="00557EC3"/>
    <w:rsid w:val="0056307E"/>
    <w:rsid w:val="00572A1A"/>
    <w:rsid w:val="00576035"/>
    <w:rsid w:val="00576458"/>
    <w:rsid w:val="00582E2E"/>
    <w:rsid w:val="00582F49"/>
    <w:rsid w:val="00594465"/>
    <w:rsid w:val="005A22C9"/>
    <w:rsid w:val="005C2503"/>
    <w:rsid w:val="005C4339"/>
    <w:rsid w:val="005E3DB5"/>
    <w:rsid w:val="005E4884"/>
    <w:rsid w:val="005F608B"/>
    <w:rsid w:val="00614ED2"/>
    <w:rsid w:val="00616C38"/>
    <w:rsid w:val="006314A8"/>
    <w:rsid w:val="00633614"/>
    <w:rsid w:val="00633B80"/>
    <w:rsid w:val="006362B3"/>
    <w:rsid w:val="0063792E"/>
    <w:rsid w:val="00641A0A"/>
    <w:rsid w:val="00641BCF"/>
    <w:rsid w:val="00643FD5"/>
    <w:rsid w:val="00652A39"/>
    <w:rsid w:val="00672DC0"/>
    <w:rsid w:val="00674288"/>
    <w:rsid w:val="00684F9A"/>
    <w:rsid w:val="006926AA"/>
    <w:rsid w:val="0069432C"/>
    <w:rsid w:val="006A1975"/>
    <w:rsid w:val="006A4F9E"/>
    <w:rsid w:val="006A59E5"/>
    <w:rsid w:val="006A65A9"/>
    <w:rsid w:val="006A7724"/>
    <w:rsid w:val="006B1DF8"/>
    <w:rsid w:val="006B4312"/>
    <w:rsid w:val="006B5C19"/>
    <w:rsid w:val="006C680A"/>
    <w:rsid w:val="006E0CF9"/>
    <w:rsid w:val="006E1AEF"/>
    <w:rsid w:val="006E4DE8"/>
    <w:rsid w:val="006E66BA"/>
    <w:rsid w:val="006E690A"/>
    <w:rsid w:val="006F2FC0"/>
    <w:rsid w:val="006F6218"/>
    <w:rsid w:val="006F635C"/>
    <w:rsid w:val="007048D0"/>
    <w:rsid w:val="00704F5D"/>
    <w:rsid w:val="00721718"/>
    <w:rsid w:val="0072275F"/>
    <w:rsid w:val="00722798"/>
    <w:rsid w:val="00722CED"/>
    <w:rsid w:val="007242DB"/>
    <w:rsid w:val="00734FE3"/>
    <w:rsid w:val="007367F2"/>
    <w:rsid w:val="00737E28"/>
    <w:rsid w:val="00742D14"/>
    <w:rsid w:val="0074437F"/>
    <w:rsid w:val="00744B79"/>
    <w:rsid w:val="00744F53"/>
    <w:rsid w:val="0074572D"/>
    <w:rsid w:val="007472E9"/>
    <w:rsid w:val="007501C7"/>
    <w:rsid w:val="00753985"/>
    <w:rsid w:val="00773CBF"/>
    <w:rsid w:val="0077405F"/>
    <w:rsid w:val="0078004E"/>
    <w:rsid w:val="0078463F"/>
    <w:rsid w:val="00791625"/>
    <w:rsid w:val="0079197F"/>
    <w:rsid w:val="00793CB6"/>
    <w:rsid w:val="00795DB5"/>
    <w:rsid w:val="007A0C05"/>
    <w:rsid w:val="007A48B2"/>
    <w:rsid w:val="007A720F"/>
    <w:rsid w:val="007B12D1"/>
    <w:rsid w:val="007B3BEE"/>
    <w:rsid w:val="007B4498"/>
    <w:rsid w:val="007B510D"/>
    <w:rsid w:val="007C33CE"/>
    <w:rsid w:val="007C5577"/>
    <w:rsid w:val="007C6381"/>
    <w:rsid w:val="007C7EE6"/>
    <w:rsid w:val="007D365B"/>
    <w:rsid w:val="008019E2"/>
    <w:rsid w:val="0080419A"/>
    <w:rsid w:val="0081019E"/>
    <w:rsid w:val="008238DB"/>
    <w:rsid w:val="00823CDA"/>
    <w:rsid w:val="00827CC5"/>
    <w:rsid w:val="008327FC"/>
    <w:rsid w:val="00833FDA"/>
    <w:rsid w:val="00834DDE"/>
    <w:rsid w:val="00851D8A"/>
    <w:rsid w:val="00854B4C"/>
    <w:rsid w:val="008615BC"/>
    <w:rsid w:val="00874D00"/>
    <w:rsid w:val="008830B9"/>
    <w:rsid w:val="00887A5B"/>
    <w:rsid w:val="00887A8D"/>
    <w:rsid w:val="0089139A"/>
    <w:rsid w:val="0089569C"/>
    <w:rsid w:val="008A0200"/>
    <w:rsid w:val="008B15CD"/>
    <w:rsid w:val="008B245E"/>
    <w:rsid w:val="008B3073"/>
    <w:rsid w:val="008B35EB"/>
    <w:rsid w:val="008B4222"/>
    <w:rsid w:val="008B434E"/>
    <w:rsid w:val="008B6323"/>
    <w:rsid w:val="008B74EC"/>
    <w:rsid w:val="008C4CDD"/>
    <w:rsid w:val="008D03D2"/>
    <w:rsid w:val="008E08E6"/>
    <w:rsid w:val="008E21E0"/>
    <w:rsid w:val="008E36E4"/>
    <w:rsid w:val="008E66C5"/>
    <w:rsid w:val="008F5984"/>
    <w:rsid w:val="008F731A"/>
    <w:rsid w:val="009139F6"/>
    <w:rsid w:val="00922731"/>
    <w:rsid w:val="00932037"/>
    <w:rsid w:val="0093673D"/>
    <w:rsid w:val="00937CA2"/>
    <w:rsid w:val="00944524"/>
    <w:rsid w:val="00945322"/>
    <w:rsid w:val="0094554A"/>
    <w:rsid w:val="009511E9"/>
    <w:rsid w:val="00951872"/>
    <w:rsid w:val="009518DF"/>
    <w:rsid w:val="009564F4"/>
    <w:rsid w:val="00970117"/>
    <w:rsid w:val="00975B7B"/>
    <w:rsid w:val="0097796B"/>
    <w:rsid w:val="00980688"/>
    <w:rsid w:val="00987472"/>
    <w:rsid w:val="009901A3"/>
    <w:rsid w:val="00990C17"/>
    <w:rsid w:val="00990E2B"/>
    <w:rsid w:val="00996269"/>
    <w:rsid w:val="00996512"/>
    <w:rsid w:val="00996E2B"/>
    <w:rsid w:val="009A4B41"/>
    <w:rsid w:val="009B39EF"/>
    <w:rsid w:val="009B5F8B"/>
    <w:rsid w:val="009C4036"/>
    <w:rsid w:val="009E3967"/>
    <w:rsid w:val="009E5293"/>
    <w:rsid w:val="009E5C0D"/>
    <w:rsid w:val="009E6582"/>
    <w:rsid w:val="009E776C"/>
    <w:rsid w:val="009E7ECA"/>
    <w:rsid w:val="009F1FDC"/>
    <w:rsid w:val="00A069B5"/>
    <w:rsid w:val="00A12A1E"/>
    <w:rsid w:val="00A14473"/>
    <w:rsid w:val="00A162BF"/>
    <w:rsid w:val="00A263D2"/>
    <w:rsid w:val="00A26439"/>
    <w:rsid w:val="00A308D7"/>
    <w:rsid w:val="00A427EA"/>
    <w:rsid w:val="00A46B82"/>
    <w:rsid w:val="00A5008B"/>
    <w:rsid w:val="00A51E2C"/>
    <w:rsid w:val="00A55945"/>
    <w:rsid w:val="00A60BDA"/>
    <w:rsid w:val="00A648CA"/>
    <w:rsid w:val="00A757AA"/>
    <w:rsid w:val="00A80385"/>
    <w:rsid w:val="00A810E4"/>
    <w:rsid w:val="00A82833"/>
    <w:rsid w:val="00AA4A75"/>
    <w:rsid w:val="00AC415E"/>
    <w:rsid w:val="00AC7318"/>
    <w:rsid w:val="00AC7F4A"/>
    <w:rsid w:val="00AD380D"/>
    <w:rsid w:val="00AD56F1"/>
    <w:rsid w:val="00AE2826"/>
    <w:rsid w:val="00AE311C"/>
    <w:rsid w:val="00AE7817"/>
    <w:rsid w:val="00B07F6F"/>
    <w:rsid w:val="00B21959"/>
    <w:rsid w:val="00B3256A"/>
    <w:rsid w:val="00B365E7"/>
    <w:rsid w:val="00B471A3"/>
    <w:rsid w:val="00B67DF1"/>
    <w:rsid w:val="00B7420D"/>
    <w:rsid w:val="00B8048C"/>
    <w:rsid w:val="00B94FC1"/>
    <w:rsid w:val="00BA14FF"/>
    <w:rsid w:val="00BA1BB2"/>
    <w:rsid w:val="00BB0299"/>
    <w:rsid w:val="00BB2319"/>
    <w:rsid w:val="00BB3CFF"/>
    <w:rsid w:val="00BB4482"/>
    <w:rsid w:val="00BB6FA4"/>
    <w:rsid w:val="00BC35EC"/>
    <w:rsid w:val="00BE3C5D"/>
    <w:rsid w:val="00BF0915"/>
    <w:rsid w:val="00C0079A"/>
    <w:rsid w:val="00C04AFC"/>
    <w:rsid w:val="00C055E8"/>
    <w:rsid w:val="00C10D4A"/>
    <w:rsid w:val="00C10E8A"/>
    <w:rsid w:val="00C31EC7"/>
    <w:rsid w:val="00C338A5"/>
    <w:rsid w:val="00C33F47"/>
    <w:rsid w:val="00C34C05"/>
    <w:rsid w:val="00C3548A"/>
    <w:rsid w:val="00C40E64"/>
    <w:rsid w:val="00C452FE"/>
    <w:rsid w:val="00C540ED"/>
    <w:rsid w:val="00C54BE3"/>
    <w:rsid w:val="00C60845"/>
    <w:rsid w:val="00C65CDD"/>
    <w:rsid w:val="00C67465"/>
    <w:rsid w:val="00C777F0"/>
    <w:rsid w:val="00C80227"/>
    <w:rsid w:val="00C813A9"/>
    <w:rsid w:val="00C94E72"/>
    <w:rsid w:val="00CA36A2"/>
    <w:rsid w:val="00CA49D3"/>
    <w:rsid w:val="00CB11E9"/>
    <w:rsid w:val="00CB69B6"/>
    <w:rsid w:val="00CB78E3"/>
    <w:rsid w:val="00CC7233"/>
    <w:rsid w:val="00CD131C"/>
    <w:rsid w:val="00CD179C"/>
    <w:rsid w:val="00CE0EA5"/>
    <w:rsid w:val="00CE5F8C"/>
    <w:rsid w:val="00CE770D"/>
    <w:rsid w:val="00CF072B"/>
    <w:rsid w:val="00CF7278"/>
    <w:rsid w:val="00CF77DA"/>
    <w:rsid w:val="00D00BAB"/>
    <w:rsid w:val="00D0333A"/>
    <w:rsid w:val="00D150C1"/>
    <w:rsid w:val="00D26AF7"/>
    <w:rsid w:val="00D27D20"/>
    <w:rsid w:val="00D45D58"/>
    <w:rsid w:val="00D501D6"/>
    <w:rsid w:val="00D63D09"/>
    <w:rsid w:val="00D6466A"/>
    <w:rsid w:val="00D67940"/>
    <w:rsid w:val="00D82026"/>
    <w:rsid w:val="00D92023"/>
    <w:rsid w:val="00DA0D64"/>
    <w:rsid w:val="00DA53EF"/>
    <w:rsid w:val="00DB08FD"/>
    <w:rsid w:val="00DB6CA1"/>
    <w:rsid w:val="00DC1630"/>
    <w:rsid w:val="00DD0504"/>
    <w:rsid w:val="00DD1299"/>
    <w:rsid w:val="00DD22DB"/>
    <w:rsid w:val="00DD79BA"/>
    <w:rsid w:val="00DE1461"/>
    <w:rsid w:val="00E03B2E"/>
    <w:rsid w:val="00E04BD0"/>
    <w:rsid w:val="00E06B9B"/>
    <w:rsid w:val="00E07C79"/>
    <w:rsid w:val="00E10827"/>
    <w:rsid w:val="00E1619F"/>
    <w:rsid w:val="00E2160A"/>
    <w:rsid w:val="00E219DC"/>
    <w:rsid w:val="00E320B1"/>
    <w:rsid w:val="00E3282D"/>
    <w:rsid w:val="00E344DA"/>
    <w:rsid w:val="00E37567"/>
    <w:rsid w:val="00E376D4"/>
    <w:rsid w:val="00E4270C"/>
    <w:rsid w:val="00E4378B"/>
    <w:rsid w:val="00E507C5"/>
    <w:rsid w:val="00E50EE2"/>
    <w:rsid w:val="00E51C92"/>
    <w:rsid w:val="00E53814"/>
    <w:rsid w:val="00E624A3"/>
    <w:rsid w:val="00E6471B"/>
    <w:rsid w:val="00E65607"/>
    <w:rsid w:val="00E66192"/>
    <w:rsid w:val="00E70D60"/>
    <w:rsid w:val="00E71678"/>
    <w:rsid w:val="00E74A36"/>
    <w:rsid w:val="00E83371"/>
    <w:rsid w:val="00E85770"/>
    <w:rsid w:val="00E901BC"/>
    <w:rsid w:val="00E910FD"/>
    <w:rsid w:val="00E9446A"/>
    <w:rsid w:val="00EA08B3"/>
    <w:rsid w:val="00EB1D66"/>
    <w:rsid w:val="00EC617E"/>
    <w:rsid w:val="00ED30E1"/>
    <w:rsid w:val="00EE0BF2"/>
    <w:rsid w:val="00EE3175"/>
    <w:rsid w:val="00EF09EF"/>
    <w:rsid w:val="00EF31F8"/>
    <w:rsid w:val="00EF394C"/>
    <w:rsid w:val="00F0035E"/>
    <w:rsid w:val="00F013DB"/>
    <w:rsid w:val="00F11569"/>
    <w:rsid w:val="00F1447C"/>
    <w:rsid w:val="00F26626"/>
    <w:rsid w:val="00F26EF5"/>
    <w:rsid w:val="00F32BAE"/>
    <w:rsid w:val="00F4671D"/>
    <w:rsid w:val="00F53E0D"/>
    <w:rsid w:val="00F57077"/>
    <w:rsid w:val="00F6177B"/>
    <w:rsid w:val="00F71006"/>
    <w:rsid w:val="00F71A5C"/>
    <w:rsid w:val="00F7372C"/>
    <w:rsid w:val="00F77108"/>
    <w:rsid w:val="00F775F3"/>
    <w:rsid w:val="00F80258"/>
    <w:rsid w:val="00F825B7"/>
    <w:rsid w:val="00F83A0D"/>
    <w:rsid w:val="00F86FDC"/>
    <w:rsid w:val="00F917D6"/>
    <w:rsid w:val="00F920DC"/>
    <w:rsid w:val="00F94DE6"/>
    <w:rsid w:val="00F954CD"/>
    <w:rsid w:val="00F96314"/>
    <w:rsid w:val="00F96C41"/>
    <w:rsid w:val="00FD0EC1"/>
    <w:rsid w:val="00FD1F7C"/>
    <w:rsid w:val="00FD28FD"/>
    <w:rsid w:val="00FD78D6"/>
    <w:rsid w:val="00FE035B"/>
    <w:rsid w:val="00FE13A7"/>
    <w:rsid w:val="00FE162A"/>
    <w:rsid w:val="00FE163E"/>
    <w:rsid w:val="00FE21FD"/>
    <w:rsid w:val="00FE25B0"/>
    <w:rsid w:val="00FE2687"/>
    <w:rsid w:val="00FE45B3"/>
    <w:rsid w:val="00FF4017"/>
    <w:rsid w:val="00FF4BA9"/>
    <w:rsid w:val="00FF4D64"/>
    <w:rsid w:val="00FF761D"/>
    <w:rsid w:val="00FF7C7F"/>
    <w:rsid w:val="0BD68B54"/>
    <w:rsid w:val="0DAA7A45"/>
    <w:rsid w:val="18D17CBA"/>
    <w:rsid w:val="33EEBE81"/>
    <w:rsid w:val="717C2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355EF0"/>
  <w15:docId w15:val="{9D7CA233-AEE6-463A-AEA2-AFC009A8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5CD"/>
  </w:style>
  <w:style w:type="paragraph" w:styleId="Heading1">
    <w:name w:val="heading 1"/>
    <w:basedOn w:val="Normal"/>
    <w:next w:val="Normal"/>
    <w:link w:val="Heading1Char"/>
    <w:rsid w:val="0089139A"/>
    <w:pPr>
      <w:keepNext/>
      <w:keepLines/>
      <w:numPr>
        <w:numId w:val="44"/>
      </w:numPr>
      <w:spacing w:before="120" w:after="120" w:line="240" w:lineRule="auto"/>
      <w:jc w:val="center"/>
      <w:outlineLvl w:val="0"/>
    </w:pPr>
    <w:rPr>
      <w:b/>
      <w:sz w:val="36"/>
      <w:szCs w:val="24"/>
    </w:rPr>
  </w:style>
  <w:style w:type="paragraph" w:styleId="Heading2">
    <w:name w:val="heading 2"/>
    <w:basedOn w:val="ListNumber"/>
    <w:next w:val="Normal"/>
    <w:rsid w:val="0089139A"/>
    <w:pPr>
      <w:keepNext/>
      <w:keepLines/>
      <w:numPr>
        <w:ilvl w:val="1"/>
        <w:numId w:val="44"/>
      </w:numPr>
      <w:spacing w:before="360" w:after="80"/>
      <w:outlineLvl w:val="1"/>
    </w:pPr>
    <w:rPr>
      <w:b/>
      <w:sz w:val="24"/>
      <w:szCs w:val="36"/>
    </w:rPr>
  </w:style>
  <w:style w:type="paragraph" w:styleId="Heading3">
    <w:name w:val="heading 3"/>
    <w:basedOn w:val="Normal"/>
    <w:next w:val="Normal"/>
    <w:rsid w:val="0089139A"/>
    <w:pPr>
      <w:keepNext/>
      <w:keepLines/>
      <w:numPr>
        <w:ilvl w:val="2"/>
        <w:numId w:val="44"/>
      </w:numPr>
      <w:spacing w:before="120" w:after="80"/>
      <w:ind w:left="1224" w:hanging="504"/>
      <w:contextualSpacing/>
      <w:outlineLvl w:val="2"/>
    </w:pPr>
    <w:rPr>
      <w:b/>
      <w:i/>
      <w:sz w:val="24"/>
      <w:szCs w:val="28"/>
    </w:rPr>
  </w:style>
  <w:style w:type="paragraph" w:styleId="Heading4">
    <w:name w:val="heading 4"/>
    <w:basedOn w:val="Normal"/>
    <w:next w:val="Normal"/>
    <w:rsid w:val="0089139A"/>
    <w:pPr>
      <w:keepNext/>
      <w:keepLines/>
      <w:numPr>
        <w:ilvl w:val="3"/>
        <w:numId w:val="44"/>
      </w:numPr>
      <w:spacing w:before="200" w:after="0"/>
      <w:ind w:left="1800" w:hanging="720"/>
      <w:contextualSpacing/>
      <w:outlineLvl w:val="3"/>
    </w:pPr>
    <w:rPr>
      <w:i/>
      <w:sz w:val="24"/>
      <w:szCs w:val="24"/>
      <w:u w:val="single"/>
    </w:rPr>
  </w:style>
  <w:style w:type="paragraph" w:styleId="Heading5">
    <w:name w:val="heading 5"/>
    <w:basedOn w:val="Normal"/>
    <w:next w:val="Normal"/>
    <w:rsid w:val="00A162BF"/>
    <w:pPr>
      <w:keepNext/>
      <w:keepLines/>
      <w:spacing w:before="220" w:after="40"/>
      <w:contextualSpacing/>
      <w:outlineLvl w:val="4"/>
    </w:pPr>
    <w:rPr>
      <w:b/>
    </w:rPr>
  </w:style>
  <w:style w:type="paragraph" w:styleId="Heading6">
    <w:name w:val="heading 6"/>
    <w:basedOn w:val="Normal"/>
    <w:next w:val="Normal"/>
    <w:rsid w:val="00A162B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162BF"/>
    <w:pPr>
      <w:keepNext/>
      <w:keepLines/>
      <w:spacing w:before="480" w:after="120"/>
      <w:contextualSpacing/>
    </w:pPr>
    <w:rPr>
      <w:b/>
      <w:sz w:val="72"/>
      <w:szCs w:val="72"/>
    </w:rPr>
  </w:style>
  <w:style w:type="paragraph" w:styleId="Subtitle">
    <w:name w:val="Subtitle"/>
    <w:basedOn w:val="Normal"/>
    <w:next w:val="Normal"/>
    <w:rsid w:val="00A162B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162BF"/>
    <w:pPr>
      <w:spacing w:after="0" w:line="240" w:lineRule="auto"/>
    </w:pPr>
    <w:tblPr>
      <w:tblStyleRowBandSize w:val="1"/>
      <w:tblStyleColBandSize w:val="1"/>
      <w:tblCellMar>
        <w:left w:w="115" w:type="dxa"/>
        <w:right w:w="115" w:type="dxa"/>
      </w:tblCellMar>
    </w:tblPr>
  </w:style>
  <w:style w:type="table" w:customStyle="1" w:styleId="a0">
    <w:basedOn w:val="TableNormal"/>
    <w:rsid w:val="00A162BF"/>
    <w:tblPr>
      <w:tblStyleRowBandSize w:val="1"/>
      <w:tblStyleColBandSize w:val="1"/>
      <w:tblCellMar>
        <w:left w:w="115" w:type="dxa"/>
        <w:right w:w="115" w:type="dxa"/>
      </w:tblCellMar>
    </w:tblPr>
  </w:style>
  <w:style w:type="table" w:customStyle="1" w:styleId="a1">
    <w:basedOn w:val="TableNormal"/>
    <w:rsid w:val="00A162BF"/>
    <w:tblPr>
      <w:tblStyleRowBandSize w:val="1"/>
      <w:tblStyleColBandSize w:val="1"/>
      <w:tblCellMar>
        <w:left w:w="115" w:type="dxa"/>
        <w:right w:w="115" w:type="dxa"/>
      </w:tblCellMar>
    </w:tblPr>
  </w:style>
  <w:style w:type="table" w:customStyle="1" w:styleId="a2">
    <w:basedOn w:val="TableNormal"/>
    <w:rsid w:val="00A162BF"/>
    <w:pPr>
      <w:spacing w:after="0" w:line="240" w:lineRule="auto"/>
    </w:pPr>
    <w:tblPr>
      <w:tblStyleRowBandSize w:val="1"/>
      <w:tblStyleColBandSize w:val="1"/>
      <w:tblCellMar>
        <w:left w:w="115" w:type="dxa"/>
        <w:right w:w="115" w:type="dxa"/>
      </w:tblCellMar>
    </w:tblPr>
  </w:style>
  <w:style w:type="table" w:customStyle="1" w:styleId="a3">
    <w:basedOn w:val="TableNormal"/>
    <w:rsid w:val="00A162BF"/>
    <w:pPr>
      <w:spacing w:after="0" w:line="240" w:lineRule="auto"/>
    </w:pPr>
    <w:tblPr>
      <w:tblStyleRowBandSize w:val="1"/>
      <w:tblStyleColBandSize w:val="1"/>
      <w:tblCellMar>
        <w:left w:w="115" w:type="dxa"/>
        <w:right w:w="115" w:type="dxa"/>
      </w:tblCellMar>
    </w:tblPr>
  </w:style>
  <w:style w:type="table" w:customStyle="1" w:styleId="a4">
    <w:basedOn w:val="TableNormal"/>
    <w:rsid w:val="00A162BF"/>
    <w:tblPr>
      <w:tblStyleRowBandSize w:val="1"/>
      <w:tblStyleColBandSize w:val="1"/>
      <w:tblCellMar>
        <w:left w:w="115" w:type="dxa"/>
        <w:right w:w="115" w:type="dxa"/>
      </w:tblCellMar>
    </w:tblPr>
  </w:style>
  <w:style w:type="table" w:customStyle="1" w:styleId="a5">
    <w:basedOn w:val="TableNormal"/>
    <w:rsid w:val="00A162BF"/>
    <w:tblPr>
      <w:tblStyleRowBandSize w:val="1"/>
      <w:tblStyleColBandSize w:val="1"/>
      <w:tblCellMar>
        <w:left w:w="115" w:type="dxa"/>
        <w:right w:w="115" w:type="dxa"/>
      </w:tblCellMar>
    </w:tblPr>
  </w:style>
  <w:style w:type="table" w:customStyle="1" w:styleId="a6">
    <w:basedOn w:val="TableNormal"/>
    <w:rsid w:val="00A162BF"/>
    <w:pPr>
      <w:spacing w:after="0" w:line="240" w:lineRule="auto"/>
    </w:pPr>
    <w:tblPr>
      <w:tblStyleRowBandSize w:val="1"/>
      <w:tblStyleColBandSize w:val="1"/>
      <w:tblCellMar>
        <w:left w:w="115" w:type="dxa"/>
        <w:right w:w="115" w:type="dxa"/>
      </w:tblCellMar>
    </w:tblPr>
  </w:style>
  <w:style w:type="table" w:customStyle="1" w:styleId="a7">
    <w:basedOn w:val="TableNormal"/>
    <w:rsid w:val="00A162BF"/>
    <w:tblPr>
      <w:tblStyleRowBandSize w:val="1"/>
      <w:tblStyleColBandSize w:val="1"/>
      <w:tblCellMar>
        <w:left w:w="115" w:type="dxa"/>
        <w:right w:w="115" w:type="dxa"/>
      </w:tblCellMar>
    </w:tblPr>
  </w:style>
  <w:style w:type="table" w:customStyle="1" w:styleId="a8">
    <w:basedOn w:val="TableNormal"/>
    <w:rsid w:val="00A162BF"/>
    <w:tblPr>
      <w:tblStyleRowBandSize w:val="1"/>
      <w:tblStyleColBandSize w:val="1"/>
      <w:tblCellMar>
        <w:left w:w="115" w:type="dxa"/>
        <w:right w:w="115" w:type="dxa"/>
      </w:tblCellMar>
    </w:tblPr>
  </w:style>
  <w:style w:type="table" w:customStyle="1" w:styleId="a9">
    <w:basedOn w:val="TableNormal"/>
    <w:rsid w:val="00A162BF"/>
    <w:pPr>
      <w:spacing w:after="0" w:line="240" w:lineRule="auto"/>
    </w:pPr>
    <w:tblPr>
      <w:tblStyleRowBandSize w:val="1"/>
      <w:tblStyleColBandSize w:val="1"/>
      <w:tblCellMar>
        <w:left w:w="115" w:type="dxa"/>
        <w:right w:w="115" w:type="dxa"/>
      </w:tblCellMar>
    </w:tblPr>
  </w:style>
  <w:style w:type="table" w:customStyle="1" w:styleId="aa">
    <w:basedOn w:val="TableNormal"/>
    <w:rsid w:val="00A162BF"/>
    <w:pPr>
      <w:spacing w:after="0" w:line="240" w:lineRule="auto"/>
    </w:pPr>
    <w:tblPr>
      <w:tblStyleRowBandSize w:val="1"/>
      <w:tblStyleColBandSize w:val="1"/>
      <w:tblCellMar>
        <w:left w:w="115" w:type="dxa"/>
        <w:right w:w="115" w:type="dxa"/>
      </w:tblCellMar>
    </w:tblPr>
  </w:style>
  <w:style w:type="table" w:customStyle="1" w:styleId="ab">
    <w:basedOn w:val="TableNormal"/>
    <w:rsid w:val="00A162BF"/>
    <w:tblPr>
      <w:tblStyleRowBandSize w:val="1"/>
      <w:tblStyleColBandSize w:val="1"/>
      <w:tblCellMar>
        <w:left w:w="115" w:type="dxa"/>
        <w:right w:w="115" w:type="dxa"/>
      </w:tblCellMar>
    </w:tblPr>
  </w:style>
  <w:style w:type="table" w:customStyle="1" w:styleId="ac">
    <w:basedOn w:val="TableNormal"/>
    <w:rsid w:val="00A162BF"/>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1"/>
      </w:numPr>
      <w:contextualSpacing/>
    </w:pPr>
  </w:style>
  <w:style w:type="paragraph" w:styleId="ListParagraph">
    <w:name w:val="List Paragraph"/>
    <w:basedOn w:val="Normal"/>
    <w:uiPriority w:val="99"/>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nhideWhenUsed/>
    <w:rsid w:val="00A162BF"/>
    <w:pPr>
      <w:spacing w:line="240" w:lineRule="auto"/>
    </w:pPr>
    <w:rPr>
      <w:sz w:val="20"/>
      <w:szCs w:val="20"/>
    </w:rPr>
  </w:style>
  <w:style w:type="character" w:customStyle="1" w:styleId="CommentTextChar">
    <w:name w:val="Comment Text Char"/>
    <w:basedOn w:val="DefaultParagraphFont"/>
    <w:link w:val="CommentText"/>
    <w:rsid w:val="00A162BF"/>
    <w:rPr>
      <w:sz w:val="20"/>
      <w:szCs w:val="20"/>
    </w:rPr>
  </w:style>
  <w:style w:type="character" w:styleId="CommentReference">
    <w:name w:val="annotation reference"/>
    <w:basedOn w:val="DefaultParagraphFont"/>
    <w:semiHidden/>
    <w:unhideWhenUsed/>
    <w:rsid w:val="00A162BF"/>
    <w:rPr>
      <w:sz w:val="16"/>
      <w:szCs w:val="16"/>
    </w:rPr>
  </w:style>
  <w:style w:type="table" w:customStyle="1" w:styleId="1">
    <w:name w:val="1"/>
    <w:basedOn w:val="TableNormal"/>
    <w:rsid w:val="00932037"/>
    <w:rPr>
      <w:lang w:val="en-CA"/>
    </w:rPr>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CA36A2"/>
    <w:rPr>
      <w:i/>
      <w:iCs/>
    </w:rPr>
  </w:style>
  <w:style w:type="paragraph" w:styleId="CommentSubject">
    <w:name w:val="annotation subject"/>
    <w:basedOn w:val="CommentText"/>
    <w:next w:val="CommentText"/>
    <w:link w:val="CommentSubjectChar"/>
    <w:uiPriority w:val="99"/>
    <w:semiHidden/>
    <w:unhideWhenUsed/>
    <w:rsid w:val="004F4546"/>
    <w:rPr>
      <w:b/>
      <w:bCs/>
    </w:rPr>
  </w:style>
  <w:style w:type="character" w:customStyle="1" w:styleId="CommentSubjectChar">
    <w:name w:val="Comment Subject Char"/>
    <w:basedOn w:val="CommentTextChar"/>
    <w:link w:val="CommentSubject"/>
    <w:uiPriority w:val="99"/>
    <w:semiHidden/>
    <w:rsid w:val="004F4546"/>
    <w:rPr>
      <w:b/>
      <w:bCs/>
      <w:sz w:val="20"/>
      <w:szCs w:val="20"/>
    </w:rPr>
  </w:style>
  <w:style w:type="paragraph" w:styleId="Caption">
    <w:name w:val="caption"/>
    <w:basedOn w:val="Normal"/>
    <w:next w:val="Normal"/>
    <w:link w:val="CaptionChar"/>
    <w:uiPriority w:val="99"/>
    <w:unhideWhenUsed/>
    <w:qFormat/>
    <w:rsid w:val="0097796B"/>
    <w:pPr>
      <w:spacing w:after="0" w:line="240" w:lineRule="auto"/>
    </w:pPr>
    <w:rPr>
      <w:rFonts w:asciiTheme="minorHAnsi" w:eastAsiaTheme="minorEastAsia" w:hAnsiTheme="minorHAnsi" w:cstheme="minorBidi"/>
      <w:bCs/>
      <w:i/>
      <w:color w:val="auto"/>
      <w:sz w:val="24"/>
      <w:szCs w:val="18"/>
      <w:lang w:eastAsia="en-US" w:bidi="en-US"/>
    </w:rPr>
  </w:style>
  <w:style w:type="paragraph" w:styleId="ListBullet">
    <w:name w:val="List Bullet"/>
    <w:basedOn w:val="Normal"/>
    <w:uiPriority w:val="99"/>
    <w:unhideWhenUsed/>
    <w:qFormat/>
    <w:rsid w:val="0097796B"/>
    <w:pPr>
      <w:numPr>
        <w:numId w:val="23"/>
      </w:numPr>
      <w:spacing w:after="0" w:line="240" w:lineRule="auto"/>
      <w:contextualSpacing/>
    </w:pPr>
    <w:rPr>
      <w:rFonts w:asciiTheme="minorHAnsi" w:eastAsiaTheme="minorEastAsia" w:hAnsiTheme="minorHAnsi" w:cstheme="minorBidi"/>
      <w:color w:val="auto"/>
      <w:sz w:val="28"/>
      <w:lang w:eastAsia="en-US" w:bidi="en-US"/>
    </w:rPr>
  </w:style>
  <w:style w:type="paragraph" w:styleId="BodyText">
    <w:name w:val="Body Text"/>
    <w:basedOn w:val="Normal"/>
    <w:link w:val="BodyTextChar"/>
    <w:unhideWhenUsed/>
    <w:qFormat/>
    <w:rsid w:val="0097796B"/>
    <w:pPr>
      <w:spacing w:before="120" w:after="0" w:line="240" w:lineRule="auto"/>
    </w:pPr>
    <w:rPr>
      <w:rFonts w:asciiTheme="minorHAnsi" w:eastAsiaTheme="minorEastAsia" w:hAnsiTheme="minorHAnsi" w:cstheme="minorBidi"/>
      <w:b/>
      <w:color w:val="auto"/>
      <w:sz w:val="28"/>
      <w:lang w:eastAsia="en-US" w:bidi="en-US"/>
    </w:rPr>
  </w:style>
  <w:style w:type="character" w:customStyle="1" w:styleId="BodyTextChar">
    <w:name w:val="Body Text Char"/>
    <w:basedOn w:val="DefaultParagraphFont"/>
    <w:link w:val="BodyText"/>
    <w:rsid w:val="0097796B"/>
    <w:rPr>
      <w:rFonts w:asciiTheme="minorHAnsi" w:eastAsiaTheme="minorEastAsia" w:hAnsiTheme="minorHAnsi" w:cstheme="minorBidi"/>
      <w:b/>
      <w:color w:val="auto"/>
      <w:sz w:val="28"/>
      <w:lang w:eastAsia="en-US" w:bidi="en-US"/>
    </w:rPr>
  </w:style>
  <w:style w:type="character" w:customStyle="1" w:styleId="CaptionChar">
    <w:name w:val="Caption Char"/>
    <w:link w:val="Caption"/>
    <w:uiPriority w:val="99"/>
    <w:locked/>
    <w:rsid w:val="0097796B"/>
    <w:rPr>
      <w:rFonts w:asciiTheme="minorHAnsi" w:eastAsiaTheme="minorEastAsia" w:hAnsiTheme="minorHAnsi" w:cstheme="minorBidi"/>
      <w:bCs/>
      <w:i/>
      <w:color w:val="auto"/>
      <w:sz w:val="24"/>
      <w:szCs w:val="18"/>
      <w:lang w:eastAsia="en-US" w:bidi="en-US"/>
    </w:rPr>
  </w:style>
  <w:style w:type="paragraph" w:customStyle="1" w:styleId="Default">
    <w:name w:val="Default"/>
    <w:rsid w:val="00996269"/>
    <w:pPr>
      <w:autoSpaceDE w:val="0"/>
      <w:autoSpaceDN w:val="0"/>
      <w:adjustRightInd w:val="0"/>
      <w:spacing w:after="0" w:line="240" w:lineRule="auto"/>
    </w:pPr>
    <w:rPr>
      <w:rFonts w:ascii="Times New Roman" w:eastAsiaTheme="minorHAnsi" w:hAnsi="Times New Roman" w:cs="Times New Roman"/>
      <w:sz w:val="24"/>
      <w:szCs w:val="24"/>
      <w:lang w:val="fr-FR" w:eastAsia="en-US"/>
    </w:rPr>
  </w:style>
  <w:style w:type="table" w:styleId="TableGrid">
    <w:name w:val="Table Grid"/>
    <w:basedOn w:val="TableNormal"/>
    <w:uiPriority w:val="59"/>
    <w:rsid w:val="0015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43FD5"/>
    <w:pPr>
      <w:spacing w:after="0" w:line="240" w:lineRule="auto"/>
    </w:pPr>
    <w:rPr>
      <w:sz w:val="24"/>
      <w:szCs w:val="24"/>
    </w:rPr>
  </w:style>
  <w:style w:type="character" w:customStyle="1" w:styleId="EndnoteTextChar">
    <w:name w:val="Endnote Text Char"/>
    <w:basedOn w:val="DefaultParagraphFont"/>
    <w:link w:val="EndnoteText"/>
    <w:uiPriority w:val="99"/>
    <w:rsid w:val="00643FD5"/>
    <w:rPr>
      <w:sz w:val="24"/>
      <w:szCs w:val="24"/>
    </w:rPr>
  </w:style>
  <w:style w:type="character" w:styleId="EndnoteReference">
    <w:name w:val="endnote reference"/>
    <w:basedOn w:val="DefaultParagraphFont"/>
    <w:uiPriority w:val="99"/>
    <w:unhideWhenUsed/>
    <w:rsid w:val="00643FD5"/>
    <w:rPr>
      <w:vertAlign w:val="superscript"/>
    </w:rPr>
  </w:style>
  <w:style w:type="character" w:styleId="Hyperlink">
    <w:name w:val="Hyperlink"/>
    <w:uiPriority w:val="99"/>
    <w:rsid w:val="00643FD5"/>
    <w:rPr>
      <w:color w:val="0000FF"/>
      <w:u w:val="single"/>
    </w:rPr>
  </w:style>
  <w:style w:type="paragraph" w:styleId="PlainText">
    <w:name w:val="Plain Text"/>
    <w:basedOn w:val="Normal"/>
    <w:link w:val="PlainTextChar"/>
    <w:uiPriority w:val="99"/>
    <w:rsid w:val="00C34C05"/>
    <w:pPr>
      <w:spacing w:after="0" w:line="240" w:lineRule="auto"/>
    </w:pPr>
    <w:rPr>
      <w:rFonts w:ascii="Courier" w:eastAsia="Times" w:hAnsi="Courier" w:cs="Times New Roman"/>
      <w:color w:val="auto"/>
      <w:sz w:val="24"/>
      <w:szCs w:val="20"/>
      <w:lang w:eastAsia="zh-CN"/>
    </w:rPr>
  </w:style>
  <w:style w:type="character" w:customStyle="1" w:styleId="PlainTextChar">
    <w:name w:val="Plain Text Char"/>
    <w:basedOn w:val="DefaultParagraphFont"/>
    <w:link w:val="PlainText"/>
    <w:uiPriority w:val="99"/>
    <w:rsid w:val="00C34C05"/>
    <w:rPr>
      <w:rFonts w:ascii="Courier" w:eastAsia="Times" w:hAnsi="Courier" w:cs="Times New Roman"/>
      <w:color w:val="auto"/>
      <w:sz w:val="24"/>
      <w:szCs w:val="20"/>
      <w:lang w:eastAsia="zh-CN"/>
    </w:rPr>
  </w:style>
  <w:style w:type="paragraph" w:styleId="Revision">
    <w:name w:val="Revision"/>
    <w:hidden/>
    <w:uiPriority w:val="99"/>
    <w:semiHidden/>
    <w:rsid w:val="00E10827"/>
    <w:pPr>
      <w:spacing w:after="0" w:line="240" w:lineRule="auto"/>
    </w:pPr>
  </w:style>
  <w:style w:type="numbering" w:customStyle="1" w:styleId="SOPFormat">
    <w:name w:val="SOP Format"/>
    <w:basedOn w:val="NoList"/>
    <w:uiPriority w:val="99"/>
    <w:rsid w:val="0089139A"/>
    <w:pPr>
      <w:numPr>
        <w:numId w:val="43"/>
      </w:numPr>
    </w:pPr>
  </w:style>
  <w:style w:type="character" w:customStyle="1" w:styleId="Heading1Char">
    <w:name w:val="Heading 1 Char"/>
    <w:basedOn w:val="DefaultParagraphFont"/>
    <w:link w:val="Heading1"/>
    <w:rsid w:val="007472E9"/>
    <w:rPr>
      <w:b/>
      <w:sz w:val="36"/>
      <w:szCs w:val="24"/>
    </w:rPr>
  </w:style>
  <w:style w:type="character" w:customStyle="1" w:styleId="normaltextrun">
    <w:name w:val="normaltextrun"/>
    <w:basedOn w:val="DefaultParagraphFont"/>
    <w:rsid w:val="009139F6"/>
  </w:style>
  <w:style w:type="character" w:customStyle="1" w:styleId="spellingerror">
    <w:name w:val="spellingerror"/>
    <w:basedOn w:val="DefaultParagraphFont"/>
    <w:rsid w:val="009139F6"/>
  </w:style>
  <w:style w:type="paragraph" w:styleId="TOCHeading">
    <w:name w:val="TOC Heading"/>
    <w:basedOn w:val="Heading1"/>
    <w:next w:val="Normal"/>
    <w:uiPriority w:val="39"/>
    <w:unhideWhenUsed/>
    <w:qFormat/>
    <w:rsid w:val="001E1FA1"/>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1E1FA1"/>
    <w:pPr>
      <w:spacing w:after="100"/>
    </w:pPr>
  </w:style>
  <w:style w:type="paragraph" w:styleId="TOC2">
    <w:name w:val="toc 2"/>
    <w:basedOn w:val="Normal"/>
    <w:next w:val="Normal"/>
    <w:autoRedefine/>
    <w:uiPriority w:val="39"/>
    <w:unhideWhenUsed/>
    <w:rsid w:val="001E1FA1"/>
    <w:pPr>
      <w:spacing w:after="100"/>
      <w:ind w:left="220"/>
    </w:pPr>
  </w:style>
  <w:style w:type="paragraph" w:styleId="TOC3">
    <w:name w:val="toc 3"/>
    <w:basedOn w:val="Normal"/>
    <w:next w:val="Normal"/>
    <w:autoRedefine/>
    <w:uiPriority w:val="39"/>
    <w:unhideWhenUsed/>
    <w:rsid w:val="001E1F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561931">
      <w:bodyDiv w:val="1"/>
      <w:marLeft w:val="0"/>
      <w:marRight w:val="0"/>
      <w:marTop w:val="0"/>
      <w:marBottom w:val="0"/>
      <w:divBdr>
        <w:top w:val="none" w:sz="0" w:space="0" w:color="auto"/>
        <w:left w:val="none" w:sz="0" w:space="0" w:color="auto"/>
        <w:bottom w:val="none" w:sz="0" w:space="0" w:color="auto"/>
        <w:right w:val="none" w:sz="0" w:space="0" w:color="auto"/>
      </w:divBdr>
    </w:div>
    <w:div w:id="1451246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SharedWithUsers xmlns="d1dc8e9d-c2d7-4f1e-a8b8-6d152e0fdc8f">
      <UserInfo>
        <DisplayName/>
        <AccountId xsi:nil="true"/>
        <AccountType/>
      </UserInfo>
    </SharedWithUsers>
    <MediaLengthInSeconds xmlns="57d60e0b-bbcc-4e8c-ae17-1bc07bf7b2a6" xsi:nil="true"/>
    <lcf76f155ced4ddcb4097134ff3c332f xmlns="57d60e0b-bbcc-4e8c-ae17-1bc07bf7b2a6">
      <Terms xmlns="http://schemas.microsoft.com/office/infopath/2007/PartnerControls"/>
    </lcf76f155ced4ddcb4097134ff3c332f>
    <_Flow_SignoffStatus xmlns="57d60e0b-bbcc-4e8c-ae17-1bc07bf7b2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449E-1388-4A59-9C17-D8CFBDED4969}"/>
</file>

<file path=customXml/itemProps2.xml><?xml version="1.0" encoding="utf-8"?>
<ds:datastoreItem xmlns:ds="http://schemas.openxmlformats.org/officeDocument/2006/customXml" ds:itemID="{87508E0E-2A26-4C4D-AA67-996C46DF1D7A}">
  <ds:schemaRefs>
    <ds:schemaRef ds:uri="http://schemas.microsoft.com/sharepoint/v3/contenttype/forms"/>
  </ds:schemaRefs>
</ds:datastoreItem>
</file>

<file path=customXml/itemProps3.xml><?xml version="1.0" encoding="utf-8"?>
<ds:datastoreItem xmlns:ds="http://schemas.openxmlformats.org/officeDocument/2006/customXml" ds:itemID="{CBE9054E-A086-4648-9DD3-694174B1052B}">
  <ds:schemaRefs>
    <ds:schemaRef ds:uri="20c1abfa-485b-41c9-a329-38772ca1fd48"/>
    <ds:schemaRef ds:uri="http://schemas.microsoft.com/office/2006/documentManagement/types"/>
    <ds:schemaRef ds:uri="http://schemas.microsoft.com/office/infopath/2007/PartnerControls"/>
    <ds:schemaRef ds:uri="57d60e0b-bbcc-4e8c-ae17-1bc07bf7b2a6"/>
    <ds:schemaRef ds:uri="http://purl.org/dc/elements/1.1/"/>
    <ds:schemaRef ds:uri="http://schemas.microsoft.com/office/2006/metadata/properties"/>
    <ds:schemaRef ds:uri="http://schemas.openxmlformats.org/package/2006/metadata/core-properties"/>
    <ds:schemaRef ds:uri="http://purl.org/dc/terms/"/>
    <ds:schemaRef ds:uri="d1dc8e9d-c2d7-4f1e-a8b8-6d152e0fdc8f"/>
    <ds:schemaRef ds:uri="http://www.w3.org/XML/1998/namespace"/>
    <ds:schemaRef ds:uri="http://purl.org/dc/dcmitype/"/>
  </ds:schemaRefs>
</ds:datastoreItem>
</file>

<file path=customXml/itemProps4.xml><?xml version="1.0" encoding="utf-8"?>
<ds:datastoreItem xmlns:ds="http://schemas.openxmlformats.org/officeDocument/2006/customXml" ds:itemID="{667DEE24-5C85-41B6-A989-BF90078B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2729</Words>
  <Characters>15560</Characters>
  <Application>Microsoft Office Word</Application>
  <DocSecurity>0</DocSecurity>
  <Lines>129</Lines>
  <Paragraphs>36</Paragraphs>
  <ScaleCrop>false</ScaleCrop>
  <Company>Microsoft</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SP-025-CT Management of Comorbidities v3.0 Date 27Sep 2017_clean</dc:title>
  <dc:creator>Chang, Eva</dc:creator>
  <cp:lastModifiedBy>Marhaba</cp:lastModifiedBy>
  <cp:revision>7</cp:revision>
  <cp:lastPrinted>2021-11-14T16:40:00Z</cp:lastPrinted>
  <dcterms:created xsi:type="dcterms:W3CDTF">2021-11-14T16:37:00Z</dcterms:created>
  <dcterms:modified xsi:type="dcterms:W3CDTF">2024-09-02T15:09:00Z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
  </property>
  <property fmtid="{D5CDD505-2E9C-101B-9397-08002B2CF9AE}" pid="3" name="ContentTypeId">
    <vt:lpwstr>0x0101008A725E7E39776844B9FB9FC2FCA9A30F</vt:lpwstr>
  </property>
  <property fmtid="{D5CDD505-2E9C-101B-9397-08002B2CF9AE}" pid="4" name="endTBStructureCountrie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2048">
    <vt:lpwstr>17</vt:lpwstr>
  </property>
  <property fmtid="{D5CDD505-2E9C-101B-9397-08002B2CF9AE}" pid="10" name="Order">
    <vt:r8>263600</vt:r8>
  </property>
  <property fmtid="{D5CDD505-2E9C-101B-9397-08002B2CF9AE}" pid="11" name="_ExtendedDescription">
    <vt:lpwstr/>
  </property>
  <property fmtid="{D5CDD505-2E9C-101B-9397-08002B2CF9AE}" pid="12" name="TriggerFlowInfo">
    <vt:lpwstr/>
  </property>
  <property fmtid="{D5CDD505-2E9C-101B-9397-08002B2CF9AE}" pid="13" name="endTBClinicalTrial">
    <vt:lpwstr>endTB</vt:lpwstr>
  </property>
  <property fmtid="{D5CDD505-2E9C-101B-9397-08002B2CF9AE}" pid="14" name="endTBStatusDocument">
    <vt:lpwstr>Final</vt:lpwstr>
  </property>
  <property fmtid="{D5CDD505-2E9C-101B-9397-08002B2CF9AE}" pid="15" name="MediaServiceImageTags">
    <vt:lpwstr/>
  </property>
</Properties>
</file>