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4C7FC4" w14:textId="54206DB3" w:rsidR="0076142D" w:rsidRPr="00954C95" w:rsidRDefault="00B44204" w:rsidP="00DF6D70">
      <w:pPr>
        <w:spacing w:after="0" w:line="240" w:lineRule="auto"/>
        <w:jc w:val="center"/>
        <w:rPr>
          <w:lang w:val="en-US"/>
        </w:rPr>
      </w:pPr>
      <w:r w:rsidRPr="00954C95">
        <w:rPr>
          <w:b/>
          <w:sz w:val="36"/>
          <w:szCs w:val="36"/>
          <w:lang w:val="en-US"/>
        </w:rPr>
        <w:t>Standard Operating Procedure</w:t>
      </w:r>
      <w:r w:rsidR="00396643" w:rsidRPr="00954C95">
        <w:rPr>
          <w:b/>
          <w:sz w:val="36"/>
          <w:szCs w:val="36"/>
          <w:lang w:val="en-US"/>
        </w:rPr>
        <w:t xml:space="preserve"> for</w:t>
      </w:r>
    </w:p>
    <w:p w14:paraId="3ACE58F9" w14:textId="650A1FF4" w:rsidR="0076142D" w:rsidRPr="00954C95" w:rsidRDefault="00151D3D" w:rsidP="00DF6D70">
      <w:pPr>
        <w:tabs>
          <w:tab w:val="center" w:pos="4680"/>
          <w:tab w:val="right" w:pos="9360"/>
        </w:tabs>
        <w:spacing w:after="0" w:line="240" w:lineRule="auto"/>
        <w:jc w:val="center"/>
        <w:rPr>
          <w:lang w:val="en-US"/>
        </w:rPr>
      </w:pPr>
      <w:r w:rsidRPr="00954C95">
        <w:rPr>
          <w:b/>
          <w:sz w:val="36"/>
          <w:szCs w:val="36"/>
          <w:lang w:val="en-US"/>
        </w:rPr>
        <w:t>Evaluating bacteriological, radiographic and clinical evolution for outcome classification</w:t>
      </w:r>
    </w:p>
    <w:p w14:paraId="193808F9" w14:textId="77777777" w:rsidR="0076142D" w:rsidRPr="00954C95" w:rsidRDefault="0076142D">
      <w:pPr>
        <w:spacing w:after="0"/>
        <w:jc w:val="both"/>
        <w:rPr>
          <w:lang w:val="en-US"/>
        </w:rPr>
      </w:pPr>
    </w:p>
    <w:tbl>
      <w:tblPr>
        <w:tblStyle w:val="a"/>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7"/>
        <w:gridCol w:w="3419"/>
      </w:tblGrid>
      <w:tr w:rsidR="0076142D" w:rsidRPr="00954C95" w14:paraId="28F3628D" w14:textId="77777777" w:rsidTr="006B7F3C">
        <w:tc>
          <w:tcPr>
            <w:tcW w:w="6157" w:type="dxa"/>
            <w:shd w:val="clear" w:color="auto" w:fill="F2F2F2"/>
          </w:tcPr>
          <w:p w14:paraId="15BCFAFF" w14:textId="3D189C8B" w:rsidR="0076142D" w:rsidRPr="006B7F3C" w:rsidRDefault="00396643">
            <w:pPr>
              <w:jc w:val="both"/>
              <w:rPr>
                <w:lang w:val="en-US"/>
              </w:rPr>
            </w:pPr>
            <w:bookmarkStart w:id="0" w:name="h.gjdgxs" w:colFirst="0" w:colLast="0"/>
            <w:bookmarkEnd w:id="0"/>
            <w:r w:rsidRPr="006B7F3C">
              <w:rPr>
                <w:b/>
                <w:sz w:val="24"/>
                <w:szCs w:val="24"/>
                <w:lang w:val="en-US"/>
              </w:rPr>
              <w:t>SOP Number</w:t>
            </w:r>
            <w:r w:rsidRPr="006B7F3C">
              <w:rPr>
                <w:sz w:val="24"/>
                <w:szCs w:val="24"/>
                <w:lang w:val="en-US"/>
              </w:rPr>
              <w:t xml:space="preserve">: </w:t>
            </w:r>
            <w:r w:rsidR="00151D3D" w:rsidRPr="006B7F3C">
              <w:rPr>
                <w:sz w:val="24"/>
                <w:szCs w:val="24"/>
                <w:lang w:val="en-US"/>
              </w:rPr>
              <w:t>SP-032</w:t>
            </w:r>
            <w:r w:rsidR="008318F4" w:rsidRPr="006B7F3C">
              <w:rPr>
                <w:sz w:val="24"/>
                <w:szCs w:val="24"/>
                <w:lang w:val="en-US"/>
              </w:rPr>
              <w:t>-CT</w:t>
            </w:r>
          </w:p>
        </w:tc>
        <w:tc>
          <w:tcPr>
            <w:tcW w:w="3419" w:type="dxa"/>
            <w:shd w:val="clear" w:color="auto" w:fill="F2F2F2"/>
          </w:tcPr>
          <w:p w14:paraId="0DF5C781" w14:textId="3E8C88F3" w:rsidR="006275A4" w:rsidRPr="006B7F3C" w:rsidRDefault="00396643" w:rsidP="006B7F3C">
            <w:pPr>
              <w:jc w:val="both"/>
              <w:rPr>
                <w:sz w:val="24"/>
                <w:szCs w:val="24"/>
                <w:lang w:val="en-US"/>
              </w:rPr>
            </w:pPr>
            <w:r w:rsidRPr="006B7F3C">
              <w:rPr>
                <w:b/>
                <w:sz w:val="24"/>
                <w:szCs w:val="24"/>
                <w:lang w:val="en-US"/>
              </w:rPr>
              <w:t>Effective Date</w:t>
            </w:r>
            <w:r w:rsidRPr="006B7F3C">
              <w:rPr>
                <w:sz w:val="24"/>
                <w:szCs w:val="24"/>
                <w:lang w:val="en-US"/>
              </w:rPr>
              <w:t>:</w:t>
            </w:r>
            <w:r w:rsidR="00520B63" w:rsidRPr="006B7F3C">
              <w:rPr>
                <w:sz w:val="24"/>
                <w:szCs w:val="24"/>
                <w:lang w:val="en-US"/>
              </w:rPr>
              <w:t xml:space="preserve"> </w:t>
            </w:r>
          </w:p>
        </w:tc>
      </w:tr>
      <w:tr w:rsidR="00B44204" w:rsidRPr="00954C95" w14:paraId="1E426D77" w14:textId="77777777" w:rsidTr="0033060E">
        <w:tc>
          <w:tcPr>
            <w:tcW w:w="9576" w:type="dxa"/>
            <w:gridSpan w:val="2"/>
            <w:shd w:val="clear" w:color="auto" w:fill="F2F2F2"/>
          </w:tcPr>
          <w:p w14:paraId="74272EFC" w14:textId="2757D4C8" w:rsidR="00B44204" w:rsidRPr="00954C95" w:rsidRDefault="00B44204" w:rsidP="008C1609">
            <w:pPr>
              <w:jc w:val="both"/>
              <w:rPr>
                <w:lang w:val="en-US"/>
              </w:rPr>
            </w:pPr>
            <w:r w:rsidRPr="00954C95">
              <w:rPr>
                <w:b/>
                <w:sz w:val="24"/>
                <w:szCs w:val="24"/>
                <w:lang w:val="en-US"/>
              </w:rPr>
              <w:t>Version Number and Authorization Date</w:t>
            </w:r>
            <w:r w:rsidRPr="00954C95">
              <w:rPr>
                <w:sz w:val="24"/>
                <w:szCs w:val="24"/>
                <w:lang w:val="en-US"/>
              </w:rPr>
              <w:t xml:space="preserve">: </w:t>
            </w:r>
            <w:r w:rsidR="008C1609">
              <w:rPr>
                <w:sz w:val="24"/>
                <w:szCs w:val="24"/>
                <w:lang w:val="en-US"/>
              </w:rPr>
              <w:t>2</w:t>
            </w:r>
            <w:r w:rsidRPr="00954C95">
              <w:rPr>
                <w:sz w:val="24"/>
                <w:szCs w:val="24"/>
                <w:lang w:val="en-US"/>
              </w:rPr>
              <w:t>.</w:t>
            </w:r>
            <w:r w:rsidR="008C1609">
              <w:rPr>
                <w:sz w:val="24"/>
                <w:szCs w:val="24"/>
                <w:lang w:val="en-US"/>
              </w:rPr>
              <w:t>0</w:t>
            </w:r>
            <w:r w:rsidRPr="00954C95">
              <w:rPr>
                <w:sz w:val="24"/>
                <w:szCs w:val="24"/>
                <w:lang w:val="en-US"/>
              </w:rPr>
              <w:t xml:space="preserve">, </w:t>
            </w:r>
            <w:r w:rsidR="006B7F3C">
              <w:rPr>
                <w:sz w:val="24"/>
                <w:szCs w:val="24"/>
                <w:lang w:val="en-US"/>
              </w:rPr>
              <w:t>30-Apr-2021</w:t>
            </w:r>
          </w:p>
        </w:tc>
      </w:tr>
    </w:tbl>
    <w:p w14:paraId="756E21B4" w14:textId="77777777" w:rsidR="0076142D" w:rsidRPr="006B7F3C" w:rsidRDefault="0076142D">
      <w:pPr>
        <w:spacing w:after="0"/>
        <w:jc w:val="both"/>
        <w:rPr>
          <w:lang w:val="en-US"/>
        </w:rPr>
      </w:pPr>
    </w:p>
    <w:p w14:paraId="6B44F187" w14:textId="77777777" w:rsidR="0076142D" w:rsidRPr="006B7F3C" w:rsidRDefault="0076142D">
      <w:pPr>
        <w:spacing w:after="0"/>
        <w:jc w:val="both"/>
        <w:rPr>
          <w:lang w:val="en-US"/>
        </w:rPr>
      </w:pPr>
    </w:p>
    <w:sdt>
      <w:sdtPr>
        <w:rPr>
          <w:rFonts w:ascii="Calibri" w:eastAsia="Calibri" w:hAnsi="Calibri" w:cs="Calibri"/>
          <w:color w:val="000000"/>
          <w:sz w:val="22"/>
          <w:szCs w:val="22"/>
          <w:lang w:val="it-IT" w:eastAsia="it-IT"/>
        </w:rPr>
        <w:id w:val="965999811"/>
        <w:docPartObj>
          <w:docPartGallery w:val="Table of Contents"/>
          <w:docPartUnique/>
        </w:docPartObj>
      </w:sdtPr>
      <w:sdtEndPr>
        <w:rPr>
          <w:b/>
          <w:bCs/>
          <w:noProof/>
        </w:rPr>
      </w:sdtEndPr>
      <w:sdtContent>
        <w:p w14:paraId="482C360D" w14:textId="7CC11960" w:rsidR="00320830" w:rsidRDefault="00320830">
          <w:pPr>
            <w:pStyle w:val="TOCHeading"/>
          </w:pPr>
          <w:r w:rsidRPr="00320830">
            <w:rPr>
              <w:rFonts w:asciiTheme="minorHAnsi" w:hAnsiTheme="minorHAnsi" w:cstheme="minorHAnsi"/>
              <w:b/>
              <w:bCs/>
              <w:color w:val="auto"/>
              <w:sz w:val="24"/>
              <w:szCs w:val="24"/>
            </w:rPr>
            <w:t>Table of contents</w:t>
          </w:r>
        </w:p>
        <w:p w14:paraId="647BC67B" w14:textId="5CDA8168" w:rsidR="00320830" w:rsidRDefault="00320830">
          <w:pPr>
            <w:pStyle w:val="TOC1"/>
            <w:tabs>
              <w:tab w:val="left" w:pos="440"/>
              <w:tab w:val="right" w:leader="dot" w:pos="9350"/>
            </w:tabs>
            <w:rPr>
              <w:noProof/>
            </w:rPr>
          </w:pPr>
          <w:r>
            <w:fldChar w:fldCharType="begin"/>
          </w:r>
          <w:r>
            <w:instrText xml:space="preserve"> TOC \o "1-3" \h \z \u </w:instrText>
          </w:r>
          <w:r>
            <w:fldChar w:fldCharType="separate"/>
          </w:r>
          <w:hyperlink w:anchor="_Toc166246813" w:history="1">
            <w:r w:rsidRPr="002430A9">
              <w:rPr>
                <w:rStyle w:val="Hyperlink"/>
                <w:noProof/>
                <w:lang w:val="en-US"/>
              </w:rPr>
              <w:t>1.</w:t>
            </w:r>
            <w:r>
              <w:rPr>
                <w:noProof/>
              </w:rPr>
              <w:tab/>
            </w:r>
            <w:r w:rsidRPr="002430A9">
              <w:rPr>
                <w:rStyle w:val="Hyperlink"/>
                <w:noProof/>
                <w:lang w:val="en-US"/>
              </w:rPr>
              <w:t>PURPOSE</w:t>
            </w:r>
            <w:r>
              <w:rPr>
                <w:noProof/>
                <w:webHidden/>
              </w:rPr>
              <w:tab/>
            </w:r>
            <w:r>
              <w:rPr>
                <w:noProof/>
                <w:webHidden/>
              </w:rPr>
              <w:fldChar w:fldCharType="begin"/>
            </w:r>
            <w:r>
              <w:rPr>
                <w:noProof/>
                <w:webHidden/>
              </w:rPr>
              <w:instrText xml:space="preserve"> PAGEREF _Toc166246813 \h </w:instrText>
            </w:r>
            <w:r>
              <w:rPr>
                <w:noProof/>
                <w:webHidden/>
              </w:rPr>
            </w:r>
            <w:r>
              <w:rPr>
                <w:noProof/>
                <w:webHidden/>
              </w:rPr>
              <w:fldChar w:fldCharType="separate"/>
            </w:r>
            <w:r>
              <w:rPr>
                <w:noProof/>
                <w:webHidden/>
              </w:rPr>
              <w:t>2</w:t>
            </w:r>
            <w:r>
              <w:rPr>
                <w:noProof/>
                <w:webHidden/>
              </w:rPr>
              <w:fldChar w:fldCharType="end"/>
            </w:r>
          </w:hyperlink>
        </w:p>
        <w:p w14:paraId="7B7A395E" w14:textId="14E74E31" w:rsidR="00320830" w:rsidRDefault="00000000">
          <w:pPr>
            <w:pStyle w:val="TOC1"/>
            <w:tabs>
              <w:tab w:val="left" w:pos="440"/>
              <w:tab w:val="right" w:leader="dot" w:pos="9350"/>
            </w:tabs>
            <w:rPr>
              <w:noProof/>
            </w:rPr>
          </w:pPr>
          <w:hyperlink w:anchor="_Toc166246814" w:history="1">
            <w:r w:rsidR="00320830" w:rsidRPr="002430A9">
              <w:rPr>
                <w:rStyle w:val="Hyperlink"/>
                <w:noProof/>
                <w:lang w:val="en-US"/>
              </w:rPr>
              <w:t>2.</w:t>
            </w:r>
            <w:r w:rsidR="00320830">
              <w:rPr>
                <w:noProof/>
              </w:rPr>
              <w:tab/>
            </w:r>
            <w:r w:rsidR="00320830" w:rsidRPr="002430A9">
              <w:rPr>
                <w:rStyle w:val="Hyperlink"/>
                <w:noProof/>
                <w:lang w:val="en-US"/>
              </w:rPr>
              <w:t>SCOPE</w:t>
            </w:r>
            <w:r w:rsidR="00320830">
              <w:rPr>
                <w:noProof/>
                <w:webHidden/>
              </w:rPr>
              <w:tab/>
            </w:r>
            <w:r w:rsidR="00320830">
              <w:rPr>
                <w:noProof/>
                <w:webHidden/>
              </w:rPr>
              <w:fldChar w:fldCharType="begin"/>
            </w:r>
            <w:r w:rsidR="00320830">
              <w:rPr>
                <w:noProof/>
                <w:webHidden/>
              </w:rPr>
              <w:instrText xml:space="preserve"> PAGEREF _Toc166246814 \h </w:instrText>
            </w:r>
            <w:r w:rsidR="00320830">
              <w:rPr>
                <w:noProof/>
                <w:webHidden/>
              </w:rPr>
            </w:r>
            <w:r w:rsidR="00320830">
              <w:rPr>
                <w:noProof/>
                <w:webHidden/>
              </w:rPr>
              <w:fldChar w:fldCharType="separate"/>
            </w:r>
            <w:r w:rsidR="00320830">
              <w:rPr>
                <w:noProof/>
                <w:webHidden/>
              </w:rPr>
              <w:t>2</w:t>
            </w:r>
            <w:r w:rsidR="00320830">
              <w:rPr>
                <w:noProof/>
                <w:webHidden/>
              </w:rPr>
              <w:fldChar w:fldCharType="end"/>
            </w:r>
          </w:hyperlink>
        </w:p>
        <w:p w14:paraId="1AF7BF71" w14:textId="772A7EED" w:rsidR="00320830" w:rsidRDefault="00000000">
          <w:pPr>
            <w:pStyle w:val="TOC1"/>
            <w:tabs>
              <w:tab w:val="left" w:pos="440"/>
              <w:tab w:val="right" w:leader="dot" w:pos="9350"/>
            </w:tabs>
            <w:rPr>
              <w:noProof/>
            </w:rPr>
          </w:pPr>
          <w:hyperlink w:anchor="_Toc166246815" w:history="1">
            <w:r w:rsidR="00320830" w:rsidRPr="002430A9">
              <w:rPr>
                <w:rStyle w:val="Hyperlink"/>
                <w:noProof/>
                <w:lang w:val="en-US"/>
              </w:rPr>
              <w:t>3.</w:t>
            </w:r>
            <w:r w:rsidR="00320830">
              <w:rPr>
                <w:noProof/>
              </w:rPr>
              <w:tab/>
            </w:r>
            <w:r w:rsidR="00320830" w:rsidRPr="002430A9">
              <w:rPr>
                <w:rStyle w:val="Hyperlink"/>
                <w:noProof/>
                <w:lang w:val="en-US"/>
              </w:rPr>
              <w:t>RESPONSIBLE FUNCTIONS</w:t>
            </w:r>
            <w:r w:rsidR="00320830">
              <w:rPr>
                <w:noProof/>
                <w:webHidden/>
              </w:rPr>
              <w:tab/>
            </w:r>
            <w:r w:rsidR="00320830">
              <w:rPr>
                <w:noProof/>
                <w:webHidden/>
              </w:rPr>
              <w:fldChar w:fldCharType="begin"/>
            </w:r>
            <w:r w:rsidR="00320830">
              <w:rPr>
                <w:noProof/>
                <w:webHidden/>
              </w:rPr>
              <w:instrText xml:space="preserve"> PAGEREF _Toc166246815 \h </w:instrText>
            </w:r>
            <w:r w:rsidR="00320830">
              <w:rPr>
                <w:noProof/>
                <w:webHidden/>
              </w:rPr>
            </w:r>
            <w:r w:rsidR="00320830">
              <w:rPr>
                <w:noProof/>
                <w:webHidden/>
              </w:rPr>
              <w:fldChar w:fldCharType="separate"/>
            </w:r>
            <w:r w:rsidR="00320830">
              <w:rPr>
                <w:noProof/>
                <w:webHidden/>
              </w:rPr>
              <w:t>2</w:t>
            </w:r>
            <w:r w:rsidR="00320830">
              <w:rPr>
                <w:noProof/>
                <w:webHidden/>
              </w:rPr>
              <w:fldChar w:fldCharType="end"/>
            </w:r>
          </w:hyperlink>
        </w:p>
        <w:p w14:paraId="2D7801EE" w14:textId="016EE6A6" w:rsidR="00320830" w:rsidRDefault="00000000">
          <w:pPr>
            <w:pStyle w:val="TOC1"/>
            <w:tabs>
              <w:tab w:val="left" w:pos="440"/>
              <w:tab w:val="right" w:leader="dot" w:pos="9350"/>
            </w:tabs>
            <w:rPr>
              <w:noProof/>
            </w:rPr>
          </w:pPr>
          <w:hyperlink w:anchor="_Toc166246816" w:history="1">
            <w:r w:rsidR="00320830" w:rsidRPr="002430A9">
              <w:rPr>
                <w:rStyle w:val="Hyperlink"/>
                <w:noProof/>
                <w:lang w:val="en-US"/>
              </w:rPr>
              <w:t>4.</w:t>
            </w:r>
            <w:r w:rsidR="00320830">
              <w:rPr>
                <w:noProof/>
              </w:rPr>
              <w:tab/>
            </w:r>
            <w:r w:rsidR="00320830" w:rsidRPr="002430A9">
              <w:rPr>
                <w:rStyle w:val="Hyperlink"/>
                <w:noProof/>
                <w:lang w:val="en-US"/>
              </w:rPr>
              <w:t>DEFINITIONS and ABBREVIATIONS</w:t>
            </w:r>
            <w:r w:rsidR="00320830">
              <w:rPr>
                <w:noProof/>
                <w:webHidden/>
              </w:rPr>
              <w:tab/>
            </w:r>
            <w:r w:rsidR="00320830">
              <w:rPr>
                <w:noProof/>
                <w:webHidden/>
              </w:rPr>
              <w:fldChar w:fldCharType="begin"/>
            </w:r>
            <w:r w:rsidR="00320830">
              <w:rPr>
                <w:noProof/>
                <w:webHidden/>
              </w:rPr>
              <w:instrText xml:space="preserve"> PAGEREF _Toc166246816 \h </w:instrText>
            </w:r>
            <w:r w:rsidR="00320830">
              <w:rPr>
                <w:noProof/>
                <w:webHidden/>
              </w:rPr>
            </w:r>
            <w:r w:rsidR="00320830">
              <w:rPr>
                <w:noProof/>
                <w:webHidden/>
              </w:rPr>
              <w:fldChar w:fldCharType="separate"/>
            </w:r>
            <w:r w:rsidR="00320830">
              <w:rPr>
                <w:noProof/>
                <w:webHidden/>
              </w:rPr>
              <w:t>2</w:t>
            </w:r>
            <w:r w:rsidR="00320830">
              <w:rPr>
                <w:noProof/>
                <w:webHidden/>
              </w:rPr>
              <w:fldChar w:fldCharType="end"/>
            </w:r>
          </w:hyperlink>
        </w:p>
        <w:p w14:paraId="6FEEE3EB" w14:textId="5B74958F" w:rsidR="00320830" w:rsidRDefault="00000000">
          <w:pPr>
            <w:pStyle w:val="TOC1"/>
            <w:tabs>
              <w:tab w:val="left" w:pos="440"/>
              <w:tab w:val="right" w:leader="dot" w:pos="9350"/>
            </w:tabs>
            <w:rPr>
              <w:noProof/>
            </w:rPr>
          </w:pPr>
          <w:hyperlink w:anchor="_Toc166246817" w:history="1">
            <w:r w:rsidR="00320830" w:rsidRPr="002430A9">
              <w:rPr>
                <w:rStyle w:val="Hyperlink"/>
                <w:noProof/>
                <w:lang w:val="en-US"/>
              </w:rPr>
              <w:t>5.</w:t>
            </w:r>
            <w:r w:rsidR="00320830">
              <w:rPr>
                <w:noProof/>
              </w:rPr>
              <w:tab/>
            </w:r>
            <w:r w:rsidR="00320830" w:rsidRPr="002430A9">
              <w:rPr>
                <w:rStyle w:val="Hyperlink"/>
                <w:noProof/>
                <w:lang w:val="en-US"/>
              </w:rPr>
              <w:t>PROCEDURE</w:t>
            </w:r>
            <w:r w:rsidR="00320830">
              <w:rPr>
                <w:noProof/>
                <w:webHidden/>
              </w:rPr>
              <w:tab/>
            </w:r>
            <w:r w:rsidR="00320830">
              <w:rPr>
                <w:noProof/>
                <w:webHidden/>
              </w:rPr>
              <w:fldChar w:fldCharType="begin"/>
            </w:r>
            <w:r w:rsidR="00320830">
              <w:rPr>
                <w:noProof/>
                <w:webHidden/>
              </w:rPr>
              <w:instrText xml:space="preserve"> PAGEREF _Toc166246817 \h </w:instrText>
            </w:r>
            <w:r w:rsidR="00320830">
              <w:rPr>
                <w:noProof/>
                <w:webHidden/>
              </w:rPr>
            </w:r>
            <w:r w:rsidR="00320830">
              <w:rPr>
                <w:noProof/>
                <w:webHidden/>
              </w:rPr>
              <w:fldChar w:fldCharType="separate"/>
            </w:r>
            <w:r w:rsidR="00320830">
              <w:rPr>
                <w:noProof/>
                <w:webHidden/>
              </w:rPr>
              <w:t>3</w:t>
            </w:r>
            <w:r w:rsidR="00320830">
              <w:rPr>
                <w:noProof/>
                <w:webHidden/>
              </w:rPr>
              <w:fldChar w:fldCharType="end"/>
            </w:r>
          </w:hyperlink>
        </w:p>
        <w:p w14:paraId="3AAAB41E" w14:textId="6FD319E4" w:rsidR="00320830" w:rsidRPr="00320830" w:rsidRDefault="00000000">
          <w:pPr>
            <w:pStyle w:val="TOC2"/>
            <w:tabs>
              <w:tab w:val="right" w:leader="dot" w:pos="9350"/>
            </w:tabs>
            <w:rPr>
              <w:noProof/>
            </w:rPr>
          </w:pPr>
          <w:hyperlink w:anchor="_Toc166246818" w:history="1">
            <w:r w:rsidR="00320830" w:rsidRPr="00320830">
              <w:rPr>
                <w:rStyle w:val="Hyperlink"/>
                <w:noProof/>
                <w:lang w:val="en-US"/>
              </w:rPr>
              <w:t>5.1. Material</w:t>
            </w:r>
            <w:r w:rsidR="00320830" w:rsidRPr="00320830">
              <w:rPr>
                <w:noProof/>
                <w:webHidden/>
              </w:rPr>
              <w:tab/>
            </w:r>
            <w:r w:rsidR="00320830" w:rsidRPr="00320830">
              <w:rPr>
                <w:noProof/>
                <w:webHidden/>
              </w:rPr>
              <w:fldChar w:fldCharType="begin"/>
            </w:r>
            <w:r w:rsidR="00320830" w:rsidRPr="00320830">
              <w:rPr>
                <w:noProof/>
                <w:webHidden/>
              </w:rPr>
              <w:instrText xml:space="preserve"> PAGEREF _Toc166246818 \h </w:instrText>
            </w:r>
            <w:r w:rsidR="00320830" w:rsidRPr="00320830">
              <w:rPr>
                <w:noProof/>
                <w:webHidden/>
              </w:rPr>
            </w:r>
            <w:r w:rsidR="00320830" w:rsidRPr="00320830">
              <w:rPr>
                <w:noProof/>
                <w:webHidden/>
              </w:rPr>
              <w:fldChar w:fldCharType="separate"/>
            </w:r>
            <w:r w:rsidR="00320830" w:rsidRPr="00320830">
              <w:rPr>
                <w:noProof/>
                <w:webHidden/>
              </w:rPr>
              <w:t>3</w:t>
            </w:r>
            <w:r w:rsidR="00320830" w:rsidRPr="00320830">
              <w:rPr>
                <w:noProof/>
                <w:webHidden/>
              </w:rPr>
              <w:fldChar w:fldCharType="end"/>
            </w:r>
          </w:hyperlink>
        </w:p>
        <w:p w14:paraId="10EA054C" w14:textId="007D6EA6" w:rsidR="00320830" w:rsidRPr="00320830" w:rsidRDefault="00000000" w:rsidP="00320830">
          <w:pPr>
            <w:pStyle w:val="TOC2"/>
            <w:tabs>
              <w:tab w:val="right" w:leader="dot" w:pos="9350"/>
            </w:tabs>
            <w:rPr>
              <w:noProof/>
            </w:rPr>
          </w:pPr>
          <w:hyperlink w:anchor="_Toc166246818" w:history="1">
            <w:r w:rsidR="00320830" w:rsidRPr="00320830">
              <w:rPr>
                <w:rStyle w:val="Hyperlink"/>
                <w:noProof/>
                <w:lang w:val="en-US"/>
              </w:rPr>
              <w:t>5.</w:t>
            </w:r>
            <w:r w:rsidR="008F75D9">
              <w:rPr>
                <w:rStyle w:val="Hyperlink"/>
                <w:noProof/>
                <w:lang w:val="en-US"/>
              </w:rPr>
              <w:t>2</w:t>
            </w:r>
            <w:r w:rsidR="00320830" w:rsidRPr="00320830">
              <w:rPr>
                <w:rStyle w:val="Hyperlink"/>
                <w:noProof/>
                <w:lang w:val="en-US"/>
              </w:rPr>
              <w:t xml:space="preserve">. </w:t>
            </w:r>
            <w:r w:rsidR="00320830">
              <w:rPr>
                <w:rStyle w:val="Hyperlink"/>
                <w:noProof/>
                <w:lang w:val="en-US"/>
              </w:rPr>
              <w:t>Evaluation of the bacteriological, radiographic and clinical evolution</w:t>
            </w:r>
            <w:r w:rsidR="00320830" w:rsidRPr="00320830">
              <w:rPr>
                <w:noProof/>
                <w:webHidden/>
              </w:rPr>
              <w:tab/>
            </w:r>
            <w:r w:rsidR="00320830" w:rsidRPr="00320830">
              <w:rPr>
                <w:noProof/>
                <w:webHidden/>
              </w:rPr>
              <w:fldChar w:fldCharType="begin"/>
            </w:r>
            <w:r w:rsidR="00320830" w:rsidRPr="00320830">
              <w:rPr>
                <w:noProof/>
                <w:webHidden/>
              </w:rPr>
              <w:instrText xml:space="preserve"> PAGEREF _Toc166246818 \h </w:instrText>
            </w:r>
            <w:r w:rsidR="00320830" w:rsidRPr="00320830">
              <w:rPr>
                <w:noProof/>
                <w:webHidden/>
              </w:rPr>
            </w:r>
            <w:r w:rsidR="00320830" w:rsidRPr="00320830">
              <w:rPr>
                <w:noProof/>
                <w:webHidden/>
              </w:rPr>
              <w:fldChar w:fldCharType="separate"/>
            </w:r>
            <w:r w:rsidR="00320830" w:rsidRPr="00320830">
              <w:rPr>
                <w:noProof/>
                <w:webHidden/>
              </w:rPr>
              <w:t>3</w:t>
            </w:r>
            <w:r w:rsidR="00320830" w:rsidRPr="00320830">
              <w:rPr>
                <w:noProof/>
                <w:webHidden/>
              </w:rPr>
              <w:fldChar w:fldCharType="end"/>
            </w:r>
          </w:hyperlink>
        </w:p>
        <w:p w14:paraId="7CD9FD83" w14:textId="5B98E5BB" w:rsidR="00320830" w:rsidRPr="00320830" w:rsidRDefault="00000000" w:rsidP="00320830">
          <w:pPr>
            <w:pStyle w:val="TOC2"/>
            <w:tabs>
              <w:tab w:val="right" w:leader="dot" w:pos="9350"/>
            </w:tabs>
            <w:rPr>
              <w:noProof/>
            </w:rPr>
          </w:pPr>
          <w:hyperlink w:anchor="_Toc166246818" w:history="1">
            <w:r w:rsidR="00320830" w:rsidRPr="00320830">
              <w:rPr>
                <w:rStyle w:val="Hyperlink"/>
                <w:noProof/>
                <w:lang w:val="en-US"/>
              </w:rPr>
              <w:t>5.</w:t>
            </w:r>
            <w:r w:rsidR="00320830">
              <w:rPr>
                <w:rStyle w:val="Hyperlink"/>
                <w:noProof/>
                <w:lang w:val="en-US"/>
              </w:rPr>
              <w:t>2.</w:t>
            </w:r>
            <w:r w:rsidR="00320830" w:rsidRPr="00320830">
              <w:rPr>
                <w:rStyle w:val="Hyperlink"/>
                <w:noProof/>
                <w:lang w:val="en-US"/>
              </w:rPr>
              <w:t xml:space="preserve">1. </w:t>
            </w:r>
            <w:r w:rsidR="00320830">
              <w:rPr>
                <w:rStyle w:val="Hyperlink"/>
                <w:noProof/>
                <w:lang w:val="en-US"/>
              </w:rPr>
              <w:t>Bacteriological evolution</w:t>
            </w:r>
            <w:r w:rsidR="00320830" w:rsidRPr="00320830">
              <w:rPr>
                <w:noProof/>
                <w:webHidden/>
              </w:rPr>
              <w:tab/>
            </w:r>
            <w:r w:rsidR="00320830" w:rsidRPr="00320830">
              <w:rPr>
                <w:noProof/>
                <w:webHidden/>
              </w:rPr>
              <w:fldChar w:fldCharType="begin"/>
            </w:r>
            <w:r w:rsidR="00320830" w:rsidRPr="00320830">
              <w:rPr>
                <w:noProof/>
                <w:webHidden/>
              </w:rPr>
              <w:instrText xml:space="preserve"> PAGEREF _Toc166246818 \h </w:instrText>
            </w:r>
            <w:r w:rsidR="00320830" w:rsidRPr="00320830">
              <w:rPr>
                <w:noProof/>
                <w:webHidden/>
              </w:rPr>
            </w:r>
            <w:r w:rsidR="00320830" w:rsidRPr="00320830">
              <w:rPr>
                <w:noProof/>
                <w:webHidden/>
              </w:rPr>
              <w:fldChar w:fldCharType="separate"/>
            </w:r>
            <w:r w:rsidR="00320830" w:rsidRPr="00320830">
              <w:rPr>
                <w:noProof/>
                <w:webHidden/>
              </w:rPr>
              <w:t>3</w:t>
            </w:r>
            <w:r w:rsidR="00320830" w:rsidRPr="00320830">
              <w:rPr>
                <w:noProof/>
                <w:webHidden/>
              </w:rPr>
              <w:fldChar w:fldCharType="end"/>
            </w:r>
          </w:hyperlink>
        </w:p>
        <w:p w14:paraId="51DF80AD" w14:textId="2CA84A94" w:rsidR="00320830" w:rsidRPr="00320830" w:rsidRDefault="00000000" w:rsidP="00320830">
          <w:pPr>
            <w:pStyle w:val="TOC2"/>
            <w:tabs>
              <w:tab w:val="right" w:leader="dot" w:pos="9350"/>
            </w:tabs>
            <w:rPr>
              <w:noProof/>
            </w:rPr>
          </w:pPr>
          <w:hyperlink w:anchor="_Toc166246818" w:history="1">
            <w:r w:rsidR="00320830" w:rsidRPr="00320830">
              <w:rPr>
                <w:rStyle w:val="Hyperlink"/>
                <w:noProof/>
                <w:lang w:val="en-US"/>
              </w:rPr>
              <w:t>5.</w:t>
            </w:r>
            <w:r w:rsidR="00320830">
              <w:rPr>
                <w:rStyle w:val="Hyperlink"/>
                <w:noProof/>
                <w:lang w:val="en-US"/>
              </w:rPr>
              <w:t>2.2</w:t>
            </w:r>
            <w:r w:rsidR="00320830" w:rsidRPr="00320830">
              <w:rPr>
                <w:rStyle w:val="Hyperlink"/>
                <w:noProof/>
                <w:lang w:val="en-US"/>
              </w:rPr>
              <w:t xml:space="preserve">. </w:t>
            </w:r>
            <w:r w:rsidR="00320830">
              <w:rPr>
                <w:rStyle w:val="Hyperlink"/>
                <w:noProof/>
                <w:lang w:val="en-US"/>
              </w:rPr>
              <w:t>Radiographic evolution</w:t>
            </w:r>
            <w:r w:rsidR="00320830" w:rsidRPr="00320830">
              <w:rPr>
                <w:noProof/>
                <w:webHidden/>
              </w:rPr>
              <w:tab/>
            </w:r>
            <w:r w:rsidR="00320830" w:rsidRPr="00320830">
              <w:rPr>
                <w:noProof/>
                <w:webHidden/>
              </w:rPr>
              <w:fldChar w:fldCharType="begin"/>
            </w:r>
            <w:r w:rsidR="00320830" w:rsidRPr="00320830">
              <w:rPr>
                <w:noProof/>
                <w:webHidden/>
              </w:rPr>
              <w:instrText xml:space="preserve"> PAGEREF _Toc166246818 \h </w:instrText>
            </w:r>
            <w:r w:rsidR="00320830" w:rsidRPr="00320830">
              <w:rPr>
                <w:noProof/>
                <w:webHidden/>
              </w:rPr>
            </w:r>
            <w:r w:rsidR="00320830" w:rsidRPr="00320830">
              <w:rPr>
                <w:noProof/>
                <w:webHidden/>
              </w:rPr>
              <w:fldChar w:fldCharType="separate"/>
            </w:r>
            <w:r w:rsidR="00320830" w:rsidRPr="00320830">
              <w:rPr>
                <w:noProof/>
                <w:webHidden/>
              </w:rPr>
              <w:t>3</w:t>
            </w:r>
            <w:r w:rsidR="00320830" w:rsidRPr="00320830">
              <w:rPr>
                <w:noProof/>
                <w:webHidden/>
              </w:rPr>
              <w:fldChar w:fldCharType="end"/>
            </w:r>
          </w:hyperlink>
        </w:p>
        <w:p w14:paraId="2A9B1FCC" w14:textId="0A5B4836" w:rsidR="00320830" w:rsidRPr="00320830" w:rsidRDefault="00000000" w:rsidP="00320830">
          <w:pPr>
            <w:pStyle w:val="TOC2"/>
            <w:tabs>
              <w:tab w:val="right" w:leader="dot" w:pos="9350"/>
            </w:tabs>
            <w:rPr>
              <w:noProof/>
            </w:rPr>
          </w:pPr>
          <w:hyperlink w:anchor="_Toc166246818" w:history="1">
            <w:r w:rsidR="00320830" w:rsidRPr="00320830">
              <w:rPr>
                <w:rStyle w:val="Hyperlink"/>
                <w:noProof/>
                <w:lang w:val="en-US"/>
              </w:rPr>
              <w:t>5.</w:t>
            </w:r>
            <w:r w:rsidR="00320830">
              <w:rPr>
                <w:rStyle w:val="Hyperlink"/>
                <w:noProof/>
                <w:lang w:val="en-US"/>
              </w:rPr>
              <w:t>2.3</w:t>
            </w:r>
            <w:r w:rsidR="00320830" w:rsidRPr="00320830">
              <w:rPr>
                <w:rStyle w:val="Hyperlink"/>
                <w:noProof/>
                <w:lang w:val="en-US"/>
              </w:rPr>
              <w:t xml:space="preserve">. </w:t>
            </w:r>
            <w:r w:rsidR="00320830">
              <w:rPr>
                <w:rStyle w:val="Hyperlink"/>
                <w:noProof/>
                <w:lang w:val="en-US"/>
              </w:rPr>
              <w:t>Clinical evolution</w:t>
            </w:r>
            <w:r w:rsidR="00320830" w:rsidRPr="00320830">
              <w:rPr>
                <w:noProof/>
                <w:webHidden/>
              </w:rPr>
              <w:tab/>
            </w:r>
            <w:r w:rsidR="00320830">
              <w:rPr>
                <w:noProof/>
                <w:webHidden/>
              </w:rPr>
              <w:t>4</w:t>
            </w:r>
          </w:hyperlink>
        </w:p>
        <w:p w14:paraId="1C1FAA28" w14:textId="5F059C82" w:rsidR="00320830" w:rsidRPr="00320830" w:rsidRDefault="00000000" w:rsidP="00320830">
          <w:pPr>
            <w:pStyle w:val="TOC2"/>
            <w:tabs>
              <w:tab w:val="right" w:leader="dot" w:pos="9350"/>
            </w:tabs>
            <w:rPr>
              <w:noProof/>
            </w:rPr>
          </w:pPr>
          <w:hyperlink w:anchor="_Toc166246818" w:history="1">
            <w:r w:rsidR="00320830" w:rsidRPr="00320830">
              <w:rPr>
                <w:rStyle w:val="Hyperlink"/>
                <w:noProof/>
                <w:lang w:val="en-US"/>
              </w:rPr>
              <w:t>5.</w:t>
            </w:r>
            <w:r w:rsidR="00320830">
              <w:rPr>
                <w:rStyle w:val="Hyperlink"/>
                <w:noProof/>
                <w:lang w:val="en-US"/>
              </w:rPr>
              <w:t>3</w:t>
            </w:r>
            <w:r w:rsidR="00320830" w:rsidRPr="00320830">
              <w:rPr>
                <w:rStyle w:val="Hyperlink"/>
                <w:noProof/>
                <w:lang w:val="en-US"/>
              </w:rPr>
              <w:t xml:space="preserve">. </w:t>
            </w:r>
            <w:r w:rsidR="00320830">
              <w:rPr>
                <w:rStyle w:val="Hyperlink"/>
                <w:noProof/>
                <w:lang w:val="en-US"/>
              </w:rPr>
              <w:t xml:space="preserve">Classification of the </w:t>
            </w:r>
            <w:r w:rsidR="00320830" w:rsidRPr="00320830">
              <w:rPr>
                <w:rStyle w:val="Hyperlink"/>
                <w:noProof/>
                <w:lang w:val="en-US"/>
              </w:rPr>
              <w:t>bacteriological, radiographic and clinical evolution</w:t>
            </w:r>
            <w:r w:rsidR="00320830" w:rsidRPr="00320830">
              <w:rPr>
                <w:noProof/>
                <w:webHidden/>
              </w:rPr>
              <w:tab/>
            </w:r>
            <w:r w:rsidR="00AA48FE">
              <w:rPr>
                <w:noProof/>
                <w:webHidden/>
              </w:rPr>
              <w:t>4</w:t>
            </w:r>
          </w:hyperlink>
        </w:p>
        <w:p w14:paraId="41CCC594" w14:textId="5038FFDA" w:rsidR="00320830" w:rsidRDefault="00000000">
          <w:pPr>
            <w:pStyle w:val="TOC1"/>
            <w:tabs>
              <w:tab w:val="left" w:pos="440"/>
              <w:tab w:val="right" w:leader="dot" w:pos="9350"/>
            </w:tabs>
            <w:rPr>
              <w:noProof/>
            </w:rPr>
          </w:pPr>
          <w:hyperlink w:anchor="_Toc166246819" w:history="1">
            <w:r w:rsidR="00320830" w:rsidRPr="002430A9">
              <w:rPr>
                <w:rStyle w:val="Hyperlink"/>
                <w:noProof/>
                <w:lang w:val="en-US"/>
              </w:rPr>
              <w:t>6.</w:t>
            </w:r>
            <w:r w:rsidR="00320830">
              <w:rPr>
                <w:noProof/>
              </w:rPr>
              <w:tab/>
            </w:r>
            <w:r w:rsidR="00320830" w:rsidRPr="002430A9">
              <w:rPr>
                <w:rStyle w:val="Hyperlink"/>
                <w:noProof/>
                <w:lang w:val="en-US"/>
              </w:rPr>
              <w:t>REFERENCES</w:t>
            </w:r>
            <w:r w:rsidR="00320830">
              <w:rPr>
                <w:noProof/>
                <w:webHidden/>
              </w:rPr>
              <w:tab/>
            </w:r>
            <w:r w:rsidR="00320830">
              <w:rPr>
                <w:noProof/>
                <w:webHidden/>
              </w:rPr>
              <w:fldChar w:fldCharType="begin"/>
            </w:r>
            <w:r w:rsidR="00320830">
              <w:rPr>
                <w:noProof/>
                <w:webHidden/>
              </w:rPr>
              <w:instrText xml:space="preserve"> PAGEREF _Toc166246819 \h </w:instrText>
            </w:r>
            <w:r w:rsidR="00320830">
              <w:rPr>
                <w:noProof/>
                <w:webHidden/>
              </w:rPr>
            </w:r>
            <w:r w:rsidR="00320830">
              <w:rPr>
                <w:noProof/>
                <w:webHidden/>
              </w:rPr>
              <w:fldChar w:fldCharType="separate"/>
            </w:r>
            <w:r w:rsidR="00320830">
              <w:rPr>
                <w:noProof/>
                <w:webHidden/>
              </w:rPr>
              <w:t>5</w:t>
            </w:r>
            <w:r w:rsidR="00320830">
              <w:rPr>
                <w:noProof/>
                <w:webHidden/>
              </w:rPr>
              <w:fldChar w:fldCharType="end"/>
            </w:r>
          </w:hyperlink>
        </w:p>
        <w:p w14:paraId="41E17CBB" w14:textId="06F447F9" w:rsidR="00AA48FE" w:rsidRDefault="00000000" w:rsidP="00AA48FE">
          <w:pPr>
            <w:pStyle w:val="TOC1"/>
            <w:tabs>
              <w:tab w:val="left" w:pos="440"/>
              <w:tab w:val="right" w:leader="dot" w:pos="9350"/>
            </w:tabs>
            <w:rPr>
              <w:noProof/>
            </w:rPr>
          </w:pPr>
          <w:hyperlink w:anchor="_Toc166246819" w:history="1">
            <w:r w:rsidR="00AA48FE">
              <w:rPr>
                <w:rStyle w:val="Hyperlink"/>
                <w:noProof/>
                <w:lang w:val="en-US"/>
              </w:rPr>
              <w:t>7</w:t>
            </w:r>
            <w:r w:rsidR="00AA48FE" w:rsidRPr="002430A9">
              <w:rPr>
                <w:rStyle w:val="Hyperlink"/>
                <w:noProof/>
                <w:lang w:val="en-US"/>
              </w:rPr>
              <w:t>.</w:t>
            </w:r>
            <w:r w:rsidR="00AA48FE">
              <w:rPr>
                <w:noProof/>
              </w:rPr>
              <w:tab/>
              <w:t>SUPPORTING DOUCMENTS</w:t>
            </w:r>
            <w:r w:rsidR="00AA48FE">
              <w:rPr>
                <w:noProof/>
                <w:webHidden/>
              </w:rPr>
              <w:tab/>
            </w:r>
            <w:r w:rsidR="00AA48FE">
              <w:rPr>
                <w:noProof/>
                <w:webHidden/>
              </w:rPr>
              <w:fldChar w:fldCharType="begin"/>
            </w:r>
            <w:r w:rsidR="00AA48FE">
              <w:rPr>
                <w:noProof/>
                <w:webHidden/>
              </w:rPr>
              <w:instrText xml:space="preserve"> PAGEREF _Toc166246819 \h </w:instrText>
            </w:r>
            <w:r w:rsidR="00AA48FE">
              <w:rPr>
                <w:noProof/>
                <w:webHidden/>
              </w:rPr>
            </w:r>
            <w:r w:rsidR="00AA48FE">
              <w:rPr>
                <w:noProof/>
                <w:webHidden/>
              </w:rPr>
              <w:fldChar w:fldCharType="separate"/>
            </w:r>
            <w:r w:rsidR="00AA48FE">
              <w:rPr>
                <w:noProof/>
                <w:webHidden/>
              </w:rPr>
              <w:t>5</w:t>
            </w:r>
            <w:r w:rsidR="00AA48FE">
              <w:rPr>
                <w:noProof/>
                <w:webHidden/>
              </w:rPr>
              <w:fldChar w:fldCharType="end"/>
            </w:r>
          </w:hyperlink>
        </w:p>
        <w:p w14:paraId="63225A3A" w14:textId="32D27945" w:rsidR="00320830" w:rsidRDefault="00000000" w:rsidP="00AA48FE">
          <w:pPr>
            <w:pStyle w:val="TOC1"/>
            <w:tabs>
              <w:tab w:val="left" w:pos="440"/>
              <w:tab w:val="right" w:leader="dot" w:pos="9350"/>
            </w:tabs>
            <w:rPr>
              <w:noProof/>
            </w:rPr>
          </w:pPr>
          <w:hyperlink w:anchor="_Toc166246825" w:history="1">
            <w:r w:rsidR="00320830" w:rsidRPr="002430A9">
              <w:rPr>
                <w:rStyle w:val="Hyperlink"/>
                <w:noProof/>
                <w:lang w:val="en-US"/>
              </w:rPr>
              <w:t>8.</w:t>
            </w:r>
            <w:r w:rsidR="00320830">
              <w:rPr>
                <w:noProof/>
              </w:rPr>
              <w:tab/>
            </w:r>
            <w:r w:rsidR="00320830" w:rsidRPr="002430A9">
              <w:rPr>
                <w:rStyle w:val="Hyperlink"/>
                <w:noProof/>
                <w:lang w:val="en-US"/>
              </w:rPr>
              <w:t>APPENDIX</w:t>
            </w:r>
            <w:r w:rsidR="00320830">
              <w:rPr>
                <w:noProof/>
                <w:webHidden/>
              </w:rPr>
              <w:tab/>
            </w:r>
            <w:r w:rsidR="00320830">
              <w:rPr>
                <w:noProof/>
                <w:webHidden/>
              </w:rPr>
              <w:fldChar w:fldCharType="begin"/>
            </w:r>
            <w:r w:rsidR="00320830">
              <w:rPr>
                <w:noProof/>
                <w:webHidden/>
              </w:rPr>
              <w:instrText xml:space="preserve"> PAGEREF _Toc166246825 \h </w:instrText>
            </w:r>
            <w:r w:rsidR="00320830">
              <w:rPr>
                <w:noProof/>
                <w:webHidden/>
              </w:rPr>
            </w:r>
            <w:r w:rsidR="00320830">
              <w:rPr>
                <w:noProof/>
                <w:webHidden/>
              </w:rPr>
              <w:fldChar w:fldCharType="separate"/>
            </w:r>
            <w:r w:rsidR="00320830">
              <w:rPr>
                <w:noProof/>
                <w:webHidden/>
              </w:rPr>
              <w:t>5</w:t>
            </w:r>
            <w:r w:rsidR="00320830">
              <w:rPr>
                <w:noProof/>
                <w:webHidden/>
              </w:rPr>
              <w:fldChar w:fldCharType="end"/>
            </w:r>
          </w:hyperlink>
          <w:r w:rsidR="00320830">
            <w:rPr>
              <w:b/>
              <w:bCs/>
              <w:noProof/>
            </w:rPr>
            <w:fldChar w:fldCharType="end"/>
          </w:r>
        </w:p>
      </w:sdtContent>
    </w:sdt>
    <w:p w14:paraId="26AB43F4" w14:textId="77777777" w:rsidR="0076142D" w:rsidRPr="006B7F3C" w:rsidRDefault="0076142D">
      <w:pPr>
        <w:spacing w:after="0"/>
        <w:jc w:val="both"/>
        <w:rPr>
          <w:lang w:val="en-US"/>
        </w:rPr>
      </w:pPr>
    </w:p>
    <w:p w14:paraId="135ABD70" w14:textId="77777777" w:rsidR="0076142D" w:rsidRPr="006B7F3C" w:rsidRDefault="00396643">
      <w:pPr>
        <w:rPr>
          <w:lang w:val="en-US"/>
        </w:rPr>
      </w:pPr>
      <w:r w:rsidRPr="006B7F3C">
        <w:rPr>
          <w:lang w:val="en-US"/>
        </w:rPr>
        <w:br w:type="page"/>
      </w:r>
    </w:p>
    <w:p w14:paraId="2863300E" w14:textId="397BDABF" w:rsidR="0076142D" w:rsidRPr="00954C95" w:rsidRDefault="00396643" w:rsidP="00E723D1">
      <w:pPr>
        <w:jc w:val="center"/>
        <w:rPr>
          <w:lang w:val="en-US"/>
        </w:rPr>
      </w:pPr>
      <w:r w:rsidRPr="00954C95">
        <w:rPr>
          <w:b/>
          <w:sz w:val="36"/>
          <w:szCs w:val="36"/>
          <w:lang w:val="en-US"/>
        </w:rPr>
        <w:lastRenderedPageBreak/>
        <w:t>Standard Operating</w:t>
      </w:r>
      <w:r w:rsidR="00B44204" w:rsidRPr="00954C95">
        <w:rPr>
          <w:b/>
          <w:sz w:val="36"/>
          <w:szCs w:val="36"/>
          <w:lang w:val="en-US"/>
        </w:rPr>
        <w:t xml:space="preserve"> Procedure</w:t>
      </w:r>
      <w:r w:rsidRPr="00954C95">
        <w:rPr>
          <w:b/>
          <w:sz w:val="36"/>
          <w:szCs w:val="36"/>
          <w:lang w:val="en-US"/>
        </w:rPr>
        <w:t xml:space="preserve"> for</w:t>
      </w:r>
      <w:r w:rsidR="00E723D1" w:rsidRPr="00954C95">
        <w:rPr>
          <w:b/>
          <w:sz w:val="32"/>
          <w:szCs w:val="32"/>
          <w:lang w:val="en-US"/>
        </w:rPr>
        <w:br/>
      </w:r>
      <w:r w:rsidR="00151D3D" w:rsidRPr="00954C95">
        <w:rPr>
          <w:b/>
          <w:sz w:val="36"/>
          <w:szCs w:val="36"/>
          <w:lang w:val="en-US"/>
        </w:rPr>
        <w:t>Evaluating bacteriological, radiographic and clinical evolution for outcome classification</w:t>
      </w:r>
    </w:p>
    <w:p w14:paraId="00375332" w14:textId="589BDB9A" w:rsidR="0076142D" w:rsidRPr="006B7F3C" w:rsidRDefault="00396643" w:rsidP="00A12B60">
      <w:pPr>
        <w:pStyle w:val="Heading1"/>
        <w:numPr>
          <w:ilvl w:val="0"/>
          <w:numId w:val="29"/>
        </w:numPr>
        <w:spacing w:before="0" w:after="120"/>
        <w:jc w:val="both"/>
        <w:rPr>
          <w:lang w:val="en-US"/>
        </w:rPr>
      </w:pPr>
      <w:bookmarkStart w:id="1" w:name="_Toc166246813"/>
      <w:r w:rsidRPr="006B7F3C">
        <w:rPr>
          <w:lang w:val="en-US"/>
        </w:rPr>
        <w:t>PURPOSE</w:t>
      </w:r>
      <w:bookmarkEnd w:id="1"/>
      <w:r w:rsidRPr="006B7F3C">
        <w:rPr>
          <w:lang w:val="en-US"/>
        </w:rPr>
        <w:t xml:space="preserve"> </w:t>
      </w:r>
    </w:p>
    <w:tbl>
      <w:tblPr>
        <w:tblStyle w:val="a2"/>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6142D" w:rsidRPr="000C5276" w14:paraId="5F6A54EB" w14:textId="77777777" w:rsidTr="00461273">
        <w:trPr>
          <w:trHeight w:val="710"/>
        </w:trPr>
        <w:tc>
          <w:tcPr>
            <w:tcW w:w="9576" w:type="dxa"/>
          </w:tcPr>
          <w:p w14:paraId="657F4AED" w14:textId="0D0AA7D5" w:rsidR="0076142D" w:rsidRPr="00954C95" w:rsidRDefault="003A13DA" w:rsidP="00461273">
            <w:pPr>
              <w:jc w:val="both"/>
              <w:rPr>
                <w:lang w:val="en-US"/>
              </w:rPr>
            </w:pPr>
            <w:r w:rsidRPr="00954C95">
              <w:rPr>
                <w:lang w:val="en-US"/>
              </w:rPr>
              <w:t xml:space="preserve">This </w:t>
            </w:r>
            <w:r w:rsidR="00461273">
              <w:rPr>
                <w:lang w:val="en-US"/>
              </w:rPr>
              <w:t>Standard Operating P</w:t>
            </w:r>
            <w:r w:rsidRPr="00954C95">
              <w:rPr>
                <w:lang w:val="en-US"/>
              </w:rPr>
              <w:t>rocedure (SOP) describes the procedures for</w:t>
            </w:r>
            <w:r w:rsidR="001115FB" w:rsidRPr="00954C95">
              <w:rPr>
                <w:lang w:val="en-US"/>
              </w:rPr>
              <w:t xml:space="preserve"> performing the assessment of bacteriological, radiographic and clinical evolution for outcome classification</w:t>
            </w:r>
            <w:r w:rsidR="00B44204" w:rsidRPr="00954C95">
              <w:rPr>
                <w:lang w:val="en-US"/>
              </w:rPr>
              <w:t xml:space="preserve"> in the </w:t>
            </w:r>
            <w:r w:rsidR="00461273">
              <w:rPr>
                <w:rFonts w:asciiTheme="minorHAnsi" w:hAnsiTheme="minorHAnsi"/>
                <w:lang w:val="en-US"/>
              </w:rPr>
              <w:t>endTB Clinical T</w:t>
            </w:r>
            <w:r w:rsidR="00B44204" w:rsidRPr="006B7F3C">
              <w:rPr>
                <w:rFonts w:asciiTheme="minorHAnsi" w:hAnsiTheme="minorHAnsi"/>
                <w:lang w:val="en-US"/>
              </w:rPr>
              <w:t>rial</w:t>
            </w:r>
            <w:r w:rsidR="00461273">
              <w:rPr>
                <w:rFonts w:asciiTheme="minorHAnsi" w:hAnsiTheme="minorHAnsi"/>
                <w:lang w:val="en-US"/>
              </w:rPr>
              <w:t>s.</w:t>
            </w:r>
          </w:p>
        </w:tc>
      </w:tr>
    </w:tbl>
    <w:p w14:paraId="0D48960A" w14:textId="77777777" w:rsidR="0076142D" w:rsidRPr="00954C95" w:rsidRDefault="0076142D">
      <w:pPr>
        <w:pStyle w:val="Heading1"/>
        <w:spacing w:before="0" w:after="120"/>
        <w:jc w:val="both"/>
        <w:rPr>
          <w:lang w:val="en-US"/>
        </w:rPr>
      </w:pPr>
    </w:p>
    <w:p w14:paraId="34B0A8DE" w14:textId="6E448C84" w:rsidR="0076142D" w:rsidRPr="006B7F3C" w:rsidRDefault="00396643" w:rsidP="00A12B60">
      <w:pPr>
        <w:pStyle w:val="Heading1"/>
        <w:numPr>
          <w:ilvl w:val="0"/>
          <w:numId w:val="29"/>
        </w:numPr>
        <w:spacing w:before="0" w:after="120"/>
        <w:jc w:val="both"/>
        <w:rPr>
          <w:lang w:val="en-US"/>
        </w:rPr>
      </w:pPr>
      <w:bookmarkStart w:id="2" w:name="_Toc166246814"/>
      <w:r w:rsidRPr="006B7F3C">
        <w:rPr>
          <w:lang w:val="en-US"/>
        </w:rPr>
        <w:t>SCOPE</w:t>
      </w:r>
      <w:bookmarkEnd w:id="2"/>
    </w:p>
    <w:tbl>
      <w:tblPr>
        <w:tblStyle w:val="a3"/>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6142D" w:rsidRPr="000C5276" w14:paraId="74F3C7E2" w14:textId="77777777" w:rsidTr="00461273">
        <w:trPr>
          <w:trHeight w:val="903"/>
        </w:trPr>
        <w:tc>
          <w:tcPr>
            <w:tcW w:w="9576" w:type="dxa"/>
          </w:tcPr>
          <w:p w14:paraId="784B1F11" w14:textId="5338B414" w:rsidR="0076142D" w:rsidRPr="00954C95" w:rsidRDefault="00396643" w:rsidP="00461273">
            <w:pPr>
              <w:jc w:val="both"/>
              <w:rPr>
                <w:lang w:val="en-US"/>
              </w:rPr>
            </w:pPr>
            <w:r w:rsidRPr="00954C95">
              <w:rPr>
                <w:lang w:val="en-US"/>
              </w:rPr>
              <w:t xml:space="preserve">This SOP is </w:t>
            </w:r>
            <w:r w:rsidR="00B15859" w:rsidRPr="00954C95">
              <w:rPr>
                <w:lang w:val="en-US"/>
              </w:rPr>
              <w:t>developed</w:t>
            </w:r>
            <w:r w:rsidRPr="00954C95">
              <w:rPr>
                <w:lang w:val="en-US"/>
              </w:rPr>
              <w:t xml:space="preserve"> for trained healthcare workers assessing</w:t>
            </w:r>
            <w:r w:rsidR="001115FB" w:rsidRPr="00954C95">
              <w:rPr>
                <w:lang w:val="en-US"/>
              </w:rPr>
              <w:t xml:space="preserve"> the</w:t>
            </w:r>
            <w:r w:rsidRPr="00954C95">
              <w:rPr>
                <w:lang w:val="en-US"/>
              </w:rPr>
              <w:t xml:space="preserve"> </w:t>
            </w:r>
            <w:r w:rsidR="001115FB" w:rsidRPr="00954C95">
              <w:rPr>
                <w:lang w:val="en-US"/>
              </w:rPr>
              <w:t xml:space="preserve">bacteriological, radiographic and clinical evolution of </w:t>
            </w:r>
            <w:r w:rsidRPr="00954C95">
              <w:rPr>
                <w:lang w:val="en-US"/>
              </w:rPr>
              <w:t xml:space="preserve">participants </w:t>
            </w:r>
            <w:r w:rsidR="00EE0C0D" w:rsidRPr="00954C95">
              <w:rPr>
                <w:lang w:val="en-US"/>
              </w:rPr>
              <w:t xml:space="preserve">in </w:t>
            </w:r>
            <w:r w:rsidRPr="00954C95">
              <w:rPr>
                <w:lang w:val="en-US"/>
              </w:rPr>
              <w:t xml:space="preserve">the endTB </w:t>
            </w:r>
            <w:r w:rsidR="00461273">
              <w:rPr>
                <w:lang w:val="en-US"/>
              </w:rPr>
              <w:t>Clinical T</w:t>
            </w:r>
            <w:r w:rsidR="001115FB" w:rsidRPr="00954C95">
              <w:rPr>
                <w:lang w:val="en-US"/>
              </w:rPr>
              <w:t>rial</w:t>
            </w:r>
            <w:r w:rsidR="00461273">
              <w:rPr>
                <w:lang w:val="en-US"/>
              </w:rPr>
              <w:t>s</w:t>
            </w:r>
            <w:r w:rsidR="001115FB" w:rsidRPr="00954C95">
              <w:rPr>
                <w:lang w:val="en-US"/>
              </w:rPr>
              <w:t xml:space="preserve"> for the purpose of outcome </w:t>
            </w:r>
            <w:r w:rsidR="00B44204" w:rsidRPr="00954C95">
              <w:rPr>
                <w:lang w:val="en-US"/>
              </w:rPr>
              <w:t xml:space="preserve">classification in the </w:t>
            </w:r>
            <w:r w:rsidR="00B44204" w:rsidRPr="00461273">
              <w:rPr>
                <w:rFonts w:asciiTheme="minorHAnsi" w:hAnsiTheme="minorHAnsi"/>
                <w:lang w:val="en-US"/>
              </w:rPr>
              <w:t xml:space="preserve">endTB </w:t>
            </w:r>
            <w:r w:rsidR="00461273">
              <w:rPr>
                <w:rFonts w:asciiTheme="minorHAnsi" w:hAnsiTheme="minorHAnsi"/>
                <w:lang w:val="en-US"/>
              </w:rPr>
              <w:t>Clinical T</w:t>
            </w:r>
            <w:r w:rsidR="00B44204" w:rsidRPr="00461273">
              <w:rPr>
                <w:rFonts w:asciiTheme="minorHAnsi" w:hAnsiTheme="minorHAnsi"/>
                <w:lang w:val="en-US"/>
              </w:rPr>
              <w:t>rial</w:t>
            </w:r>
            <w:r w:rsidR="00461273">
              <w:rPr>
                <w:rFonts w:asciiTheme="minorHAnsi" w:hAnsiTheme="minorHAnsi"/>
                <w:lang w:val="en-US"/>
              </w:rPr>
              <w:t>s.</w:t>
            </w:r>
          </w:p>
        </w:tc>
      </w:tr>
    </w:tbl>
    <w:p w14:paraId="47481AEB" w14:textId="77777777" w:rsidR="0076142D" w:rsidRPr="00954C95" w:rsidRDefault="0076142D">
      <w:pPr>
        <w:spacing w:after="120"/>
        <w:jc w:val="both"/>
        <w:rPr>
          <w:lang w:val="en-US"/>
        </w:rPr>
      </w:pPr>
    </w:p>
    <w:p w14:paraId="343D7FEA" w14:textId="56CFA188" w:rsidR="0076142D" w:rsidRPr="00461273" w:rsidRDefault="00396643" w:rsidP="00A12B60">
      <w:pPr>
        <w:pStyle w:val="Heading1"/>
        <w:numPr>
          <w:ilvl w:val="0"/>
          <w:numId w:val="29"/>
        </w:numPr>
        <w:spacing w:before="0" w:after="120"/>
        <w:jc w:val="both"/>
        <w:rPr>
          <w:lang w:val="en-US"/>
        </w:rPr>
      </w:pPr>
      <w:bookmarkStart w:id="3" w:name="_Toc166246815"/>
      <w:r w:rsidRPr="00461273">
        <w:rPr>
          <w:lang w:val="en-US"/>
        </w:rPr>
        <w:t>RESPONSIBLE FUNCTIONS</w:t>
      </w:r>
      <w:bookmarkEnd w:id="3"/>
    </w:p>
    <w:tbl>
      <w:tblPr>
        <w:tblStyle w:val="a4"/>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7104"/>
      </w:tblGrid>
      <w:tr w:rsidR="0076142D" w:rsidRPr="00954C95" w14:paraId="064732BD" w14:textId="77777777" w:rsidTr="00EF6088">
        <w:trPr>
          <w:trHeight w:val="60"/>
        </w:trPr>
        <w:tc>
          <w:tcPr>
            <w:tcW w:w="2472" w:type="dxa"/>
            <w:shd w:val="clear" w:color="auto" w:fill="F2F2F2"/>
          </w:tcPr>
          <w:p w14:paraId="366105FB" w14:textId="77777777" w:rsidR="0076142D" w:rsidRPr="00461273" w:rsidRDefault="00396643">
            <w:pPr>
              <w:spacing w:before="80" w:after="80"/>
              <w:contextualSpacing w:val="0"/>
              <w:jc w:val="both"/>
              <w:rPr>
                <w:lang w:val="en-US"/>
              </w:rPr>
            </w:pPr>
            <w:r w:rsidRPr="00461273">
              <w:rPr>
                <w:b/>
                <w:lang w:val="en-US"/>
              </w:rPr>
              <w:t>Function</w:t>
            </w:r>
          </w:p>
        </w:tc>
        <w:tc>
          <w:tcPr>
            <w:tcW w:w="7104" w:type="dxa"/>
            <w:shd w:val="clear" w:color="auto" w:fill="F2F2F2"/>
            <w:vAlign w:val="center"/>
          </w:tcPr>
          <w:p w14:paraId="432F3D15" w14:textId="77777777" w:rsidR="0076142D" w:rsidRPr="00461273" w:rsidRDefault="00396643">
            <w:pPr>
              <w:spacing w:before="80" w:after="80"/>
              <w:contextualSpacing w:val="0"/>
              <w:jc w:val="both"/>
              <w:rPr>
                <w:lang w:val="en-US"/>
              </w:rPr>
            </w:pPr>
            <w:r w:rsidRPr="00461273">
              <w:rPr>
                <w:b/>
                <w:lang w:val="en-US"/>
              </w:rPr>
              <w:t>Activities</w:t>
            </w:r>
          </w:p>
        </w:tc>
      </w:tr>
      <w:tr w:rsidR="0076142D" w:rsidRPr="000C5276" w14:paraId="4BEDB1DF" w14:textId="77777777" w:rsidTr="00461273">
        <w:tc>
          <w:tcPr>
            <w:tcW w:w="2472" w:type="dxa"/>
            <w:shd w:val="clear" w:color="auto" w:fill="FFFFFF"/>
            <w:vAlign w:val="center"/>
          </w:tcPr>
          <w:p w14:paraId="7472238C" w14:textId="7A03B948" w:rsidR="0076142D" w:rsidRPr="00461273" w:rsidRDefault="00F97973" w:rsidP="00461273">
            <w:pPr>
              <w:spacing w:before="80" w:after="80"/>
              <w:contextualSpacing w:val="0"/>
              <w:rPr>
                <w:b/>
                <w:lang w:val="en-US"/>
              </w:rPr>
            </w:pPr>
            <w:r w:rsidRPr="00461273">
              <w:rPr>
                <w:b/>
                <w:lang w:val="en-US"/>
              </w:rPr>
              <w:t xml:space="preserve">Site </w:t>
            </w:r>
            <w:r w:rsidR="00775EB1" w:rsidRPr="00461273">
              <w:rPr>
                <w:b/>
                <w:lang w:val="en-US"/>
              </w:rPr>
              <w:t>C</w:t>
            </w:r>
            <w:r w:rsidRPr="00461273">
              <w:rPr>
                <w:b/>
                <w:lang w:val="en-US"/>
              </w:rPr>
              <w:t>o-</w:t>
            </w:r>
            <w:r w:rsidR="00DF6D70" w:rsidRPr="00461273">
              <w:rPr>
                <w:b/>
                <w:lang w:val="en-US"/>
              </w:rPr>
              <w:t>I</w:t>
            </w:r>
            <w:r w:rsidRPr="00461273">
              <w:rPr>
                <w:b/>
                <w:lang w:val="en-US"/>
              </w:rPr>
              <w:t>nvestigator (site-CI)</w:t>
            </w:r>
            <w:r w:rsidR="00A55759" w:rsidRPr="00461273">
              <w:rPr>
                <w:b/>
                <w:lang w:val="en-US"/>
              </w:rPr>
              <w:t>/</w:t>
            </w:r>
            <w:r w:rsidR="00775EB1" w:rsidRPr="00461273">
              <w:rPr>
                <w:b/>
                <w:lang w:val="en-US"/>
              </w:rPr>
              <w:t>S</w:t>
            </w:r>
            <w:r w:rsidR="00A55759" w:rsidRPr="00461273">
              <w:rPr>
                <w:b/>
                <w:lang w:val="en-US"/>
              </w:rPr>
              <w:t>ub-Investigator</w:t>
            </w:r>
            <w:r w:rsidR="00C87AF1" w:rsidRPr="00461273">
              <w:rPr>
                <w:b/>
                <w:lang w:val="en-US"/>
              </w:rPr>
              <w:t xml:space="preserve"> and </w:t>
            </w:r>
            <w:r w:rsidR="00DF6D70" w:rsidRPr="00461273">
              <w:rPr>
                <w:b/>
                <w:lang w:val="en-US"/>
              </w:rPr>
              <w:t xml:space="preserve">Site Principal Investigator </w:t>
            </w:r>
            <w:r w:rsidR="00C87AF1" w:rsidRPr="00461273">
              <w:rPr>
                <w:b/>
                <w:lang w:val="en-US"/>
              </w:rPr>
              <w:t>(site-PI)</w:t>
            </w:r>
          </w:p>
        </w:tc>
        <w:tc>
          <w:tcPr>
            <w:tcW w:w="7104" w:type="dxa"/>
            <w:shd w:val="clear" w:color="auto" w:fill="FFFFFF"/>
            <w:vAlign w:val="center"/>
          </w:tcPr>
          <w:p w14:paraId="35D64528" w14:textId="489F084B" w:rsidR="00AD2BA4" w:rsidRPr="00954C95" w:rsidRDefault="00AD2BA4" w:rsidP="00461273">
            <w:pPr>
              <w:pStyle w:val="ListParagraph"/>
              <w:numPr>
                <w:ilvl w:val="0"/>
                <w:numId w:val="13"/>
              </w:numPr>
              <w:spacing w:before="80" w:after="80" w:line="240" w:lineRule="auto"/>
              <w:ind w:left="360"/>
              <w:rPr>
                <w:lang w:val="en-US"/>
              </w:rPr>
            </w:pPr>
            <w:r w:rsidRPr="00954C95">
              <w:rPr>
                <w:lang w:val="en-US"/>
              </w:rPr>
              <w:t xml:space="preserve">Identify cases </w:t>
            </w:r>
            <w:r w:rsidR="00EE0C0D" w:rsidRPr="00954C95">
              <w:rPr>
                <w:lang w:val="en-US"/>
              </w:rPr>
              <w:t xml:space="preserve">in which </w:t>
            </w:r>
            <w:r w:rsidRPr="00954C95">
              <w:rPr>
                <w:lang w:val="en-US"/>
              </w:rPr>
              <w:t>the evaluation of bacteriological, radiographic and clinical evolution is needed</w:t>
            </w:r>
            <w:r w:rsidR="00DF6D70" w:rsidRPr="00954C95">
              <w:rPr>
                <w:lang w:val="en-US"/>
              </w:rPr>
              <w:t>.</w:t>
            </w:r>
          </w:p>
          <w:p w14:paraId="59CA961D" w14:textId="180E08D4" w:rsidR="0040631D" w:rsidRPr="00954C95" w:rsidRDefault="00C87AF1" w:rsidP="00461273">
            <w:pPr>
              <w:pStyle w:val="ListParagraph"/>
              <w:numPr>
                <w:ilvl w:val="0"/>
                <w:numId w:val="13"/>
              </w:numPr>
              <w:spacing w:before="80" w:after="80" w:line="240" w:lineRule="auto"/>
              <w:ind w:left="360"/>
              <w:rPr>
                <w:lang w:val="en-US"/>
              </w:rPr>
            </w:pPr>
            <w:r w:rsidRPr="00954C95">
              <w:rPr>
                <w:lang w:val="en-US"/>
              </w:rPr>
              <w:t>Classify</w:t>
            </w:r>
            <w:r w:rsidR="00B15859" w:rsidRPr="00954C95">
              <w:rPr>
                <w:lang w:val="en-US"/>
              </w:rPr>
              <w:t xml:space="preserve"> the</w:t>
            </w:r>
            <w:r w:rsidR="00AD2BA4" w:rsidRPr="00954C95">
              <w:rPr>
                <w:lang w:val="en-US"/>
              </w:rPr>
              <w:t xml:space="preserve"> bacteriological, radiographic and clinical evolution</w:t>
            </w:r>
            <w:r w:rsidR="002704FD" w:rsidRPr="00954C95">
              <w:rPr>
                <w:lang w:val="en-US"/>
              </w:rPr>
              <w:t xml:space="preserve"> as favorable or unfavorable</w:t>
            </w:r>
            <w:r w:rsidR="00DF6D70" w:rsidRPr="00954C95">
              <w:rPr>
                <w:lang w:val="en-US"/>
              </w:rPr>
              <w:t>.</w:t>
            </w:r>
          </w:p>
        </w:tc>
      </w:tr>
      <w:tr w:rsidR="008B6078" w:rsidRPr="000C5276" w14:paraId="48029C8A" w14:textId="77777777" w:rsidTr="00461273">
        <w:tc>
          <w:tcPr>
            <w:tcW w:w="2472" w:type="dxa"/>
            <w:shd w:val="clear" w:color="auto" w:fill="FFFFFF"/>
            <w:vAlign w:val="center"/>
          </w:tcPr>
          <w:p w14:paraId="7E882AD2" w14:textId="7BE7F983" w:rsidR="008B6078" w:rsidRPr="00461273" w:rsidRDefault="008B6078" w:rsidP="00461273">
            <w:pPr>
              <w:spacing w:before="80" w:after="80"/>
              <w:rPr>
                <w:b/>
                <w:lang w:val="en-US"/>
              </w:rPr>
            </w:pPr>
            <w:r w:rsidRPr="00461273">
              <w:rPr>
                <w:b/>
                <w:lang w:val="en-US"/>
              </w:rPr>
              <w:t xml:space="preserve">Event Validation </w:t>
            </w:r>
            <w:r w:rsidR="00A12B60" w:rsidRPr="00461273">
              <w:rPr>
                <w:b/>
                <w:lang w:val="en-US"/>
              </w:rPr>
              <w:t>Group</w:t>
            </w:r>
          </w:p>
        </w:tc>
        <w:tc>
          <w:tcPr>
            <w:tcW w:w="7104" w:type="dxa"/>
            <w:shd w:val="clear" w:color="auto" w:fill="FFFFFF"/>
            <w:vAlign w:val="center"/>
          </w:tcPr>
          <w:p w14:paraId="48DFAD27" w14:textId="0D5C0842" w:rsidR="008B6078" w:rsidRPr="00954C95" w:rsidRDefault="009F0B3E" w:rsidP="00461273">
            <w:pPr>
              <w:pStyle w:val="ListParagraph"/>
              <w:numPr>
                <w:ilvl w:val="0"/>
                <w:numId w:val="13"/>
              </w:numPr>
              <w:spacing w:before="80" w:after="80" w:line="240" w:lineRule="auto"/>
              <w:ind w:left="360"/>
              <w:rPr>
                <w:lang w:val="en-US"/>
              </w:rPr>
            </w:pPr>
            <w:r w:rsidRPr="00954C95">
              <w:rPr>
                <w:lang w:val="en-US"/>
              </w:rPr>
              <w:t xml:space="preserve">Review </w:t>
            </w:r>
            <w:r w:rsidR="008B6078" w:rsidRPr="00954C95">
              <w:rPr>
                <w:lang w:val="en-US"/>
              </w:rPr>
              <w:t xml:space="preserve">classification of </w:t>
            </w:r>
            <w:r w:rsidR="00AA45BD" w:rsidRPr="00954C95">
              <w:rPr>
                <w:lang w:val="en-US"/>
              </w:rPr>
              <w:t>the outcome</w:t>
            </w:r>
            <w:r w:rsidR="008B6078" w:rsidRPr="00954C95">
              <w:rPr>
                <w:lang w:val="en-US"/>
              </w:rPr>
              <w:t>.</w:t>
            </w:r>
          </w:p>
        </w:tc>
      </w:tr>
    </w:tbl>
    <w:p w14:paraId="1C66FDBD" w14:textId="77777777" w:rsidR="0076142D" w:rsidRPr="00954C95" w:rsidRDefault="0076142D">
      <w:pPr>
        <w:spacing w:after="120"/>
        <w:jc w:val="both"/>
        <w:rPr>
          <w:lang w:val="en-US"/>
        </w:rPr>
      </w:pPr>
    </w:p>
    <w:p w14:paraId="1F75C154" w14:textId="1EB59496" w:rsidR="00520B63" w:rsidRPr="00954C95" w:rsidRDefault="00396643" w:rsidP="00A12B60">
      <w:pPr>
        <w:pStyle w:val="Heading1"/>
        <w:numPr>
          <w:ilvl w:val="0"/>
          <w:numId w:val="29"/>
        </w:numPr>
        <w:spacing w:before="0" w:after="120"/>
        <w:jc w:val="both"/>
        <w:rPr>
          <w:lang w:val="en-US"/>
        </w:rPr>
      </w:pPr>
      <w:bookmarkStart w:id="4" w:name="_Toc166246816"/>
      <w:r w:rsidRPr="00954C95">
        <w:rPr>
          <w:lang w:val="en-US"/>
        </w:rPr>
        <w:t>DEFINITIONS and ABBREVIATIONS</w:t>
      </w:r>
      <w:bookmarkEnd w:id="4"/>
    </w:p>
    <w:p w14:paraId="581579D4" w14:textId="781319F3" w:rsidR="00520B63" w:rsidRPr="00954C95" w:rsidRDefault="00935C4A" w:rsidP="00461273">
      <w:pPr>
        <w:spacing w:after="0" w:line="240" w:lineRule="auto"/>
        <w:ind w:left="-284"/>
        <w:jc w:val="both"/>
        <w:rPr>
          <w:lang w:val="en-US"/>
        </w:rPr>
      </w:pPr>
      <w:r w:rsidRPr="00954C95">
        <w:rPr>
          <w:b/>
          <w:lang w:val="en-US"/>
        </w:rPr>
        <w:t>Treatment outcome:</w:t>
      </w:r>
      <w:r w:rsidR="00520B63" w:rsidRPr="00954C95">
        <w:rPr>
          <w:b/>
          <w:lang w:val="en-US"/>
        </w:rPr>
        <w:t xml:space="preserve"> </w:t>
      </w:r>
      <w:r w:rsidR="00BA676C" w:rsidRPr="00954C95">
        <w:rPr>
          <w:lang w:val="en-US"/>
        </w:rPr>
        <w:t xml:space="preserve">It is the </w:t>
      </w:r>
      <w:r w:rsidRPr="00954C95">
        <w:rPr>
          <w:lang w:val="en-US"/>
        </w:rPr>
        <w:t xml:space="preserve">outcome of </w:t>
      </w:r>
      <w:r w:rsidR="00BA676C" w:rsidRPr="00954C95">
        <w:rPr>
          <w:lang w:val="en-US"/>
        </w:rPr>
        <w:t xml:space="preserve">study </w:t>
      </w:r>
      <w:r w:rsidRPr="00954C95">
        <w:rPr>
          <w:lang w:val="en-US"/>
        </w:rPr>
        <w:t xml:space="preserve">treatment which is assigned to each </w:t>
      </w:r>
      <w:r w:rsidR="00BA676C" w:rsidRPr="00954C95">
        <w:rPr>
          <w:lang w:val="en-US"/>
        </w:rPr>
        <w:t xml:space="preserve">participant at each specified time point </w:t>
      </w:r>
      <w:r w:rsidR="008523DA" w:rsidRPr="00954C95">
        <w:rPr>
          <w:lang w:val="en-US"/>
        </w:rPr>
        <w:t xml:space="preserve">and categorized as favorable or unfavorable according to </w:t>
      </w:r>
      <w:r w:rsidR="00395DDE" w:rsidRPr="00954C95">
        <w:rPr>
          <w:lang w:val="en-US"/>
        </w:rPr>
        <w:t>the endTB protocol</w:t>
      </w:r>
      <w:r w:rsidR="00461273">
        <w:rPr>
          <w:lang w:val="en-US"/>
        </w:rPr>
        <w:t>s</w:t>
      </w:r>
      <w:r w:rsidR="00395DDE" w:rsidRPr="00954C95">
        <w:rPr>
          <w:lang w:val="en-US"/>
        </w:rPr>
        <w:t xml:space="preserve"> (section 3.2)</w:t>
      </w:r>
      <w:r w:rsidRPr="00954C95">
        <w:rPr>
          <w:lang w:val="en-US"/>
        </w:rPr>
        <w:t>.</w:t>
      </w:r>
    </w:p>
    <w:p w14:paraId="7B7D30B7" w14:textId="50B10D0B" w:rsidR="008523DA" w:rsidRPr="00954C95" w:rsidRDefault="008523DA" w:rsidP="00461273">
      <w:pPr>
        <w:spacing w:after="0" w:line="240" w:lineRule="auto"/>
        <w:ind w:left="-284"/>
        <w:jc w:val="both"/>
        <w:rPr>
          <w:lang w:val="en-US"/>
        </w:rPr>
      </w:pPr>
    </w:p>
    <w:p w14:paraId="4C73185D" w14:textId="064086EF" w:rsidR="007F1AD0" w:rsidRPr="00954C95" w:rsidRDefault="007F1AD0" w:rsidP="00461273">
      <w:pPr>
        <w:spacing w:after="0" w:line="240" w:lineRule="auto"/>
        <w:ind w:left="-284"/>
        <w:jc w:val="both"/>
        <w:rPr>
          <w:lang w:val="en-US"/>
        </w:rPr>
      </w:pPr>
      <w:r w:rsidRPr="00954C95">
        <w:rPr>
          <w:b/>
          <w:lang w:val="en-US"/>
        </w:rPr>
        <w:t>Bacteriological, radiographic and clinical evolution</w:t>
      </w:r>
      <w:r w:rsidR="009C4CE5" w:rsidRPr="00954C95">
        <w:rPr>
          <w:b/>
          <w:lang w:val="en-US"/>
        </w:rPr>
        <w:t>:</w:t>
      </w:r>
      <w:r w:rsidRPr="00954C95">
        <w:rPr>
          <w:lang w:val="en-US"/>
        </w:rPr>
        <w:t xml:space="preserve"> </w:t>
      </w:r>
      <w:r w:rsidR="00881DE5" w:rsidRPr="00954C95">
        <w:rPr>
          <w:lang w:val="en-US"/>
        </w:rPr>
        <w:t>T</w:t>
      </w:r>
      <w:r w:rsidR="009C4CE5" w:rsidRPr="00954C95">
        <w:rPr>
          <w:lang w:val="en-US"/>
        </w:rPr>
        <w:t>he bacteriological, radiographic and clinical evolution</w:t>
      </w:r>
      <w:r w:rsidRPr="00954C95">
        <w:rPr>
          <w:lang w:val="en-US"/>
        </w:rPr>
        <w:t xml:space="preserve"> </w:t>
      </w:r>
      <w:r w:rsidR="007459F2" w:rsidRPr="00954C95">
        <w:rPr>
          <w:lang w:val="en-US"/>
        </w:rPr>
        <w:t>assessment is</w:t>
      </w:r>
      <w:r w:rsidRPr="00954C95">
        <w:rPr>
          <w:lang w:val="en-US"/>
        </w:rPr>
        <w:t xml:space="preserve"> required for the purpose of outcome definition</w:t>
      </w:r>
      <w:r w:rsidR="009C4CE5" w:rsidRPr="00954C95">
        <w:rPr>
          <w:lang w:val="en-US"/>
        </w:rPr>
        <w:t>,</w:t>
      </w:r>
      <w:r w:rsidRPr="00954C95">
        <w:rPr>
          <w:lang w:val="en-US"/>
        </w:rPr>
        <w:t xml:space="preserve"> according to the</w:t>
      </w:r>
      <w:r w:rsidR="00084E39" w:rsidRPr="00954C95">
        <w:rPr>
          <w:lang w:val="en-US"/>
        </w:rPr>
        <w:t xml:space="preserve"> protocols of the</w:t>
      </w:r>
      <w:r w:rsidRPr="00954C95">
        <w:rPr>
          <w:lang w:val="en-US"/>
        </w:rPr>
        <w:t xml:space="preserve"> endTB</w:t>
      </w:r>
      <w:r w:rsidR="00461273">
        <w:rPr>
          <w:lang w:val="en-US"/>
        </w:rPr>
        <w:t xml:space="preserve"> Clinical T</w:t>
      </w:r>
      <w:r w:rsidR="00084E39" w:rsidRPr="00954C95">
        <w:rPr>
          <w:lang w:val="en-US"/>
        </w:rPr>
        <w:t>rials</w:t>
      </w:r>
      <w:r w:rsidR="009C4CE5" w:rsidRPr="00954C95">
        <w:rPr>
          <w:lang w:val="en-US"/>
        </w:rPr>
        <w:t>,</w:t>
      </w:r>
      <w:r w:rsidRPr="00954C95">
        <w:rPr>
          <w:lang w:val="en-US"/>
        </w:rPr>
        <w:t xml:space="preserve"> </w:t>
      </w:r>
      <w:r w:rsidR="00E71064" w:rsidRPr="00954C95">
        <w:rPr>
          <w:lang w:val="en-US"/>
        </w:rPr>
        <w:t xml:space="preserve">at the study visits of weeks 73 and 104 </w:t>
      </w:r>
      <w:r w:rsidRPr="00954C95">
        <w:rPr>
          <w:lang w:val="en-US"/>
        </w:rPr>
        <w:t xml:space="preserve">(see also </w:t>
      </w:r>
      <w:r w:rsidRPr="00954C95">
        <w:rPr>
          <w:b/>
          <w:i/>
          <w:lang w:val="en-US"/>
        </w:rPr>
        <w:t xml:space="preserve">SOP </w:t>
      </w:r>
      <w:r w:rsidR="009D7EA0" w:rsidRPr="00954C95">
        <w:rPr>
          <w:b/>
          <w:i/>
          <w:lang w:val="en-US"/>
        </w:rPr>
        <w:t xml:space="preserve">SP-026-CT </w:t>
      </w:r>
      <w:r w:rsidR="00E504F3" w:rsidRPr="00954C95">
        <w:rPr>
          <w:b/>
          <w:i/>
          <w:lang w:val="en-US"/>
        </w:rPr>
        <w:t>Reporting of T</w:t>
      </w:r>
      <w:r w:rsidRPr="00954C95">
        <w:rPr>
          <w:b/>
          <w:i/>
          <w:lang w:val="en-US"/>
        </w:rPr>
        <w:t xml:space="preserve">reatment </w:t>
      </w:r>
      <w:r w:rsidR="00E504F3" w:rsidRPr="00954C95">
        <w:rPr>
          <w:b/>
          <w:i/>
          <w:lang w:val="en-US"/>
        </w:rPr>
        <w:t>O</w:t>
      </w:r>
      <w:r w:rsidRPr="00954C95">
        <w:rPr>
          <w:b/>
          <w:i/>
          <w:lang w:val="en-US"/>
        </w:rPr>
        <w:t>utcome</w:t>
      </w:r>
      <w:r w:rsidR="00E504F3" w:rsidRPr="00954C95">
        <w:rPr>
          <w:b/>
          <w:i/>
          <w:lang w:val="en-US"/>
        </w:rPr>
        <w:t>s</w:t>
      </w:r>
      <w:r w:rsidRPr="00954C95">
        <w:rPr>
          <w:lang w:val="en-US"/>
        </w:rPr>
        <w:t>).</w:t>
      </w:r>
      <w:r w:rsidR="007459F2" w:rsidRPr="00954C95">
        <w:rPr>
          <w:lang w:val="en-US"/>
        </w:rPr>
        <w:t xml:space="preserve"> </w:t>
      </w:r>
      <w:r w:rsidR="0093707E" w:rsidRPr="00954C95">
        <w:rPr>
          <w:lang w:val="en-US"/>
        </w:rPr>
        <w:t xml:space="preserve">The bacteriological, radiographic and clinical </w:t>
      </w:r>
      <w:r w:rsidR="00787E78" w:rsidRPr="00954C95">
        <w:rPr>
          <w:lang w:val="en-US"/>
        </w:rPr>
        <w:t>status</w:t>
      </w:r>
      <w:r w:rsidR="0093707E" w:rsidRPr="00954C95">
        <w:rPr>
          <w:lang w:val="en-US"/>
        </w:rPr>
        <w:t xml:space="preserve"> is regularly documented as part of routine clinical care as needed and under scheduled monitoring tests and assessments. This SOP specifically addresses how to use bacteriological, radiographic and clinical evolution for outcome classification at weeks 73 and 104.</w:t>
      </w:r>
    </w:p>
    <w:p w14:paraId="602ECF40" w14:textId="77777777" w:rsidR="000441A3" w:rsidRPr="00954C95" w:rsidRDefault="000441A3">
      <w:pPr>
        <w:autoSpaceDE w:val="0"/>
        <w:autoSpaceDN w:val="0"/>
        <w:adjustRightInd w:val="0"/>
        <w:spacing w:after="0" w:line="240" w:lineRule="auto"/>
        <w:jc w:val="both"/>
        <w:rPr>
          <w:b/>
          <w:bCs/>
          <w:lang w:val="en-US"/>
        </w:rPr>
      </w:pPr>
    </w:p>
    <w:p w14:paraId="1D9CF67D" w14:textId="77430120" w:rsidR="00BA676C" w:rsidRPr="00954C95" w:rsidRDefault="00BA676C" w:rsidP="00F414A8">
      <w:pPr>
        <w:autoSpaceDE w:val="0"/>
        <w:autoSpaceDN w:val="0"/>
        <w:adjustRightInd w:val="0"/>
        <w:spacing w:after="0" w:line="240" w:lineRule="auto"/>
        <w:jc w:val="both"/>
        <w:rPr>
          <w:lang w:val="en-US"/>
        </w:rPr>
      </w:pPr>
      <w:r w:rsidRPr="00954C95">
        <w:rPr>
          <w:b/>
          <w:bCs/>
          <w:lang w:val="en-US"/>
        </w:rPr>
        <w:lastRenderedPageBreak/>
        <w:t xml:space="preserve">Event </w:t>
      </w:r>
      <w:r w:rsidR="00A12B60" w:rsidRPr="00954C95">
        <w:rPr>
          <w:b/>
          <w:bCs/>
          <w:lang w:val="en-US"/>
        </w:rPr>
        <w:t>Validation Group</w:t>
      </w:r>
      <w:r w:rsidRPr="00954C95">
        <w:rPr>
          <w:b/>
          <w:bCs/>
          <w:lang w:val="en-US"/>
        </w:rPr>
        <w:t xml:space="preserve">: </w:t>
      </w:r>
      <w:r w:rsidR="00A12B60" w:rsidRPr="00954C95">
        <w:rPr>
          <w:lang w:val="en-US"/>
        </w:rPr>
        <w:t xml:space="preserve">The Event Validation Group </w:t>
      </w:r>
      <w:r w:rsidR="00557E6E" w:rsidRPr="00954C95">
        <w:rPr>
          <w:lang w:val="en-US"/>
        </w:rPr>
        <w:t>comprises</w:t>
      </w:r>
      <w:r w:rsidR="00A12B60" w:rsidRPr="00954C95">
        <w:rPr>
          <w:lang w:val="en-US"/>
        </w:rPr>
        <w:t xml:space="preserve"> central independent medical doctors with experience in the management of MDR-TB patients. The Event Validation Group reviews </w:t>
      </w:r>
      <w:r w:rsidRPr="00954C95">
        <w:rPr>
          <w:lang w:val="en-US"/>
        </w:rPr>
        <w:t xml:space="preserve">patient treatment outcomes. </w:t>
      </w:r>
      <w:r w:rsidR="00673070" w:rsidRPr="00954C95">
        <w:rPr>
          <w:lang w:val="en-US"/>
        </w:rPr>
        <w:t xml:space="preserve">Its activities are governed by </w:t>
      </w:r>
      <w:r w:rsidR="00673070" w:rsidRPr="00954C95">
        <w:rPr>
          <w:b/>
          <w:i/>
          <w:lang w:val="en-US"/>
        </w:rPr>
        <w:t>SOP SP-031-CT</w:t>
      </w:r>
      <w:r w:rsidR="00B44204" w:rsidRPr="00954C95">
        <w:rPr>
          <w:b/>
          <w:i/>
          <w:lang w:val="en-US"/>
        </w:rPr>
        <w:t xml:space="preserve"> Event Validation</w:t>
      </w:r>
      <w:r w:rsidR="00673070" w:rsidRPr="00954C95">
        <w:rPr>
          <w:b/>
          <w:lang w:val="en-US"/>
        </w:rPr>
        <w:t>.</w:t>
      </w:r>
    </w:p>
    <w:p w14:paraId="705C9B6D" w14:textId="77777777" w:rsidR="00BA676C" w:rsidRPr="00954C95" w:rsidRDefault="00BA676C" w:rsidP="00063091">
      <w:pPr>
        <w:spacing w:after="0" w:line="240" w:lineRule="auto"/>
        <w:jc w:val="both"/>
        <w:rPr>
          <w:lang w:val="en-US"/>
        </w:rPr>
      </w:pPr>
    </w:p>
    <w:p w14:paraId="2C4E77AD" w14:textId="740D439F" w:rsidR="0076142D" w:rsidRPr="00954C95" w:rsidRDefault="00B44204" w:rsidP="00B44204">
      <w:pPr>
        <w:pStyle w:val="Heading1"/>
        <w:numPr>
          <w:ilvl w:val="0"/>
          <w:numId w:val="29"/>
        </w:numPr>
        <w:spacing w:before="0" w:after="120"/>
        <w:ind w:left="709"/>
        <w:jc w:val="both"/>
        <w:rPr>
          <w:lang w:val="en-US"/>
        </w:rPr>
      </w:pPr>
      <w:bookmarkStart w:id="5" w:name="_Toc166246817"/>
      <w:r w:rsidRPr="00954C95">
        <w:rPr>
          <w:lang w:val="en-US"/>
        </w:rPr>
        <w:t>PROCEDURE</w:t>
      </w:r>
      <w:bookmarkEnd w:id="5"/>
    </w:p>
    <w:p w14:paraId="4CAA2FD9" w14:textId="26C2EC4A" w:rsidR="000B566A" w:rsidRPr="00954C95" w:rsidRDefault="00B44204" w:rsidP="00B44204">
      <w:pPr>
        <w:pStyle w:val="Heading2"/>
        <w:spacing w:before="200" w:after="0"/>
        <w:ind w:left="709"/>
        <w:rPr>
          <w:i/>
          <w:sz w:val="24"/>
          <w:szCs w:val="24"/>
          <w:lang w:val="en-US"/>
        </w:rPr>
      </w:pPr>
      <w:bookmarkStart w:id="6" w:name="_Toc166246818"/>
      <w:r w:rsidRPr="00954C95">
        <w:rPr>
          <w:i/>
          <w:sz w:val="24"/>
          <w:szCs w:val="24"/>
          <w:lang w:val="en-US"/>
        </w:rPr>
        <w:t>5.1. Material</w:t>
      </w:r>
      <w:bookmarkEnd w:id="6"/>
      <w:r w:rsidRPr="00954C95">
        <w:rPr>
          <w:i/>
          <w:sz w:val="24"/>
          <w:szCs w:val="24"/>
          <w:lang w:val="en-US"/>
        </w:rPr>
        <w:t xml:space="preserve"> </w:t>
      </w:r>
    </w:p>
    <w:p w14:paraId="14FFBF54" w14:textId="760AD645" w:rsidR="00461273" w:rsidRPr="00746D0E" w:rsidRDefault="000B566A" w:rsidP="00746D0E">
      <w:pPr>
        <w:spacing w:line="240" w:lineRule="auto"/>
        <w:jc w:val="both"/>
        <w:rPr>
          <w:rFonts w:asciiTheme="minorHAnsi" w:hAnsiTheme="minorHAnsi"/>
          <w:lang w:val="en-US"/>
        </w:rPr>
      </w:pPr>
      <w:r w:rsidRPr="00746D0E">
        <w:rPr>
          <w:rFonts w:asciiTheme="minorHAnsi" w:hAnsiTheme="minorHAnsi"/>
          <w:lang w:val="en-US"/>
        </w:rPr>
        <w:t>Source documents including</w:t>
      </w:r>
      <w:r w:rsidR="00F77C6D" w:rsidRPr="00746D0E">
        <w:rPr>
          <w:rFonts w:asciiTheme="minorHAnsi" w:hAnsiTheme="minorHAnsi"/>
          <w:lang w:val="en-US"/>
        </w:rPr>
        <w:t xml:space="preserve"> results of</w:t>
      </w:r>
      <w:r w:rsidRPr="00746D0E">
        <w:rPr>
          <w:rFonts w:asciiTheme="minorHAnsi" w:hAnsiTheme="minorHAnsi"/>
          <w:lang w:val="en-US"/>
        </w:rPr>
        <w:t xml:space="preserve"> physical examination, X-</w:t>
      </w:r>
      <w:r w:rsidR="002C07F3" w:rsidRPr="00746D0E">
        <w:rPr>
          <w:rFonts w:asciiTheme="minorHAnsi" w:hAnsiTheme="minorHAnsi"/>
          <w:lang w:val="en-US"/>
        </w:rPr>
        <w:t>r</w:t>
      </w:r>
      <w:r w:rsidRPr="00746D0E">
        <w:rPr>
          <w:rFonts w:asciiTheme="minorHAnsi" w:hAnsiTheme="minorHAnsi"/>
          <w:lang w:val="en-US"/>
        </w:rPr>
        <w:t>ay</w:t>
      </w:r>
      <w:r w:rsidR="00F77C6D" w:rsidRPr="00746D0E">
        <w:rPr>
          <w:rFonts w:asciiTheme="minorHAnsi" w:hAnsiTheme="minorHAnsi"/>
          <w:lang w:val="en-US"/>
        </w:rPr>
        <w:t>s</w:t>
      </w:r>
      <w:r w:rsidR="00BA676C" w:rsidRPr="00746D0E">
        <w:rPr>
          <w:rFonts w:asciiTheme="minorHAnsi" w:hAnsiTheme="minorHAnsi"/>
          <w:lang w:val="en-US"/>
        </w:rPr>
        <w:t xml:space="preserve"> (image and report)</w:t>
      </w:r>
      <w:r w:rsidRPr="00746D0E">
        <w:rPr>
          <w:rFonts w:asciiTheme="minorHAnsi" w:hAnsiTheme="minorHAnsi"/>
          <w:lang w:val="en-US"/>
        </w:rPr>
        <w:t xml:space="preserve"> and bacteriological results</w:t>
      </w:r>
      <w:r w:rsidR="0073073D" w:rsidRPr="00746D0E">
        <w:rPr>
          <w:rFonts w:asciiTheme="minorHAnsi" w:hAnsiTheme="minorHAnsi"/>
          <w:lang w:val="en-US"/>
        </w:rPr>
        <w:t>.</w:t>
      </w:r>
    </w:p>
    <w:p w14:paraId="17230415" w14:textId="430A0285" w:rsidR="000C22D6" w:rsidRPr="00954C95" w:rsidRDefault="00CB3274" w:rsidP="00B44204">
      <w:pPr>
        <w:spacing w:before="80" w:line="240" w:lineRule="auto"/>
        <w:ind w:left="709"/>
        <w:jc w:val="both"/>
        <w:rPr>
          <w:i/>
          <w:sz w:val="24"/>
          <w:szCs w:val="24"/>
          <w:lang w:val="en-US"/>
        </w:rPr>
      </w:pPr>
      <w:r w:rsidRPr="00954C95">
        <w:rPr>
          <w:b/>
          <w:i/>
          <w:sz w:val="24"/>
          <w:szCs w:val="24"/>
          <w:lang w:val="en-US"/>
        </w:rPr>
        <w:t>5.</w:t>
      </w:r>
      <w:r w:rsidR="000B566A" w:rsidRPr="00954C95">
        <w:rPr>
          <w:b/>
          <w:i/>
          <w:sz w:val="24"/>
          <w:szCs w:val="24"/>
          <w:lang w:val="en-US"/>
        </w:rPr>
        <w:t>2</w:t>
      </w:r>
      <w:r w:rsidR="00EB1C9F" w:rsidRPr="00954C95">
        <w:rPr>
          <w:b/>
          <w:i/>
          <w:sz w:val="24"/>
          <w:szCs w:val="24"/>
          <w:lang w:val="en-US"/>
        </w:rPr>
        <w:t xml:space="preserve">. </w:t>
      </w:r>
      <w:r w:rsidR="000C22D6" w:rsidRPr="00954C95">
        <w:rPr>
          <w:b/>
          <w:i/>
          <w:sz w:val="24"/>
          <w:szCs w:val="24"/>
          <w:lang w:val="en-US"/>
        </w:rPr>
        <w:t>Evaluation of the bacteriological, radiographic and clinical evolution</w:t>
      </w:r>
    </w:p>
    <w:p w14:paraId="330A6E2C" w14:textId="6A79D702" w:rsidR="004F4A4A" w:rsidRPr="00954C95" w:rsidRDefault="00F97973" w:rsidP="001115FB">
      <w:pPr>
        <w:jc w:val="both"/>
        <w:rPr>
          <w:lang w:val="en-US"/>
        </w:rPr>
      </w:pPr>
      <w:r w:rsidRPr="00954C95">
        <w:rPr>
          <w:lang w:val="en-US"/>
        </w:rPr>
        <w:t>The</w:t>
      </w:r>
      <w:r w:rsidRPr="00954C95">
        <w:rPr>
          <w:b/>
          <w:lang w:val="en-US"/>
        </w:rPr>
        <w:t xml:space="preserve"> </w:t>
      </w:r>
      <w:r w:rsidR="00775EB1" w:rsidRPr="00954C95">
        <w:rPr>
          <w:b/>
          <w:lang w:val="en-US"/>
        </w:rPr>
        <w:t>Site</w:t>
      </w:r>
      <w:r w:rsidRPr="00954C95">
        <w:rPr>
          <w:b/>
          <w:lang w:val="en-US"/>
        </w:rPr>
        <w:t>-CI</w:t>
      </w:r>
      <w:r w:rsidR="004F4A4A" w:rsidRPr="00954C95">
        <w:rPr>
          <w:lang w:val="en-US"/>
        </w:rPr>
        <w:t xml:space="preserve">, with support from the </w:t>
      </w:r>
      <w:r w:rsidR="00775EB1" w:rsidRPr="00954C95">
        <w:rPr>
          <w:b/>
          <w:lang w:val="en-US"/>
        </w:rPr>
        <w:t>Site</w:t>
      </w:r>
      <w:r w:rsidR="004F4A4A" w:rsidRPr="00954C95">
        <w:rPr>
          <w:b/>
          <w:lang w:val="en-US"/>
        </w:rPr>
        <w:t>-PI</w:t>
      </w:r>
      <w:r w:rsidR="004F4A4A" w:rsidRPr="00954C95">
        <w:rPr>
          <w:lang w:val="en-US"/>
        </w:rPr>
        <w:t xml:space="preserve"> if needed,</w:t>
      </w:r>
      <w:r w:rsidRPr="00954C95">
        <w:rPr>
          <w:b/>
          <w:lang w:val="en-US"/>
        </w:rPr>
        <w:t xml:space="preserve"> </w:t>
      </w:r>
      <w:r w:rsidR="002B36FB" w:rsidRPr="00954C95">
        <w:rPr>
          <w:lang w:val="en-US"/>
        </w:rPr>
        <w:t>classifies</w:t>
      </w:r>
      <w:r w:rsidR="00412216" w:rsidRPr="00954C95">
        <w:rPr>
          <w:lang w:val="en-US"/>
        </w:rPr>
        <w:t xml:space="preserve"> the evolution of the participant</w:t>
      </w:r>
      <w:r w:rsidR="00BA676C" w:rsidRPr="00954C95">
        <w:rPr>
          <w:lang w:val="en-US"/>
        </w:rPr>
        <w:t>’s condition since randomization</w:t>
      </w:r>
      <w:r w:rsidR="00412216" w:rsidRPr="00954C95">
        <w:rPr>
          <w:lang w:val="en-US"/>
        </w:rPr>
        <w:t xml:space="preserve"> </w:t>
      </w:r>
      <w:r w:rsidR="0051061A" w:rsidRPr="00954C95">
        <w:rPr>
          <w:lang w:val="en-US"/>
        </w:rPr>
        <w:t>in</w:t>
      </w:r>
      <w:r w:rsidR="00273F03" w:rsidRPr="00954C95">
        <w:rPr>
          <w:lang w:val="en-US"/>
        </w:rPr>
        <w:t xml:space="preserve"> the following three categories: </w:t>
      </w:r>
      <w:r w:rsidR="00412216" w:rsidRPr="00954C95">
        <w:rPr>
          <w:lang w:val="en-US"/>
        </w:rPr>
        <w:t>bacteriological, radiographic</w:t>
      </w:r>
      <w:r w:rsidR="004F4A4A" w:rsidRPr="00954C95">
        <w:rPr>
          <w:lang w:val="en-US"/>
        </w:rPr>
        <w:t>,</w:t>
      </w:r>
      <w:r w:rsidR="00412216" w:rsidRPr="00954C95">
        <w:rPr>
          <w:lang w:val="en-US"/>
        </w:rPr>
        <w:t xml:space="preserve"> and clinical</w:t>
      </w:r>
      <w:r w:rsidR="004F4A4A" w:rsidRPr="00954C95">
        <w:rPr>
          <w:lang w:val="en-US"/>
        </w:rPr>
        <w:t xml:space="preserve"> evolution.</w:t>
      </w:r>
    </w:p>
    <w:p w14:paraId="39F7CD13" w14:textId="003FA980" w:rsidR="004A7861" w:rsidRPr="00954C95" w:rsidRDefault="004F4A4A" w:rsidP="001115FB">
      <w:pPr>
        <w:jc w:val="both"/>
        <w:rPr>
          <w:lang w:val="en-US"/>
        </w:rPr>
      </w:pPr>
      <w:r w:rsidRPr="00954C95">
        <w:rPr>
          <w:lang w:val="en-US"/>
        </w:rPr>
        <w:t>The assessment of the evolution of the patient under treatment is only required in some specific cases, as defined in the endTB study protocol</w:t>
      </w:r>
      <w:r w:rsidR="008C18A1">
        <w:rPr>
          <w:lang w:val="en-US"/>
        </w:rPr>
        <w:t>s</w:t>
      </w:r>
      <w:r w:rsidRPr="00954C95">
        <w:rPr>
          <w:lang w:val="en-US"/>
        </w:rPr>
        <w:t xml:space="preserve"> and in </w:t>
      </w:r>
      <w:r w:rsidR="00F97973" w:rsidRPr="00954C95">
        <w:rPr>
          <w:b/>
          <w:i/>
          <w:lang w:val="en-US"/>
        </w:rPr>
        <w:t xml:space="preserve">SOP </w:t>
      </w:r>
      <w:r w:rsidR="00346BBC" w:rsidRPr="00954C95">
        <w:rPr>
          <w:b/>
          <w:i/>
          <w:lang w:val="en-US"/>
        </w:rPr>
        <w:t xml:space="preserve">SP-026-CT </w:t>
      </w:r>
      <w:r w:rsidR="006D1F0E" w:rsidRPr="00954C95">
        <w:rPr>
          <w:b/>
          <w:i/>
          <w:lang w:val="en-US"/>
        </w:rPr>
        <w:t>Reporting of Treatment Outcomes</w:t>
      </w:r>
      <w:r w:rsidR="00412216" w:rsidRPr="00954C95">
        <w:rPr>
          <w:lang w:val="en-US"/>
        </w:rPr>
        <w:t>.</w:t>
      </w:r>
    </w:p>
    <w:p w14:paraId="7C9DE8CD" w14:textId="376D02F1" w:rsidR="001115FB" w:rsidRPr="00461273" w:rsidRDefault="001115FB" w:rsidP="00B44204">
      <w:pPr>
        <w:spacing w:before="80" w:line="240" w:lineRule="auto"/>
        <w:ind w:left="720" w:firstLine="720"/>
        <w:jc w:val="both"/>
        <w:rPr>
          <w:rFonts w:eastAsiaTheme="majorEastAsia" w:cstheme="majorBidi"/>
          <w:i/>
          <w:iCs/>
          <w:color w:val="auto"/>
          <w:sz w:val="24"/>
          <w:lang w:val="en-US" w:eastAsia="en-US"/>
        </w:rPr>
      </w:pPr>
      <w:r w:rsidRPr="00461273">
        <w:rPr>
          <w:rFonts w:eastAsiaTheme="majorEastAsia" w:cstheme="majorBidi"/>
          <w:i/>
          <w:iCs/>
          <w:color w:val="auto"/>
          <w:sz w:val="24"/>
          <w:lang w:val="en-US" w:eastAsia="en-US"/>
        </w:rPr>
        <w:t>5.</w:t>
      </w:r>
      <w:r w:rsidR="007F1AD0" w:rsidRPr="00461273">
        <w:rPr>
          <w:rFonts w:eastAsiaTheme="majorEastAsia" w:cstheme="majorBidi"/>
          <w:i/>
          <w:iCs/>
          <w:color w:val="auto"/>
          <w:sz w:val="24"/>
          <w:lang w:val="en-US" w:eastAsia="en-US"/>
        </w:rPr>
        <w:t>2</w:t>
      </w:r>
      <w:r w:rsidRPr="00461273">
        <w:rPr>
          <w:rFonts w:eastAsiaTheme="majorEastAsia" w:cstheme="majorBidi"/>
          <w:i/>
          <w:iCs/>
          <w:color w:val="auto"/>
          <w:sz w:val="24"/>
          <w:lang w:val="en-US" w:eastAsia="en-US"/>
        </w:rPr>
        <w:t>.1. Bacteriological evolution</w:t>
      </w:r>
    </w:p>
    <w:p w14:paraId="7604C295" w14:textId="5F3A6621" w:rsidR="001115FB" w:rsidRPr="00954C95" w:rsidRDefault="00F97973" w:rsidP="00F414A8">
      <w:pPr>
        <w:jc w:val="both"/>
        <w:rPr>
          <w:lang w:val="en-US"/>
        </w:rPr>
      </w:pPr>
      <w:r w:rsidRPr="00954C95">
        <w:rPr>
          <w:b/>
          <w:lang w:val="en-US"/>
        </w:rPr>
        <w:t>Site-CI</w:t>
      </w:r>
      <w:r w:rsidR="002C116C" w:rsidRPr="00954C95">
        <w:rPr>
          <w:b/>
          <w:lang w:val="en-US"/>
        </w:rPr>
        <w:t xml:space="preserve">, </w:t>
      </w:r>
      <w:r w:rsidR="002C116C" w:rsidRPr="00954C95">
        <w:rPr>
          <w:lang w:val="en-US"/>
        </w:rPr>
        <w:t xml:space="preserve">with the help of the </w:t>
      </w:r>
      <w:r w:rsidR="00775EB1" w:rsidRPr="00954C95">
        <w:rPr>
          <w:b/>
          <w:lang w:val="en-US"/>
        </w:rPr>
        <w:t>Site</w:t>
      </w:r>
      <w:r w:rsidR="002C116C" w:rsidRPr="00954C95">
        <w:rPr>
          <w:b/>
          <w:lang w:val="en-US"/>
        </w:rPr>
        <w:t>-PI</w:t>
      </w:r>
      <w:r w:rsidR="002C116C" w:rsidRPr="00954C95">
        <w:rPr>
          <w:lang w:val="en-US"/>
        </w:rPr>
        <w:t xml:space="preserve"> if needed,</w:t>
      </w:r>
      <w:r w:rsidR="001115FB" w:rsidRPr="00954C95">
        <w:rPr>
          <w:lang w:val="en-US"/>
        </w:rPr>
        <w:t xml:space="preserve"> </w:t>
      </w:r>
      <w:r w:rsidRPr="00954C95">
        <w:rPr>
          <w:lang w:val="en-US"/>
        </w:rPr>
        <w:t xml:space="preserve">classifies </w:t>
      </w:r>
      <w:r w:rsidR="001115FB" w:rsidRPr="00954C95">
        <w:rPr>
          <w:lang w:val="en-US"/>
        </w:rPr>
        <w:t xml:space="preserve">the bacteriological evolution according to </w:t>
      </w:r>
      <w:r w:rsidRPr="00954C95">
        <w:rPr>
          <w:lang w:val="en-US"/>
        </w:rPr>
        <w:t xml:space="preserve">monthly culture and </w:t>
      </w:r>
      <w:r w:rsidR="00A84A9C" w:rsidRPr="00954C95">
        <w:rPr>
          <w:lang w:val="en-US"/>
        </w:rPr>
        <w:t>d</w:t>
      </w:r>
      <w:r w:rsidRPr="00954C95">
        <w:rPr>
          <w:lang w:val="en-US"/>
        </w:rPr>
        <w:t>r</w:t>
      </w:r>
      <w:r w:rsidR="00533324" w:rsidRPr="00954C95">
        <w:rPr>
          <w:lang w:val="en-US"/>
        </w:rPr>
        <w:t>u</w:t>
      </w:r>
      <w:r w:rsidRPr="00954C95">
        <w:rPr>
          <w:lang w:val="en-US"/>
        </w:rPr>
        <w:t xml:space="preserve">g </w:t>
      </w:r>
      <w:r w:rsidR="00A84A9C" w:rsidRPr="00954C95">
        <w:rPr>
          <w:lang w:val="en-US"/>
        </w:rPr>
        <w:t>s</w:t>
      </w:r>
      <w:r w:rsidRPr="00954C95">
        <w:rPr>
          <w:lang w:val="en-US"/>
        </w:rPr>
        <w:t>usc</w:t>
      </w:r>
      <w:r w:rsidR="00533324" w:rsidRPr="00954C95">
        <w:rPr>
          <w:lang w:val="en-US"/>
        </w:rPr>
        <w:t xml:space="preserve">eptibility </w:t>
      </w:r>
      <w:r w:rsidR="00A84A9C" w:rsidRPr="00954C95">
        <w:rPr>
          <w:lang w:val="en-US"/>
        </w:rPr>
        <w:t>t</w:t>
      </w:r>
      <w:r w:rsidR="002B36FB" w:rsidRPr="00954C95">
        <w:rPr>
          <w:lang w:val="en-US"/>
        </w:rPr>
        <w:t xml:space="preserve">est (DST) </w:t>
      </w:r>
      <w:r w:rsidR="00533324" w:rsidRPr="00954C95">
        <w:rPr>
          <w:lang w:val="en-US"/>
        </w:rPr>
        <w:t>results</w:t>
      </w:r>
      <w:r w:rsidR="00775EB1" w:rsidRPr="00954C95">
        <w:rPr>
          <w:lang w:val="en-US"/>
        </w:rPr>
        <w:t xml:space="preserve"> as</w:t>
      </w:r>
      <w:r w:rsidR="001115FB" w:rsidRPr="00954C95">
        <w:rPr>
          <w:lang w:val="en-US"/>
        </w:rPr>
        <w:t>:</w:t>
      </w:r>
    </w:p>
    <w:p w14:paraId="301BA453" w14:textId="3E682C0A" w:rsidR="001115FB" w:rsidRPr="00954C95" w:rsidRDefault="001115FB" w:rsidP="000A6AB0">
      <w:pPr>
        <w:pStyle w:val="ListParagraph"/>
        <w:numPr>
          <w:ilvl w:val="0"/>
          <w:numId w:val="20"/>
        </w:numPr>
        <w:jc w:val="both"/>
        <w:rPr>
          <w:lang w:val="en-US"/>
        </w:rPr>
      </w:pPr>
      <w:r w:rsidRPr="00954C95">
        <w:rPr>
          <w:u w:val="single"/>
          <w:lang w:val="en-US"/>
        </w:rPr>
        <w:t>Unfavorable evolution</w:t>
      </w:r>
      <w:r w:rsidR="00320195" w:rsidRPr="00954C95">
        <w:rPr>
          <w:lang w:val="en-US"/>
        </w:rPr>
        <w:t>:</w:t>
      </w:r>
      <w:r w:rsidR="00DD3E07" w:rsidRPr="00954C95">
        <w:rPr>
          <w:lang w:val="en-US"/>
        </w:rPr>
        <w:t xml:space="preserve"> presence of </w:t>
      </w:r>
      <w:r w:rsidR="00D567CF" w:rsidRPr="00954C95">
        <w:rPr>
          <w:lang w:val="en-US"/>
        </w:rPr>
        <w:t>two</w:t>
      </w:r>
      <w:r w:rsidR="00943326" w:rsidRPr="00954C95">
        <w:rPr>
          <w:lang w:val="en-US"/>
        </w:rPr>
        <w:t xml:space="preserve"> or more</w:t>
      </w:r>
      <w:r w:rsidR="00F473D0" w:rsidRPr="00954C95">
        <w:rPr>
          <w:lang w:val="en-US"/>
        </w:rPr>
        <w:t xml:space="preserve"> </w:t>
      </w:r>
      <w:r w:rsidR="00DD3E07" w:rsidRPr="00954C95">
        <w:rPr>
          <w:lang w:val="en-US"/>
        </w:rPr>
        <w:t>positive sputum culture result</w:t>
      </w:r>
      <w:r w:rsidR="00574462" w:rsidRPr="00954C95">
        <w:rPr>
          <w:lang w:val="en-US"/>
        </w:rPr>
        <w:t>s</w:t>
      </w:r>
      <w:r w:rsidR="000A6AB0" w:rsidRPr="00954C95">
        <w:rPr>
          <w:lang w:val="en-US"/>
        </w:rPr>
        <w:t>,</w:t>
      </w:r>
      <w:r w:rsidR="00EA42CA" w:rsidRPr="00954C95">
        <w:rPr>
          <w:lang w:val="en-US"/>
        </w:rPr>
        <w:t xml:space="preserve"> </w:t>
      </w:r>
      <w:r w:rsidR="00BD6E15" w:rsidRPr="00954C95">
        <w:rPr>
          <w:lang w:val="en-US"/>
        </w:rPr>
        <w:t>without evidence of cross</w:t>
      </w:r>
      <w:r w:rsidR="00346BBC" w:rsidRPr="00954C95">
        <w:rPr>
          <w:lang w:val="en-US"/>
        </w:rPr>
        <w:t>-</w:t>
      </w:r>
      <w:r w:rsidR="00BD6E15" w:rsidRPr="00954C95">
        <w:rPr>
          <w:lang w:val="en-US"/>
        </w:rPr>
        <w:t>contamination</w:t>
      </w:r>
      <w:r w:rsidR="000A6AB0" w:rsidRPr="00954C95">
        <w:rPr>
          <w:lang w:val="en-US"/>
        </w:rPr>
        <w:t>,</w:t>
      </w:r>
      <w:r w:rsidR="00BD6E15" w:rsidRPr="00954C95">
        <w:rPr>
          <w:lang w:val="en-US"/>
        </w:rPr>
        <w:t xml:space="preserve"> </w:t>
      </w:r>
      <w:r w:rsidR="000A6AB0" w:rsidRPr="00954C95">
        <w:rPr>
          <w:lang w:val="en-US"/>
        </w:rPr>
        <w:t xml:space="preserve">from </w:t>
      </w:r>
      <w:r w:rsidR="00EA42CA" w:rsidRPr="00954C95">
        <w:rPr>
          <w:lang w:val="en-US"/>
        </w:rPr>
        <w:t>sputum specimens collected at different visits</w:t>
      </w:r>
      <w:r w:rsidR="0018433C" w:rsidRPr="00954C95">
        <w:rPr>
          <w:lang w:val="en-US"/>
        </w:rPr>
        <w:t xml:space="preserve"> (scheduled or unscheduled)</w:t>
      </w:r>
      <w:r w:rsidR="00943326" w:rsidRPr="00954C95">
        <w:rPr>
          <w:lang w:val="en-US"/>
        </w:rPr>
        <w:t xml:space="preserve"> at or after </w:t>
      </w:r>
      <w:r w:rsidR="0018433C" w:rsidRPr="00954C95">
        <w:rPr>
          <w:lang w:val="en-US"/>
        </w:rPr>
        <w:t>the prior outcome assignment</w:t>
      </w:r>
      <w:r w:rsidR="00D567CF" w:rsidRPr="00954C95">
        <w:rPr>
          <w:lang w:val="en-US"/>
        </w:rPr>
        <w:t>;</w:t>
      </w:r>
      <w:r w:rsidR="00977C82" w:rsidRPr="00954C95">
        <w:rPr>
          <w:lang w:val="en-US"/>
        </w:rPr>
        <w:t xml:space="preserve"> or, acquisition of drug resistance</w:t>
      </w:r>
      <w:r w:rsidR="004B1C88" w:rsidRPr="00954C95">
        <w:rPr>
          <w:lang w:val="en-US"/>
        </w:rPr>
        <w:t xml:space="preserve"> (proven by DST and confirmed by I</w:t>
      </w:r>
      <w:r w:rsidR="008C18A1">
        <w:rPr>
          <w:lang w:val="en-US"/>
        </w:rPr>
        <w:t xml:space="preserve">nstitute of </w:t>
      </w:r>
      <w:r w:rsidR="004B1C88" w:rsidRPr="00954C95">
        <w:rPr>
          <w:lang w:val="en-US"/>
        </w:rPr>
        <w:t>T</w:t>
      </w:r>
      <w:r w:rsidR="008C18A1">
        <w:rPr>
          <w:lang w:val="en-US"/>
        </w:rPr>
        <w:t xml:space="preserve">ropical </w:t>
      </w:r>
      <w:r w:rsidR="004B1C88" w:rsidRPr="00954C95">
        <w:rPr>
          <w:lang w:val="en-US"/>
        </w:rPr>
        <w:t>M</w:t>
      </w:r>
      <w:r w:rsidR="008C18A1">
        <w:rPr>
          <w:lang w:val="en-US"/>
        </w:rPr>
        <w:t>edicine</w:t>
      </w:r>
      <w:r w:rsidR="004B1C88" w:rsidRPr="00954C95">
        <w:rPr>
          <w:lang w:val="en-US"/>
        </w:rPr>
        <w:t>)</w:t>
      </w:r>
      <w:r w:rsidR="00977C82" w:rsidRPr="00954C95">
        <w:rPr>
          <w:lang w:val="en-US"/>
        </w:rPr>
        <w:t xml:space="preserve"> to any fluoroquinolone (ofloxacin, levofloxacin, or moxifloxacin)</w:t>
      </w:r>
      <w:r w:rsidR="004B1C88" w:rsidRPr="00954C95">
        <w:rPr>
          <w:lang w:val="en-US"/>
        </w:rPr>
        <w:t xml:space="preserve"> or other drug(s)</w:t>
      </w:r>
      <w:r w:rsidR="00632C4B" w:rsidRPr="00954C95">
        <w:rPr>
          <w:lang w:val="en-US"/>
        </w:rPr>
        <w:t xml:space="preserve"> </w:t>
      </w:r>
      <w:r w:rsidR="004B5974" w:rsidRPr="00954C95">
        <w:rPr>
          <w:lang w:val="en-US"/>
        </w:rPr>
        <w:t>that</w:t>
      </w:r>
      <w:r w:rsidR="00632C4B" w:rsidRPr="00954C95">
        <w:rPr>
          <w:lang w:val="en-US"/>
        </w:rPr>
        <w:t xml:space="preserve"> was</w:t>
      </w:r>
      <w:r w:rsidR="004B1C88" w:rsidRPr="00954C95">
        <w:rPr>
          <w:lang w:val="en-US"/>
        </w:rPr>
        <w:t>/were</w:t>
      </w:r>
      <w:r w:rsidR="00632C4B" w:rsidRPr="00954C95">
        <w:rPr>
          <w:lang w:val="en-US"/>
        </w:rPr>
        <w:t xml:space="preserve"> given as part of study treatment in experimental or control arms</w:t>
      </w:r>
      <w:r w:rsidR="00775EB1" w:rsidRPr="00954C95">
        <w:rPr>
          <w:lang w:val="en-US"/>
        </w:rPr>
        <w:t>.</w:t>
      </w:r>
    </w:p>
    <w:p w14:paraId="52F13CF3" w14:textId="1362EF5E" w:rsidR="00D567CF" w:rsidRPr="00954C95" w:rsidRDefault="00D567CF" w:rsidP="001115FB">
      <w:pPr>
        <w:pStyle w:val="ListParagraph"/>
        <w:numPr>
          <w:ilvl w:val="0"/>
          <w:numId w:val="20"/>
        </w:numPr>
        <w:jc w:val="both"/>
        <w:rPr>
          <w:lang w:val="en-US"/>
        </w:rPr>
      </w:pPr>
      <w:proofErr w:type="spellStart"/>
      <w:r w:rsidRPr="00954C95">
        <w:rPr>
          <w:u w:val="single"/>
          <w:lang w:val="en-US"/>
        </w:rPr>
        <w:t>Unassessable</w:t>
      </w:r>
      <w:proofErr w:type="spellEnd"/>
      <w:r w:rsidR="00775EB1" w:rsidRPr="00954C95">
        <w:rPr>
          <w:u w:val="single"/>
          <w:lang w:val="en-US"/>
        </w:rPr>
        <w:t xml:space="preserve"> evolution</w:t>
      </w:r>
      <w:r w:rsidRPr="00954C95">
        <w:rPr>
          <w:lang w:val="en-US"/>
        </w:rPr>
        <w:t xml:space="preserve">: sputum culture results without evidence of cross-contamination on sputum specimens collected at different visits at </w:t>
      </w:r>
      <w:r w:rsidR="001C54E2" w:rsidRPr="00954C95">
        <w:rPr>
          <w:lang w:val="en-US"/>
        </w:rPr>
        <w:t xml:space="preserve">or after the prior outcome assignment </w:t>
      </w:r>
      <w:r w:rsidR="004B5974" w:rsidRPr="00954C95">
        <w:rPr>
          <w:lang w:val="en-US"/>
        </w:rPr>
        <w:t>are unavailable</w:t>
      </w:r>
      <w:r w:rsidR="00775EB1" w:rsidRPr="00954C95">
        <w:rPr>
          <w:lang w:val="en-US"/>
        </w:rPr>
        <w:t>.</w:t>
      </w:r>
    </w:p>
    <w:p w14:paraId="16F3738D" w14:textId="6953D3F4" w:rsidR="00D567CF" w:rsidRPr="00954C95" w:rsidRDefault="00D567CF" w:rsidP="00D567CF">
      <w:pPr>
        <w:pStyle w:val="ListParagraph"/>
        <w:numPr>
          <w:ilvl w:val="0"/>
          <w:numId w:val="20"/>
        </w:numPr>
        <w:jc w:val="both"/>
        <w:rPr>
          <w:lang w:val="en-US"/>
        </w:rPr>
      </w:pPr>
      <w:r w:rsidRPr="00954C95">
        <w:rPr>
          <w:u w:val="single"/>
          <w:lang w:val="en-US"/>
        </w:rPr>
        <w:t>Favorable evolution</w:t>
      </w:r>
      <w:r w:rsidRPr="00954C95">
        <w:rPr>
          <w:lang w:val="en-US"/>
        </w:rPr>
        <w:t xml:space="preserve">: if classified </w:t>
      </w:r>
      <w:r w:rsidR="00E85448" w:rsidRPr="00954C95">
        <w:rPr>
          <w:lang w:val="en-US"/>
        </w:rPr>
        <w:t xml:space="preserve">neither </w:t>
      </w:r>
      <w:r w:rsidRPr="00954C95">
        <w:rPr>
          <w:lang w:val="en-US"/>
        </w:rPr>
        <w:t xml:space="preserve">as unfavorable nor as </w:t>
      </w:r>
      <w:proofErr w:type="spellStart"/>
      <w:r w:rsidRPr="00954C95">
        <w:rPr>
          <w:lang w:val="en-US"/>
        </w:rPr>
        <w:t>unassessable</w:t>
      </w:r>
      <w:proofErr w:type="spellEnd"/>
      <w:r w:rsidRPr="00954C95">
        <w:rPr>
          <w:lang w:val="en-US"/>
        </w:rPr>
        <w:t>.</w:t>
      </w:r>
    </w:p>
    <w:p w14:paraId="3024032E" w14:textId="2B0CA255" w:rsidR="001115FB" w:rsidRPr="00461273" w:rsidRDefault="001115FB" w:rsidP="00B44204">
      <w:pPr>
        <w:spacing w:before="80" w:line="240" w:lineRule="auto"/>
        <w:ind w:left="720" w:firstLine="720"/>
        <w:jc w:val="both"/>
        <w:rPr>
          <w:rFonts w:eastAsiaTheme="majorEastAsia" w:cstheme="majorBidi"/>
          <w:i/>
          <w:iCs/>
          <w:color w:val="auto"/>
          <w:sz w:val="24"/>
          <w:lang w:val="en-US" w:eastAsia="en-US"/>
        </w:rPr>
      </w:pPr>
      <w:r w:rsidRPr="00461273">
        <w:rPr>
          <w:rFonts w:eastAsiaTheme="majorEastAsia" w:cstheme="majorBidi"/>
          <w:i/>
          <w:iCs/>
          <w:color w:val="auto"/>
          <w:sz w:val="24"/>
          <w:lang w:val="en-US" w:eastAsia="en-US"/>
        </w:rPr>
        <w:t>5.</w:t>
      </w:r>
      <w:r w:rsidR="007F1AD0" w:rsidRPr="00461273">
        <w:rPr>
          <w:rFonts w:eastAsiaTheme="majorEastAsia" w:cstheme="majorBidi"/>
          <w:i/>
          <w:iCs/>
          <w:color w:val="auto"/>
          <w:sz w:val="24"/>
          <w:lang w:val="en-US" w:eastAsia="en-US"/>
        </w:rPr>
        <w:t>2</w:t>
      </w:r>
      <w:r w:rsidRPr="00461273">
        <w:rPr>
          <w:rFonts w:eastAsiaTheme="majorEastAsia" w:cstheme="majorBidi"/>
          <w:i/>
          <w:iCs/>
          <w:color w:val="auto"/>
          <w:sz w:val="24"/>
          <w:lang w:val="en-US" w:eastAsia="en-US"/>
        </w:rPr>
        <w:t>.2. Radiographic evolution</w:t>
      </w:r>
    </w:p>
    <w:p w14:paraId="709AD699" w14:textId="047FB927" w:rsidR="001115FB" w:rsidRPr="00954C95" w:rsidRDefault="00533324" w:rsidP="00EC3102">
      <w:pPr>
        <w:jc w:val="both"/>
        <w:rPr>
          <w:lang w:val="en-US"/>
        </w:rPr>
      </w:pPr>
      <w:r w:rsidRPr="00954C95">
        <w:rPr>
          <w:lang w:val="en-US"/>
        </w:rPr>
        <w:t xml:space="preserve">The </w:t>
      </w:r>
      <w:r w:rsidR="00775EB1" w:rsidRPr="00954C95">
        <w:rPr>
          <w:b/>
          <w:lang w:val="en-US"/>
        </w:rPr>
        <w:t>Site</w:t>
      </w:r>
      <w:r w:rsidRPr="00954C95">
        <w:rPr>
          <w:b/>
          <w:lang w:val="en-US"/>
        </w:rPr>
        <w:t>-CI</w:t>
      </w:r>
      <w:r w:rsidR="0051061A" w:rsidRPr="00954C95">
        <w:rPr>
          <w:b/>
          <w:lang w:val="en-US"/>
        </w:rPr>
        <w:t>,</w:t>
      </w:r>
      <w:r w:rsidR="0051061A" w:rsidRPr="00954C95">
        <w:rPr>
          <w:lang w:val="en-US"/>
        </w:rPr>
        <w:t xml:space="preserve"> with the help of the </w:t>
      </w:r>
      <w:r w:rsidR="00775EB1" w:rsidRPr="00954C95">
        <w:rPr>
          <w:b/>
          <w:lang w:val="en-US"/>
        </w:rPr>
        <w:t>S</w:t>
      </w:r>
      <w:r w:rsidR="0051061A" w:rsidRPr="00954C95">
        <w:rPr>
          <w:b/>
          <w:lang w:val="en-US"/>
        </w:rPr>
        <w:t>ite-PI</w:t>
      </w:r>
      <w:r w:rsidR="004F4A4A" w:rsidRPr="00954C95">
        <w:rPr>
          <w:lang w:val="en-US"/>
        </w:rPr>
        <w:t xml:space="preserve"> if needed</w:t>
      </w:r>
      <w:r w:rsidR="0051061A" w:rsidRPr="00954C95">
        <w:rPr>
          <w:lang w:val="en-US"/>
        </w:rPr>
        <w:t>,</w:t>
      </w:r>
      <w:r w:rsidR="001115FB" w:rsidRPr="00954C95">
        <w:rPr>
          <w:lang w:val="en-US"/>
        </w:rPr>
        <w:t xml:space="preserve"> </w:t>
      </w:r>
      <w:r w:rsidRPr="00954C95">
        <w:rPr>
          <w:lang w:val="en-US"/>
        </w:rPr>
        <w:t xml:space="preserve">classifies </w:t>
      </w:r>
      <w:r w:rsidR="001115FB" w:rsidRPr="00954C95">
        <w:rPr>
          <w:lang w:val="en-US"/>
        </w:rPr>
        <w:t xml:space="preserve">the radiographic evolution according to the </w:t>
      </w:r>
      <w:r w:rsidRPr="00954C95">
        <w:rPr>
          <w:lang w:val="en-US"/>
        </w:rPr>
        <w:t>changes on chest X</w:t>
      </w:r>
      <w:r w:rsidR="00C35E5D" w:rsidRPr="00954C95">
        <w:rPr>
          <w:lang w:val="en-US"/>
        </w:rPr>
        <w:t>-</w:t>
      </w:r>
      <w:r w:rsidR="004F4A4A" w:rsidRPr="00954C95">
        <w:rPr>
          <w:lang w:val="en-US"/>
        </w:rPr>
        <w:t xml:space="preserve">ray at scheduled </w:t>
      </w:r>
      <w:r w:rsidRPr="00954C95">
        <w:rPr>
          <w:lang w:val="en-US"/>
        </w:rPr>
        <w:t>and unscheduled visits</w:t>
      </w:r>
      <w:r w:rsidR="004F4A4A" w:rsidRPr="00954C95">
        <w:rPr>
          <w:lang w:val="en-US"/>
        </w:rPr>
        <w:t xml:space="preserve">, using the </w:t>
      </w:r>
      <w:r w:rsidR="001115FB" w:rsidRPr="00954C95">
        <w:rPr>
          <w:lang w:val="en-US"/>
        </w:rPr>
        <w:t>following criteria:</w:t>
      </w:r>
    </w:p>
    <w:p w14:paraId="2C1C1C0D" w14:textId="6588EFBA" w:rsidR="001115FB" w:rsidRPr="00954C95" w:rsidRDefault="001115FB" w:rsidP="001115FB">
      <w:pPr>
        <w:pStyle w:val="ListParagraph"/>
        <w:numPr>
          <w:ilvl w:val="0"/>
          <w:numId w:val="20"/>
        </w:numPr>
        <w:jc w:val="both"/>
        <w:rPr>
          <w:lang w:val="en-US"/>
        </w:rPr>
      </w:pPr>
      <w:r w:rsidRPr="00954C95">
        <w:rPr>
          <w:u w:val="single"/>
          <w:lang w:val="en-US"/>
        </w:rPr>
        <w:t>Unfavorable evolution</w:t>
      </w:r>
      <w:r w:rsidR="007005DC" w:rsidRPr="00954C95">
        <w:rPr>
          <w:lang w:val="en-US"/>
        </w:rPr>
        <w:t xml:space="preserve">: presence of </w:t>
      </w:r>
      <w:r w:rsidR="00412216" w:rsidRPr="00954C95">
        <w:rPr>
          <w:lang w:val="en-US"/>
        </w:rPr>
        <w:t>any of the following</w:t>
      </w:r>
      <w:r w:rsidR="000A6AB0" w:rsidRPr="00954C95">
        <w:rPr>
          <w:lang w:val="en-US"/>
        </w:rPr>
        <w:t xml:space="preserve"> in the most recent X-ray, compared to baseline</w:t>
      </w:r>
      <w:r w:rsidR="007005DC" w:rsidRPr="00954C95">
        <w:rPr>
          <w:lang w:val="en-US"/>
        </w:rPr>
        <w:t>:</w:t>
      </w:r>
    </w:p>
    <w:p w14:paraId="74653BD4" w14:textId="32EEAE96" w:rsidR="007005DC" w:rsidRPr="00954C95" w:rsidRDefault="007005DC" w:rsidP="007005DC">
      <w:pPr>
        <w:pStyle w:val="ListParagraph"/>
        <w:numPr>
          <w:ilvl w:val="1"/>
          <w:numId w:val="20"/>
        </w:numPr>
        <w:jc w:val="both"/>
        <w:rPr>
          <w:lang w:val="en-US"/>
        </w:rPr>
      </w:pPr>
      <w:r w:rsidRPr="00954C95">
        <w:rPr>
          <w:lang w:val="en-US"/>
        </w:rPr>
        <w:t>Appearance of a new lung cavity, or increase</w:t>
      </w:r>
      <w:r w:rsidR="00D567CF" w:rsidRPr="00954C95">
        <w:rPr>
          <w:lang w:val="en-US"/>
        </w:rPr>
        <w:t xml:space="preserve"> of 1 cm or more</w:t>
      </w:r>
      <w:r w:rsidRPr="00954C95">
        <w:rPr>
          <w:lang w:val="en-US"/>
        </w:rPr>
        <w:t xml:space="preserve"> in the </w:t>
      </w:r>
      <w:r w:rsidR="00D567CF" w:rsidRPr="00954C95">
        <w:rPr>
          <w:lang w:val="en-US"/>
        </w:rPr>
        <w:t xml:space="preserve">diameter </w:t>
      </w:r>
      <w:r w:rsidRPr="00954C95">
        <w:rPr>
          <w:lang w:val="en-US"/>
        </w:rPr>
        <w:t xml:space="preserve">of a pre-existing cavitary </w:t>
      </w:r>
      <w:r w:rsidR="00C07993" w:rsidRPr="00954C95">
        <w:rPr>
          <w:lang w:val="en-US"/>
        </w:rPr>
        <w:t xml:space="preserve">lesion, without evidence of </w:t>
      </w:r>
      <w:r w:rsidR="00E42B15" w:rsidRPr="00954C95">
        <w:rPr>
          <w:lang w:val="en-US"/>
        </w:rPr>
        <w:t xml:space="preserve">association with </w:t>
      </w:r>
      <w:r w:rsidR="00C07993" w:rsidRPr="00954C95">
        <w:rPr>
          <w:lang w:val="en-US"/>
        </w:rPr>
        <w:t xml:space="preserve">another </w:t>
      </w:r>
      <w:r w:rsidR="00533324" w:rsidRPr="00954C95">
        <w:rPr>
          <w:lang w:val="en-US"/>
        </w:rPr>
        <w:t xml:space="preserve">concomitant </w:t>
      </w:r>
      <w:r w:rsidR="00C07993" w:rsidRPr="00954C95">
        <w:rPr>
          <w:lang w:val="en-US"/>
        </w:rPr>
        <w:t>disease</w:t>
      </w:r>
      <w:r w:rsidR="00775EB1" w:rsidRPr="00954C95">
        <w:rPr>
          <w:lang w:val="en-US"/>
        </w:rPr>
        <w:t>.</w:t>
      </w:r>
    </w:p>
    <w:p w14:paraId="015B2139" w14:textId="09AC8AC9" w:rsidR="007005DC" w:rsidRPr="00954C95" w:rsidRDefault="007005DC" w:rsidP="000B566A">
      <w:pPr>
        <w:pStyle w:val="ListParagraph"/>
        <w:numPr>
          <w:ilvl w:val="1"/>
          <w:numId w:val="20"/>
        </w:numPr>
        <w:jc w:val="both"/>
        <w:rPr>
          <w:lang w:val="en-US"/>
        </w:rPr>
      </w:pPr>
      <w:r w:rsidRPr="00954C95">
        <w:rPr>
          <w:lang w:val="en-US"/>
        </w:rPr>
        <w:lastRenderedPageBreak/>
        <w:t>Significant increase in the extension of lung lesions</w:t>
      </w:r>
      <w:r w:rsidR="0074185E" w:rsidRPr="00954C95">
        <w:rPr>
          <w:lang w:val="en-US"/>
        </w:rPr>
        <w:t>,</w:t>
      </w:r>
      <w:r w:rsidR="00533324" w:rsidRPr="00954C95">
        <w:rPr>
          <w:lang w:val="en-US"/>
        </w:rPr>
        <w:t xml:space="preserve"> </w:t>
      </w:r>
      <w:r w:rsidR="0091310D" w:rsidRPr="00954C95">
        <w:rPr>
          <w:lang w:val="en-US"/>
        </w:rPr>
        <w:t>i.e</w:t>
      </w:r>
      <w:r w:rsidR="00AB087E" w:rsidRPr="00954C95">
        <w:rPr>
          <w:lang w:val="en-US"/>
        </w:rPr>
        <w:t>.</w:t>
      </w:r>
      <w:r w:rsidR="0091310D" w:rsidRPr="00954C95">
        <w:rPr>
          <w:lang w:val="en-US"/>
        </w:rPr>
        <w:t>,</w:t>
      </w:r>
      <w:r w:rsidR="00AB087E" w:rsidRPr="00954C95">
        <w:rPr>
          <w:lang w:val="en-US"/>
        </w:rPr>
        <w:t xml:space="preserve"> </w:t>
      </w:r>
      <w:r w:rsidR="0074185E" w:rsidRPr="00954C95">
        <w:rPr>
          <w:lang w:val="en-US"/>
        </w:rPr>
        <w:t>from minimal</w:t>
      </w:r>
      <w:r w:rsidR="00533324" w:rsidRPr="00954C95">
        <w:rPr>
          <w:lang w:val="en-US"/>
        </w:rPr>
        <w:t xml:space="preserve"> </w:t>
      </w:r>
      <w:r w:rsidR="00AB087E" w:rsidRPr="00954C95">
        <w:rPr>
          <w:lang w:val="en-US"/>
        </w:rPr>
        <w:t xml:space="preserve">to </w:t>
      </w:r>
      <w:r w:rsidR="00533324" w:rsidRPr="00954C95">
        <w:rPr>
          <w:lang w:val="en-US"/>
        </w:rPr>
        <w:t>moderate</w:t>
      </w:r>
      <w:r w:rsidR="00AB087E" w:rsidRPr="00954C95">
        <w:rPr>
          <w:lang w:val="en-US"/>
        </w:rPr>
        <w:t xml:space="preserve"> or advanced</w:t>
      </w:r>
      <w:r w:rsidR="0091310D" w:rsidRPr="00954C95">
        <w:rPr>
          <w:lang w:val="en-US"/>
        </w:rPr>
        <w:t xml:space="preserve"> or from moderate to advanced</w:t>
      </w:r>
      <w:r w:rsidR="00AB087E" w:rsidRPr="00954C95">
        <w:rPr>
          <w:lang w:val="en-US"/>
        </w:rPr>
        <w:t>,</w:t>
      </w:r>
      <w:r w:rsidR="00C35E5D" w:rsidRPr="00954C95">
        <w:rPr>
          <w:lang w:val="en-US"/>
        </w:rPr>
        <w:t xml:space="preserve"> </w:t>
      </w:r>
      <w:r w:rsidR="00C07993" w:rsidRPr="00954C95">
        <w:rPr>
          <w:lang w:val="en-US"/>
        </w:rPr>
        <w:t>without evidence of as</w:t>
      </w:r>
      <w:r w:rsidR="00AB087E" w:rsidRPr="00954C95">
        <w:rPr>
          <w:lang w:val="en-US"/>
        </w:rPr>
        <w:t xml:space="preserve">sociation with another </w:t>
      </w:r>
      <w:r w:rsidR="0074185E" w:rsidRPr="00954C95">
        <w:rPr>
          <w:lang w:val="en-US"/>
        </w:rPr>
        <w:t xml:space="preserve">concomitant </w:t>
      </w:r>
      <w:r w:rsidR="00AB087E" w:rsidRPr="00954C95">
        <w:rPr>
          <w:lang w:val="en-US"/>
        </w:rPr>
        <w:t>disease</w:t>
      </w:r>
      <w:r w:rsidR="00775EB1" w:rsidRPr="00954C95">
        <w:rPr>
          <w:lang w:val="en-US"/>
        </w:rPr>
        <w:t>.</w:t>
      </w:r>
    </w:p>
    <w:p w14:paraId="125220C8" w14:textId="61C0B36C" w:rsidR="00533324" w:rsidRPr="00954C95" w:rsidRDefault="00DB5901" w:rsidP="007005DC">
      <w:pPr>
        <w:pStyle w:val="ListParagraph"/>
        <w:numPr>
          <w:ilvl w:val="1"/>
          <w:numId w:val="20"/>
        </w:numPr>
        <w:jc w:val="both"/>
        <w:rPr>
          <w:lang w:val="en-US"/>
        </w:rPr>
      </w:pPr>
      <w:r w:rsidRPr="00954C95">
        <w:rPr>
          <w:lang w:val="en-US"/>
        </w:rPr>
        <w:t xml:space="preserve">Appearance of </w:t>
      </w:r>
      <w:r w:rsidR="00533324" w:rsidRPr="00954C95">
        <w:rPr>
          <w:lang w:val="en-US"/>
        </w:rPr>
        <w:t xml:space="preserve">new lesions </w:t>
      </w:r>
      <w:r w:rsidR="007957AF" w:rsidRPr="00954C95">
        <w:rPr>
          <w:lang w:val="en-US"/>
        </w:rPr>
        <w:t>that</w:t>
      </w:r>
      <w:r w:rsidR="00533324" w:rsidRPr="00954C95">
        <w:rPr>
          <w:lang w:val="en-US"/>
        </w:rPr>
        <w:t xml:space="preserve"> could be suggestive of an active</w:t>
      </w:r>
      <w:r w:rsidR="00916EC9" w:rsidRPr="00954C95">
        <w:rPr>
          <w:lang w:val="en-US"/>
        </w:rPr>
        <w:t xml:space="preserve"> tuberculosis</w:t>
      </w:r>
      <w:r w:rsidR="00533324" w:rsidRPr="00954C95">
        <w:rPr>
          <w:lang w:val="en-US"/>
        </w:rPr>
        <w:t xml:space="preserve"> process</w:t>
      </w:r>
      <w:r w:rsidR="00916EC9" w:rsidRPr="00954C95">
        <w:rPr>
          <w:lang w:val="en-US"/>
        </w:rPr>
        <w:t>,</w:t>
      </w:r>
      <w:r w:rsidR="00533324" w:rsidRPr="00954C95">
        <w:rPr>
          <w:lang w:val="en-US"/>
        </w:rPr>
        <w:t xml:space="preserve"> without evidence</w:t>
      </w:r>
      <w:r w:rsidR="00916EC9" w:rsidRPr="00954C95">
        <w:rPr>
          <w:lang w:val="en-US"/>
        </w:rPr>
        <w:t xml:space="preserve"> of </w:t>
      </w:r>
      <w:r w:rsidR="0010524C" w:rsidRPr="00954C95">
        <w:rPr>
          <w:lang w:val="en-US"/>
        </w:rPr>
        <w:t xml:space="preserve">association with </w:t>
      </w:r>
      <w:r w:rsidR="00916EC9" w:rsidRPr="00954C95">
        <w:rPr>
          <w:lang w:val="en-US"/>
        </w:rPr>
        <w:t>another concomitant disease. For example:</w:t>
      </w:r>
      <w:r w:rsidR="00533324" w:rsidRPr="00954C95">
        <w:rPr>
          <w:lang w:val="en-US"/>
        </w:rPr>
        <w:t xml:space="preserve"> new infiltrate</w:t>
      </w:r>
      <w:r w:rsidR="00B554CB" w:rsidRPr="00954C95">
        <w:rPr>
          <w:lang w:val="en-US"/>
        </w:rPr>
        <w:t>(</w:t>
      </w:r>
      <w:r w:rsidR="00533324" w:rsidRPr="00954C95">
        <w:rPr>
          <w:lang w:val="en-US"/>
        </w:rPr>
        <w:t>s</w:t>
      </w:r>
      <w:r w:rsidR="00B554CB" w:rsidRPr="00954C95">
        <w:rPr>
          <w:lang w:val="en-US"/>
        </w:rPr>
        <w:t>)</w:t>
      </w:r>
      <w:r w:rsidR="00533324" w:rsidRPr="00954C95">
        <w:rPr>
          <w:lang w:val="en-US"/>
        </w:rPr>
        <w:t>, pleural effusion</w:t>
      </w:r>
      <w:r w:rsidR="00C66592" w:rsidRPr="00954C95">
        <w:rPr>
          <w:lang w:val="en-US"/>
        </w:rPr>
        <w:t>(s)</w:t>
      </w:r>
      <w:r w:rsidR="00533324" w:rsidRPr="00954C95">
        <w:rPr>
          <w:lang w:val="en-US"/>
        </w:rPr>
        <w:t>, mediastinal adenopath</w:t>
      </w:r>
      <w:r w:rsidR="00AB087E" w:rsidRPr="00954C95">
        <w:rPr>
          <w:lang w:val="en-US"/>
        </w:rPr>
        <w:t>y, etc.</w:t>
      </w:r>
    </w:p>
    <w:p w14:paraId="054BD733" w14:textId="6E4104FD" w:rsidR="00533324" w:rsidRPr="00954C95" w:rsidRDefault="007E6E7A" w:rsidP="00C93B63">
      <w:pPr>
        <w:jc w:val="both"/>
        <w:rPr>
          <w:lang w:val="en-US"/>
        </w:rPr>
      </w:pPr>
      <w:r w:rsidRPr="00C93B63">
        <w:rPr>
          <w:b/>
          <w:lang w:val="en-US"/>
        </w:rPr>
        <w:t>NOTE:</w:t>
      </w:r>
      <w:r w:rsidRPr="00954C95">
        <w:rPr>
          <w:lang w:val="en-US"/>
        </w:rPr>
        <w:t xml:space="preserve"> </w:t>
      </w:r>
      <w:r w:rsidR="00533324" w:rsidRPr="00954C95">
        <w:rPr>
          <w:lang w:val="en-US"/>
        </w:rPr>
        <w:t xml:space="preserve">The </w:t>
      </w:r>
      <w:r w:rsidR="00775EB1" w:rsidRPr="00954C95">
        <w:rPr>
          <w:b/>
          <w:lang w:val="en-US"/>
        </w:rPr>
        <w:t>Site</w:t>
      </w:r>
      <w:r w:rsidR="00533324" w:rsidRPr="00954C95">
        <w:rPr>
          <w:b/>
          <w:lang w:val="en-US"/>
        </w:rPr>
        <w:t>-CI</w:t>
      </w:r>
      <w:r w:rsidR="00D86B7C" w:rsidRPr="00954C95">
        <w:rPr>
          <w:lang w:val="en-US"/>
        </w:rPr>
        <w:t xml:space="preserve"> and </w:t>
      </w:r>
      <w:r w:rsidR="00775EB1" w:rsidRPr="00954C95">
        <w:rPr>
          <w:b/>
          <w:lang w:val="en-US"/>
        </w:rPr>
        <w:t>Site</w:t>
      </w:r>
      <w:r w:rsidR="00D86B7C" w:rsidRPr="00954C95">
        <w:rPr>
          <w:b/>
          <w:lang w:val="en-US"/>
        </w:rPr>
        <w:t>-PI</w:t>
      </w:r>
      <w:r w:rsidR="00533324" w:rsidRPr="00954C95">
        <w:rPr>
          <w:lang w:val="en-US"/>
        </w:rPr>
        <w:t xml:space="preserve"> should systematically </w:t>
      </w:r>
      <w:r w:rsidR="00AB087E" w:rsidRPr="00954C95">
        <w:rPr>
          <w:lang w:val="en-US"/>
        </w:rPr>
        <w:t>consider</w:t>
      </w:r>
      <w:r w:rsidR="00533324" w:rsidRPr="00954C95">
        <w:rPr>
          <w:lang w:val="en-US"/>
        </w:rPr>
        <w:t xml:space="preserve"> the possibility of immune response inflammatory syndrome</w:t>
      </w:r>
      <w:r w:rsidR="0074185E" w:rsidRPr="00954C95">
        <w:rPr>
          <w:lang w:val="en-US"/>
        </w:rPr>
        <w:t xml:space="preserve"> (IRIS)</w:t>
      </w:r>
      <w:r w:rsidR="00533324" w:rsidRPr="00954C95">
        <w:rPr>
          <w:lang w:val="en-US"/>
        </w:rPr>
        <w:t xml:space="preserve"> </w:t>
      </w:r>
      <w:r w:rsidR="009F7E89" w:rsidRPr="00954C95">
        <w:rPr>
          <w:lang w:val="en-US"/>
        </w:rPr>
        <w:t xml:space="preserve">or paradoxical reaction </w:t>
      </w:r>
      <w:r w:rsidR="00533324" w:rsidRPr="00954C95">
        <w:rPr>
          <w:lang w:val="en-US"/>
        </w:rPr>
        <w:t xml:space="preserve">in a patient with occurrence of new radiological lesions or worsening of existing lesions in the </w:t>
      </w:r>
      <w:r w:rsidR="00E37D49" w:rsidRPr="00954C95">
        <w:rPr>
          <w:lang w:val="en-US"/>
        </w:rPr>
        <w:t>3</w:t>
      </w:r>
      <w:r w:rsidR="00533324" w:rsidRPr="00954C95">
        <w:rPr>
          <w:lang w:val="en-US"/>
        </w:rPr>
        <w:t xml:space="preserve"> months following the introduction of antiretroviral therapy</w:t>
      </w:r>
      <w:r w:rsidR="00E37D49" w:rsidRPr="00954C95">
        <w:rPr>
          <w:lang w:val="en-US"/>
        </w:rPr>
        <w:t xml:space="preserve">. </w:t>
      </w:r>
      <w:r w:rsidR="00557E18" w:rsidRPr="00954C95">
        <w:rPr>
          <w:lang w:val="en-US"/>
        </w:rPr>
        <w:t>Radiographic manifestations of IRIS should not be interpreted as unfavorable radiographic evolution</w:t>
      </w:r>
      <w:r w:rsidR="00775EB1" w:rsidRPr="00954C95">
        <w:rPr>
          <w:lang w:val="en-US"/>
        </w:rPr>
        <w:t>.</w:t>
      </w:r>
    </w:p>
    <w:p w14:paraId="7BC8D398" w14:textId="447F65F5" w:rsidR="00C121B2" w:rsidRPr="00954C95" w:rsidRDefault="004F4A4A" w:rsidP="00EF6088">
      <w:pPr>
        <w:pStyle w:val="ListParagraph"/>
        <w:numPr>
          <w:ilvl w:val="0"/>
          <w:numId w:val="20"/>
        </w:numPr>
        <w:jc w:val="both"/>
        <w:rPr>
          <w:lang w:val="en-US"/>
        </w:rPr>
      </w:pPr>
      <w:proofErr w:type="spellStart"/>
      <w:r w:rsidRPr="00954C95">
        <w:rPr>
          <w:u w:val="single"/>
          <w:lang w:val="en-US"/>
        </w:rPr>
        <w:t>Un</w:t>
      </w:r>
      <w:r w:rsidR="00C121B2" w:rsidRPr="00954C95">
        <w:rPr>
          <w:u w:val="single"/>
          <w:lang w:val="en-US"/>
        </w:rPr>
        <w:t>assessable</w:t>
      </w:r>
      <w:proofErr w:type="spellEnd"/>
      <w:r w:rsidR="00775EB1" w:rsidRPr="00954C95">
        <w:rPr>
          <w:u w:val="single"/>
          <w:lang w:val="en-US"/>
        </w:rPr>
        <w:t xml:space="preserve"> evolution</w:t>
      </w:r>
      <w:r w:rsidR="00C121B2" w:rsidRPr="00954C95">
        <w:rPr>
          <w:lang w:val="en-US"/>
        </w:rPr>
        <w:t>: no X-ray available after baseline</w:t>
      </w:r>
      <w:r w:rsidR="00775EB1" w:rsidRPr="00954C95">
        <w:rPr>
          <w:lang w:val="en-US"/>
        </w:rPr>
        <w:t>.</w:t>
      </w:r>
    </w:p>
    <w:p w14:paraId="08601F34" w14:textId="51543E0D" w:rsidR="00D567CF" w:rsidRPr="00954C95" w:rsidRDefault="00D567CF" w:rsidP="00D567CF">
      <w:pPr>
        <w:pStyle w:val="ListParagraph"/>
        <w:numPr>
          <w:ilvl w:val="0"/>
          <w:numId w:val="20"/>
        </w:numPr>
        <w:jc w:val="both"/>
        <w:rPr>
          <w:lang w:val="en-US"/>
        </w:rPr>
      </w:pPr>
      <w:r w:rsidRPr="00954C95">
        <w:rPr>
          <w:u w:val="single"/>
          <w:lang w:val="en-US"/>
        </w:rPr>
        <w:t>Favorable evolution</w:t>
      </w:r>
      <w:r w:rsidRPr="00954C95">
        <w:rPr>
          <w:lang w:val="en-US"/>
        </w:rPr>
        <w:t xml:space="preserve">: if neither classified as unfavorable nor as </w:t>
      </w:r>
      <w:proofErr w:type="spellStart"/>
      <w:r w:rsidRPr="00954C95">
        <w:rPr>
          <w:lang w:val="en-US"/>
        </w:rPr>
        <w:t>unassessable</w:t>
      </w:r>
      <w:proofErr w:type="spellEnd"/>
      <w:r w:rsidRPr="00954C95">
        <w:rPr>
          <w:lang w:val="en-US"/>
        </w:rPr>
        <w:t>.</w:t>
      </w:r>
    </w:p>
    <w:p w14:paraId="5933D452" w14:textId="68642A49" w:rsidR="001115FB" w:rsidRPr="00C93B63" w:rsidRDefault="001115FB" w:rsidP="00B44204">
      <w:pPr>
        <w:spacing w:before="80" w:line="240" w:lineRule="auto"/>
        <w:ind w:left="720" w:firstLine="720"/>
        <w:jc w:val="both"/>
        <w:rPr>
          <w:rFonts w:eastAsiaTheme="majorEastAsia" w:cstheme="majorBidi"/>
          <w:i/>
          <w:iCs/>
          <w:color w:val="auto"/>
          <w:sz w:val="24"/>
          <w:lang w:val="en-US" w:eastAsia="en-US"/>
        </w:rPr>
      </w:pPr>
      <w:r w:rsidRPr="00C93B63">
        <w:rPr>
          <w:rFonts w:eastAsiaTheme="majorEastAsia" w:cstheme="majorBidi"/>
          <w:i/>
          <w:iCs/>
          <w:color w:val="auto"/>
          <w:sz w:val="24"/>
          <w:lang w:val="en-US" w:eastAsia="en-US"/>
        </w:rPr>
        <w:t>5.</w:t>
      </w:r>
      <w:r w:rsidR="00BD6E15" w:rsidRPr="00C93B63">
        <w:rPr>
          <w:rFonts w:eastAsiaTheme="majorEastAsia" w:cstheme="majorBidi"/>
          <w:i/>
          <w:iCs/>
          <w:color w:val="auto"/>
          <w:sz w:val="24"/>
          <w:lang w:val="en-US" w:eastAsia="en-US"/>
        </w:rPr>
        <w:t>2</w:t>
      </w:r>
      <w:r w:rsidRPr="00C93B63">
        <w:rPr>
          <w:rFonts w:eastAsiaTheme="majorEastAsia" w:cstheme="majorBidi"/>
          <w:i/>
          <w:iCs/>
          <w:color w:val="auto"/>
          <w:sz w:val="24"/>
          <w:lang w:val="en-US" w:eastAsia="en-US"/>
        </w:rPr>
        <w:t>.3. Clinical evolution</w:t>
      </w:r>
    </w:p>
    <w:p w14:paraId="3465381D" w14:textId="472D0E8D" w:rsidR="001115FB" w:rsidRPr="00954C95" w:rsidRDefault="00977C82" w:rsidP="00F414A8">
      <w:pPr>
        <w:jc w:val="both"/>
        <w:rPr>
          <w:lang w:val="en-US"/>
        </w:rPr>
      </w:pPr>
      <w:r w:rsidRPr="00954C95">
        <w:rPr>
          <w:lang w:val="en-US"/>
        </w:rPr>
        <w:t xml:space="preserve">The </w:t>
      </w:r>
      <w:r w:rsidR="00775EB1" w:rsidRPr="00954C95">
        <w:rPr>
          <w:b/>
          <w:lang w:val="en-US"/>
        </w:rPr>
        <w:t>Site</w:t>
      </w:r>
      <w:r w:rsidRPr="00954C95">
        <w:rPr>
          <w:b/>
          <w:lang w:val="en-US"/>
        </w:rPr>
        <w:t>-CI,</w:t>
      </w:r>
      <w:r w:rsidRPr="00954C95">
        <w:rPr>
          <w:lang w:val="en-US"/>
        </w:rPr>
        <w:t xml:space="preserve"> with the help of the </w:t>
      </w:r>
      <w:r w:rsidR="00775EB1" w:rsidRPr="00954C95">
        <w:rPr>
          <w:b/>
          <w:lang w:val="en-US"/>
        </w:rPr>
        <w:t>Site</w:t>
      </w:r>
      <w:r w:rsidRPr="00954C95">
        <w:rPr>
          <w:b/>
          <w:lang w:val="en-US"/>
        </w:rPr>
        <w:t>-PI</w:t>
      </w:r>
      <w:r w:rsidRPr="00954C95">
        <w:rPr>
          <w:lang w:val="en-US"/>
        </w:rPr>
        <w:t xml:space="preserve"> if needed,</w:t>
      </w:r>
      <w:r w:rsidR="001115FB" w:rsidRPr="00954C95">
        <w:rPr>
          <w:lang w:val="en-US"/>
        </w:rPr>
        <w:t xml:space="preserve"> </w:t>
      </w:r>
      <w:r w:rsidR="007957AF" w:rsidRPr="00954C95">
        <w:rPr>
          <w:lang w:val="en-US"/>
        </w:rPr>
        <w:t xml:space="preserve">will </w:t>
      </w:r>
      <w:r w:rsidR="001115FB" w:rsidRPr="00954C95">
        <w:rPr>
          <w:lang w:val="en-US"/>
        </w:rPr>
        <w:t>classify the clinical evolution according to the following criteria:</w:t>
      </w:r>
    </w:p>
    <w:p w14:paraId="2224873B" w14:textId="09A17CAB" w:rsidR="001115FB" w:rsidRPr="00954C95" w:rsidRDefault="001115FB" w:rsidP="001115FB">
      <w:pPr>
        <w:pStyle w:val="ListParagraph"/>
        <w:numPr>
          <w:ilvl w:val="0"/>
          <w:numId w:val="20"/>
        </w:numPr>
        <w:jc w:val="both"/>
        <w:rPr>
          <w:lang w:val="en-US"/>
        </w:rPr>
      </w:pPr>
      <w:r w:rsidRPr="00954C95">
        <w:rPr>
          <w:u w:val="single"/>
          <w:lang w:val="en-US"/>
        </w:rPr>
        <w:t>Unfavorable evolution</w:t>
      </w:r>
      <w:r w:rsidR="007005DC" w:rsidRPr="00954C95">
        <w:rPr>
          <w:lang w:val="en-US"/>
        </w:rPr>
        <w:t xml:space="preserve">: presence of </w:t>
      </w:r>
      <w:r w:rsidR="008E131C" w:rsidRPr="00954C95">
        <w:rPr>
          <w:lang w:val="en-US"/>
        </w:rPr>
        <w:t>two</w:t>
      </w:r>
      <w:r w:rsidR="00084E39" w:rsidRPr="00954C95">
        <w:rPr>
          <w:lang w:val="en-US"/>
        </w:rPr>
        <w:t xml:space="preserve"> or more</w:t>
      </w:r>
      <w:r w:rsidR="008E131C" w:rsidRPr="00954C95">
        <w:rPr>
          <w:lang w:val="en-US"/>
        </w:rPr>
        <w:t xml:space="preserve"> </w:t>
      </w:r>
      <w:r w:rsidR="00DD3E07" w:rsidRPr="00954C95">
        <w:rPr>
          <w:lang w:val="en-US"/>
        </w:rPr>
        <w:t>of the following</w:t>
      </w:r>
      <w:r w:rsidR="008E131C" w:rsidRPr="00954C95">
        <w:rPr>
          <w:lang w:val="en-US"/>
        </w:rPr>
        <w:t xml:space="preserve"> at outcome assignment visit</w:t>
      </w:r>
      <w:r w:rsidR="007957AF" w:rsidRPr="00954C95">
        <w:rPr>
          <w:lang w:val="en-US"/>
        </w:rPr>
        <w:t xml:space="preserve"> in comparison to baseline: </w:t>
      </w:r>
    </w:p>
    <w:p w14:paraId="4D51774E" w14:textId="54DA0322" w:rsidR="007005DC" w:rsidRPr="00954C95" w:rsidRDefault="000B566A" w:rsidP="0074185E">
      <w:pPr>
        <w:pStyle w:val="ListParagraph"/>
        <w:numPr>
          <w:ilvl w:val="1"/>
          <w:numId w:val="20"/>
        </w:numPr>
        <w:jc w:val="both"/>
        <w:rPr>
          <w:lang w:val="en-US"/>
        </w:rPr>
      </w:pPr>
      <w:r w:rsidRPr="00954C95">
        <w:rPr>
          <w:lang w:val="en-US"/>
        </w:rPr>
        <w:t xml:space="preserve">No </w:t>
      </w:r>
      <w:r w:rsidR="007005DC" w:rsidRPr="00954C95">
        <w:rPr>
          <w:lang w:val="en-US"/>
        </w:rPr>
        <w:t>weight</w:t>
      </w:r>
      <w:r w:rsidRPr="00954C95">
        <w:rPr>
          <w:lang w:val="en-US"/>
        </w:rPr>
        <w:t xml:space="preserve"> gain</w:t>
      </w:r>
      <w:r w:rsidR="00170A0E" w:rsidRPr="00954C95">
        <w:rPr>
          <w:lang w:val="en-US"/>
        </w:rPr>
        <w:t xml:space="preserve"> in patients with a body mass index (BMI) &lt; 18.5</w:t>
      </w:r>
      <w:r w:rsidR="006D08F1" w:rsidRPr="00954C95">
        <w:rPr>
          <w:lang w:val="en-US"/>
        </w:rPr>
        <w:t xml:space="preserve"> at baseline</w:t>
      </w:r>
      <w:r w:rsidR="00C94A43" w:rsidRPr="00954C95">
        <w:rPr>
          <w:lang w:val="en-US"/>
        </w:rPr>
        <w:t>.</w:t>
      </w:r>
      <w:r w:rsidR="0074185E" w:rsidRPr="00954C95">
        <w:rPr>
          <w:lang w:val="en-US"/>
        </w:rPr>
        <w:t xml:space="preserve"> </w:t>
      </w:r>
      <w:r w:rsidR="006D08F1" w:rsidRPr="00954C95">
        <w:rPr>
          <w:lang w:val="en-US"/>
        </w:rPr>
        <w:t>The criteria of</w:t>
      </w:r>
      <w:r w:rsidR="0074185E" w:rsidRPr="00954C95">
        <w:rPr>
          <w:lang w:val="en-US"/>
        </w:rPr>
        <w:t xml:space="preserve"> increase in</w:t>
      </w:r>
      <w:r w:rsidR="00E37D49" w:rsidRPr="00954C95">
        <w:rPr>
          <w:lang w:val="en-US"/>
        </w:rPr>
        <w:t xml:space="preserve"> body weight</w:t>
      </w:r>
      <w:r w:rsidR="0074185E" w:rsidRPr="00954C95">
        <w:rPr>
          <w:lang w:val="en-US"/>
        </w:rPr>
        <w:t xml:space="preserve"> compared to</w:t>
      </w:r>
      <w:r w:rsidR="00E37D49" w:rsidRPr="00954C95">
        <w:rPr>
          <w:lang w:val="en-US"/>
        </w:rPr>
        <w:t xml:space="preserve"> </w:t>
      </w:r>
      <w:r w:rsidR="0074185E" w:rsidRPr="00954C95">
        <w:rPr>
          <w:lang w:val="en-US"/>
        </w:rPr>
        <w:t xml:space="preserve">baseline </w:t>
      </w:r>
      <w:r w:rsidR="00170A0E" w:rsidRPr="00954C95">
        <w:rPr>
          <w:lang w:val="en-US"/>
        </w:rPr>
        <w:t xml:space="preserve">is </w:t>
      </w:r>
      <w:r w:rsidR="0074185E" w:rsidRPr="00954C95">
        <w:rPr>
          <w:lang w:val="en-US"/>
        </w:rPr>
        <w:t xml:space="preserve">only to be assessed in patients with </w:t>
      </w:r>
      <w:r w:rsidR="007957AF" w:rsidRPr="00954C95">
        <w:rPr>
          <w:lang w:val="en-US"/>
        </w:rPr>
        <w:t xml:space="preserve">BMI &lt; 18.5 </w:t>
      </w:r>
      <w:r w:rsidR="0074185E" w:rsidRPr="00954C95">
        <w:rPr>
          <w:lang w:val="en-US"/>
        </w:rPr>
        <w:t>at baseline</w:t>
      </w:r>
      <w:r w:rsidR="00775EB1" w:rsidRPr="00954C95">
        <w:rPr>
          <w:lang w:val="en-US"/>
        </w:rPr>
        <w:t>.</w:t>
      </w:r>
    </w:p>
    <w:p w14:paraId="5A2D9344" w14:textId="4AB71B79" w:rsidR="00736083" w:rsidRPr="00954C95" w:rsidRDefault="008E7B40" w:rsidP="0074185E">
      <w:pPr>
        <w:pStyle w:val="ListParagraph"/>
        <w:numPr>
          <w:ilvl w:val="1"/>
          <w:numId w:val="20"/>
        </w:numPr>
        <w:jc w:val="both"/>
        <w:rPr>
          <w:lang w:val="en-US"/>
        </w:rPr>
      </w:pPr>
      <w:r w:rsidRPr="00954C95">
        <w:rPr>
          <w:lang w:val="en-US"/>
        </w:rPr>
        <w:t>10% w</w:t>
      </w:r>
      <w:r w:rsidR="00736083" w:rsidRPr="00954C95">
        <w:rPr>
          <w:lang w:val="en-US"/>
        </w:rPr>
        <w:t>eight loss</w:t>
      </w:r>
      <w:r w:rsidR="00C94A43" w:rsidRPr="00954C95">
        <w:rPr>
          <w:lang w:val="en-US"/>
        </w:rPr>
        <w:t xml:space="preserve"> or more</w:t>
      </w:r>
      <w:r w:rsidR="00736083" w:rsidRPr="00954C95">
        <w:rPr>
          <w:lang w:val="en-US"/>
        </w:rPr>
        <w:t xml:space="preserve"> in a patient with a BMI</w:t>
      </w:r>
      <w:r w:rsidR="007957AF" w:rsidRPr="00954C95">
        <w:rPr>
          <w:lang w:val="en-US"/>
        </w:rPr>
        <w:t xml:space="preserve"> ≥18.5</w:t>
      </w:r>
      <w:r w:rsidR="00736083" w:rsidRPr="00954C95">
        <w:rPr>
          <w:lang w:val="en-US"/>
        </w:rPr>
        <w:t xml:space="preserve"> at baseline</w:t>
      </w:r>
      <w:r w:rsidR="00775EB1" w:rsidRPr="00954C95">
        <w:rPr>
          <w:lang w:val="en-US"/>
        </w:rPr>
        <w:t>.</w:t>
      </w:r>
    </w:p>
    <w:p w14:paraId="7172EA7F" w14:textId="6DA5CEEA" w:rsidR="007005DC" w:rsidRPr="00954C95" w:rsidRDefault="007005DC" w:rsidP="007005DC">
      <w:pPr>
        <w:pStyle w:val="ListParagraph"/>
        <w:numPr>
          <w:ilvl w:val="1"/>
          <w:numId w:val="20"/>
        </w:numPr>
        <w:jc w:val="both"/>
        <w:rPr>
          <w:lang w:val="en-US"/>
        </w:rPr>
      </w:pPr>
      <w:r w:rsidRPr="00954C95">
        <w:rPr>
          <w:lang w:val="en-US"/>
        </w:rPr>
        <w:t>Worsening of the performance status of the patient, measured by any increase in the Eastern Cooperative Oncology Group (ECOG) scale</w:t>
      </w:r>
      <w:r w:rsidR="0035315E" w:rsidRPr="00954C95">
        <w:rPr>
          <w:lang w:val="en-US"/>
        </w:rPr>
        <w:t xml:space="preserve"> in the absence of any other concomitant disease that could explain the unfavorable clinical evolution</w:t>
      </w:r>
      <w:r w:rsidR="00775EB1" w:rsidRPr="00954C95">
        <w:rPr>
          <w:lang w:val="en-US"/>
        </w:rPr>
        <w:t>.</w:t>
      </w:r>
    </w:p>
    <w:p w14:paraId="407C8B57" w14:textId="406EF2DF" w:rsidR="00D514F9" w:rsidRPr="00954C95" w:rsidRDefault="007005DC" w:rsidP="004A7861">
      <w:pPr>
        <w:pStyle w:val="ListParagraph"/>
        <w:numPr>
          <w:ilvl w:val="1"/>
          <w:numId w:val="20"/>
        </w:numPr>
        <w:jc w:val="both"/>
        <w:rPr>
          <w:lang w:val="en-US"/>
        </w:rPr>
      </w:pPr>
      <w:r w:rsidRPr="00954C95">
        <w:rPr>
          <w:lang w:val="en-US"/>
        </w:rPr>
        <w:t xml:space="preserve">Worsening </w:t>
      </w:r>
      <w:r w:rsidR="00E37D49" w:rsidRPr="00954C95">
        <w:rPr>
          <w:lang w:val="en-US"/>
        </w:rPr>
        <w:t xml:space="preserve">(increase of severity) </w:t>
      </w:r>
      <w:r w:rsidRPr="00954C95">
        <w:rPr>
          <w:lang w:val="en-US"/>
        </w:rPr>
        <w:t xml:space="preserve">of </w:t>
      </w:r>
      <w:r w:rsidR="00DD3E07" w:rsidRPr="00954C95">
        <w:rPr>
          <w:lang w:val="en-US"/>
        </w:rPr>
        <w:t>two</w:t>
      </w:r>
      <w:r w:rsidRPr="00954C95">
        <w:rPr>
          <w:lang w:val="en-US"/>
        </w:rPr>
        <w:t xml:space="preserve"> or more </w:t>
      </w:r>
      <w:r w:rsidR="00E37D49" w:rsidRPr="00954C95">
        <w:rPr>
          <w:lang w:val="en-US"/>
        </w:rPr>
        <w:t>respiratory</w:t>
      </w:r>
      <w:r w:rsidR="00AA73CC" w:rsidRPr="00954C95">
        <w:rPr>
          <w:lang w:val="en-US"/>
        </w:rPr>
        <w:t xml:space="preserve"> </w:t>
      </w:r>
      <w:r w:rsidRPr="00954C95">
        <w:rPr>
          <w:lang w:val="en-US"/>
        </w:rPr>
        <w:t xml:space="preserve">signs/symptoms </w:t>
      </w:r>
      <w:r w:rsidR="00E37D49" w:rsidRPr="00954C95">
        <w:rPr>
          <w:lang w:val="en-US"/>
        </w:rPr>
        <w:t>(</w:t>
      </w:r>
      <w:r w:rsidRPr="00954C95">
        <w:rPr>
          <w:lang w:val="en-US"/>
        </w:rPr>
        <w:t xml:space="preserve">cough, hemoptysis, </w:t>
      </w:r>
      <w:r w:rsidR="00E37D49" w:rsidRPr="00954C95">
        <w:rPr>
          <w:lang w:val="en-US"/>
        </w:rPr>
        <w:t>thoracic pain, dyspnea) and/or constitution</w:t>
      </w:r>
      <w:r w:rsidR="003741DC" w:rsidRPr="00954C95">
        <w:rPr>
          <w:lang w:val="en-US"/>
        </w:rPr>
        <w:t>al</w:t>
      </w:r>
      <w:r w:rsidR="00E37D49" w:rsidRPr="00954C95">
        <w:rPr>
          <w:lang w:val="en-US"/>
        </w:rPr>
        <w:t xml:space="preserve"> signs (fever, weight loss, night sweats or lack of appetite)</w:t>
      </w:r>
      <w:r w:rsidR="0074185E" w:rsidRPr="00954C95">
        <w:rPr>
          <w:lang w:val="en-US"/>
        </w:rPr>
        <w:t>,</w:t>
      </w:r>
      <w:r w:rsidR="00E37D49" w:rsidRPr="00954C95">
        <w:rPr>
          <w:lang w:val="en-US"/>
        </w:rPr>
        <w:t xml:space="preserve"> in the absence of any other concomitant disease that could explain the unfavorable clinical evolution</w:t>
      </w:r>
      <w:r w:rsidR="00775EB1" w:rsidRPr="00954C95">
        <w:rPr>
          <w:lang w:val="en-US"/>
        </w:rPr>
        <w:t>.</w:t>
      </w:r>
    </w:p>
    <w:p w14:paraId="33A870AA" w14:textId="7BCDFA5E" w:rsidR="003A13DA" w:rsidRPr="00954C95" w:rsidRDefault="00E37D49" w:rsidP="0035315E">
      <w:pPr>
        <w:pStyle w:val="ListParagraph"/>
        <w:numPr>
          <w:ilvl w:val="1"/>
          <w:numId w:val="20"/>
        </w:numPr>
        <w:jc w:val="both"/>
        <w:rPr>
          <w:lang w:val="en-US"/>
        </w:rPr>
      </w:pPr>
      <w:r w:rsidRPr="00954C95">
        <w:rPr>
          <w:lang w:val="en-US"/>
        </w:rPr>
        <w:t xml:space="preserve">Occurrence of at least two new symptoms </w:t>
      </w:r>
      <w:r w:rsidR="00C43BE8" w:rsidRPr="00954C95">
        <w:rPr>
          <w:lang w:val="en-US"/>
        </w:rPr>
        <w:t>among</w:t>
      </w:r>
      <w:r w:rsidRPr="00954C95">
        <w:rPr>
          <w:lang w:val="en-US"/>
        </w:rPr>
        <w:t xml:space="preserve"> respiratory signs/symptoms (cough, hemoptysis, thoracic pain, dyspnea) and/or constitution signs (fever, weight loss, night sweats or lack of appetite) in the absence of any other concomitant disease that could explain the unfavorable clinical evolution</w:t>
      </w:r>
      <w:r w:rsidR="0035315E" w:rsidRPr="00954C95">
        <w:rPr>
          <w:lang w:val="en-US"/>
        </w:rPr>
        <w:t>.</w:t>
      </w:r>
    </w:p>
    <w:p w14:paraId="1944593A" w14:textId="172FC261" w:rsidR="00C94A43" w:rsidRPr="00954C95" w:rsidRDefault="0074185E" w:rsidP="00084E39">
      <w:pPr>
        <w:pStyle w:val="ListParagraph"/>
        <w:numPr>
          <w:ilvl w:val="0"/>
          <w:numId w:val="20"/>
        </w:numPr>
        <w:jc w:val="both"/>
        <w:rPr>
          <w:u w:val="single"/>
          <w:lang w:val="en-US"/>
        </w:rPr>
      </w:pPr>
      <w:proofErr w:type="spellStart"/>
      <w:r w:rsidRPr="00954C95">
        <w:rPr>
          <w:u w:val="single"/>
          <w:lang w:val="en-US"/>
        </w:rPr>
        <w:t>Un</w:t>
      </w:r>
      <w:r w:rsidR="00C121B2" w:rsidRPr="00954C95">
        <w:rPr>
          <w:u w:val="single"/>
          <w:lang w:val="en-US"/>
        </w:rPr>
        <w:t>assessable</w:t>
      </w:r>
      <w:proofErr w:type="spellEnd"/>
      <w:r w:rsidR="00775EB1" w:rsidRPr="00954C95">
        <w:rPr>
          <w:u w:val="single"/>
          <w:lang w:val="en-US"/>
        </w:rPr>
        <w:t xml:space="preserve"> evolution</w:t>
      </w:r>
      <w:r w:rsidR="00C121B2" w:rsidRPr="00954C95">
        <w:rPr>
          <w:u w:val="single"/>
          <w:lang w:val="en-US"/>
        </w:rPr>
        <w:t>:</w:t>
      </w:r>
      <w:r w:rsidR="00084E39" w:rsidRPr="00954C95">
        <w:rPr>
          <w:u w:val="single"/>
          <w:lang w:val="en-US"/>
        </w:rPr>
        <w:t xml:space="preserve"> </w:t>
      </w:r>
      <w:r w:rsidR="00C121B2" w:rsidRPr="00954C95">
        <w:rPr>
          <w:lang w:val="en-US"/>
        </w:rPr>
        <w:t xml:space="preserve">no clinical examination available after </w:t>
      </w:r>
      <w:r w:rsidR="00B9441C" w:rsidRPr="00954C95">
        <w:rPr>
          <w:lang w:val="en-US"/>
        </w:rPr>
        <w:t>the prior outcome assignment</w:t>
      </w:r>
      <w:r w:rsidR="00C94A43" w:rsidRPr="00954C95">
        <w:rPr>
          <w:lang w:val="en-US"/>
        </w:rPr>
        <w:t>;</w:t>
      </w:r>
    </w:p>
    <w:p w14:paraId="499965F2" w14:textId="35881CAA" w:rsidR="00C43BE8" w:rsidRPr="00954C95" w:rsidRDefault="00C94A43" w:rsidP="00C121B2">
      <w:pPr>
        <w:pStyle w:val="ListParagraph"/>
        <w:numPr>
          <w:ilvl w:val="0"/>
          <w:numId w:val="20"/>
        </w:numPr>
        <w:jc w:val="both"/>
        <w:rPr>
          <w:lang w:val="en-US"/>
        </w:rPr>
      </w:pPr>
      <w:r w:rsidRPr="00954C95">
        <w:rPr>
          <w:u w:val="single"/>
          <w:lang w:val="en-US"/>
        </w:rPr>
        <w:t>Favorable evolution</w:t>
      </w:r>
      <w:r w:rsidRPr="00954C95">
        <w:rPr>
          <w:lang w:val="en-US"/>
        </w:rPr>
        <w:t xml:space="preserve">: if neither classified as unfavorable nor as </w:t>
      </w:r>
      <w:proofErr w:type="spellStart"/>
      <w:r w:rsidRPr="00954C95">
        <w:rPr>
          <w:lang w:val="en-US"/>
        </w:rPr>
        <w:t>unassessable</w:t>
      </w:r>
      <w:proofErr w:type="spellEnd"/>
      <w:r w:rsidRPr="00954C95">
        <w:rPr>
          <w:lang w:val="en-US"/>
        </w:rPr>
        <w:t>.</w:t>
      </w:r>
    </w:p>
    <w:p w14:paraId="2DCBEB70" w14:textId="60C390DD" w:rsidR="00B3273C" w:rsidRPr="00C93B63" w:rsidRDefault="00B3273C" w:rsidP="00C93B63">
      <w:pPr>
        <w:spacing w:before="80" w:line="240" w:lineRule="auto"/>
        <w:ind w:left="709"/>
        <w:jc w:val="both"/>
        <w:rPr>
          <w:b/>
          <w:i/>
          <w:sz w:val="24"/>
          <w:szCs w:val="24"/>
          <w:lang w:val="en-US"/>
        </w:rPr>
      </w:pPr>
      <w:r w:rsidRPr="00C93B63">
        <w:rPr>
          <w:b/>
          <w:i/>
          <w:sz w:val="24"/>
          <w:szCs w:val="24"/>
          <w:lang w:val="en-US"/>
        </w:rPr>
        <w:t>5.</w:t>
      </w:r>
      <w:r w:rsidR="00BD6E15" w:rsidRPr="00C93B63">
        <w:rPr>
          <w:b/>
          <w:i/>
          <w:sz w:val="24"/>
          <w:szCs w:val="24"/>
          <w:lang w:val="en-US"/>
        </w:rPr>
        <w:t>3</w:t>
      </w:r>
      <w:r w:rsidRPr="00C93B63">
        <w:rPr>
          <w:b/>
          <w:i/>
          <w:sz w:val="24"/>
          <w:szCs w:val="24"/>
          <w:lang w:val="en-US"/>
        </w:rPr>
        <w:t xml:space="preserve">. Classification of the bacteriological, radiographic and clinical evolution </w:t>
      </w:r>
    </w:p>
    <w:p w14:paraId="47CDAA4E" w14:textId="21CBF54E" w:rsidR="00B3273C" w:rsidRPr="00954C95" w:rsidRDefault="00BD6E15" w:rsidP="00B3273C">
      <w:pPr>
        <w:jc w:val="both"/>
        <w:rPr>
          <w:lang w:val="en-US"/>
        </w:rPr>
      </w:pPr>
      <w:r w:rsidRPr="00954C95">
        <w:rPr>
          <w:lang w:val="en-US"/>
        </w:rPr>
        <w:lastRenderedPageBreak/>
        <w:t>The</w:t>
      </w:r>
      <w:r w:rsidRPr="00954C95">
        <w:rPr>
          <w:b/>
          <w:lang w:val="en-US"/>
        </w:rPr>
        <w:t xml:space="preserve"> </w:t>
      </w:r>
      <w:r w:rsidR="00775EB1" w:rsidRPr="00954C95">
        <w:rPr>
          <w:b/>
          <w:lang w:val="en-US"/>
        </w:rPr>
        <w:t>Site</w:t>
      </w:r>
      <w:r w:rsidRPr="00954C95">
        <w:rPr>
          <w:b/>
          <w:lang w:val="en-US"/>
        </w:rPr>
        <w:t>-CI</w:t>
      </w:r>
      <w:r w:rsidR="00C43BE8" w:rsidRPr="00954C95">
        <w:rPr>
          <w:b/>
          <w:lang w:val="en-US"/>
        </w:rPr>
        <w:t>,</w:t>
      </w:r>
      <w:r w:rsidRPr="00954C95">
        <w:rPr>
          <w:b/>
          <w:lang w:val="en-US"/>
        </w:rPr>
        <w:t xml:space="preserve"> </w:t>
      </w:r>
      <w:r w:rsidR="00C43BE8" w:rsidRPr="00954C95">
        <w:rPr>
          <w:lang w:val="en-US"/>
        </w:rPr>
        <w:t>with the support from</w:t>
      </w:r>
      <w:r w:rsidR="00C43BE8" w:rsidRPr="00954C95">
        <w:rPr>
          <w:b/>
          <w:lang w:val="en-US"/>
        </w:rPr>
        <w:t xml:space="preserve"> </w:t>
      </w:r>
      <w:r w:rsidR="00775EB1" w:rsidRPr="00954C95">
        <w:rPr>
          <w:b/>
          <w:lang w:val="en-US"/>
        </w:rPr>
        <w:t>Site</w:t>
      </w:r>
      <w:r w:rsidR="00C43BE8" w:rsidRPr="00954C95">
        <w:rPr>
          <w:b/>
          <w:lang w:val="en-US"/>
        </w:rPr>
        <w:t>-</w:t>
      </w:r>
      <w:r w:rsidRPr="00954C95">
        <w:rPr>
          <w:b/>
          <w:lang w:val="en-US"/>
        </w:rPr>
        <w:t>PI</w:t>
      </w:r>
      <w:r w:rsidRPr="00954C95">
        <w:rPr>
          <w:lang w:val="en-US"/>
        </w:rPr>
        <w:t xml:space="preserve"> </w:t>
      </w:r>
      <w:r w:rsidR="00C43BE8" w:rsidRPr="00954C95">
        <w:rPr>
          <w:lang w:val="en-US"/>
        </w:rPr>
        <w:t>if needed, provide</w:t>
      </w:r>
      <w:r w:rsidR="00673F27" w:rsidRPr="00954C95">
        <w:rPr>
          <w:lang w:val="en-US"/>
        </w:rPr>
        <w:t>s</w:t>
      </w:r>
      <w:r w:rsidR="00C43BE8" w:rsidRPr="00954C95">
        <w:rPr>
          <w:lang w:val="en-US"/>
        </w:rPr>
        <w:t xml:space="preserve"> a final classification of</w:t>
      </w:r>
      <w:r w:rsidR="00B3273C" w:rsidRPr="00954C95">
        <w:rPr>
          <w:lang w:val="en-US"/>
        </w:rPr>
        <w:t xml:space="preserve"> the evolution of the study participant</w:t>
      </w:r>
      <w:r w:rsidR="00C43BE8" w:rsidRPr="00954C95">
        <w:rPr>
          <w:lang w:val="en-US"/>
        </w:rPr>
        <w:t xml:space="preserve"> under treatment,</w:t>
      </w:r>
      <w:r w:rsidR="00B3273C" w:rsidRPr="00954C95">
        <w:rPr>
          <w:lang w:val="en-US"/>
        </w:rPr>
        <w:t xml:space="preserve"> acc</w:t>
      </w:r>
      <w:r w:rsidR="00C43BE8" w:rsidRPr="00954C95">
        <w:rPr>
          <w:lang w:val="en-US"/>
        </w:rPr>
        <w:t>ording to the following</w:t>
      </w:r>
      <w:r w:rsidR="00B3273C" w:rsidRPr="00954C95">
        <w:rPr>
          <w:lang w:val="en-US"/>
        </w:rPr>
        <w:t>:</w:t>
      </w:r>
    </w:p>
    <w:p w14:paraId="203DC39C" w14:textId="139BA26F" w:rsidR="003E6F23" w:rsidRPr="00954C95" w:rsidRDefault="003E6F23" w:rsidP="00A046A2">
      <w:pPr>
        <w:pStyle w:val="ListParagraph"/>
        <w:numPr>
          <w:ilvl w:val="0"/>
          <w:numId w:val="22"/>
        </w:numPr>
        <w:ind w:left="426"/>
        <w:jc w:val="both"/>
        <w:rPr>
          <w:lang w:val="en-US"/>
        </w:rPr>
      </w:pPr>
      <w:r w:rsidRPr="00954C95">
        <w:rPr>
          <w:u w:val="single"/>
          <w:lang w:val="en-US"/>
        </w:rPr>
        <w:t>Unfavorable evolution</w:t>
      </w:r>
      <w:r w:rsidRPr="00954C95">
        <w:rPr>
          <w:lang w:val="en-US"/>
        </w:rPr>
        <w:t xml:space="preserve">: participants for whom the evolution is defined as unfavorable in </w:t>
      </w:r>
      <w:r w:rsidR="005A6434" w:rsidRPr="00954C95">
        <w:rPr>
          <w:lang w:val="en-US"/>
        </w:rPr>
        <w:t>any</w:t>
      </w:r>
      <w:r w:rsidRPr="00954C95">
        <w:rPr>
          <w:lang w:val="en-US"/>
        </w:rPr>
        <w:t xml:space="preserve"> category among bacteriological, radiographic, and clinical</w:t>
      </w:r>
      <w:r w:rsidR="00775EB1" w:rsidRPr="00954C95">
        <w:rPr>
          <w:lang w:val="en-US"/>
        </w:rPr>
        <w:t>.</w:t>
      </w:r>
    </w:p>
    <w:p w14:paraId="2789CF7D" w14:textId="77777777" w:rsidR="007E6E7A" w:rsidRPr="00954C95" w:rsidRDefault="006276A4" w:rsidP="00A046A2">
      <w:pPr>
        <w:pStyle w:val="ListParagraph"/>
        <w:numPr>
          <w:ilvl w:val="0"/>
          <w:numId w:val="22"/>
        </w:numPr>
        <w:ind w:left="426"/>
        <w:jc w:val="both"/>
        <w:rPr>
          <w:color w:val="auto"/>
          <w:lang w:val="en-US"/>
        </w:rPr>
      </w:pPr>
      <w:proofErr w:type="spellStart"/>
      <w:r w:rsidRPr="00954C95">
        <w:rPr>
          <w:u w:val="single"/>
          <w:lang w:val="en-US"/>
        </w:rPr>
        <w:t>Unassessable</w:t>
      </w:r>
      <w:proofErr w:type="spellEnd"/>
      <w:r w:rsidR="00B3273C" w:rsidRPr="00954C95">
        <w:rPr>
          <w:u w:val="single"/>
          <w:lang w:val="en-US"/>
        </w:rPr>
        <w:t xml:space="preserve"> </w:t>
      </w:r>
      <w:r w:rsidR="00C43BE8" w:rsidRPr="00954C95">
        <w:rPr>
          <w:u w:val="single"/>
          <w:lang w:val="en-US"/>
        </w:rPr>
        <w:t>evolution</w:t>
      </w:r>
      <w:r w:rsidR="00B3273C" w:rsidRPr="00954C95">
        <w:rPr>
          <w:lang w:val="en-US"/>
        </w:rPr>
        <w:t xml:space="preserve">: </w:t>
      </w:r>
      <w:r w:rsidR="00C43BE8" w:rsidRPr="00954C95">
        <w:rPr>
          <w:lang w:val="en-US"/>
        </w:rPr>
        <w:t>participants for whom the</w:t>
      </w:r>
      <w:r w:rsidR="005A6434" w:rsidRPr="00954C95">
        <w:rPr>
          <w:lang w:val="en-US"/>
        </w:rPr>
        <w:t xml:space="preserve"> final classification of the</w:t>
      </w:r>
      <w:r w:rsidR="00C43BE8" w:rsidRPr="00954C95">
        <w:rPr>
          <w:lang w:val="en-US"/>
        </w:rPr>
        <w:t xml:space="preserve"> evolution is</w:t>
      </w:r>
      <w:r w:rsidR="005A6434" w:rsidRPr="00954C95">
        <w:rPr>
          <w:lang w:val="en-US"/>
        </w:rPr>
        <w:t xml:space="preserve"> not defined as unfavorable (above), and for whom the evolution i</w:t>
      </w:r>
      <w:r w:rsidR="000441A3" w:rsidRPr="00954C95">
        <w:rPr>
          <w:lang w:val="en-US"/>
        </w:rPr>
        <w:t>s</w:t>
      </w:r>
      <w:r w:rsidR="00C43BE8" w:rsidRPr="00954C95">
        <w:rPr>
          <w:lang w:val="en-US"/>
        </w:rPr>
        <w:t xml:space="preserve"> defined as </w:t>
      </w:r>
      <w:proofErr w:type="spellStart"/>
      <w:r w:rsidR="00854A6F" w:rsidRPr="00954C95">
        <w:rPr>
          <w:lang w:val="en-US"/>
        </w:rPr>
        <w:t>unassessable</w:t>
      </w:r>
      <w:proofErr w:type="spellEnd"/>
      <w:r w:rsidR="00DF3D78" w:rsidRPr="00954C95">
        <w:rPr>
          <w:lang w:val="en-US"/>
        </w:rPr>
        <w:t xml:space="preserve"> </w:t>
      </w:r>
      <w:r w:rsidR="00C43BE8" w:rsidRPr="00954C95">
        <w:rPr>
          <w:lang w:val="en-US"/>
        </w:rPr>
        <w:t xml:space="preserve">in </w:t>
      </w:r>
      <w:r w:rsidR="00CC1520" w:rsidRPr="00954C95">
        <w:rPr>
          <w:lang w:val="en-US"/>
        </w:rPr>
        <w:t>all 3</w:t>
      </w:r>
      <w:r w:rsidR="00C43BE8" w:rsidRPr="00954C95">
        <w:rPr>
          <w:lang w:val="en-US"/>
        </w:rPr>
        <w:t xml:space="preserve"> categories</w:t>
      </w:r>
      <w:r w:rsidR="00DF3D78" w:rsidRPr="00954C95">
        <w:rPr>
          <w:lang w:val="en-US"/>
        </w:rPr>
        <w:t xml:space="preserve"> among</w:t>
      </w:r>
      <w:r w:rsidR="00C121B2" w:rsidRPr="00954C95">
        <w:rPr>
          <w:lang w:val="en-US"/>
        </w:rPr>
        <w:t xml:space="preserve"> </w:t>
      </w:r>
      <w:r w:rsidR="00C43BE8" w:rsidRPr="00954C95">
        <w:rPr>
          <w:lang w:val="en-US"/>
        </w:rPr>
        <w:t>bacteriological, radiographic,</w:t>
      </w:r>
      <w:r w:rsidR="00DF3D78" w:rsidRPr="00954C95">
        <w:rPr>
          <w:lang w:val="en-US"/>
        </w:rPr>
        <w:t xml:space="preserve"> and</w:t>
      </w:r>
      <w:r w:rsidR="00C43BE8" w:rsidRPr="00954C95">
        <w:rPr>
          <w:lang w:val="en-US"/>
        </w:rPr>
        <w:t xml:space="preserve"> clinical</w:t>
      </w:r>
      <w:r w:rsidR="00764CF7" w:rsidRPr="00954C95">
        <w:rPr>
          <w:color w:val="auto"/>
          <w:lang w:val="en-US"/>
        </w:rPr>
        <w:t xml:space="preserve">. </w:t>
      </w:r>
    </w:p>
    <w:p w14:paraId="380B4F3F" w14:textId="41BB64DA" w:rsidR="00B3273C" w:rsidRPr="00A046A2" w:rsidRDefault="007E6E7A" w:rsidP="00A046A2">
      <w:pPr>
        <w:jc w:val="both"/>
        <w:rPr>
          <w:color w:val="auto"/>
          <w:lang w:val="en-US"/>
        </w:rPr>
      </w:pPr>
      <w:r w:rsidRPr="00A046A2">
        <w:rPr>
          <w:b/>
          <w:color w:val="auto"/>
          <w:lang w:val="en-US"/>
        </w:rPr>
        <w:t>IMPORTANT NOTE</w:t>
      </w:r>
      <w:r w:rsidR="009616A2" w:rsidRPr="00A046A2">
        <w:rPr>
          <w:color w:val="auto"/>
          <w:lang w:val="en-US"/>
        </w:rPr>
        <w:t xml:space="preserve">: </w:t>
      </w:r>
      <w:r w:rsidR="008A7BCB" w:rsidRPr="00A046A2">
        <w:rPr>
          <w:color w:val="auto"/>
          <w:lang w:val="en-US"/>
        </w:rPr>
        <w:t xml:space="preserve">for </w:t>
      </w:r>
      <w:r w:rsidR="007F7AEC" w:rsidRPr="00A046A2">
        <w:rPr>
          <w:color w:val="auto"/>
          <w:lang w:val="en-US"/>
        </w:rPr>
        <w:t>all</w:t>
      </w:r>
      <w:r w:rsidR="007F7AEC" w:rsidRPr="00A046A2">
        <w:rPr>
          <w:lang w:val="en-US"/>
        </w:rPr>
        <w:t xml:space="preserve"> patients who have been assigned an </w:t>
      </w:r>
      <w:proofErr w:type="spellStart"/>
      <w:r w:rsidR="007F7AEC" w:rsidRPr="00A046A2">
        <w:rPr>
          <w:lang w:val="en-US"/>
        </w:rPr>
        <w:t>unassessable</w:t>
      </w:r>
      <w:proofErr w:type="spellEnd"/>
      <w:r w:rsidR="007F7AEC" w:rsidRPr="00A046A2">
        <w:rPr>
          <w:lang w:val="en-US"/>
        </w:rPr>
        <w:t xml:space="preserve"> outcome at Week 39 and for whom there is no further data available (i.e. who discontinued the study and did not perform post-termination follow-up visits) an outcome can be assigned automatically, as follows: a) if the most recent post-baseline culture result is positive, the outcome is unfavorable</w:t>
      </w:r>
      <w:r w:rsidR="000C5276" w:rsidRPr="00A046A2">
        <w:rPr>
          <w:lang w:val="en-US"/>
        </w:rPr>
        <w:t xml:space="preserve"> </w:t>
      </w:r>
      <w:r w:rsidR="000C5276" w:rsidRPr="00A046A2">
        <w:rPr>
          <w:rFonts w:asciiTheme="minorHAnsi" w:hAnsiTheme="minorHAnsi"/>
          <w:lang w:val="en-GB"/>
        </w:rPr>
        <w:t>(</w:t>
      </w:r>
      <w:r w:rsidR="00CF5CBC" w:rsidRPr="00A046A2">
        <w:rPr>
          <w:rFonts w:asciiTheme="minorHAnsi" w:hAnsiTheme="minorHAnsi"/>
          <w:lang w:val="en-GB"/>
        </w:rPr>
        <w:t xml:space="preserve">outcome number </w:t>
      </w:r>
      <w:r w:rsidR="000C5276" w:rsidRPr="00A046A2">
        <w:rPr>
          <w:rFonts w:asciiTheme="minorHAnsi" w:hAnsiTheme="minorHAnsi"/>
          <w:b/>
          <w:bCs/>
          <w:lang w:val="en-GB"/>
        </w:rPr>
        <w:t xml:space="preserve">10 </w:t>
      </w:r>
      <w:r w:rsidR="000C5276" w:rsidRPr="00A046A2">
        <w:rPr>
          <w:rFonts w:asciiTheme="minorHAnsi" w:hAnsiTheme="minorHAnsi"/>
          <w:lang w:val="en-GB"/>
        </w:rPr>
        <w:t xml:space="preserve">at W73, </w:t>
      </w:r>
      <w:r w:rsidR="000C5276" w:rsidRPr="00A046A2">
        <w:rPr>
          <w:rFonts w:asciiTheme="minorHAnsi" w:hAnsiTheme="minorHAnsi"/>
          <w:b/>
          <w:bCs/>
          <w:lang w:val="en-GB"/>
        </w:rPr>
        <w:t>11</w:t>
      </w:r>
      <w:r w:rsidR="000C5276" w:rsidRPr="00A046A2">
        <w:rPr>
          <w:rFonts w:asciiTheme="minorHAnsi" w:hAnsiTheme="minorHAnsi"/>
          <w:lang w:val="en-GB"/>
        </w:rPr>
        <w:t xml:space="preserve"> at W104</w:t>
      </w:r>
      <w:r w:rsidR="00CF5CBC" w:rsidRPr="00A046A2">
        <w:rPr>
          <w:rFonts w:asciiTheme="minorHAnsi" w:hAnsiTheme="minorHAnsi"/>
          <w:lang w:val="en-GB"/>
        </w:rPr>
        <w:t xml:space="preserve"> </w:t>
      </w:r>
      <w:r w:rsidR="00CF5CBC" w:rsidRPr="00A046A2">
        <w:rPr>
          <w:lang w:val="en-GB"/>
        </w:rPr>
        <w:t>as listed in endTB/Q Case Report Form 15</w:t>
      </w:r>
      <w:r w:rsidR="000C5276" w:rsidRPr="00A046A2">
        <w:rPr>
          <w:rFonts w:asciiTheme="minorHAnsi" w:hAnsiTheme="minorHAnsi"/>
          <w:lang w:val="en-GB"/>
        </w:rPr>
        <w:t>)</w:t>
      </w:r>
      <w:r w:rsidR="007F7AEC" w:rsidRPr="00A046A2">
        <w:rPr>
          <w:lang w:val="en-US"/>
        </w:rPr>
        <w:t xml:space="preserve">; b) if the most recent post-baseline culture result is negative, the evolution </w:t>
      </w:r>
      <w:r w:rsidR="007F7AEC" w:rsidRPr="00A046A2">
        <w:rPr>
          <w:rFonts w:asciiTheme="minorHAnsi" w:hAnsiTheme="minorHAnsi"/>
          <w:bCs/>
          <w:iCs/>
          <w:lang w:val="en-US"/>
        </w:rPr>
        <w:t xml:space="preserve">is </w:t>
      </w:r>
      <w:proofErr w:type="spellStart"/>
      <w:r w:rsidR="007F7AEC" w:rsidRPr="00A046A2">
        <w:rPr>
          <w:rFonts w:asciiTheme="minorHAnsi" w:hAnsiTheme="minorHAnsi"/>
          <w:bCs/>
          <w:iCs/>
          <w:lang w:val="en-US"/>
        </w:rPr>
        <w:t>unassessable</w:t>
      </w:r>
      <w:proofErr w:type="spellEnd"/>
      <w:r w:rsidR="000C5276" w:rsidRPr="00A046A2">
        <w:rPr>
          <w:rFonts w:asciiTheme="minorHAnsi" w:hAnsiTheme="minorHAnsi"/>
          <w:bCs/>
          <w:iCs/>
          <w:lang w:val="en-US"/>
        </w:rPr>
        <w:t xml:space="preserve"> </w:t>
      </w:r>
      <w:r w:rsidR="000C5276" w:rsidRPr="00A046A2">
        <w:rPr>
          <w:rFonts w:asciiTheme="minorHAnsi" w:hAnsiTheme="minorHAnsi"/>
          <w:lang w:val="en-GB"/>
        </w:rPr>
        <w:t>(</w:t>
      </w:r>
      <w:r w:rsidR="00751AD2" w:rsidRPr="00A046A2">
        <w:rPr>
          <w:rFonts w:asciiTheme="minorHAnsi" w:hAnsiTheme="minorHAnsi"/>
          <w:lang w:val="en-GB"/>
        </w:rPr>
        <w:t xml:space="preserve">outcome number </w:t>
      </w:r>
      <w:r w:rsidR="00751AD2" w:rsidRPr="00A046A2">
        <w:rPr>
          <w:rFonts w:asciiTheme="minorHAnsi" w:hAnsiTheme="minorHAnsi"/>
          <w:b/>
          <w:bCs/>
          <w:lang w:val="en-GB"/>
        </w:rPr>
        <w:t>11</w:t>
      </w:r>
      <w:r w:rsidR="00751AD2" w:rsidRPr="00A046A2">
        <w:rPr>
          <w:rFonts w:asciiTheme="minorHAnsi" w:hAnsiTheme="minorHAnsi"/>
          <w:lang w:val="en-GB"/>
        </w:rPr>
        <w:t xml:space="preserve"> at W73 and W104 </w:t>
      </w:r>
      <w:r w:rsidR="00751AD2" w:rsidRPr="00A046A2">
        <w:rPr>
          <w:lang w:val="en-GB"/>
        </w:rPr>
        <w:t>as listed in endTB/Q Case Report Form 15</w:t>
      </w:r>
      <w:r w:rsidR="000C5276" w:rsidRPr="00A046A2">
        <w:rPr>
          <w:rFonts w:asciiTheme="minorHAnsi" w:hAnsiTheme="minorHAnsi"/>
          <w:lang w:val="en-GB"/>
        </w:rPr>
        <w:t>)</w:t>
      </w:r>
      <w:r w:rsidR="007F7AEC" w:rsidRPr="00A046A2">
        <w:rPr>
          <w:lang w:val="en-US"/>
        </w:rPr>
        <w:t>.</w:t>
      </w:r>
    </w:p>
    <w:p w14:paraId="7FA32ACD" w14:textId="1714383E" w:rsidR="00B9441C" w:rsidRPr="00954C95" w:rsidRDefault="006276A4" w:rsidP="00A046A2">
      <w:pPr>
        <w:pStyle w:val="ListParagraph"/>
        <w:numPr>
          <w:ilvl w:val="0"/>
          <w:numId w:val="22"/>
        </w:numPr>
        <w:ind w:left="426"/>
        <w:jc w:val="both"/>
        <w:rPr>
          <w:lang w:val="en-US"/>
        </w:rPr>
      </w:pPr>
      <w:r w:rsidRPr="00954C95">
        <w:rPr>
          <w:u w:val="single"/>
          <w:lang w:val="en-US"/>
        </w:rPr>
        <w:t>Favorable</w:t>
      </w:r>
      <w:r w:rsidR="00C43BE8" w:rsidRPr="00954C95">
        <w:rPr>
          <w:u w:val="single"/>
          <w:lang w:val="en-US"/>
        </w:rPr>
        <w:t xml:space="preserve"> evolution</w:t>
      </w:r>
      <w:r w:rsidR="00C121B2" w:rsidRPr="00954C95">
        <w:rPr>
          <w:lang w:val="en-US"/>
        </w:rPr>
        <w:t xml:space="preserve">: </w:t>
      </w:r>
      <w:r w:rsidRPr="00954C95">
        <w:rPr>
          <w:lang w:val="en-US"/>
        </w:rPr>
        <w:t xml:space="preserve">if neither classified as unfavorable nor as </w:t>
      </w:r>
      <w:proofErr w:type="spellStart"/>
      <w:r w:rsidRPr="00954C95">
        <w:rPr>
          <w:lang w:val="en-US"/>
        </w:rPr>
        <w:t>unassessable</w:t>
      </w:r>
      <w:proofErr w:type="spellEnd"/>
      <w:r w:rsidRPr="00954C95">
        <w:rPr>
          <w:lang w:val="en-US"/>
        </w:rPr>
        <w:t>.</w:t>
      </w:r>
    </w:p>
    <w:p w14:paraId="6F4A363D" w14:textId="1B2650AB" w:rsidR="00CA1AE8" w:rsidRPr="00954C95" w:rsidRDefault="00084E39" w:rsidP="00B9441C">
      <w:pPr>
        <w:jc w:val="both"/>
        <w:rPr>
          <w:lang w:val="en-US"/>
        </w:rPr>
      </w:pPr>
      <w:r w:rsidRPr="00954C95">
        <w:rPr>
          <w:lang w:val="en-US"/>
        </w:rPr>
        <w:t>C</w:t>
      </w:r>
      <w:r w:rsidR="00CA1AE8" w:rsidRPr="00954C95">
        <w:rPr>
          <w:lang w:val="en-US"/>
        </w:rPr>
        <w:t xml:space="preserve">ases </w:t>
      </w:r>
      <w:r w:rsidR="00963421" w:rsidRPr="00954C95">
        <w:rPr>
          <w:lang w:val="en-US"/>
        </w:rPr>
        <w:t xml:space="preserve">for which the bacteriological, radiographic and clinical evolution assessment is required </w:t>
      </w:r>
      <w:r w:rsidR="00CA1AE8" w:rsidRPr="00954C95">
        <w:rPr>
          <w:lang w:val="en-US"/>
        </w:rPr>
        <w:t>will be reviewed by the Event Validation Group</w:t>
      </w:r>
      <w:r w:rsidR="00172D43" w:rsidRPr="00954C95">
        <w:rPr>
          <w:lang w:val="en-US"/>
        </w:rPr>
        <w:t xml:space="preserve"> (See </w:t>
      </w:r>
      <w:r w:rsidR="00172D43" w:rsidRPr="00954C95">
        <w:rPr>
          <w:b/>
          <w:i/>
          <w:lang w:val="en-US"/>
        </w:rPr>
        <w:t>SOP SP-31-CT Event Validation</w:t>
      </w:r>
      <w:r w:rsidR="00172D43" w:rsidRPr="00954C95">
        <w:rPr>
          <w:lang w:val="en-US"/>
        </w:rPr>
        <w:t>)</w:t>
      </w:r>
      <w:r w:rsidR="00CA1AE8" w:rsidRPr="00954C95">
        <w:rPr>
          <w:lang w:val="en-US"/>
        </w:rPr>
        <w:t>.</w:t>
      </w:r>
    </w:p>
    <w:p w14:paraId="2253EE02" w14:textId="4002A3AF" w:rsidR="000B566A" w:rsidRPr="00954C95" w:rsidRDefault="00952B93" w:rsidP="0035494D">
      <w:pPr>
        <w:jc w:val="both"/>
        <w:rPr>
          <w:b/>
          <w:sz w:val="24"/>
          <w:szCs w:val="24"/>
          <w:lang w:val="en-US"/>
        </w:rPr>
      </w:pPr>
      <w:r w:rsidRPr="00954C95">
        <w:rPr>
          <w:lang w:val="en-US"/>
        </w:rPr>
        <w:t>If</w:t>
      </w:r>
      <w:r w:rsidR="00B9441C" w:rsidRPr="00954C95">
        <w:rPr>
          <w:lang w:val="en-US"/>
        </w:rPr>
        <w:t xml:space="preserve">, in the opinion of the </w:t>
      </w:r>
      <w:r w:rsidR="00775EB1" w:rsidRPr="00954C95">
        <w:rPr>
          <w:b/>
          <w:lang w:val="en-US"/>
        </w:rPr>
        <w:t xml:space="preserve">Site </w:t>
      </w:r>
      <w:r w:rsidR="00B9441C" w:rsidRPr="00954C95">
        <w:rPr>
          <w:b/>
          <w:lang w:val="en-US"/>
        </w:rPr>
        <w:t>PI</w:t>
      </w:r>
      <w:r w:rsidR="00B9441C" w:rsidRPr="00954C95">
        <w:rPr>
          <w:lang w:val="en-US"/>
        </w:rPr>
        <w:t>,</w:t>
      </w:r>
      <w:r w:rsidRPr="00954C95">
        <w:rPr>
          <w:lang w:val="en-US"/>
        </w:rPr>
        <w:t xml:space="preserve"> the classification of the evolution according to the above criteria is not correct, t</w:t>
      </w:r>
      <w:r w:rsidR="00B9441C" w:rsidRPr="00954C95">
        <w:rPr>
          <w:lang w:val="en-US"/>
        </w:rPr>
        <w:t>he specific reason</w:t>
      </w:r>
      <w:r w:rsidR="00D95BCE" w:rsidRPr="00954C95">
        <w:rPr>
          <w:lang w:val="en-US"/>
        </w:rPr>
        <w:t xml:space="preserve">/s </w:t>
      </w:r>
      <w:r w:rsidR="00B9441C" w:rsidRPr="00954C95">
        <w:rPr>
          <w:lang w:val="en-US"/>
        </w:rPr>
        <w:t xml:space="preserve">should be documented in free text in the </w:t>
      </w:r>
      <w:r w:rsidR="00172D43" w:rsidRPr="00954C95">
        <w:rPr>
          <w:lang w:val="en-US"/>
        </w:rPr>
        <w:t>s</w:t>
      </w:r>
      <w:r w:rsidR="00B9441C" w:rsidRPr="00954C95">
        <w:rPr>
          <w:lang w:val="en-US"/>
        </w:rPr>
        <w:t xml:space="preserve">ource </w:t>
      </w:r>
      <w:r w:rsidR="00172D43" w:rsidRPr="00954C95">
        <w:rPr>
          <w:lang w:val="en-US"/>
        </w:rPr>
        <w:t>d</w:t>
      </w:r>
      <w:r w:rsidR="00B9441C" w:rsidRPr="00954C95">
        <w:rPr>
          <w:lang w:val="en-US"/>
        </w:rPr>
        <w:t>ocument</w:t>
      </w:r>
      <w:r w:rsidR="00172D43" w:rsidRPr="00954C95">
        <w:rPr>
          <w:lang w:val="en-US"/>
        </w:rPr>
        <w:t>s</w:t>
      </w:r>
      <w:r w:rsidR="00B9441C" w:rsidRPr="00954C95">
        <w:rPr>
          <w:lang w:val="en-US"/>
        </w:rPr>
        <w:t xml:space="preserve"> (</w:t>
      </w:r>
      <w:proofErr w:type="spellStart"/>
      <w:r w:rsidR="00B9441C" w:rsidRPr="00954C95">
        <w:rPr>
          <w:lang w:val="en-US"/>
        </w:rPr>
        <w:t>ie</w:t>
      </w:r>
      <w:proofErr w:type="spellEnd"/>
      <w:r w:rsidR="00B9441C" w:rsidRPr="00954C95">
        <w:rPr>
          <w:lang w:val="en-US"/>
        </w:rPr>
        <w:t>. clinical progress notes)</w:t>
      </w:r>
      <w:r w:rsidR="00D95BCE" w:rsidRPr="00954C95">
        <w:rPr>
          <w:lang w:val="en-US"/>
        </w:rPr>
        <w:t xml:space="preserve"> for the review by the Event Validation </w:t>
      </w:r>
      <w:r w:rsidR="00963421" w:rsidRPr="00954C95">
        <w:rPr>
          <w:lang w:val="en-US"/>
        </w:rPr>
        <w:t>Group</w:t>
      </w:r>
      <w:r w:rsidR="00B9441C" w:rsidRPr="00954C95">
        <w:rPr>
          <w:lang w:val="en-US"/>
        </w:rPr>
        <w:t>.</w:t>
      </w:r>
    </w:p>
    <w:p w14:paraId="68B243D0" w14:textId="595621A4" w:rsidR="00DF6D70" w:rsidRPr="00954C95" w:rsidRDefault="00DF6D70" w:rsidP="00B44204">
      <w:pPr>
        <w:pStyle w:val="Heading1"/>
        <w:numPr>
          <w:ilvl w:val="0"/>
          <w:numId w:val="29"/>
        </w:numPr>
        <w:spacing w:before="0" w:after="120"/>
        <w:jc w:val="both"/>
        <w:rPr>
          <w:lang w:val="en-US"/>
        </w:rPr>
      </w:pPr>
      <w:bookmarkStart w:id="7" w:name="_Toc166246819"/>
      <w:r w:rsidRPr="00954C95">
        <w:rPr>
          <w:lang w:val="en-US"/>
        </w:rPr>
        <w:t>REFERENCES</w:t>
      </w:r>
      <w:bookmarkEnd w:id="7"/>
      <w:r w:rsidRPr="00954C95">
        <w:rPr>
          <w:lang w:val="en-US"/>
        </w:rPr>
        <w:tab/>
      </w:r>
    </w:p>
    <w:p w14:paraId="19E0694B" w14:textId="57F4F498" w:rsidR="00DF6D70" w:rsidRPr="00954C95" w:rsidRDefault="00B44204" w:rsidP="00B44204">
      <w:pPr>
        <w:pStyle w:val="Heading1"/>
        <w:spacing w:before="0" w:after="120"/>
        <w:ind w:firstLine="360"/>
        <w:jc w:val="both"/>
        <w:rPr>
          <w:lang w:val="en-US"/>
        </w:rPr>
      </w:pPr>
      <w:bookmarkStart w:id="8" w:name="_Toc166246820"/>
      <w:r w:rsidRPr="00954C95">
        <w:rPr>
          <w:b w:val="0"/>
          <w:lang w:val="en-US"/>
        </w:rPr>
        <w:t>None</w:t>
      </w:r>
      <w:bookmarkEnd w:id="8"/>
    </w:p>
    <w:p w14:paraId="19C00FC6" w14:textId="77777777" w:rsidR="00DF6D70" w:rsidRPr="008C18A1" w:rsidRDefault="00DF6D70" w:rsidP="00172D43">
      <w:pPr>
        <w:pStyle w:val="ListParagraph"/>
        <w:numPr>
          <w:ilvl w:val="0"/>
          <w:numId w:val="29"/>
        </w:numPr>
        <w:tabs>
          <w:tab w:val="left" w:pos="4050"/>
        </w:tabs>
        <w:spacing w:before="360" w:after="80"/>
        <w:ind w:left="714" w:hanging="357"/>
        <w:jc w:val="both"/>
        <w:rPr>
          <w:b/>
          <w:sz w:val="24"/>
          <w:szCs w:val="24"/>
          <w:lang w:val="en-US"/>
        </w:rPr>
      </w:pPr>
      <w:r w:rsidRPr="008C18A1">
        <w:rPr>
          <w:b/>
          <w:sz w:val="24"/>
          <w:szCs w:val="24"/>
          <w:lang w:val="en-US"/>
        </w:rPr>
        <w:t>SUPPORTING DOCUMENTS</w:t>
      </w:r>
    </w:p>
    <w:p w14:paraId="2A1F2D35" w14:textId="7DE82A79" w:rsidR="00775EB1" w:rsidRPr="00954C95" w:rsidRDefault="00DF6D70" w:rsidP="007A25A4">
      <w:pPr>
        <w:pStyle w:val="Heading2"/>
        <w:numPr>
          <w:ilvl w:val="0"/>
          <w:numId w:val="32"/>
        </w:numPr>
        <w:spacing w:before="0"/>
        <w:ind w:left="426" w:hanging="357"/>
        <w:contextualSpacing/>
        <w:rPr>
          <w:rFonts w:eastAsiaTheme="majorEastAsia" w:cstheme="majorBidi"/>
          <w:b w:val="0"/>
          <w:bCs/>
          <w:color w:val="auto"/>
          <w:sz w:val="22"/>
          <w:szCs w:val="22"/>
          <w:lang w:val="en-US" w:eastAsia="en-US"/>
        </w:rPr>
      </w:pPr>
      <w:bookmarkStart w:id="9" w:name="_Toc166246821"/>
      <w:r w:rsidRPr="00954C95">
        <w:rPr>
          <w:rFonts w:eastAsiaTheme="majorEastAsia" w:cstheme="majorBidi"/>
          <w:b w:val="0"/>
          <w:bCs/>
          <w:color w:val="auto"/>
          <w:sz w:val="22"/>
          <w:szCs w:val="22"/>
          <w:lang w:val="en-US" w:eastAsia="en-US"/>
        </w:rPr>
        <w:t xml:space="preserve">endTB </w:t>
      </w:r>
      <w:r w:rsidR="008C18A1">
        <w:rPr>
          <w:rFonts w:eastAsiaTheme="majorEastAsia" w:cstheme="majorBidi"/>
          <w:b w:val="0"/>
          <w:bCs/>
          <w:color w:val="auto"/>
          <w:sz w:val="22"/>
          <w:szCs w:val="22"/>
          <w:lang w:val="en-US" w:eastAsia="en-US"/>
        </w:rPr>
        <w:t xml:space="preserve">and endTB-Q </w:t>
      </w:r>
      <w:r w:rsidRPr="00954C95">
        <w:rPr>
          <w:rFonts w:eastAsiaTheme="majorEastAsia" w:cstheme="majorBidi"/>
          <w:b w:val="0"/>
          <w:bCs/>
          <w:color w:val="auto"/>
          <w:sz w:val="22"/>
          <w:szCs w:val="22"/>
          <w:lang w:val="en-US" w:eastAsia="en-US"/>
        </w:rPr>
        <w:t>Study protocol</w:t>
      </w:r>
      <w:r w:rsidR="008C18A1">
        <w:rPr>
          <w:rFonts w:eastAsiaTheme="majorEastAsia" w:cstheme="majorBidi"/>
          <w:b w:val="0"/>
          <w:bCs/>
          <w:color w:val="auto"/>
          <w:sz w:val="22"/>
          <w:szCs w:val="22"/>
          <w:lang w:val="en-US" w:eastAsia="en-US"/>
        </w:rPr>
        <w:t xml:space="preserve"> </w:t>
      </w:r>
      <w:r w:rsidR="00B44204" w:rsidRPr="00954C95">
        <w:rPr>
          <w:rFonts w:eastAsiaTheme="majorEastAsia" w:cstheme="majorBidi"/>
          <w:b w:val="0"/>
          <w:bCs/>
          <w:color w:val="auto"/>
          <w:sz w:val="22"/>
          <w:szCs w:val="22"/>
          <w:lang w:val="en-US" w:eastAsia="en-US"/>
        </w:rPr>
        <w:t>(specifically section 3.</w:t>
      </w:r>
      <w:r w:rsidRPr="00954C95">
        <w:rPr>
          <w:rFonts w:eastAsiaTheme="majorEastAsia" w:cstheme="majorBidi"/>
          <w:b w:val="0"/>
          <w:bCs/>
          <w:color w:val="auto"/>
          <w:sz w:val="22"/>
          <w:szCs w:val="22"/>
          <w:lang w:val="en-US" w:eastAsia="en-US"/>
        </w:rPr>
        <w:t>2)</w:t>
      </w:r>
      <w:r w:rsidR="00B44204" w:rsidRPr="00954C95">
        <w:rPr>
          <w:rFonts w:eastAsiaTheme="majorEastAsia" w:cstheme="majorBidi"/>
          <w:b w:val="0"/>
          <w:bCs/>
          <w:color w:val="auto"/>
          <w:sz w:val="22"/>
          <w:szCs w:val="22"/>
          <w:lang w:val="en-US" w:eastAsia="en-US"/>
        </w:rPr>
        <w:t>.</w:t>
      </w:r>
      <w:bookmarkEnd w:id="9"/>
    </w:p>
    <w:p w14:paraId="3F671314" w14:textId="72B3BBD4" w:rsidR="00775EB1" w:rsidRPr="00954C95" w:rsidRDefault="00775EB1" w:rsidP="007A25A4">
      <w:pPr>
        <w:pStyle w:val="Heading2"/>
        <w:numPr>
          <w:ilvl w:val="0"/>
          <w:numId w:val="32"/>
        </w:numPr>
        <w:ind w:left="426" w:hanging="357"/>
        <w:contextualSpacing/>
        <w:rPr>
          <w:rFonts w:eastAsiaTheme="majorEastAsia" w:cstheme="majorBidi"/>
          <w:b w:val="0"/>
          <w:bCs/>
          <w:color w:val="auto"/>
          <w:sz w:val="22"/>
          <w:szCs w:val="22"/>
          <w:lang w:val="en-US" w:eastAsia="en-US"/>
        </w:rPr>
      </w:pPr>
      <w:bookmarkStart w:id="10" w:name="_Toc166246822"/>
      <w:r w:rsidRPr="00954C95">
        <w:rPr>
          <w:rFonts w:eastAsiaTheme="majorEastAsia" w:cstheme="majorBidi"/>
          <w:b w:val="0"/>
          <w:bCs/>
          <w:color w:val="auto"/>
          <w:sz w:val="22"/>
          <w:szCs w:val="22"/>
          <w:lang w:val="en-US" w:eastAsia="en-US"/>
        </w:rPr>
        <w:t>SOP SP-026-CT Reporting of Treatment Outcomes</w:t>
      </w:r>
      <w:r w:rsidR="00B44204" w:rsidRPr="00954C95">
        <w:rPr>
          <w:rFonts w:eastAsiaTheme="majorEastAsia" w:cstheme="majorBidi"/>
          <w:b w:val="0"/>
          <w:bCs/>
          <w:color w:val="auto"/>
          <w:sz w:val="22"/>
          <w:szCs w:val="22"/>
          <w:lang w:val="en-US" w:eastAsia="en-US"/>
        </w:rPr>
        <w:t xml:space="preserve"> (endTB Site Study Document).</w:t>
      </w:r>
      <w:bookmarkEnd w:id="10"/>
    </w:p>
    <w:p w14:paraId="565D49F0" w14:textId="5646BC54" w:rsidR="00DF6D70" w:rsidRDefault="00775EB1" w:rsidP="007A25A4">
      <w:pPr>
        <w:pStyle w:val="Heading2"/>
        <w:numPr>
          <w:ilvl w:val="0"/>
          <w:numId w:val="32"/>
        </w:numPr>
        <w:ind w:left="426" w:hanging="357"/>
        <w:contextualSpacing/>
        <w:rPr>
          <w:rFonts w:eastAsiaTheme="majorEastAsia" w:cstheme="majorBidi"/>
          <w:b w:val="0"/>
          <w:bCs/>
          <w:color w:val="auto"/>
          <w:sz w:val="22"/>
          <w:szCs w:val="22"/>
          <w:lang w:val="en-US" w:eastAsia="en-US"/>
        </w:rPr>
      </w:pPr>
      <w:bookmarkStart w:id="11" w:name="_Toc166246823"/>
      <w:r w:rsidRPr="00954C95">
        <w:rPr>
          <w:rFonts w:eastAsiaTheme="majorEastAsia" w:cstheme="majorBidi"/>
          <w:b w:val="0"/>
          <w:bCs/>
          <w:color w:val="auto"/>
          <w:sz w:val="22"/>
          <w:szCs w:val="22"/>
          <w:lang w:val="en-US" w:eastAsia="en-US"/>
        </w:rPr>
        <w:t xml:space="preserve">SOP SP-031-CT Event </w:t>
      </w:r>
      <w:r w:rsidR="00B44204" w:rsidRPr="00954C95">
        <w:rPr>
          <w:rFonts w:eastAsiaTheme="majorEastAsia" w:cstheme="majorBidi"/>
          <w:b w:val="0"/>
          <w:bCs/>
          <w:color w:val="auto"/>
          <w:sz w:val="22"/>
          <w:szCs w:val="22"/>
          <w:lang w:val="en-US" w:eastAsia="en-US"/>
        </w:rPr>
        <w:t>V</w:t>
      </w:r>
      <w:r w:rsidRPr="00954C95">
        <w:rPr>
          <w:rFonts w:eastAsiaTheme="majorEastAsia" w:cstheme="majorBidi"/>
          <w:b w:val="0"/>
          <w:bCs/>
          <w:color w:val="auto"/>
          <w:sz w:val="22"/>
          <w:szCs w:val="22"/>
          <w:lang w:val="en-US" w:eastAsia="en-US"/>
        </w:rPr>
        <w:t>alidation</w:t>
      </w:r>
      <w:r w:rsidR="00B44204" w:rsidRPr="00954C95">
        <w:rPr>
          <w:rFonts w:eastAsiaTheme="majorEastAsia" w:cstheme="majorBidi"/>
          <w:b w:val="0"/>
          <w:bCs/>
          <w:color w:val="auto"/>
          <w:sz w:val="22"/>
          <w:szCs w:val="22"/>
          <w:lang w:val="en-US" w:eastAsia="en-US"/>
        </w:rPr>
        <w:t xml:space="preserve"> (endTB Site Study Document).</w:t>
      </w:r>
      <w:bookmarkEnd w:id="11"/>
    </w:p>
    <w:p w14:paraId="130B469E" w14:textId="513C179B" w:rsidR="00843B19" w:rsidRPr="00843B19" w:rsidRDefault="00843B19" w:rsidP="007A25A4">
      <w:pPr>
        <w:pStyle w:val="Heading2"/>
        <w:numPr>
          <w:ilvl w:val="0"/>
          <w:numId w:val="32"/>
        </w:numPr>
        <w:ind w:left="426" w:hanging="357"/>
        <w:contextualSpacing/>
        <w:rPr>
          <w:rFonts w:eastAsiaTheme="majorEastAsia" w:cstheme="majorBidi"/>
          <w:b w:val="0"/>
          <w:bCs/>
          <w:color w:val="auto"/>
          <w:sz w:val="22"/>
          <w:szCs w:val="22"/>
          <w:lang w:val="en-US" w:eastAsia="en-US"/>
        </w:rPr>
      </w:pPr>
      <w:bookmarkStart w:id="12" w:name="_Toc166246824"/>
      <w:r>
        <w:rPr>
          <w:rFonts w:eastAsiaTheme="majorEastAsia" w:cstheme="majorBidi"/>
          <w:b w:val="0"/>
          <w:bCs/>
          <w:color w:val="auto"/>
          <w:sz w:val="22"/>
          <w:szCs w:val="22"/>
          <w:lang w:val="en-US" w:eastAsia="en-US"/>
        </w:rPr>
        <w:t>endTB and endTB-Q</w:t>
      </w:r>
      <w:r w:rsidRPr="00843B19">
        <w:rPr>
          <w:rFonts w:eastAsiaTheme="majorEastAsia" w:cstheme="majorBidi"/>
          <w:b w:val="0"/>
          <w:bCs/>
          <w:color w:val="auto"/>
          <w:sz w:val="22"/>
          <w:szCs w:val="22"/>
          <w:lang w:val="en-US" w:eastAsia="en-US"/>
        </w:rPr>
        <w:t xml:space="preserve"> Case Report Form 15</w:t>
      </w:r>
      <w:r w:rsidR="00305293">
        <w:rPr>
          <w:rFonts w:eastAsiaTheme="majorEastAsia" w:cstheme="majorBidi"/>
          <w:b w:val="0"/>
          <w:bCs/>
          <w:color w:val="auto"/>
          <w:sz w:val="22"/>
          <w:szCs w:val="22"/>
          <w:lang w:val="en-US" w:eastAsia="en-US"/>
        </w:rPr>
        <w:t xml:space="preserve"> (endTB Site Study</w:t>
      </w:r>
      <w:r w:rsidR="007F551E">
        <w:rPr>
          <w:rFonts w:eastAsiaTheme="majorEastAsia" w:cstheme="majorBidi"/>
          <w:b w:val="0"/>
          <w:bCs/>
          <w:color w:val="auto"/>
          <w:sz w:val="22"/>
          <w:szCs w:val="22"/>
          <w:lang w:val="en-US" w:eastAsia="en-US"/>
        </w:rPr>
        <w:t xml:space="preserve"> Document</w:t>
      </w:r>
      <w:r w:rsidR="00305293">
        <w:rPr>
          <w:rFonts w:eastAsiaTheme="majorEastAsia" w:cstheme="majorBidi"/>
          <w:b w:val="0"/>
          <w:bCs/>
          <w:color w:val="auto"/>
          <w:sz w:val="22"/>
          <w:szCs w:val="22"/>
          <w:lang w:val="en-US" w:eastAsia="en-US"/>
        </w:rPr>
        <w:t>)</w:t>
      </w:r>
      <w:r>
        <w:rPr>
          <w:rFonts w:eastAsiaTheme="majorEastAsia" w:cstheme="majorBidi"/>
          <w:b w:val="0"/>
          <w:bCs/>
          <w:color w:val="auto"/>
          <w:sz w:val="22"/>
          <w:szCs w:val="22"/>
          <w:lang w:val="en-US" w:eastAsia="en-US"/>
        </w:rPr>
        <w:t>.</w:t>
      </w:r>
      <w:bookmarkEnd w:id="12"/>
    </w:p>
    <w:p w14:paraId="5724AE73" w14:textId="77777777" w:rsidR="00775EB1" w:rsidRPr="007A25A4" w:rsidRDefault="00775EB1" w:rsidP="007A25A4">
      <w:pPr>
        <w:tabs>
          <w:tab w:val="left" w:pos="4050"/>
        </w:tabs>
        <w:spacing w:line="360" w:lineRule="auto"/>
        <w:jc w:val="both"/>
        <w:rPr>
          <w:sz w:val="24"/>
          <w:szCs w:val="24"/>
          <w:lang w:val="en-US"/>
        </w:rPr>
      </w:pPr>
    </w:p>
    <w:p w14:paraId="67BA9557" w14:textId="6BF2A789" w:rsidR="00B44204" w:rsidRPr="00954C95" w:rsidRDefault="00B44204" w:rsidP="00B44204">
      <w:pPr>
        <w:pStyle w:val="Heading1"/>
        <w:numPr>
          <w:ilvl w:val="0"/>
          <w:numId w:val="29"/>
        </w:numPr>
        <w:spacing w:before="0" w:after="120"/>
        <w:jc w:val="both"/>
        <w:rPr>
          <w:lang w:val="en-US"/>
        </w:rPr>
      </w:pPr>
      <w:bookmarkStart w:id="13" w:name="_Toc166246825"/>
      <w:r w:rsidRPr="00954C95">
        <w:rPr>
          <w:lang w:val="en-US"/>
        </w:rPr>
        <w:t>APPENDIX</w:t>
      </w:r>
      <w:bookmarkEnd w:id="13"/>
      <w:r w:rsidRPr="00954C95">
        <w:rPr>
          <w:lang w:val="en-US"/>
        </w:rPr>
        <w:tab/>
      </w:r>
    </w:p>
    <w:p w14:paraId="7C0028B5" w14:textId="77777777" w:rsidR="00B44204" w:rsidRPr="00954C95" w:rsidRDefault="00B44204" w:rsidP="00B44204">
      <w:pPr>
        <w:pStyle w:val="Heading1"/>
        <w:spacing w:before="0" w:after="120"/>
        <w:ind w:firstLine="360"/>
        <w:jc w:val="both"/>
        <w:rPr>
          <w:lang w:val="en-US"/>
        </w:rPr>
      </w:pPr>
      <w:bookmarkStart w:id="14" w:name="_Toc166246826"/>
      <w:r w:rsidRPr="00954C95">
        <w:rPr>
          <w:b w:val="0"/>
          <w:lang w:val="en-US"/>
        </w:rPr>
        <w:t>None</w:t>
      </w:r>
      <w:bookmarkEnd w:id="14"/>
    </w:p>
    <w:p w14:paraId="38D6465F" w14:textId="77777777" w:rsidR="00B44204" w:rsidRPr="008C18A1" w:rsidRDefault="00B44204" w:rsidP="00B44204">
      <w:pPr>
        <w:tabs>
          <w:tab w:val="left" w:pos="4050"/>
        </w:tabs>
        <w:spacing w:line="360" w:lineRule="auto"/>
        <w:ind w:left="360"/>
        <w:jc w:val="both"/>
        <w:rPr>
          <w:b/>
          <w:sz w:val="24"/>
          <w:szCs w:val="24"/>
          <w:lang w:val="en-US"/>
        </w:rPr>
      </w:pPr>
    </w:p>
    <w:sectPr w:rsidR="00B44204" w:rsidRPr="008C18A1" w:rsidSect="00746D0E">
      <w:headerReference w:type="default" r:id="rId11"/>
      <w:footerReference w:type="default" r:id="rId12"/>
      <w:pgSz w:w="12240" w:h="15840"/>
      <w:pgMar w:top="1276" w:right="1440" w:bottom="2127" w:left="1440" w:header="1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FF972" w14:textId="77777777" w:rsidR="00A77830" w:rsidRDefault="00A77830">
      <w:pPr>
        <w:spacing w:after="0" w:line="240" w:lineRule="auto"/>
      </w:pPr>
      <w:r>
        <w:separator/>
      </w:r>
    </w:p>
  </w:endnote>
  <w:endnote w:type="continuationSeparator" w:id="0">
    <w:p w14:paraId="6693C210" w14:textId="77777777" w:rsidR="00A77830" w:rsidRDefault="00A7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116615"/>
      <w:docPartObj>
        <w:docPartGallery w:val="Page Numbers (Bottom of Page)"/>
        <w:docPartUnique/>
      </w:docPartObj>
    </w:sdtPr>
    <w:sdtContent>
      <w:sdt>
        <w:sdtPr>
          <w:id w:val="-1669238322"/>
          <w:docPartObj>
            <w:docPartGallery w:val="Page Numbers (Top of Page)"/>
            <w:docPartUnique/>
          </w:docPartObj>
        </w:sdtPr>
        <w:sdtContent>
          <w:p w14:paraId="69A3C5B3" w14:textId="77777777" w:rsidR="00EA279C" w:rsidRDefault="00EA279C" w:rsidP="00EA279C">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680D3826" w14:textId="77777777" w:rsidR="00EA279C" w:rsidRDefault="00EA279C" w:rsidP="00EA279C">
            <w:pPr>
              <w:tabs>
                <w:tab w:val="center" w:pos="4680"/>
                <w:tab w:val="right" w:pos="9360"/>
              </w:tabs>
              <w:spacing w:after="0" w:line="240" w:lineRule="auto"/>
              <w:jc w:val="both"/>
              <w:rPr>
                <w:i/>
                <w:iCs/>
                <w:sz w:val="18"/>
                <w:szCs w:val="18"/>
              </w:rPr>
            </w:pPr>
          </w:p>
          <w:p w14:paraId="24BC7F77" w14:textId="4AE44DFA" w:rsidR="00461273" w:rsidRDefault="00461273">
            <w:pPr>
              <w:pStyle w:val="Footer"/>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7F551E">
              <w:rPr>
                <w:b/>
                <w:bCs/>
                <w:noProof/>
              </w:rPr>
              <w:t>5</w:t>
            </w:r>
            <w:r>
              <w:rPr>
                <w:b/>
                <w:bCs/>
                <w:sz w:val="24"/>
                <w:szCs w:val="24"/>
              </w:rPr>
              <w:fldChar w:fldCharType="end"/>
            </w:r>
            <w:r>
              <w:rPr>
                <w:lang w:val="fr-FR"/>
              </w:rPr>
              <w:t xml:space="preserve"> of </w:t>
            </w:r>
            <w:r>
              <w:rPr>
                <w:b/>
                <w:bCs/>
                <w:sz w:val="24"/>
                <w:szCs w:val="24"/>
              </w:rPr>
              <w:fldChar w:fldCharType="begin"/>
            </w:r>
            <w:r>
              <w:rPr>
                <w:b/>
                <w:bCs/>
              </w:rPr>
              <w:instrText>NUMPAGES</w:instrText>
            </w:r>
            <w:r>
              <w:rPr>
                <w:b/>
                <w:bCs/>
                <w:sz w:val="24"/>
                <w:szCs w:val="24"/>
              </w:rPr>
              <w:fldChar w:fldCharType="separate"/>
            </w:r>
            <w:r w:rsidR="007F551E">
              <w:rPr>
                <w:b/>
                <w:bCs/>
                <w:noProof/>
              </w:rPr>
              <w:t>5</w:t>
            </w:r>
            <w:r>
              <w:rPr>
                <w:b/>
                <w:bCs/>
                <w:sz w:val="24"/>
                <w:szCs w:val="24"/>
              </w:rPr>
              <w:fldChar w:fldCharType="end"/>
            </w:r>
          </w:p>
        </w:sdtContent>
      </w:sdt>
    </w:sdtContent>
  </w:sdt>
  <w:p w14:paraId="3FB0305D" w14:textId="1DECC74B" w:rsidR="0076142D" w:rsidRPr="00B44204" w:rsidRDefault="0076142D" w:rsidP="00B44204">
    <w:pPr>
      <w:tabs>
        <w:tab w:val="center" w:pos="4680"/>
        <w:tab w:val="right" w:pos="9360"/>
      </w:tabs>
      <w:spacing w:before="360" w:after="360" w:line="240"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D2ABB" w14:textId="77777777" w:rsidR="00A77830" w:rsidRDefault="00A77830">
      <w:pPr>
        <w:spacing w:after="0" w:line="240" w:lineRule="auto"/>
      </w:pPr>
      <w:r>
        <w:separator/>
      </w:r>
    </w:p>
  </w:footnote>
  <w:footnote w:type="continuationSeparator" w:id="0">
    <w:p w14:paraId="042A0BAD" w14:textId="77777777" w:rsidR="00A77830" w:rsidRDefault="00A77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6A05" w14:textId="40AADB18" w:rsidR="0076142D" w:rsidRPr="0035494D" w:rsidRDefault="008D570B" w:rsidP="00D15A5C">
    <w:pPr>
      <w:tabs>
        <w:tab w:val="center" w:pos="4680"/>
        <w:tab w:val="right" w:pos="9360"/>
      </w:tabs>
      <w:spacing w:before="720" w:after="0" w:line="240" w:lineRule="auto"/>
      <w:ind w:left="-284"/>
      <w:rPr>
        <w:lang w:val="en-US"/>
      </w:rPr>
    </w:pPr>
    <w:r>
      <w:rPr>
        <w:noProof/>
      </w:rPr>
      <w:drawing>
        <wp:anchor distT="0" distB="0" distL="114300" distR="114300" simplePos="0" relativeHeight="251659264" behindDoc="0" locked="0" layoutInCell="1" allowOverlap="1" wp14:anchorId="71697484" wp14:editId="7D25A7C9">
          <wp:simplePos x="0" y="0"/>
          <wp:positionH relativeFrom="column">
            <wp:posOffset>-755073</wp:posOffset>
          </wp:positionH>
          <wp:positionV relativeFrom="paragraph">
            <wp:posOffset>415809</wp:posOffset>
          </wp:positionV>
          <wp:extent cx="498475" cy="307975"/>
          <wp:effectExtent l="0" t="0" r="0" b="0"/>
          <wp:wrapThrough wrapText="bothSides">
            <wp:wrapPolygon edited="0">
              <wp:start x="0" y="0"/>
              <wp:lineTo x="0" y="20041"/>
              <wp:lineTo x="20637" y="20041"/>
              <wp:lineTo x="20637" y="0"/>
              <wp:lineTo x="0" y="0"/>
            </wp:wrapPolygon>
          </wp:wrapThrough>
          <wp:docPr id="1949491754"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51271" name="Picture 1"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475" cy="30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643" w:rsidRPr="0035494D">
      <w:rPr>
        <w:b/>
        <w:lang w:val="en-US"/>
      </w:rPr>
      <w:t xml:space="preserve">endTB </w:t>
    </w:r>
    <w:r w:rsidR="0035494D">
      <w:rPr>
        <w:b/>
        <w:lang w:val="en-US"/>
      </w:rPr>
      <w:t>Clinical Trial</w:t>
    </w:r>
    <w:r w:rsidR="006B7F3C">
      <w:rPr>
        <w:b/>
        <w:lang w:val="en-US"/>
      </w:rPr>
      <w:t>s</w:t>
    </w:r>
    <w:r w:rsidR="0035494D">
      <w:rPr>
        <w:b/>
        <w:lang w:val="en-US"/>
      </w:rPr>
      <w:t xml:space="preserve"> </w:t>
    </w:r>
    <w:r w:rsidR="0035494D">
      <w:rPr>
        <w:b/>
        <w:lang w:val="en-US"/>
      </w:rPr>
      <w:tab/>
    </w:r>
    <w:r w:rsidR="0035494D">
      <w:rPr>
        <w:b/>
        <w:lang w:val="en-US"/>
      </w:rPr>
      <w:tab/>
      <w:t xml:space="preserve">SOP </w:t>
    </w:r>
    <w:r w:rsidR="00151D3D">
      <w:rPr>
        <w:b/>
        <w:lang w:val="en-US"/>
      </w:rPr>
      <w:t>SP-032</w:t>
    </w:r>
    <w:r w:rsidR="008318F4" w:rsidRPr="008318F4">
      <w:rPr>
        <w:b/>
        <w:lang w:val="en-US"/>
      </w:rPr>
      <w:t>-CT</w:t>
    </w:r>
    <w:r w:rsidR="008318F4">
      <w:rPr>
        <w:b/>
        <w:lang w:val="en-US"/>
      </w:rPr>
      <w:t xml:space="preserve"> </w:t>
    </w:r>
    <w:r w:rsidR="006B7F3C">
      <w:rPr>
        <w:b/>
        <w:lang w:val="en-US"/>
      </w:rPr>
      <w:t xml:space="preserve">Version </w:t>
    </w:r>
    <w:r w:rsidR="008C1609">
      <w:rPr>
        <w:b/>
        <w:lang w:val="en-US"/>
      </w:rPr>
      <w:t>2.0</w:t>
    </w:r>
    <w:r w:rsidR="00EC160F">
      <w:rPr>
        <w:b/>
        <w:lang w:val="en-US"/>
      </w:rPr>
      <w:t xml:space="preserve">, </w:t>
    </w:r>
    <w:r w:rsidR="006B7F3C">
      <w:rPr>
        <w:b/>
        <w:lang w:val="en-US"/>
      </w:rPr>
      <w:t>Date 30-Apr</w:t>
    </w:r>
    <w:r w:rsidR="0035494D">
      <w:rPr>
        <w:b/>
        <w:lang w:val="en-US"/>
      </w:rPr>
      <w:t>-</w:t>
    </w:r>
    <w:r w:rsidR="00C54D0C">
      <w:rPr>
        <w:b/>
        <w:lang w:val="en-U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1464"/>
    <w:multiLevelType w:val="hybridMultilevel"/>
    <w:tmpl w:val="DBC842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D62C16"/>
    <w:multiLevelType w:val="hybridMultilevel"/>
    <w:tmpl w:val="116A4C36"/>
    <w:lvl w:ilvl="0" w:tplc="528E71A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1522D58"/>
    <w:multiLevelType w:val="hybridMultilevel"/>
    <w:tmpl w:val="4C7A6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737E2"/>
    <w:multiLevelType w:val="multilevel"/>
    <w:tmpl w:val="186EAD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30603EE"/>
    <w:multiLevelType w:val="hybridMultilevel"/>
    <w:tmpl w:val="DBC842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5B3742"/>
    <w:multiLevelType w:val="multilevel"/>
    <w:tmpl w:val="390034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B490E"/>
    <w:multiLevelType w:val="multilevel"/>
    <w:tmpl w:val="E386130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7" w15:restartNumberingAfterBreak="0">
    <w:nsid w:val="168C2890"/>
    <w:multiLevelType w:val="multilevel"/>
    <w:tmpl w:val="947CCC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E431B87"/>
    <w:multiLevelType w:val="hybridMultilevel"/>
    <w:tmpl w:val="71622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2B2E35"/>
    <w:multiLevelType w:val="hybridMultilevel"/>
    <w:tmpl w:val="E46477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43D7CB1"/>
    <w:multiLevelType w:val="hybridMultilevel"/>
    <w:tmpl w:val="AC281E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E57652"/>
    <w:multiLevelType w:val="hybridMultilevel"/>
    <w:tmpl w:val="B1C673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2B02FB"/>
    <w:multiLevelType w:val="multilevel"/>
    <w:tmpl w:val="E8663B5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9CA6E06"/>
    <w:multiLevelType w:val="hybridMultilevel"/>
    <w:tmpl w:val="580EA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ED5339"/>
    <w:multiLevelType w:val="hybridMultilevel"/>
    <w:tmpl w:val="ABD22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FB65E9"/>
    <w:multiLevelType w:val="hybridMultilevel"/>
    <w:tmpl w:val="EEBA1268"/>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31E43FF"/>
    <w:multiLevelType w:val="multilevel"/>
    <w:tmpl w:val="90F82746"/>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7" w15:restartNumberingAfterBreak="0">
    <w:nsid w:val="339517A0"/>
    <w:multiLevelType w:val="multilevel"/>
    <w:tmpl w:val="1DEAE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7BD1D7F"/>
    <w:multiLevelType w:val="multilevel"/>
    <w:tmpl w:val="1DEAE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8443639"/>
    <w:multiLevelType w:val="hybridMultilevel"/>
    <w:tmpl w:val="E5848E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797E1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714469"/>
    <w:multiLevelType w:val="hybridMultilevel"/>
    <w:tmpl w:val="8918D77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B4E3845"/>
    <w:multiLevelType w:val="hybridMultilevel"/>
    <w:tmpl w:val="E1E6F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2C6503"/>
    <w:multiLevelType w:val="hybridMultilevel"/>
    <w:tmpl w:val="FF82B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D95EA7"/>
    <w:multiLevelType w:val="multilevel"/>
    <w:tmpl w:val="F38CDB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5854616F"/>
    <w:multiLevelType w:val="multilevel"/>
    <w:tmpl w:val="1DEAE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8F62353"/>
    <w:multiLevelType w:val="multilevel"/>
    <w:tmpl w:val="D85CEEA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7" w15:restartNumberingAfterBreak="0">
    <w:nsid w:val="5C7132FB"/>
    <w:multiLevelType w:val="multilevel"/>
    <w:tmpl w:val="2AECE2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FAB6FFB"/>
    <w:multiLevelType w:val="multilevel"/>
    <w:tmpl w:val="96B408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45C65E1"/>
    <w:multiLevelType w:val="multilevel"/>
    <w:tmpl w:val="1EFE5D6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650948FA"/>
    <w:multiLevelType w:val="hybridMultilevel"/>
    <w:tmpl w:val="C674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5124A"/>
    <w:multiLevelType w:val="hybridMultilevel"/>
    <w:tmpl w:val="97B0D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3A7BFE"/>
    <w:multiLevelType w:val="hybridMultilevel"/>
    <w:tmpl w:val="4372B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8B5087"/>
    <w:multiLevelType w:val="multilevel"/>
    <w:tmpl w:val="4340463E"/>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623271022">
    <w:abstractNumId w:val="27"/>
  </w:num>
  <w:num w:numId="2" w16cid:durableId="1135026191">
    <w:abstractNumId w:val="16"/>
  </w:num>
  <w:num w:numId="3" w16cid:durableId="162359379">
    <w:abstractNumId w:val="6"/>
  </w:num>
  <w:num w:numId="4" w16cid:durableId="1177035753">
    <w:abstractNumId w:val="7"/>
  </w:num>
  <w:num w:numId="5" w16cid:durableId="1251769474">
    <w:abstractNumId w:val="33"/>
  </w:num>
  <w:num w:numId="6" w16cid:durableId="702100015">
    <w:abstractNumId w:val="3"/>
  </w:num>
  <w:num w:numId="7" w16cid:durableId="1799185232">
    <w:abstractNumId w:val="24"/>
  </w:num>
  <w:num w:numId="8" w16cid:durableId="1705592429">
    <w:abstractNumId w:val="26"/>
  </w:num>
  <w:num w:numId="9" w16cid:durableId="1439059268">
    <w:abstractNumId w:val="20"/>
  </w:num>
  <w:num w:numId="10" w16cid:durableId="1886477382">
    <w:abstractNumId w:val="11"/>
  </w:num>
  <w:num w:numId="11" w16cid:durableId="569578483">
    <w:abstractNumId w:val="2"/>
  </w:num>
  <w:num w:numId="12" w16cid:durableId="787748335">
    <w:abstractNumId w:val="13"/>
  </w:num>
  <w:num w:numId="13" w16cid:durableId="701714320">
    <w:abstractNumId w:val="31"/>
  </w:num>
  <w:num w:numId="14" w16cid:durableId="2137947834">
    <w:abstractNumId w:val="22"/>
  </w:num>
  <w:num w:numId="15" w16cid:durableId="712384050">
    <w:abstractNumId w:val="8"/>
  </w:num>
  <w:num w:numId="16" w16cid:durableId="2091199189">
    <w:abstractNumId w:val="32"/>
  </w:num>
  <w:num w:numId="17" w16cid:durableId="2137750759">
    <w:abstractNumId w:val="0"/>
  </w:num>
  <w:num w:numId="18" w16cid:durableId="1983806661">
    <w:abstractNumId w:val="4"/>
  </w:num>
  <w:num w:numId="19" w16cid:durableId="814296154">
    <w:abstractNumId w:val="14"/>
  </w:num>
  <w:num w:numId="20" w16cid:durableId="1866013303">
    <w:abstractNumId w:val="21"/>
  </w:num>
  <w:num w:numId="21" w16cid:durableId="962733803">
    <w:abstractNumId w:val="23"/>
  </w:num>
  <w:num w:numId="22" w16cid:durableId="836069611">
    <w:abstractNumId w:val="30"/>
  </w:num>
  <w:num w:numId="23" w16cid:durableId="301735793">
    <w:abstractNumId w:val="1"/>
  </w:num>
  <w:num w:numId="24" w16cid:durableId="2081442145">
    <w:abstractNumId w:val="12"/>
  </w:num>
  <w:num w:numId="25" w16cid:durableId="629167023">
    <w:abstractNumId w:val="5"/>
  </w:num>
  <w:num w:numId="26" w16cid:durableId="332221784">
    <w:abstractNumId w:val="15"/>
  </w:num>
  <w:num w:numId="27" w16cid:durableId="1836148585">
    <w:abstractNumId w:val="10"/>
  </w:num>
  <w:num w:numId="28" w16cid:durableId="1098284206">
    <w:abstractNumId w:val="19"/>
  </w:num>
  <w:num w:numId="29" w16cid:durableId="1603220280">
    <w:abstractNumId w:val="29"/>
  </w:num>
  <w:num w:numId="30" w16cid:durableId="16398181">
    <w:abstractNumId w:val="17"/>
  </w:num>
  <w:num w:numId="31" w16cid:durableId="656806917">
    <w:abstractNumId w:val="25"/>
  </w:num>
  <w:num w:numId="32" w16cid:durableId="1216771069">
    <w:abstractNumId w:val="9"/>
  </w:num>
  <w:num w:numId="33" w16cid:durableId="154080141">
    <w:abstractNumId w:val="18"/>
  </w:num>
  <w:num w:numId="34" w16cid:durableId="3877327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fr-FR"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42D"/>
    <w:rsid w:val="0001351E"/>
    <w:rsid w:val="00022A67"/>
    <w:rsid w:val="000320CE"/>
    <w:rsid w:val="00035D73"/>
    <w:rsid w:val="00036264"/>
    <w:rsid w:val="00041939"/>
    <w:rsid w:val="000441A3"/>
    <w:rsid w:val="00063091"/>
    <w:rsid w:val="00063DD7"/>
    <w:rsid w:val="00076A08"/>
    <w:rsid w:val="00084E39"/>
    <w:rsid w:val="00095504"/>
    <w:rsid w:val="00096997"/>
    <w:rsid w:val="000A6AB0"/>
    <w:rsid w:val="000B5064"/>
    <w:rsid w:val="000B566A"/>
    <w:rsid w:val="000C2071"/>
    <w:rsid w:val="000C22D6"/>
    <w:rsid w:val="000C312D"/>
    <w:rsid w:val="000C352F"/>
    <w:rsid w:val="000C5276"/>
    <w:rsid w:val="000E1029"/>
    <w:rsid w:val="000E353E"/>
    <w:rsid w:val="000E5BF6"/>
    <w:rsid w:val="000F1F47"/>
    <w:rsid w:val="0010276D"/>
    <w:rsid w:val="0010524C"/>
    <w:rsid w:val="001115FB"/>
    <w:rsid w:val="00117286"/>
    <w:rsid w:val="00130585"/>
    <w:rsid w:val="001376A0"/>
    <w:rsid w:val="00137974"/>
    <w:rsid w:val="001405B6"/>
    <w:rsid w:val="00151D3D"/>
    <w:rsid w:val="00151DBE"/>
    <w:rsid w:val="00161F20"/>
    <w:rsid w:val="00165B8A"/>
    <w:rsid w:val="00170A0E"/>
    <w:rsid w:val="00172D43"/>
    <w:rsid w:val="0018433C"/>
    <w:rsid w:val="00191967"/>
    <w:rsid w:val="00197431"/>
    <w:rsid w:val="001A4A0D"/>
    <w:rsid w:val="001B183A"/>
    <w:rsid w:val="001B38C9"/>
    <w:rsid w:val="001B4A2A"/>
    <w:rsid w:val="001B69AD"/>
    <w:rsid w:val="001C54E2"/>
    <w:rsid w:val="001F2461"/>
    <w:rsid w:val="00200EA7"/>
    <w:rsid w:val="00205C08"/>
    <w:rsid w:val="00207796"/>
    <w:rsid w:val="00207BD2"/>
    <w:rsid w:val="00207D23"/>
    <w:rsid w:val="00212F58"/>
    <w:rsid w:val="00216A30"/>
    <w:rsid w:val="00237F8B"/>
    <w:rsid w:val="002563F7"/>
    <w:rsid w:val="002704FD"/>
    <w:rsid w:val="00273F03"/>
    <w:rsid w:val="00277984"/>
    <w:rsid w:val="0028004E"/>
    <w:rsid w:val="00297A0D"/>
    <w:rsid w:val="002B2078"/>
    <w:rsid w:val="002B36FB"/>
    <w:rsid w:val="002B5906"/>
    <w:rsid w:val="002C07F3"/>
    <w:rsid w:val="002C116C"/>
    <w:rsid w:val="002E7195"/>
    <w:rsid w:val="00300879"/>
    <w:rsid w:val="00305293"/>
    <w:rsid w:val="00315906"/>
    <w:rsid w:val="00320195"/>
    <w:rsid w:val="00320830"/>
    <w:rsid w:val="00346BBC"/>
    <w:rsid w:val="0035315E"/>
    <w:rsid w:val="0035494D"/>
    <w:rsid w:val="003578FE"/>
    <w:rsid w:val="00366C1D"/>
    <w:rsid w:val="003741DC"/>
    <w:rsid w:val="00376EFA"/>
    <w:rsid w:val="00383BC1"/>
    <w:rsid w:val="00386C14"/>
    <w:rsid w:val="00390818"/>
    <w:rsid w:val="00395DDE"/>
    <w:rsid w:val="00396643"/>
    <w:rsid w:val="003A13DA"/>
    <w:rsid w:val="003B0643"/>
    <w:rsid w:val="003B1B89"/>
    <w:rsid w:val="003B552C"/>
    <w:rsid w:val="003C105C"/>
    <w:rsid w:val="003C1ED7"/>
    <w:rsid w:val="003E0B63"/>
    <w:rsid w:val="003E635B"/>
    <w:rsid w:val="003E6F23"/>
    <w:rsid w:val="003F573D"/>
    <w:rsid w:val="0040631D"/>
    <w:rsid w:val="00407392"/>
    <w:rsid w:val="0041044C"/>
    <w:rsid w:val="00412216"/>
    <w:rsid w:val="00416E76"/>
    <w:rsid w:val="004206A5"/>
    <w:rsid w:val="0042518E"/>
    <w:rsid w:val="00454FF1"/>
    <w:rsid w:val="00461273"/>
    <w:rsid w:val="004753F1"/>
    <w:rsid w:val="00493169"/>
    <w:rsid w:val="004A32E6"/>
    <w:rsid w:val="004A7861"/>
    <w:rsid w:val="004B1C88"/>
    <w:rsid w:val="004B2693"/>
    <w:rsid w:val="004B340F"/>
    <w:rsid w:val="004B5974"/>
    <w:rsid w:val="004F1180"/>
    <w:rsid w:val="004F4A4A"/>
    <w:rsid w:val="0050190C"/>
    <w:rsid w:val="0051061A"/>
    <w:rsid w:val="00515A53"/>
    <w:rsid w:val="00520B63"/>
    <w:rsid w:val="00533324"/>
    <w:rsid w:val="00557E18"/>
    <w:rsid w:val="00557E6E"/>
    <w:rsid w:val="005676E6"/>
    <w:rsid w:val="0057296D"/>
    <w:rsid w:val="00574462"/>
    <w:rsid w:val="00580DAE"/>
    <w:rsid w:val="00597731"/>
    <w:rsid w:val="005A6434"/>
    <w:rsid w:val="005A70CD"/>
    <w:rsid w:val="005C2DF4"/>
    <w:rsid w:val="005C48AD"/>
    <w:rsid w:val="005C6BB4"/>
    <w:rsid w:val="005D03A3"/>
    <w:rsid w:val="005D1AA2"/>
    <w:rsid w:val="005D3109"/>
    <w:rsid w:val="005D6BC2"/>
    <w:rsid w:val="006010C9"/>
    <w:rsid w:val="006075C7"/>
    <w:rsid w:val="006106DF"/>
    <w:rsid w:val="0061652A"/>
    <w:rsid w:val="006200BE"/>
    <w:rsid w:val="006275A4"/>
    <w:rsid w:val="006276A4"/>
    <w:rsid w:val="00632C4B"/>
    <w:rsid w:val="006346AC"/>
    <w:rsid w:val="00646495"/>
    <w:rsid w:val="00664FFE"/>
    <w:rsid w:val="00673070"/>
    <w:rsid w:val="00673F27"/>
    <w:rsid w:val="006752EA"/>
    <w:rsid w:val="00681272"/>
    <w:rsid w:val="00686F63"/>
    <w:rsid w:val="006901C2"/>
    <w:rsid w:val="006A5C94"/>
    <w:rsid w:val="006B2348"/>
    <w:rsid w:val="006B7F3C"/>
    <w:rsid w:val="006C7440"/>
    <w:rsid w:val="006D08F1"/>
    <w:rsid w:val="006D1F0E"/>
    <w:rsid w:val="006E0C21"/>
    <w:rsid w:val="006E75A7"/>
    <w:rsid w:val="006E76FF"/>
    <w:rsid w:val="006F54D1"/>
    <w:rsid w:val="007005DC"/>
    <w:rsid w:val="00703519"/>
    <w:rsid w:val="007153BA"/>
    <w:rsid w:val="00717F2A"/>
    <w:rsid w:val="007272F0"/>
    <w:rsid w:val="0073073D"/>
    <w:rsid w:val="00732449"/>
    <w:rsid w:val="00735721"/>
    <w:rsid w:val="00736083"/>
    <w:rsid w:val="0074185E"/>
    <w:rsid w:val="007459F2"/>
    <w:rsid w:val="00746D0E"/>
    <w:rsid w:val="0075061C"/>
    <w:rsid w:val="00751AD2"/>
    <w:rsid w:val="00752921"/>
    <w:rsid w:val="00752D85"/>
    <w:rsid w:val="0076142D"/>
    <w:rsid w:val="00764CF7"/>
    <w:rsid w:val="007673BF"/>
    <w:rsid w:val="00775EB1"/>
    <w:rsid w:val="00780C23"/>
    <w:rsid w:val="00787E78"/>
    <w:rsid w:val="007957AF"/>
    <w:rsid w:val="007A25A4"/>
    <w:rsid w:val="007A41D4"/>
    <w:rsid w:val="007E3D00"/>
    <w:rsid w:val="007E6E7A"/>
    <w:rsid w:val="007F0FBD"/>
    <w:rsid w:val="007F1AD0"/>
    <w:rsid w:val="007F551E"/>
    <w:rsid w:val="007F7AEC"/>
    <w:rsid w:val="008105B4"/>
    <w:rsid w:val="0081373C"/>
    <w:rsid w:val="00826C41"/>
    <w:rsid w:val="008318F4"/>
    <w:rsid w:val="00843B19"/>
    <w:rsid w:val="00845671"/>
    <w:rsid w:val="00851BD9"/>
    <w:rsid w:val="008523DA"/>
    <w:rsid w:val="00854A6F"/>
    <w:rsid w:val="0086530A"/>
    <w:rsid w:val="00867824"/>
    <w:rsid w:val="008737C5"/>
    <w:rsid w:val="0087598B"/>
    <w:rsid w:val="00881DE5"/>
    <w:rsid w:val="008979FB"/>
    <w:rsid w:val="008A07C9"/>
    <w:rsid w:val="008A7BCB"/>
    <w:rsid w:val="008B6078"/>
    <w:rsid w:val="008C1609"/>
    <w:rsid w:val="008C18A1"/>
    <w:rsid w:val="008C5648"/>
    <w:rsid w:val="008C70A2"/>
    <w:rsid w:val="008D2349"/>
    <w:rsid w:val="008D250A"/>
    <w:rsid w:val="008D4F60"/>
    <w:rsid w:val="008D570B"/>
    <w:rsid w:val="008E131C"/>
    <w:rsid w:val="008E5CD0"/>
    <w:rsid w:val="008E7B40"/>
    <w:rsid w:val="008F6EE8"/>
    <w:rsid w:val="008F75D9"/>
    <w:rsid w:val="0090687A"/>
    <w:rsid w:val="0091310D"/>
    <w:rsid w:val="00916EC9"/>
    <w:rsid w:val="00917959"/>
    <w:rsid w:val="009241E0"/>
    <w:rsid w:val="00924496"/>
    <w:rsid w:val="00934953"/>
    <w:rsid w:val="00935C4A"/>
    <w:rsid w:val="0093707E"/>
    <w:rsid w:val="00943326"/>
    <w:rsid w:val="00943E2A"/>
    <w:rsid w:val="00952B93"/>
    <w:rsid w:val="00954C95"/>
    <w:rsid w:val="009616A2"/>
    <w:rsid w:val="00963421"/>
    <w:rsid w:val="00967165"/>
    <w:rsid w:val="009769FE"/>
    <w:rsid w:val="00976E66"/>
    <w:rsid w:val="00977C82"/>
    <w:rsid w:val="00981061"/>
    <w:rsid w:val="009C4C41"/>
    <w:rsid w:val="009C4CE5"/>
    <w:rsid w:val="009D36BC"/>
    <w:rsid w:val="009D7EA0"/>
    <w:rsid w:val="009F0B3E"/>
    <w:rsid w:val="009F1F02"/>
    <w:rsid w:val="009F7E89"/>
    <w:rsid w:val="00A046A2"/>
    <w:rsid w:val="00A12B60"/>
    <w:rsid w:val="00A14AB7"/>
    <w:rsid w:val="00A212EE"/>
    <w:rsid w:val="00A5080A"/>
    <w:rsid w:val="00A55759"/>
    <w:rsid w:val="00A610B1"/>
    <w:rsid w:val="00A7761C"/>
    <w:rsid w:val="00A77830"/>
    <w:rsid w:val="00A84976"/>
    <w:rsid w:val="00A84A9C"/>
    <w:rsid w:val="00AA45BD"/>
    <w:rsid w:val="00AA48FE"/>
    <w:rsid w:val="00AA605E"/>
    <w:rsid w:val="00AA73CC"/>
    <w:rsid w:val="00AB087E"/>
    <w:rsid w:val="00AC4EE5"/>
    <w:rsid w:val="00AD2BA4"/>
    <w:rsid w:val="00AD33A9"/>
    <w:rsid w:val="00AF37C3"/>
    <w:rsid w:val="00B15859"/>
    <w:rsid w:val="00B23C42"/>
    <w:rsid w:val="00B31864"/>
    <w:rsid w:val="00B3273C"/>
    <w:rsid w:val="00B44204"/>
    <w:rsid w:val="00B554CB"/>
    <w:rsid w:val="00B55AE6"/>
    <w:rsid w:val="00B936C2"/>
    <w:rsid w:val="00B9441C"/>
    <w:rsid w:val="00BA676C"/>
    <w:rsid w:val="00BC0E72"/>
    <w:rsid w:val="00BD6E15"/>
    <w:rsid w:val="00BE0D3E"/>
    <w:rsid w:val="00BE293A"/>
    <w:rsid w:val="00BF12AA"/>
    <w:rsid w:val="00BF53BA"/>
    <w:rsid w:val="00BF72E4"/>
    <w:rsid w:val="00BF7CF7"/>
    <w:rsid w:val="00C05F8A"/>
    <w:rsid w:val="00C07993"/>
    <w:rsid w:val="00C121B2"/>
    <w:rsid w:val="00C15A49"/>
    <w:rsid w:val="00C338A5"/>
    <w:rsid w:val="00C35E5D"/>
    <w:rsid w:val="00C4066D"/>
    <w:rsid w:val="00C40F27"/>
    <w:rsid w:val="00C43BE8"/>
    <w:rsid w:val="00C54D0C"/>
    <w:rsid w:val="00C66192"/>
    <w:rsid w:val="00C66592"/>
    <w:rsid w:val="00C707FE"/>
    <w:rsid w:val="00C70CD6"/>
    <w:rsid w:val="00C729F0"/>
    <w:rsid w:val="00C85E40"/>
    <w:rsid w:val="00C87AF1"/>
    <w:rsid w:val="00C93B63"/>
    <w:rsid w:val="00C94A43"/>
    <w:rsid w:val="00C9701E"/>
    <w:rsid w:val="00CA1AE8"/>
    <w:rsid w:val="00CA20E1"/>
    <w:rsid w:val="00CB1B65"/>
    <w:rsid w:val="00CB3274"/>
    <w:rsid w:val="00CC1520"/>
    <w:rsid w:val="00CD64FE"/>
    <w:rsid w:val="00CE199E"/>
    <w:rsid w:val="00CF343C"/>
    <w:rsid w:val="00CF4E0F"/>
    <w:rsid w:val="00CF557D"/>
    <w:rsid w:val="00CF5CBC"/>
    <w:rsid w:val="00CF66DB"/>
    <w:rsid w:val="00D05B19"/>
    <w:rsid w:val="00D12AB5"/>
    <w:rsid w:val="00D15A5C"/>
    <w:rsid w:val="00D276C9"/>
    <w:rsid w:val="00D3178C"/>
    <w:rsid w:val="00D42C04"/>
    <w:rsid w:val="00D44A4B"/>
    <w:rsid w:val="00D514F9"/>
    <w:rsid w:val="00D5497F"/>
    <w:rsid w:val="00D567CF"/>
    <w:rsid w:val="00D6145E"/>
    <w:rsid w:val="00D86B7C"/>
    <w:rsid w:val="00D94C1F"/>
    <w:rsid w:val="00D95BCE"/>
    <w:rsid w:val="00D978C4"/>
    <w:rsid w:val="00DB5901"/>
    <w:rsid w:val="00DD3E07"/>
    <w:rsid w:val="00DD6FCD"/>
    <w:rsid w:val="00DE321E"/>
    <w:rsid w:val="00DE6FC8"/>
    <w:rsid w:val="00DE70C4"/>
    <w:rsid w:val="00DF3728"/>
    <w:rsid w:val="00DF3D78"/>
    <w:rsid w:val="00DF6D70"/>
    <w:rsid w:val="00E33B37"/>
    <w:rsid w:val="00E37D49"/>
    <w:rsid w:val="00E42B15"/>
    <w:rsid w:val="00E438D3"/>
    <w:rsid w:val="00E504F3"/>
    <w:rsid w:val="00E5104C"/>
    <w:rsid w:val="00E5171B"/>
    <w:rsid w:val="00E53C1B"/>
    <w:rsid w:val="00E66D02"/>
    <w:rsid w:val="00E71064"/>
    <w:rsid w:val="00E723D1"/>
    <w:rsid w:val="00E73175"/>
    <w:rsid w:val="00E7722D"/>
    <w:rsid w:val="00E82062"/>
    <w:rsid w:val="00E85448"/>
    <w:rsid w:val="00E86E1C"/>
    <w:rsid w:val="00E870E1"/>
    <w:rsid w:val="00E9059D"/>
    <w:rsid w:val="00E91060"/>
    <w:rsid w:val="00E95C55"/>
    <w:rsid w:val="00EA279C"/>
    <w:rsid w:val="00EA42CA"/>
    <w:rsid w:val="00EB1C9F"/>
    <w:rsid w:val="00EB3086"/>
    <w:rsid w:val="00EC160F"/>
    <w:rsid w:val="00EC3102"/>
    <w:rsid w:val="00EC6170"/>
    <w:rsid w:val="00ED513A"/>
    <w:rsid w:val="00EE0C0D"/>
    <w:rsid w:val="00EE4014"/>
    <w:rsid w:val="00EF3CE7"/>
    <w:rsid w:val="00EF6088"/>
    <w:rsid w:val="00F00B05"/>
    <w:rsid w:val="00F17B62"/>
    <w:rsid w:val="00F2460C"/>
    <w:rsid w:val="00F3240F"/>
    <w:rsid w:val="00F414A8"/>
    <w:rsid w:val="00F473D0"/>
    <w:rsid w:val="00F52EF6"/>
    <w:rsid w:val="00F65D98"/>
    <w:rsid w:val="00F704AE"/>
    <w:rsid w:val="00F75463"/>
    <w:rsid w:val="00F77C6D"/>
    <w:rsid w:val="00F81ED8"/>
    <w:rsid w:val="00F86DD2"/>
    <w:rsid w:val="00F93624"/>
    <w:rsid w:val="00F9725B"/>
    <w:rsid w:val="00F97973"/>
    <w:rsid w:val="00FA6126"/>
    <w:rsid w:val="00FA6E99"/>
    <w:rsid w:val="00FB0508"/>
    <w:rsid w:val="00FB2417"/>
    <w:rsid w:val="00FC6466"/>
    <w:rsid w:val="00FD5002"/>
    <w:rsid w:val="00FF03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0E574"/>
  <w15:docId w15:val="{6C10D695-80E8-435A-BF20-ABB5D6F5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b/>
      <w:sz w:val="24"/>
      <w:szCs w:val="24"/>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15" w:type="dxa"/>
        <w:right w:w="115" w:type="dxa"/>
      </w:tblCellMar>
    </w:tblPr>
  </w:style>
  <w:style w:type="table" w:customStyle="1" w:styleId="a0">
    <w:basedOn w:val="TableNormal1"/>
    <w:pPr>
      <w:contextualSpacing/>
    </w:pPr>
    <w:tblPr>
      <w:tblStyleRowBandSize w:val="1"/>
      <w:tblStyleColBandSize w:val="1"/>
      <w:tblCellMar>
        <w:left w:w="115" w:type="dxa"/>
        <w:right w:w="115" w:type="dxa"/>
      </w:tblCellMar>
    </w:tblPr>
  </w:style>
  <w:style w:type="table" w:customStyle="1" w:styleId="a1">
    <w:basedOn w:val="TableNormal1"/>
    <w:pPr>
      <w:contextualSpacing/>
    </w:pPr>
    <w:tblPr>
      <w:tblStyleRowBandSize w:val="1"/>
      <w:tblStyleColBandSize w:val="1"/>
      <w:tblCellMar>
        <w:left w:w="115" w:type="dxa"/>
        <w:right w:w="115" w:type="dxa"/>
      </w:tblCellMar>
    </w:tblPr>
  </w:style>
  <w:style w:type="table" w:customStyle="1" w:styleId="a2">
    <w:basedOn w:val="TableNormal1"/>
    <w:pPr>
      <w:spacing w:after="0" w:line="240" w:lineRule="auto"/>
    </w:pPr>
    <w:tblPr>
      <w:tblStyleRowBandSize w:val="1"/>
      <w:tblStyleColBandSize w:val="1"/>
      <w:tblCellMar>
        <w:left w:w="115" w:type="dxa"/>
        <w:right w:w="115" w:type="dxa"/>
      </w:tblCellMar>
    </w:tblPr>
  </w:style>
  <w:style w:type="table" w:customStyle="1" w:styleId="a3">
    <w:basedOn w:val="TableNormal1"/>
    <w:pPr>
      <w:spacing w:after="0" w:line="240" w:lineRule="auto"/>
    </w:pPr>
    <w:tblPr>
      <w:tblStyleRowBandSize w:val="1"/>
      <w:tblStyleColBandSize w:val="1"/>
      <w:tblCellMar>
        <w:left w:w="115" w:type="dxa"/>
        <w:right w:w="115" w:type="dxa"/>
      </w:tblCellMar>
    </w:tblPr>
  </w:style>
  <w:style w:type="table" w:customStyle="1" w:styleId="a4">
    <w:basedOn w:val="TableNormal1"/>
    <w:pPr>
      <w:contextualSpacing/>
    </w:pPr>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1"/>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7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C4"/>
    <w:rPr>
      <w:rFonts w:ascii="Segoe UI" w:hAnsi="Segoe UI" w:cs="Segoe UI"/>
      <w:sz w:val="18"/>
      <w:szCs w:val="18"/>
    </w:rPr>
  </w:style>
  <w:style w:type="paragraph" w:styleId="Header">
    <w:name w:val="header"/>
    <w:basedOn w:val="Normal"/>
    <w:link w:val="HeaderChar"/>
    <w:uiPriority w:val="99"/>
    <w:unhideWhenUsed/>
    <w:rsid w:val="0035494D"/>
    <w:pPr>
      <w:tabs>
        <w:tab w:val="center" w:pos="4819"/>
        <w:tab w:val="right" w:pos="9638"/>
      </w:tabs>
      <w:spacing w:after="0" w:line="240" w:lineRule="auto"/>
    </w:pPr>
  </w:style>
  <w:style w:type="character" w:customStyle="1" w:styleId="HeaderChar">
    <w:name w:val="Header Char"/>
    <w:basedOn w:val="DefaultParagraphFont"/>
    <w:link w:val="Header"/>
    <w:uiPriority w:val="99"/>
    <w:rsid w:val="0035494D"/>
  </w:style>
  <w:style w:type="paragraph" w:styleId="Footer">
    <w:name w:val="footer"/>
    <w:basedOn w:val="Normal"/>
    <w:link w:val="FooterChar"/>
    <w:uiPriority w:val="99"/>
    <w:unhideWhenUsed/>
    <w:rsid w:val="0035494D"/>
    <w:pPr>
      <w:tabs>
        <w:tab w:val="center" w:pos="4819"/>
        <w:tab w:val="right" w:pos="9638"/>
      </w:tabs>
      <w:spacing w:after="0" w:line="240" w:lineRule="auto"/>
    </w:pPr>
  </w:style>
  <w:style w:type="character" w:customStyle="1" w:styleId="FooterChar">
    <w:name w:val="Footer Char"/>
    <w:basedOn w:val="DefaultParagraphFont"/>
    <w:link w:val="Footer"/>
    <w:uiPriority w:val="99"/>
    <w:rsid w:val="0035494D"/>
  </w:style>
  <w:style w:type="paragraph" w:styleId="ListParagraph">
    <w:name w:val="List Paragraph"/>
    <w:basedOn w:val="Normal"/>
    <w:uiPriority w:val="34"/>
    <w:qFormat/>
    <w:rsid w:val="0028004E"/>
    <w:pPr>
      <w:ind w:left="720"/>
      <w:contextualSpacing/>
    </w:pPr>
  </w:style>
  <w:style w:type="paragraph" w:customStyle="1" w:styleId="ToolBody">
    <w:name w:val="Tool Body"/>
    <w:basedOn w:val="Normal"/>
    <w:rsid w:val="007A41D4"/>
    <w:pPr>
      <w:widowControl w:val="0"/>
      <w:tabs>
        <w:tab w:val="left" w:pos="-2430"/>
        <w:tab w:val="left" w:pos="0"/>
        <w:tab w:val="left" w:pos="360"/>
        <w:tab w:val="left" w:pos="720"/>
        <w:tab w:val="left" w:pos="1080"/>
        <w:tab w:val="left" w:pos="1440"/>
        <w:tab w:val="left" w:pos="1800"/>
        <w:tab w:val="left" w:pos="2160"/>
        <w:tab w:val="left" w:pos="3420"/>
      </w:tabs>
      <w:spacing w:after="0" w:line="300" w:lineRule="auto"/>
    </w:pPr>
    <w:rPr>
      <w:rFonts w:ascii="Times New Roman" w:eastAsia="Times New Roman" w:hAnsi="Times New Roman" w:cs="Times New Roman"/>
      <w:snapToGrid w:val="0"/>
      <w:color w:val="auto"/>
      <w:kern w:val="2"/>
      <w:sz w:val="26"/>
      <w:szCs w:val="20"/>
      <w:lang w:val="en-US" w:eastAsia="fr-FR"/>
    </w:rPr>
  </w:style>
  <w:style w:type="paragraph" w:customStyle="1" w:styleId="toolnumber">
    <w:name w:val="tool number"/>
    <w:basedOn w:val="ToolBody"/>
    <w:rsid w:val="007A41D4"/>
    <w:pPr>
      <w:tabs>
        <w:tab w:val="clear" w:pos="0"/>
        <w:tab w:val="clear" w:pos="360"/>
        <w:tab w:val="clear" w:pos="720"/>
        <w:tab w:val="clear" w:pos="1080"/>
        <w:tab w:val="clear" w:pos="1440"/>
        <w:tab w:val="clear" w:pos="1800"/>
        <w:tab w:val="clear" w:pos="2160"/>
        <w:tab w:val="clear" w:pos="3420"/>
        <w:tab w:val="left" w:pos="810"/>
        <w:tab w:val="left" w:pos="2246"/>
        <w:tab w:val="left" w:pos="4147"/>
        <w:tab w:val="left" w:pos="7200"/>
      </w:tabs>
      <w:spacing w:before="120" w:after="120" w:line="240" w:lineRule="auto"/>
      <w:ind w:left="720" w:hanging="360"/>
    </w:pPr>
    <w:rPr>
      <w:b/>
    </w:rPr>
  </w:style>
  <w:style w:type="paragraph" w:customStyle="1" w:styleId="ToolBullet">
    <w:name w:val="Tool Bullet"/>
    <w:basedOn w:val="ToolBody"/>
    <w:rsid w:val="007A41D4"/>
    <w:pPr>
      <w:spacing w:before="120"/>
      <w:ind w:left="288" w:hanging="288"/>
    </w:pPr>
  </w:style>
  <w:style w:type="paragraph" w:styleId="CommentSubject">
    <w:name w:val="annotation subject"/>
    <w:basedOn w:val="CommentText"/>
    <w:next w:val="CommentText"/>
    <w:link w:val="CommentSubjectChar"/>
    <w:uiPriority w:val="99"/>
    <w:semiHidden/>
    <w:unhideWhenUsed/>
    <w:rsid w:val="00412216"/>
    <w:rPr>
      <w:b/>
      <w:bCs/>
    </w:rPr>
  </w:style>
  <w:style w:type="character" w:customStyle="1" w:styleId="CommentSubjectChar">
    <w:name w:val="Comment Subject Char"/>
    <w:basedOn w:val="CommentTextChar"/>
    <w:link w:val="CommentSubject"/>
    <w:uiPriority w:val="99"/>
    <w:semiHidden/>
    <w:rsid w:val="00412216"/>
    <w:rPr>
      <w:b/>
      <w:bCs/>
      <w:sz w:val="20"/>
      <w:szCs w:val="20"/>
    </w:rPr>
  </w:style>
  <w:style w:type="paragraph" w:styleId="Revision">
    <w:name w:val="Revision"/>
    <w:hidden/>
    <w:uiPriority w:val="99"/>
    <w:semiHidden/>
    <w:rsid w:val="000C312D"/>
    <w:pPr>
      <w:spacing w:after="0" w:line="240" w:lineRule="auto"/>
    </w:pPr>
  </w:style>
  <w:style w:type="character" w:customStyle="1" w:styleId="Heading2Char">
    <w:name w:val="Heading 2 Char"/>
    <w:basedOn w:val="DefaultParagraphFont"/>
    <w:link w:val="Heading2"/>
    <w:uiPriority w:val="9"/>
    <w:rsid w:val="00172D43"/>
    <w:rPr>
      <w:b/>
      <w:sz w:val="36"/>
      <w:szCs w:val="36"/>
    </w:rPr>
  </w:style>
  <w:style w:type="paragraph" w:styleId="TOCHeading">
    <w:name w:val="TOC Heading"/>
    <w:basedOn w:val="Heading1"/>
    <w:next w:val="Normal"/>
    <w:uiPriority w:val="39"/>
    <w:unhideWhenUsed/>
    <w:qFormat/>
    <w:rsid w:val="00320830"/>
    <w:pPr>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20830"/>
    <w:pPr>
      <w:spacing w:after="100"/>
    </w:pPr>
  </w:style>
  <w:style w:type="paragraph" w:styleId="TOC2">
    <w:name w:val="toc 2"/>
    <w:basedOn w:val="Normal"/>
    <w:next w:val="Normal"/>
    <w:autoRedefine/>
    <w:uiPriority w:val="39"/>
    <w:unhideWhenUsed/>
    <w:rsid w:val="00320830"/>
    <w:pPr>
      <w:spacing w:after="100"/>
      <w:ind w:left="220"/>
    </w:pPr>
  </w:style>
  <w:style w:type="character" w:styleId="Hyperlink">
    <w:name w:val="Hyperlink"/>
    <w:basedOn w:val="DefaultParagraphFont"/>
    <w:uiPriority w:val="99"/>
    <w:unhideWhenUsed/>
    <w:rsid w:val="00320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4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61C3-F00B-4D29-A55F-42C52E0F8952}"/>
</file>

<file path=customXml/itemProps2.xml><?xml version="1.0" encoding="utf-8"?>
<ds:datastoreItem xmlns:ds="http://schemas.openxmlformats.org/officeDocument/2006/customXml" ds:itemID="{54FD5A56-2160-45F7-8575-D2D4850F7318}">
  <ds:schemaRefs>
    <ds:schemaRef ds:uri="http://schemas.microsoft.com/sharepoint/v3/contenttype/forms"/>
  </ds:schemaRefs>
</ds:datastoreItem>
</file>

<file path=customXml/itemProps3.xml><?xml version="1.0" encoding="utf-8"?>
<ds:datastoreItem xmlns:ds="http://schemas.openxmlformats.org/officeDocument/2006/customXml" ds:itemID="{92EC2003-D847-4EB3-9111-C07788FBC04A}">
  <ds:schemaRefs>
    <ds:schemaRef ds:uri="http://schemas.microsoft.com/office/2006/metadata/properties"/>
    <ds:schemaRef ds:uri="http://schemas.microsoft.com/office/infopath/2007/PartnerControls"/>
    <ds:schemaRef ds:uri="20c1abfa-485b-41c9-a329-38772ca1fd48"/>
    <ds:schemaRef ds:uri="57d60e0b-bbcc-4e8c-ae17-1bc07bf7b2a6"/>
    <ds:schemaRef ds:uri="d1dc8e9d-c2d7-4f1e-a8b8-6d152e0fdc8f"/>
  </ds:schemaRefs>
</ds:datastoreItem>
</file>

<file path=customXml/itemProps4.xml><?xml version="1.0" encoding="utf-8"?>
<ds:datastoreItem xmlns:ds="http://schemas.openxmlformats.org/officeDocument/2006/customXml" ds:itemID="{26651D51-90BB-41A6-96E8-E93073A9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1560</Words>
  <Characters>8896</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Médecins Sans Frontières - Paris</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Lorenzo GUGLIELMETTI</dc:creator>
  <cp:lastModifiedBy>Marhaba</cp:lastModifiedBy>
  <cp:revision>12</cp:revision>
  <cp:lastPrinted>2016-06-14T15:09:00Z</cp:lastPrinted>
  <dcterms:created xsi:type="dcterms:W3CDTF">2021-04-30T16:07:00Z</dcterms:created>
  <dcterms:modified xsi:type="dcterms:W3CDTF">2024-09-02T15:41:00Z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8;#N/A|603d074b-cb2d-4568-af2a-4cd630184ab0</vt:lpwstr>
  </property>
  <property fmtid="{D5CDD505-2E9C-101B-9397-08002B2CF9AE}" pid="3" name="ContentTypeId">
    <vt:lpwstr>0x0101008A725E7E39776844B9FB9FC2FCA9A30F</vt:lpwstr>
  </property>
  <property fmtid="{D5CDD505-2E9C-101B-9397-08002B2CF9AE}" pid="4" name="endTBStructureCountries">
    <vt:lpwstr>6;#N/A|7a4f8743-7bab-4f6a-8a0d-b24596741886</vt:lpwstr>
  </property>
  <property fmtid="{D5CDD505-2E9C-101B-9397-08002B2CF9AE}" pid="5" name="Order">
    <vt:r8>2662800</vt:r8>
  </property>
  <property fmtid="{D5CDD505-2E9C-101B-9397-08002B2CF9AE}" pid="6" name="xd_Signature">
    <vt:bool>false</vt:bool>
  </property>
  <property fmtid="{D5CDD505-2E9C-101B-9397-08002B2CF9AE}" pid="7" name="xd_ProgID">
    <vt:lpwstr/>
  </property>
  <property fmtid="{D5CDD505-2E9C-101B-9397-08002B2CF9AE}" pid="8" name="SharedWithUsers">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