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EF8A2C" w14:textId="37D4E8A4" w:rsidR="001659EF" w:rsidRPr="000B525C" w:rsidRDefault="00BA573A" w:rsidP="001659EF">
      <w:pPr>
        <w:pStyle w:val="Heading1"/>
        <w:numPr>
          <w:ilvl w:val="0"/>
          <w:numId w:val="0"/>
        </w:numPr>
        <w:ind w:left="360"/>
        <w:rPr>
          <w:lang w:val="en-GB"/>
        </w:rPr>
      </w:pPr>
      <w:r>
        <w:rPr>
          <w:lang w:val="en-GB"/>
        </w:rPr>
        <w:t xml:space="preserve"> </w:t>
      </w:r>
      <w:bookmarkStart w:id="0" w:name="_Toc166246294"/>
      <w:r w:rsidR="001659EF" w:rsidRPr="000B525C">
        <w:rPr>
          <w:lang w:val="en-GB"/>
        </w:rPr>
        <w:t>Standard Operating Procedures for</w:t>
      </w:r>
      <w:r w:rsidR="00FD3558">
        <w:rPr>
          <w:lang w:val="en-GB"/>
        </w:rPr>
        <w:br/>
      </w:r>
      <w:r w:rsidR="001659EF" w:rsidRPr="000B525C">
        <w:rPr>
          <w:lang w:val="en-GB"/>
        </w:rPr>
        <w:t xml:space="preserve">Management of </w:t>
      </w:r>
      <w:r w:rsidR="00AD73DB" w:rsidRPr="000B525C">
        <w:rPr>
          <w:lang w:val="en-GB"/>
        </w:rPr>
        <w:t>Hepatitis C Infection</w:t>
      </w:r>
      <w:bookmarkEnd w:id="0"/>
    </w:p>
    <w:p w14:paraId="3ACE58F9" w14:textId="08DAD750" w:rsidR="0076142D" w:rsidRPr="000B525C" w:rsidRDefault="00396643" w:rsidP="00FE4B54">
      <w:pPr>
        <w:keepNext/>
        <w:keepLines/>
        <w:tabs>
          <w:tab w:val="center" w:pos="4680"/>
          <w:tab w:val="right" w:pos="9360"/>
        </w:tabs>
        <w:spacing w:after="0" w:line="240" w:lineRule="auto"/>
        <w:ind w:left="3600"/>
        <w:jc w:val="both"/>
        <w:rPr>
          <w:lang w:val="en-GB"/>
        </w:rPr>
      </w:pPr>
      <w:r w:rsidRPr="000B525C">
        <w:rPr>
          <w:b/>
          <w:sz w:val="36"/>
          <w:szCs w:val="36"/>
          <w:lang w:val="en-GB"/>
        </w:rPr>
        <w:tab/>
      </w:r>
    </w:p>
    <w:p w14:paraId="193808F9" w14:textId="77777777" w:rsidR="0076142D" w:rsidRPr="000B525C" w:rsidRDefault="0076142D" w:rsidP="00FE4B54">
      <w:pPr>
        <w:keepNext/>
        <w:keepLines/>
        <w:spacing w:after="0"/>
        <w:jc w:val="both"/>
        <w:rPr>
          <w:lang w:val="en-GB"/>
        </w:rPr>
      </w:pPr>
    </w:p>
    <w:tbl>
      <w:tblPr>
        <w:tblStyle w:val="1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7"/>
        <w:gridCol w:w="3419"/>
      </w:tblGrid>
      <w:tr w:rsidR="0076142D" w:rsidRPr="000B525C" w14:paraId="28F3628D" w14:textId="77777777" w:rsidTr="00C73AC5">
        <w:tc>
          <w:tcPr>
            <w:tcW w:w="6157" w:type="dxa"/>
            <w:shd w:val="clear" w:color="auto" w:fill="F2F2F2" w:themeFill="background1" w:themeFillShade="F2"/>
          </w:tcPr>
          <w:p w14:paraId="15BCFAFF" w14:textId="663D4578" w:rsidR="0076142D" w:rsidRPr="000B525C" w:rsidRDefault="00396643" w:rsidP="00694EC5">
            <w:pPr>
              <w:keepNext/>
              <w:keepLines/>
              <w:jc w:val="both"/>
              <w:rPr>
                <w:lang w:val="en-GB"/>
              </w:rPr>
            </w:pPr>
            <w:bookmarkStart w:id="1" w:name="h.gjdgxs" w:colFirst="0" w:colLast="0"/>
            <w:bookmarkEnd w:id="1"/>
            <w:r w:rsidRPr="000B525C">
              <w:rPr>
                <w:b/>
                <w:sz w:val="24"/>
                <w:szCs w:val="24"/>
                <w:lang w:val="en-GB"/>
              </w:rPr>
              <w:t>SOP Number</w:t>
            </w:r>
            <w:r w:rsidRPr="000B525C">
              <w:rPr>
                <w:sz w:val="24"/>
                <w:szCs w:val="24"/>
                <w:lang w:val="en-GB"/>
              </w:rPr>
              <w:t xml:space="preserve">: </w:t>
            </w:r>
            <w:r w:rsidR="0052234E" w:rsidRPr="000B525C">
              <w:rPr>
                <w:sz w:val="24"/>
                <w:szCs w:val="24"/>
                <w:lang w:val="en-GB"/>
              </w:rPr>
              <w:t>SP-0</w:t>
            </w:r>
            <w:r w:rsidR="00694EC5">
              <w:rPr>
                <w:sz w:val="24"/>
                <w:szCs w:val="24"/>
                <w:lang w:val="en-GB"/>
              </w:rPr>
              <w:t>33</w:t>
            </w:r>
            <w:r w:rsidR="008318F4" w:rsidRPr="000B525C">
              <w:rPr>
                <w:sz w:val="24"/>
                <w:szCs w:val="24"/>
                <w:lang w:val="en-GB"/>
              </w:rPr>
              <w:t>-CT</w:t>
            </w:r>
          </w:p>
        </w:tc>
        <w:tc>
          <w:tcPr>
            <w:tcW w:w="3419" w:type="dxa"/>
            <w:shd w:val="clear" w:color="auto" w:fill="F2F2F2" w:themeFill="background1" w:themeFillShade="F2"/>
          </w:tcPr>
          <w:p w14:paraId="0DF5C781" w14:textId="3FFA4543" w:rsidR="0076142D" w:rsidRPr="000B525C" w:rsidRDefault="00396643" w:rsidP="00694EC5">
            <w:pPr>
              <w:keepNext/>
              <w:keepLines/>
              <w:jc w:val="both"/>
              <w:rPr>
                <w:lang w:val="en-GB"/>
              </w:rPr>
            </w:pPr>
            <w:r w:rsidRPr="000B525C">
              <w:rPr>
                <w:b/>
                <w:sz w:val="24"/>
                <w:szCs w:val="24"/>
                <w:lang w:val="en-GB"/>
              </w:rPr>
              <w:t>Effective Date</w:t>
            </w:r>
            <w:r w:rsidRPr="000B525C">
              <w:rPr>
                <w:sz w:val="24"/>
                <w:szCs w:val="24"/>
                <w:lang w:val="en-GB"/>
              </w:rPr>
              <w:t>:</w:t>
            </w:r>
            <w:r w:rsidR="00520B63" w:rsidRPr="000B525C">
              <w:rPr>
                <w:sz w:val="24"/>
                <w:szCs w:val="24"/>
                <w:lang w:val="en-GB"/>
              </w:rPr>
              <w:t xml:space="preserve"> </w:t>
            </w:r>
            <w:r w:rsidR="00224739">
              <w:rPr>
                <w:sz w:val="24"/>
                <w:szCs w:val="24"/>
                <w:lang w:val="en-GB"/>
              </w:rPr>
              <w:t>22-Dec-2023</w:t>
            </w:r>
          </w:p>
        </w:tc>
      </w:tr>
      <w:tr w:rsidR="00063B90" w:rsidRPr="00F56536" w14:paraId="056DB068" w14:textId="77777777" w:rsidTr="00F31A75">
        <w:tc>
          <w:tcPr>
            <w:tcW w:w="9576" w:type="dxa"/>
            <w:gridSpan w:val="2"/>
            <w:shd w:val="clear" w:color="auto" w:fill="F2F2F2" w:themeFill="background1" w:themeFillShade="F2"/>
          </w:tcPr>
          <w:p w14:paraId="34F711AC" w14:textId="5E6C2162" w:rsidR="00063B90" w:rsidRPr="00F31A75" w:rsidRDefault="00063B90" w:rsidP="00B10FA7">
            <w:pPr>
              <w:keepNext/>
              <w:keepLines/>
              <w:jc w:val="both"/>
              <w:rPr>
                <w:b/>
                <w:bCs/>
                <w:sz w:val="24"/>
                <w:szCs w:val="24"/>
                <w:lang w:val="en-GB"/>
              </w:rPr>
            </w:pPr>
            <w:r w:rsidRPr="00B10B25">
              <w:rPr>
                <w:b/>
                <w:bCs/>
                <w:sz w:val="24"/>
                <w:szCs w:val="24"/>
                <w:lang w:val="en-GB"/>
              </w:rPr>
              <w:t>Version Number and Date</w:t>
            </w:r>
            <w:r w:rsidRPr="000B525C">
              <w:rPr>
                <w:sz w:val="24"/>
                <w:szCs w:val="24"/>
                <w:lang w:val="en-GB"/>
              </w:rPr>
              <w:t>:</w:t>
            </w:r>
            <w:r w:rsidR="000A7971" w:rsidRPr="000B525C">
              <w:rPr>
                <w:sz w:val="24"/>
                <w:szCs w:val="24"/>
                <w:lang w:val="en-GB"/>
              </w:rPr>
              <w:t xml:space="preserve"> </w:t>
            </w:r>
            <w:r w:rsidR="00142DB1">
              <w:rPr>
                <w:sz w:val="24"/>
                <w:szCs w:val="24"/>
                <w:lang w:val="en-GB"/>
              </w:rPr>
              <w:t>2</w:t>
            </w:r>
            <w:r w:rsidR="00C12EB2">
              <w:rPr>
                <w:sz w:val="24"/>
                <w:szCs w:val="24"/>
                <w:lang w:val="en-GB"/>
              </w:rPr>
              <w:t>.0</w:t>
            </w:r>
            <w:r w:rsidR="000A7971" w:rsidRPr="000B525C">
              <w:rPr>
                <w:sz w:val="24"/>
                <w:szCs w:val="24"/>
                <w:lang w:val="en-GB"/>
              </w:rPr>
              <w:t xml:space="preserve"> Date </w:t>
            </w:r>
            <w:r w:rsidR="00C90869">
              <w:rPr>
                <w:sz w:val="24"/>
                <w:szCs w:val="24"/>
                <w:lang w:val="en-GB"/>
              </w:rPr>
              <w:t>11</w:t>
            </w:r>
            <w:r w:rsidR="00B10FA7">
              <w:rPr>
                <w:sz w:val="24"/>
                <w:szCs w:val="24"/>
                <w:lang w:val="en-GB"/>
              </w:rPr>
              <w:t>-</w:t>
            </w:r>
            <w:r w:rsidR="00C90869">
              <w:rPr>
                <w:sz w:val="24"/>
                <w:szCs w:val="24"/>
                <w:lang w:val="en-GB"/>
              </w:rPr>
              <w:t>Oct</w:t>
            </w:r>
            <w:r w:rsidR="00D602BA">
              <w:rPr>
                <w:sz w:val="24"/>
                <w:szCs w:val="24"/>
                <w:lang w:val="en-GB"/>
              </w:rPr>
              <w:t>-20</w:t>
            </w:r>
            <w:r w:rsidR="00B10FA7">
              <w:rPr>
                <w:sz w:val="24"/>
                <w:szCs w:val="24"/>
                <w:lang w:val="en-GB"/>
              </w:rPr>
              <w:t>2</w:t>
            </w:r>
            <w:r w:rsidR="00C90869">
              <w:rPr>
                <w:sz w:val="24"/>
                <w:szCs w:val="24"/>
                <w:lang w:val="en-GB"/>
              </w:rPr>
              <w:t>3</w:t>
            </w:r>
          </w:p>
        </w:tc>
      </w:tr>
    </w:tbl>
    <w:p w14:paraId="756E21B4" w14:textId="77777777" w:rsidR="0076142D" w:rsidRPr="000B525C" w:rsidRDefault="0076142D" w:rsidP="00FE4B54">
      <w:pPr>
        <w:keepNext/>
        <w:keepLines/>
        <w:spacing w:after="0"/>
        <w:jc w:val="both"/>
        <w:rPr>
          <w:lang w:val="en-GB"/>
        </w:rPr>
      </w:pPr>
    </w:p>
    <w:p w14:paraId="6B44F187" w14:textId="77777777" w:rsidR="0076142D" w:rsidRPr="000B525C" w:rsidRDefault="0076142D" w:rsidP="00FE4B54">
      <w:pPr>
        <w:keepNext/>
        <w:keepLines/>
        <w:spacing w:after="0"/>
        <w:jc w:val="both"/>
        <w:rPr>
          <w:lang w:val="en-GB"/>
        </w:rPr>
      </w:pPr>
    </w:p>
    <w:sdt>
      <w:sdtPr>
        <w:rPr>
          <w:rFonts w:ascii="Calibri" w:eastAsia="Calibri" w:hAnsi="Calibri" w:cs="Calibri"/>
          <w:color w:val="000000"/>
          <w:sz w:val="22"/>
          <w:szCs w:val="22"/>
          <w:lang w:val="it-IT" w:eastAsia="it-IT"/>
        </w:rPr>
        <w:id w:val="-1779011494"/>
        <w:docPartObj>
          <w:docPartGallery w:val="Table of Contents"/>
          <w:docPartUnique/>
        </w:docPartObj>
      </w:sdtPr>
      <w:sdtEndPr>
        <w:rPr>
          <w:b/>
          <w:bCs/>
          <w:noProof/>
        </w:rPr>
      </w:sdtEndPr>
      <w:sdtContent>
        <w:p w14:paraId="2329164E" w14:textId="27B866D1" w:rsidR="00BF535D" w:rsidRDefault="00232555" w:rsidP="00BF535D">
          <w:pPr>
            <w:pStyle w:val="TOCHeading"/>
          </w:pPr>
          <w:r w:rsidRPr="00232555">
            <w:rPr>
              <w:rFonts w:asciiTheme="minorHAnsi" w:eastAsia="Calibri" w:hAnsiTheme="minorHAnsi" w:cstheme="minorHAnsi"/>
              <w:b/>
              <w:bCs/>
              <w:color w:val="auto"/>
              <w:sz w:val="22"/>
              <w:szCs w:val="22"/>
              <w:lang w:val="it-IT" w:eastAsia="it-IT"/>
            </w:rPr>
            <w:t>Table of c</w:t>
          </w:r>
          <w:r w:rsidRPr="00232555">
            <w:rPr>
              <w:rFonts w:asciiTheme="minorHAnsi" w:hAnsiTheme="minorHAnsi" w:cstheme="minorHAnsi"/>
              <w:b/>
              <w:bCs/>
              <w:color w:val="auto"/>
              <w:sz w:val="22"/>
              <w:szCs w:val="22"/>
            </w:rPr>
            <w:t>ontents</w:t>
          </w:r>
          <w:r w:rsidR="00BF535D">
            <w:fldChar w:fldCharType="begin"/>
          </w:r>
          <w:r w:rsidR="00BF535D">
            <w:instrText xml:space="preserve"> TOC \o "1-3" \h \z \u </w:instrText>
          </w:r>
          <w:r w:rsidR="00BF535D">
            <w:fldChar w:fldCharType="separate"/>
          </w:r>
        </w:p>
        <w:p w14:paraId="7A4984BA" w14:textId="24BB23B7" w:rsidR="00BF535D" w:rsidRDefault="004B456B">
          <w:pPr>
            <w:pStyle w:val="TOC2"/>
            <w:tabs>
              <w:tab w:val="left" w:pos="660"/>
              <w:tab w:val="right" w:leader="dot" w:pos="9350"/>
            </w:tabs>
            <w:rPr>
              <w:noProof/>
            </w:rPr>
          </w:pPr>
          <w:hyperlink w:anchor="_Toc166246296" w:history="1">
            <w:r w:rsidR="00BF535D" w:rsidRPr="00C67136">
              <w:rPr>
                <w:rStyle w:val="Hyperlink"/>
                <w:noProof/>
                <w:lang w:val="en-GB"/>
              </w:rPr>
              <w:t>1.</w:t>
            </w:r>
            <w:r w:rsidR="00BF535D">
              <w:rPr>
                <w:noProof/>
              </w:rPr>
              <w:tab/>
            </w:r>
            <w:r w:rsidR="00BF535D" w:rsidRPr="00C67136">
              <w:rPr>
                <w:rStyle w:val="Hyperlink"/>
                <w:noProof/>
                <w:lang w:val="en-GB"/>
              </w:rPr>
              <w:t>PURPOSE</w:t>
            </w:r>
            <w:r w:rsidR="00BF535D">
              <w:rPr>
                <w:noProof/>
                <w:webHidden/>
              </w:rPr>
              <w:tab/>
            </w:r>
            <w:r w:rsidR="00BF535D">
              <w:rPr>
                <w:noProof/>
                <w:webHidden/>
              </w:rPr>
              <w:fldChar w:fldCharType="begin"/>
            </w:r>
            <w:r w:rsidR="00BF535D">
              <w:rPr>
                <w:noProof/>
                <w:webHidden/>
              </w:rPr>
              <w:instrText xml:space="preserve"> PAGEREF _Toc166246296 \h </w:instrText>
            </w:r>
            <w:r w:rsidR="00BF535D">
              <w:rPr>
                <w:noProof/>
                <w:webHidden/>
              </w:rPr>
            </w:r>
            <w:r w:rsidR="00BF535D">
              <w:rPr>
                <w:noProof/>
                <w:webHidden/>
              </w:rPr>
              <w:fldChar w:fldCharType="separate"/>
            </w:r>
            <w:r w:rsidR="00BF535D">
              <w:rPr>
                <w:noProof/>
                <w:webHidden/>
              </w:rPr>
              <w:t>2</w:t>
            </w:r>
            <w:r w:rsidR="00BF535D">
              <w:rPr>
                <w:noProof/>
                <w:webHidden/>
              </w:rPr>
              <w:fldChar w:fldCharType="end"/>
            </w:r>
          </w:hyperlink>
        </w:p>
        <w:p w14:paraId="7175BDF7" w14:textId="10FFB562" w:rsidR="00BF535D" w:rsidRDefault="004B456B">
          <w:pPr>
            <w:pStyle w:val="TOC2"/>
            <w:tabs>
              <w:tab w:val="left" w:pos="660"/>
              <w:tab w:val="right" w:leader="dot" w:pos="9350"/>
            </w:tabs>
            <w:rPr>
              <w:noProof/>
            </w:rPr>
          </w:pPr>
          <w:hyperlink w:anchor="_Toc166246297" w:history="1">
            <w:r w:rsidR="00BF535D" w:rsidRPr="00C67136">
              <w:rPr>
                <w:rStyle w:val="Hyperlink"/>
                <w:noProof/>
                <w:lang w:val="en-GB"/>
              </w:rPr>
              <w:t>2.</w:t>
            </w:r>
            <w:r w:rsidR="00BF535D">
              <w:rPr>
                <w:noProof/>
              </w:rPr>
              <w:tab/>
            </w:r>
            <w:r w:rsidR="00BF535D" w:rsidRPr="00C67136">
              <w:rPr>
                <w:rStyle w:val="Hyperlink"/>
                <w:noProof/>
                <w:lang w:val="en-GB"/>
              </w:rPr>
              <w:t>SCOPE</w:t>
            </w:r>
            <w:r w:rsidR="00BF535D">
              <w:rPr>
                <w:noProof/>
                <w:webHidden/>
              </w:rPr>
              <w:tab/>
            </w:r>
            <w:r w:rsidR="00BF535D">
              <w:rPr>
                <w:noProof/>
                <w:webHidden/>
              </w:rPr>
              <w:fldChar w:fldCharType="begin"/>
            </w:r>
            <w:r w:rsidR="00BF535D">
              <w:rPr>
                <w:noProof/>
                <w:webHidden/>
              </w:rPr>
              <w:instrText xml:space="preserve"> PAGEREF _Toc166246297 \h </w:instrText>
            </w:r>
            <w:r w:rsidR="00BF535D">
              <w:rPr>
                <w:noProof/>
                <w:webHidden/>
              </w:rPr>
            </w:r>
            <w:r w:rsidR="00BF535D">
              <w:rPr>
                <w:noProof/>
                <w:webHidden/>
              </w:rPr>
              <w:fldChar w:fldCharType="separate"/>
            </w:r>
            <w:r w:rsidR="00BF535D">
              <w:rPr>
                <w:noProof/>
                <w:webHidden/>
              </w:rPr>
              <w:t>2</w:t>
            </w:r>
            <w:r w:rsidR="00BF535D">
              <w:rPr>
                <w:noProof/>
                <w:webHidden/>
              </w:rPr>
              <w:fldChar w:fldCharType="end"/>
            </w:r>
          </w:hyperlink>
        </w:p>
        <w:p w14:paraId="4D05AA3C" w14:textId="20910D3F" w:rsidR="00BF535D" w:rsidRDefault="004B456B">
          <w:pPr>
            <w:pStyle w:val="TOC2"/>
            <w:tabs>
              <w:tab w:val="left" w:pos="660"/>
              <w:tab w:val="right" w:leader="dot" w:pos="9350"/>
            </w:tabs>
            <w:rPr>
              <w:noProof/>
            </w:rPr>
          </w:pPr>
          <w:hyperlink w:anchor="_Toc166246298" w:history="1">
            <w:r w:rsidR="00BF535D" w:rsidRPr="00C67136">
              <w:rPr>
                <w:rStyle w:val="Hyperlink"/>
                <w:noProof/>
                <w:lang w:val="en-GB"/>
              </w:rPr>
              <w:t>3.</w:t>
            </w:r>
            <w:r w:rsidR="00BF535D">
              <w:rPr>
                <w:noProof/>
              </w:rPr>
              <w:tab/>
            </w:r>
            <w:r w:rsidR="00BF535D" w:rsidRPr="00C67136">
              <w:rPr>
                <w:rStyle w:val="Hyperlink"/>
                <w:noProof/>
                <w:lang w:val="en-GB"/>
              </w:rPr>
              <w:t>RESPONSIBLE FUNCTIONS</w:t>
            </w:r>
            <w:r w:rsidR="00BF535D">
              <w:rPr>
                <w:noProof/>
                <w:webHidden/>
              </w:rPr>
              <w:tab/>
            </w:r>
            <w:r w:rsidR="00BF535D">
              <w:rPr>
                <w:noProof/>
                <w:webHidden/>
              </w:rPr>
              <w:fldChar w:fldCharType="begin"/>
            </w:r>
            <w:r w:rsidR="00BF535D">
              <w:rPr>
                <w:noProof/>
                <w:webHidden/>
              </w:rPr>
              <w:instrText xml:space="preserve"> PAGEREF _Toc166246298 \h </w:instrText>
            </w:r>
            <w:r w:rsidR="00BF535D">
              <w:rPr>
                <w:noProof/>
                <w:webHidden/>
              </w:rPr>
            </w:r>
            <w:r w:rsidR="00BF535D">
              <w:rPr>
                <w:noProof/>
                <w:webHidden/>
              </w:rPr>
              <w:fldChar w:fldCharType="separate"/>
            </w:r>
            <w:r w:rsidR="00BF535D">
              <w:rPr>
                <w:noProof/>
                <w:webHidden/>
              </w:rPr>
              <w:t>2</w:t>
            </w:r>
            <w:r w:rsidR="00BF535D">
              <w:rPr>
                <w:noProof/>
                <w:webHidden/>
              </w:rPr>
              <w:fldChar w:fldCharType="end"/>
            </w:r>
          </w:hyperlink>
        </w:p>
        <w:p w14:paraId="6D60A339" w14:textId="26F76235" w:rsidR="00BF535D" w:rsidRDefault="004B456B">
          <w:pPr>
            <w:pStyle w:val="TOC2"/>
            <w:tabs>
              <w:tab w:val="left" w:pos="660"/>
              <w:tab w:val="right" w:leader="dot" w:pos="9350"/>
            </w:tabs>
            <w:rPr>
              <w:noProof/>
            </w:rPr>
          </w:pPr>
          <w:hyperlink w:anchor="_Toc166246299" w:history="1">
            <w:r w:rsidR="00BF535D" w:rsidRPr="00C67136">
              <w:rPr>
                <w:rStyle w:val="Hyperlink"/>
                <w:noProof/>
                <w:lang w:val="en-GB"/>
              </w:rPr>
              <w:t>4.</w:t>
            </w:r>
            <w:r w:rsidR="00BF535D">
              <w:rPr>
                <w:noProof/>
              </w:rPr>
              <w:tab/>
            </w:r>
            <w:r w:rsidR="00BF535D" w:rsidRPr="00C67136">
              <w:rPr>
                <w:rStyle w:val="Hyperlink"/>
                <w:noProof/>
                <w:lang w:val="en-GB"/>
              </w:rPr>
              <w:t>DEFINITIONS and ABBREVIATIONS</w:t>
            </w:r>
            <w:r w:rsidR="00BF535D">
              <w:rPr>
                <w:noProof/>
                <w:webHidden/>
              </w:rPr>
              <w:tab/>
            </w:r>
            <w:r w:rsidR="00BF535D">
              <w:rPr>
                <w:noProof/>
                <w:webHidden/>
              </w:rPr>
              <w:fldChar w:fldCharType="begin"/>
            </w:r>
            <w:r w:rsidR="00BF535D">
              <w:rPr>
                <w:noProof/>
                <w:webHidden/>
              </w:rPr>
              <w:instrText xml:space="preserve"> PAGEREF _Toc166246299 \h </w:instrText>
            </w:r>
            <w:r w:rsidR="00BF535D">
              <w:rPr>
                <w:noProof/>
                <w:webHidden/>
              </w:rPr>
            </w:r>
            <w:r w:rsidR="00BF535D">
              <w:rPr>
                <w:noProof/>
                <w:webHidden/>
              </w:rPr>
              <w:fldChar w:fldCharType="separate"/>
            </w:r>
            <w:r w:rsidR="00BF535D">
              <w:rPr>
                <w:noProof/>
                <w:webHidden/>
              </w:rPr>
              <w:t>2</w:t>
            </w:r>
            <w:r w:rsidR="00BF535D">
              <w:rPr>
                <w:noProof/>
                <w:webHidden/>
              </w:rPr>
              <w:fldChar w:fldCharType="end"/>
            </w:r>
          </w:hyperlink>
        </w:p>
        <w:p w14:paraId="2F62C356" w14:textId="69290EBC" w:rsidR="00BF535D" w:rsidRDefault="004B456B">
          <w:pPr>
            <w:pStyle w:val="TOC2"/>
            <w:tabs>
              <w:tab w:val="left" w:pos="660"/>
              <w:tab w:val="right" w:leader="dot" w:pos="9350"/>
            </w:tabs>
            <w:rPr>
              <w:noProof/>
            </w:rPr>
          </w:pPr>
          <w:hyperlink w:anchor="_Toc166246300" w:history="1">
            <w:r w:rsidR="00BF535D" w:rsidRPr="00C67136">
              <w:rPr>
                <w:rStyle w:val="Hyperlink"/>
                <w:noProof/>
                <w:lang w:val="en-GB"/>
              </w:rPr>
              <w:t>5.</w:t>
            </w:r>
            <w:r w:rsidR="00BF535D">
              <w:rPr>
                <w:noProof/>
              </w:rPr>
              <w:tab/>
            </w:r>
            <w:r w:rsidR="00BF535D" w:rsidRPr="00C67136">
              <w:rPr>
                <w:rStyle w:val="Hyperlink"/>
                <w:noProof/>
                <w:lang w:val="en-GB"/>
              </w:rPr>
              <w:t>PROCEDURE</w:t>
            </w:r>
            <w:r w:rsidR="00BF535D">
              <w:rPr>
                <w:noProof/>
                <w:webHidden/>
              </w:rPr>
              <w:tab/>
            </w:r>
            <w:r w:rsidR="00BF535D">
              <w:rPr>
                <w:noProof/>
                <w:webHidden/>
              </w:rPr>
              <w:fldChar w:fldCharType="begin"/>
            </w:r>
            <w:r w:rsidR="00BF535D">
              <w:rPr>
                <w:noProof/>
                <w:webHidden/>
              </w:rPr>
              <w:instrText xml:space="preserve"> PAGEREF _Toc166246300 \h </w:instrText>
            </w:r>
            <w:r w:rsidR="00BF535D">
              <w:rPr>
                <w:noProof/>
                <w:webHidden/>
              </w:rPr>
            </w:r>
            <w:r w:rsidR="00BF535D">
              <w:rPr>
                <w:noProof/>
                <w:webHidden/>
              </w:rPr>
              <w:fldChar w:fldCharType="separate"/>
            </w:r>
            <w:r w:rsidR="00BF535D">
              <w:rPr>
                <w:noProof/>
                <w:webHidden/>
              </w:rPr>
              <w:t>3</w:t>
            </w:r>
            <w:r w:rsidR="00BF535D">
              <w:rPr>
                <w:noProof/>
                <w:webHidden/>
              </w:rPr>
              <w:fldChar w:fldCharType="end"/>
            </w:r>
          </w:hyperlink>
        </w:p>
        <w:p w14:paraId="7AEC7701" w14:textId="22AB3FEB" w:rsidR="00BF535D" w:rsidRDefault="004B456B">
          <w:pPr>
            <w:pStyle w:val="TOC3"/>
            <w:tabs>
              <w:tab w:val="left" w:pos="1100"/>
              <w:tab w:val="right" w:leader="dot" w:pos="9350"/>
            </w:tabs>
            <w:rPr>
              <w:noProof/>
            </w:rPr>
          </w:pPr>
          <w:hyperlink w:anchor="_Toc166246301" w:history="1">
            <w:r w:rsidR="00BF535D" w:rsidRPr="00C67136">
              <w:rPr>
                <w:rStyle w:val="Hyperlink"/>
                <w:noProof/>
                <w:lang w:val="en-GB"/>
              </w:rPr>
              <w:t>5.1</w:t>
            </w:r>
            <w:r w:rsidR="00BF535D">
              <w:rPr>
                <w:noProof/>
              </w:rPr>
              <w:tab/>
            </w:r>
            <w:r w:rsidR="00BF535D" w:rsidRPr="00C67136">
              <w:rPr>
                <w:rStyle w:val="Hyperlink"/>
                <w:noProof/>
                <w:lang w:val="en-GB"/>
              </w:rPr>
              <w:t>Diagnosis of chronic Hepatitis C</w:t>
            </w:r>
            <w:r w:rsidR="00BF535D">
              <w:rPr>
                <w:noProof/>
                <w:webHidden/>
              </w:rPr>
              <w:tab/>
            </w:r>
            <w:r w:rsidR="00BF535D">
              <w:rPr>
                <w:noProof/>
                <w:webHidden/>
              </w:rPr>
              <w:fldChar w:fldCharType="begin"/>
            </w:r>
            <w:r w:rsidR="00BF535D">
              <w:rPr>
                <w:noProof/>
                <w:webHidden/>
              </w:rPr>
              <w:instrText xml:space="preserve"> PAGEREF _Toc166246301 \h </w:instrText>
            </w:r>
            <w:r w:rsidR="00BF535D">
              <w:rPr>
                <w:noProof/>
                <w:webHidden/>
              </w:rPr>
            </w:r>
            <w:r w:rsidR="00BF535D">
              <w:rPr>
                <w:noProof/>
                <w:webHidden/>
              </w:rPr>
              <w:fldChar w:fldCharType="separate"/>
            </w:r>
            <w:r w:rsidR="00BF535D">
              <w:rPr>
                <w:noProof/>
                <w:webHidden/>
              </w:rPr>
              <w:t>3</w:t>
            </w:r>
            <w:r w:rsidR="00BF535D">
              <w:rPr>
                <w:noProof/>
                <w:webHidden/>
              </w:rPr>
              <w:fldChar w:fldCharType="end"/>
            </w:r>
          </w:hyperlink>
        </w:p>
        <w:p w14:paraId="5C9E6D7A" w14:textId="4769C2F3" w:rsidR="00BF535D" w:rsidRDefault="004B456B">
          <w:pPr>
            <w:pStyle w:val="TOC3"/>
            <w:tabs>
              <w:tab w:val="left" w:pos="1100"/>
              <w:tab w:val="right" w:leader="dot" w:pos="9350"/>
            </w:tabs>
            <w:rPr>
              <w:noProof/>
            </w:rPr>
          </w:pPr>
          <w:hyperlink w:anchor="_Toc166246302" w:history="1">
            <w:r w:rsidR="00BF535D" w:rsidRPr="00C67136">
              <w:rPr>
                <w:rStyle w:val="Hyperlink"/>
                <w:noProof/>
                <w:lang w:val="en-GB"/>
              </w:rPr>
              <w:t>5.2</w:t>
            </w:r>
            <w:r w:rsidR="00BF535D">
              <w:rPr>
                <w:noProof/>
              </w:rPr>
              <w:tab/>
            </w:r>
            <w:r w:rsidR="00BF535D" w:rsidRPr="00C67136">
              <w:rPr>
                <w:rStyle w:val="Hyperlink"/>
                <w:noProof/>
                <w:lang w:val="en-GB"/>
              </w:rPr>
              <w:t>Clinical and instrumental eligibility assessment</w:t>
            </w:r>
            <w:r w:rsidR="00BF535D">
              <w:rPr>
                <w:noProof/>
                <w:webHidden/>
              </w:rPr>
              <w:tab/>
            </w:r>
            <w:r w:rsidR="00BF535D">
              <w:rPr>
                <w:noProof/>
                <w:webHidden/>
              </w:rPr>
              <w:fldChar w:fldCharType="begin"/>
            </w:r>
            <w:r w:rsidR="00BF535D">
              <w:rPr>
                <w:noProof/>
                <w:webHidden/>
              </w:rPr>
              <w:instrText xml:space="preserve"> PAGEREF _Toc166246302 \h </w:instrText>
            </w:r>
            <w:r w:rsidR="00BF535D">
              <w:rPr>
                <w:noProof/>
                <w:webHidden/>
              </w:rPr>
            </w:r>
            <w:r w:rsidR="00BF535D">
              <w:rPr>
                <w:noProof/>
                <w:webHidden/>
              </w:rPr>
              <w:fldChar w:fldCharType="separate"/>
            </w:r>
            <w:r w:rsidR="00BF535D">
              <w:rPr>
                <w:noProof/>
                <w:webHidden/>
              </w:rPr>
              <w:t>3</w:t>
            </w:r>
            <w:r w:rsidR="00BF535D">
              <w:rPr>
                <w:noProof/>
                <w:webHidden/>
              </w:rPr>
              <w:fldChar w:fldCharType="end"/>
            </w:r>
          </w:hyperlink>
        </w:p>
        <w:p w14:paraId="44DAD4EF" w14:textId="641433D0" w:rsidR="00BF535D" w:rsidRDefault="004B456B">
          <w:pPr>
            <w:pStyle w:val="TOC3"/>
            <w:tabs>
              <w:tab w:val="left" w:pos="1100"/>
              <w:tab w:val="right" w:leader="dot" w:pos="9350"/>
            </w:tabs>
            <w:rPr>
              <w:noProof/>
            </w:rPr>
          </w:pPr>
          <w:hyperlink w:anchor="_Toc166246303" w:history="1">
            <w:r w:rsidR="00BF535D" w:rsidRPr="00C67136">
              <w:rPr>
                <w:rStyle w:val="Hyperlink"/>
                <w:noProof/>
                <w:lang w:val="en-GB"/>
              </w:rPr>
              <w:t>5.3</w:t>
            </w:r>
            <w:r w:rsidR="00BF535D">
              <w:rPr>
                <w:noProof/>
              </w:rPr>
              <w:tab/>
            </w:r>
            <w:r w:rsidR="00BF535D" w:rsidRPr="00C67136">
              <w:rPr>
                <w:rStyle w:val="Hyperlink"/>
                <w:noProof/>
                <w:lang w:val="en-GB"/>
              </w:rPr>
              <w:t>HCV treatment</w:t>
            </w:r>
            <w:r w:rsidR="00BF535D">
              <w:rPr>
                <w:noProof/>
                <w:webHidden/>
              </w:rPr>
              <w:tab/>
            </w:r>
            <w:r w:rsidR="00BF535D">
              <w:rPr>
                <w:noProof/>
                <w:webHidden/>
              </w:rPr>
              <w:fldChar w:fldCharType="begin"/>
            </w:r>
            <w:r w:rsidR="00BF535D">
              <w:rPr>
                <w:noProof/>
                <w:webHidden/>
              </w:rPr>
              <w:instrText xml:space="preserve"> PAGEREF _Toc166246303 \h </w:instrText>
            </w:r>
            <w:r w:rsidR="00BF535D">
              <w:rPr>
                <w:noProof/>
                <w:webHidden/>
              </w:rPr>
            </w:r>
            <w:r w:rsidR="00BF535D">
              <w:rPr>
                <w:noProof/>
                <w:webHidden/>
              </w:rPr>
              <w:fldChar w:fldCharType="separate"/>
            </w:r>
            <w:r w:rsidR="00BF535D">
              <w:rPr>
                <w:noProof/>
                <w:webHidden/>
              </w:rPr>
              <w:t>6</w:t>
            </w:r>
            <w:r w:rsidR="00BF535D">
              <w:rPr>
                <w:noProof/>
                <w:webHidden/>
              </w:rPr>
              <w:fldChar w:fldCharType="end"/>
            </w:r>
          </w:hyperlink>
        </w:p>
        <w:p w14:paraId="1A27B915" w14:textId="5BD270A7" w:rsidR="00BF535D" w:rsidRDefault="004B456B">
          <w:pPr>
            <w:pStyle w:val="TOC3"/>
            <w:tabs>
              <w:tab w:val="left" w:pos="1100"/>
              <w:tab w:val="right" w:leader="dot" w:pos="9350"/>
            </w:tabs>
            <w:rPr>
              <w:noProof/>
            </w:rPr>
          </w:pPr>
          <w:hyperlink w:anchor="_Toc166246304" w:history="1">
            <w:r w:rsidR="00BF535D" w:rsidRPr="00C67136">
              <w:rPr>
                <w:rStyle w:val="Hyperlink"/>
                <w:noProof/>
                <w:lang w:val="en-GB"/>
              </w:rPr>
              <w:t>5.4</w:t>
            </w:r>
            <w:r w:rsidR="00BF535D">
              <w:rPr>
                <w:noProof/>
              </w:rPr>
              <w:tab/>
            </w:r>
            <w:r w:rsidR="00BF535D" w:rsidRPr="00C67136">
              <w:rPr>
                <w:rStyle w:val="Hyperlink"/>
                <w:noProof/>
                <w:lang w:val="en-GB"/>
              </w:rPr>
              <w:t>Other investigations and comorbidities</w:t>
            </w:r>
            <w:r w:rsidR="00BF535D">
              <w:rPr>
                <w:noProof/>
                <w:webHidden/>
              </w:rPr>
              <w:tab/>
            </w:r>
            <w:r w:rsidR="00BF535D">
              <w:rPr>
                <w:noProof/>
                <w:webHidden/>
              </w:rPr>
              <w:fldChar w:fldCharType="begin"/>
            </w:r>
            <w:r w:rsidR="00BF535D">
              <w:rPr>
                <w:noProof/>
                <w:webHidden/>
              </w:rPr>
              <w:instrText xml:space="preserve"> PAGEREF _Toc166246304 \h </w:instrText>
            </w:r>
            <w:r w:rsidR="00BF535D">
              <w:rPr>
                <w:noProof/>
                <w:webHidden/>
              </w:rPr>
            </w:r>
            <w:r w:rsidR="00BF535D">
              <w:rPr>
                <w:noProof/>
                <w:webHidden/>
              </w:rPr>
              <w:fldChar w:fldCharType="separate"/>
            </w:r>
            <w:r w:rsidR="00BF535D">
              <w:rPr>
                <w:noProof/>
                <w:webHidden/>
              </w:rPr>
              <w:t>10</w:t>
            </w:r>
            <w:r w:rsidR="00BF535D">
              <w:rPr>
                <w:noProof/>
                <w:webHidden/>
              </w:rPr>
              <w:fldChar w:fldCharType="end"/>
            </w:r>
          </w:hyperlink>
        </w:p>
        <w:p w14:paraId="00F40F75" w14:textId="21B48EDB" w:rsidR="00BF535D" w:rsidRDefault="004B456B">
          <w:pPr>
            <w:pStyle w:val="TOC2"/>
            <w:tabs>
              <w:tab w:val="left" w:pos="660"/>
              <w:tab w:val="right" w:leader="dot" w:pos="9350"/>
            </w:tabs>
            <w:rPr>
              <w:noProof/>
            </w:rPr>
          </w:pPr>
          <w:hyperlink w:anchor="_Toc166246305" w:history="1">
            <w:r w:rsidR="00BF535D" w:rsidRPr="00C67136">
              <w:rPr>
                <w:rStyle w:val="Hyperlink"/>
                <w:noProof/>
                <w:lang w:val="en-GB"/>
              </w:rPr>
              <w:t>6.</w:t>
            </w:r>
            <w:r w:rsidR="00BF535D">
              <w:rPr>
                <w:noProof/>
              </w:rPr>
              <w:tab/>
            </w:r>
            <w:r w:rsidR="00BF535D" w:rsidRPr="00C67136">
              <w:rPr>
                <w:rStyle w:val="Hyperlink"/>
                <w:noProof/>
                <w:lang w:val="en-GB"/>
              </w:rPr>
              <w:t>REFERENCES</w:t>
            </w:r>
            <w:r w:rsidR="00BF535D">
              <w:rPr>
                <w:noProof/>
                <w:webHidden/>
              </w:rPr>
              <w:tab/>
            </w:r>
            <w:r w:rsidR="00BF535D">
              <w:rPr>
                <w:noProof/>
                <w:webHidden/>
              </w:rPr>
              <w:fldChar w:fldCharType="begin"/>
            </w:r>
            <w:r w:rsidR="00BF535D">
              <w:rPr>
                <w:noProof/>
                <w:webHidden/>
              </w:rPr>
              <w:instrText xml:space="preserve"> PAGEREF _Toc166246305 \h </w:instrText>
            </w:r>
            <w:r w:rsidR="00BF535D">
              <w:rPr>
                <w:noProof/>
                <w:webHidden/>
              </w:rPr>
            </w:r>
            <w:r w:rsidR="00BF535D">
              <w:rPr>
                <w:noProof/>
                <w:webHidden/>
              </w:rPr>
              <w:fldChar w:fldCharType="separate"/>
            </w:r>
            <w:r w:rsidR="00BF535D">
              <w:rPr>
                <w:noProof/>
                <w:webHidden/>
              </w:rPr>
              <w:t>1</w:t>
            </w:r>
            <w:r>
              <w:rPr>
                <w:noProof/>
                <w:webHidden/>
              </w:rPr>
              <w:t>1</w:t>
            </w:r>
            <w:r w:rsidR="00BF535D">
              <w:rPr>
                <w:noProof/>
                <w:webHidden/>
              </w:rPr>
              <w:fldChar w:fldCharType="end"/>
            </w:r>
          </w:hyperlink>
        </w:p>
        <w:p w14:paraId="2E01B127" w14:textId="5B176664" w:rsidR="00BF535D" w:rsidRDefault="004B456B">
          <w:pPr>
            <w:pStyle w:val="TOC2"/>
            <w:tabs>
              <w:tab w:val="left" w:pos="660"/>
              <w:tab w:val="right" w:leader="dot" w:pos="9350"/>
            </w:tabs>
            <w:rPr>
              <w:noProof/>
            </w:rPr>
          </w:pPr>
          <w:hyperlink w:anchor="_Toc166246306" w:history="1">
            <w:r w:rsidR="00BF535D" w:rsidRPr="00C67136">
              <w:rPr>
                <w:rStyle w:val="Hyperlink"/>
                <w:noProof/>
                <w:lang w:val="en-GB"/>
              </w:rPr>
              <w:t>7.</w:t>
            </w:r>
            <w:r w:rsidR="00BF535D">
              <w:rPr>
                <w:noProof/>
              </w:rPr>
              <w:tab/>
            </w:r>
            <w:r w:rsidR="00BF535D" w:rsidRPr="00C67136">
              <w:rPr>
                <w:rStyle w:val="Hyperlink"/>
                <w:noProof/>
                <w:lang w:val="en-GB"/>
              </w:rPr>
              <w:t>SUPPORTING DOCUMENTS</w:t>
            </w:r>
            <w:r w:rsidR="00BF535D">
              <w:rPr>
                <w:noProof/>
                <w:webHidden/>
              </w:rPr>
              <w:tab/>
            </w:r>
            <w:r w:rsidR="00BF535D">
              <w:rPr>
                <w:noProof/>
                <w:webHidden/>
              </w:rPr>
              <w:fldChar w:fldCharType="begin"/>
            </w:r>
            <w:r w:rsidR="00BF535D">
              <w:rPr>
                <w:noProof/>
                <w:webHidden/>
              </w:rPr>
              <w:instrText xml:space="preserve"> PAGEREF _Toc166246306 \h </w:instrText>
            </w:r>
            <w:r w:rsidR="00BF535D">
              <w:rPr>
                <w:noProof/>
                <w:webHidden/>
              </w:rPr>
            </w:r>
            <w:r w:rsidR="00BF535D">
              <w:rPr>
                <w:noProof/>
                <w:webHidden/>
              </w:rPr>
              <w:fldChar w:fldCharType="separate"/>
            </w:r>
            <w:r w:rsidR="00BF535D">
              <w:rPr>
                <w:noProof/>
                <w:webHidden/>
              </w:rPr>
              <w:t>11</w:t>
            </w:r>
            <w:r w:rsidR="00BF535D">
              <w:rPr>
                <w:noProof/>
                <w:webHidden/>
              </w:rPr>
              <w:fldChar w:fldCharType="end"/>
            </w:r>
          </w:hyperlink>
        </w:p>
        <w:p w14:paraId="11F6011C" w14:textId="565AF51F" w:rsidR="00BF535D" w:rsidRDefault="004B456B">
          <w:pPr>
            <w:pStyle w:val="TOC2"/>
            <w:tabs>
              <w:tab w:val="left" w:pos="660"/>
              <w:tab w:val="right" w:leader="dot" w:pos="9350"/>
            </w:tabs>
            <w:rPr>
              <w:noProof/>
            </w:rPr>
          </w:pPr>
          <w:hyperlink w:anchor="_Toc166246307" w:history="1">
            <w:r w:rsidR="00BF535D" w:rsidRPr="00C67136">
              <w:rPr>
                <w:rStyle w:val="Hyperlink"/>
                <w:noProof/>
                <w:lang w:val="en-GB"/>
              </w:rPr>
              <w:t>8.</w:t>
            </w:r>
            <w:r w:rsidR="00BF535D">
              <w:rPr>
                <w:noProof/>
              </w:rPr>
              <w:tab/>
            </w:r>
            <w:r w:rsidR="00BF535D" w:rsidRPr="00C67136">
              <w:rPr>
                <w:rStyle w:val="Hyperlink"/>
                <w:noProof/>
                <w:lang w:val="en-GB"/>
              </w:rPr>
              <w:t>APPENDIX</w:t>
            </w:r>
            <w:r w:rsidR="00BF535D">
              <w:rPr>
                <w:noProof/>
                <w:webHidden/>
              </w:rPr>
              <w:tab/>
            </w:r>
            <w:r w:rsidR="00BF535D">
              <w:rPr>
                <w:noProof/>
                <w:webHidden/>
              </w:rPr>
              <w:fldChar w:fldCharType="begin"/>
            </w:r>
            <w:r w:rsidR="00BF535D">
              <w:rPr>
                <w:noProof/>
                <w:webHidden/>
              </w:rPr>
              <w:instrText xml:space="preserve"> PAGEREF _Toc166246307 \h </w:instrText>
            </w:r>
            <w:r w:rsidR="00BF535D">
              <w:rPr>
                <w:noProof/>
                <w:webHidden/>
              </w:rPr>
            </w:r>
            <w:r w:rsidR="00BF535D">
              <w:rPr>
                <w:noProof/>
                <w:webHidden/>
              </w:rPr>
              <w:fldChar w:fldCharType="separate"/>
            </w:r>
            <w:r w:rsidR="00BF535D">
              <w:rPr>
                <w:noProof/>
                <w:webHidden/>
              </w:rPr>
              <w:t>11</w:t>
            </w:r>
            <w:r w:rsidR="00BF535D">
              <w:rPr>
                <w:noProof/>
                <w:webHidden/>
              </w:rPr>
              <w:fldChar w:fldCharType="end"/>
            </w:r>
          </w:hyperlink>
        </w:p>
        <w:p w14:paraId="1D5906FB" w14:textId="7A7A7D1A" w:rsidR="00BF535D" w:rsidRDefault="00BF535D">
          <w:r>
            <w:rPr>
              <w:b/>
              <w:bCs/>
              <w:noProof/>
            </w:rPr>
            <w:fldChar w:fldCharType="end"/>
          </w:r>
        </w:p>
      </w:sdtContent>
    </w:sdt>
    <w:p w14:paraId="26AB43F4" w14:textId="77777777" w:rsidR="0076142D" w:rsidRPr="000B525C" w:rsidRDefault="0076142D" w:rsidP="00FE4B54">
      <w:pPr>
        <w:keepNext/>
        <w:keepLines/>
        <w:spacing w:after="0"/>
        <w:jc w:val="both"/>
        <w:rPr>
          <w:lang w:val="en-GB"/>
        </w:rPr>
      </w:pPr>
    </w:p>
    <w:p w14:paraId="135ABD70" w14:textId="77777777" w:rsidR="0076142D" w:rsidRPr="000B525C" w:rsidRDefault="00396643" w:rsidP="00FE4B54">
      <w:pPr>
        <w:keepNext/>
        <w:keepLines/>
        <w:jc w:val="both"/>
        <w:rPr>
          <w:lang w:val="en-GB"/>
        </w:rPr>
      </w:pPr>
      <w:r w:rsidRPr="000B525C">
        <w:rPr>
          <w:lang w:val="en-GB"/>
        </w:rPr>
        <w:br w:type="page"/>
      </w:r>
    </w:p>
    <w:p w14:paraId="3F6C9E24" w14:textId="5E7B179A" w:rsidR="007A5A4F" w:rsidRPr="000B525C" w:rsidRDefault="007A5A4F" w:rsidP="001659EF">
      <w:pPr>
        <w:pStyle w:val="Heading1"/>
        <w:numPr>
          <w:ilvl w:val="0"/>
          <w:numId w:val="0"/>
        </w:numPr>
        <w:ind w:left="360"/>
        <w:rPr>
          <w:lang w:val="en-GB"/>
        </w:rPr>
      </w:pPr>
      <w:bookmarkStart w:id="2" w:name="_Toc166246295"/>
      <w:r w:rsidRPr="000B525C">
        <w:rPr>
          <w:lang w:val="en-GB"/>
        </w:rPr>
        <w:lastRenderedPageBreak/>
        <w:t>Standard Operating Procedures for</w:t>
      </w:r>
      <w:r w:rsidR="00FD3558" w:rsidRPr="000B525C">
        <w:rPr>
          <w:lang w:val="en-GB"/>
        </w:rPr>
        <w:t>:</w:t>
      </w:r>
      <w:r w:rsidR="00FD3558">
        <w:rPr>
          <w:lang w:val="en-GB"/>
        </w:rPr>
        <w:br/>
      </w:r>
      <w:r w:rsidRPr="000B525C">
        <w:rPr>
          <w:lang w:val="en-GB"/>
        </w:rPr>
        <w:t xml:space="preserve">Management of </w:t>
      </w:r>
      <w:r w:rsidR="006E7837" w:rsidRPr="000B525C">
        <w:rPr>
          <w:lang w:val="en-GB"/>
        </w:rPr>
        <w:t>Hepatitis C Infection</w:t>
      </w:r>
      <w:bookmarkEnd w:id="2"/>
    </w:p>
    <w:p w14:paraId="00375332" w14:textId="69A67F68" w:rsidR="0076142D" w:rsidRPr="000B525C" w:rsidRDefault="00396643" w:rsidP="00CE436E">
      <w:pPr>
        <w:pStyle w:val="Heading2"/>
        <w:jc w:val="both"/>
        <w:rPr>
          <w:lang w:val="en-GB"/>
        </w:rPr>
      </w:pPr>
      <w:bookmarkStart w:id="3" w:name="_Toc166246296"/>
      <w:r w:rsidRPr="000B525C">
        <w:rPr>
          <w:lang w:val="en-GB"/>
        </w:rPr>
        <w:t>PURPOSE</w:t>
      </w:r>
      <w:bookmarkEnd w:id="3"/>
      <w:r w:rsidRPr="000B525C">
        <w:rPr>
          <w:lang w:val="en-GB"/>
        </w:rPr>
        <w:t xml:space="preserve"> </w:t>
      </w:r>
    </w:p>
    <w:tbl>
      <w:tblPr>
        <w:tblStyle w:val="7"/>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6142D" w:rsidRPr="00F56536" w14:paraId="5F6A54EB" w14:textId="77777777">
        <w:tc>
          <w:tcPr>
            <w:tcW w:w="9576" w:type="dxa"/>
          </w:tcPr>
          <w:p w14:paraId="657F4AED" w14:textId="72937802" w:rsidR="0076142D" w:rsidRPr="000B525C" w:rsidRDefault="00396643" w:rsidP="00543D8C">
            <w:pPr>
              <w:keepNext/>
              <w:keepLines/>
              <w:spacing w:line="276" w:lineRule="auto"/>
              <w:jc w:val="both"/>
              <w:rPr>
                <w:lang w:val="en-GB"/>
              </w:rPr>
            </w:pPr>
            <w:r w:rsidRPr="000B525C">
              <w:rPr>
                <w:lang w:val="en-GB"/>
              </w:rPr>
              <w:t>This standard operatin</w:t>
            </w:r>
            <w:r w:rsidR="00FE2BA4" w:rsidRPr="000B525C">
              <w:rPr>
                <w:lang w:val="en-GB"/>
              </w:rPr>
              <w:t xml:space="preserve">g procedure (SOP) </w:t>
            </w:r>
            <w:r w:rsidR="00543D8C">
              <w:rPr>
                <w:lang w:val="en-GB"/>
              </w:rPr>
              <w:t>is a guideline for the</w:t>
            </w:r>
            <w:r w:rsidR="00640441">
              <w:rPr>
                <w:lang w:val="en-GB"/>
              </w:rPr>
              <w:t xml:space="preserve"> </w:t>
            </w:r>
            <w:r w:rsidR="00FE2BA4" w:rsidRPr="000B525C">
              <w:rPr>
                <w:lang w:val="en-GB"/>
              </w:rPr>
              <w:t xml:space="preserve">clinical management of </w:t>
            </w:r>
            <w:r w:rsidR="006E7837" w:rsidRPr="000B525C">
              <w:rPr>
                <w:lang w:val="en-GB"/>
              </w:rPr>
              <w:t>Hepatitis C</w:t>
            </w:r>
            <w:r w:rsidR="0068571F">
              <w:rPr>
                <w:lang w:val="en-GB"/>
              </w:rPr>
              <w:t xml:space="preserve"> virus (HCV)</w:t>
            </w:r>
            <w:r w:rsidR="006E7837" w:rsidRPr="000B525C">
              <w:rPr>
                <w:lang w:val="en-GB"/>
              </w:rPr>
              <w:t xml:space="preserve"> </w:t>
            </w:r>
            <w:r w:rsidR="00CB33F2">
              <w:rPr>
                <w:lang w:val="en-GB"/>
              </w:rPr>
              <w:t>i</w:t>
            </w:r>
            <w:r w:rsidR="006E7837" w:rsidRPr="000B525C">
              <w:rPr>
                <w:lang w:val="en-GB"/>
              </w:rPr>
              <w:t>nfection</w:t>
            </w:r>
            <w:r w:rsidR="00FE2BA4" w:rsidRPr="000B525C">
              <w:rPr>
                <w:lang w:val="en-GB"/>
              </w:rPr>
              <w:t xml:space="preserve"> </w:t>
            </w:r>
            <w:r w:rsidR="00EF2314">
              <w:rPr>
                <w:lang w:val="en-GB"/>
              </w:rPr>
              <w:t>for</w:t>
            </w:r>
            <w:r w:rsidR="005016C8">
              <w:rPr>
                <w:lang w:val="en-GB"/>
              </w:rPr>
              <w:t xml:space="preserve"> participants </w:t>
            </w:r>
            <w:r w:rsidR="00A35185">
              <w:rPr>
                <w:lang w:val="en-GB"/>
              </w:rPr>
              <w:t>in</w:t>
            </w:r>
            <w:r w:rsidR="005016C8">
              <w:rPr>
                <w:lang w:val="en-GB"/>
              </w:rPr>
              <w:t xml:space="preserve"> the </w:t>
            </w:r>
            <w:r w:rsidR="005016C8" w:rsidRPr="000B525C">
              <w:rPr>
                <w:lang w:val="en-GB"/>
              </w:rPr>
              <w:t>endTB clinical trial</w:t>
            </w:r>
            <w:r w:rsidR="00543D8C">
              <w:rPr>
                <w:lang w:val="en-GB"/>
              </w:rPr>
              <w:t>s</w:t>
            </w:r>
            <w:r w:rsidR="00FE2BA4" w:rsidRPr="000B525C">
              <w:rPr>
                <w:lang w:val="en-GB"/>
              </w:rPr>
              <w:t>.</w:t>
            </w:r>
          </w:p>
        </w:tc>
      </w:tr>
    </w:tbl>
    <w:p w14:paraId="0D48960A" w14:textId="483DAB47" w:rsidR="0076142D" w:rsidRPr="000B525C" w:rsidRDefault="0076142D" w:rsidP="00CE436E">
      <w:pPr>
        <w:keepNext/>
        <w:keepLines/>
        <w:spacing w:after="120"/>
        <w:jc w:val="both"/>
        <w:rPr>
          <w:lang w:val="en-GB"/>
        </w:rPr>
      </w:pPr>
    </w:p>
    <w:p w14:paraId="34B0A8DE" w14:textId="3372B444" w:rsidR="0076142D" w:rsidRPr="000B525C" w:rsidRDefault="00396643" w:rsidP="00CE436E">
      <w:pPr>
        <w:pStyle w:val="Heading2"/>
        <w:spacing w:before="0" w:after="120"/>
        <w:contextualSpacing w:val="0"/>
        <w:jc w:val="both"/>
        <w:rPr>
          <w:lang w:val="en-GB"/>
        </w:rPr>
      </w:pPr>
      <w:bookmarkStart w:id="4" w:name="_Toc166246297"/>
      <w:r w:rsidRPr="000B525C">
        <w:rPr>
          <w:lang w:val="en-GB"/>
        </w:rPr>
        <w:t>SCOPE</w:t>
      </w:r>
      <w:bookmarkEnd w:id="4"/>
    </w:p>
    <w:tbl>
      <w:tblPr>
        <w:tblStyle w:val="6"/>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6142D" w:rsidRPr="00F56536" w14:paraId="74F3C7E2" w14:textId="77777777">
        <w:tc>
          <w:tcPr>
            <w:tcW w:w="9576" w:type="dxa"/>
          </w:tcPr>
          <w:p w14:paraId="784B1F11" w14:textId="4276D460" w:rsidR="0076142D" w:rsidRPr="000B525C" w:rsidRDefault="00396643" w:rsidP="009635E5">
            <w:pPr>
              <w:keepNext/>
              <w:keepLines/>
              <w:spacing w:line="276" w:lineRule="auto"/>
              <w:jc w:val="both"/>
              <w:rPr>
                <w:lang w:val="en-GB"/>
              </w:rPr>
            </w:pPr>
            <w:r w:rsidRPr="000B525C">
              <w:rPr>
                <w:lang w:val="en-GB"/>
              </w:rPr>
              <w:t>This SOP is developed for trained healthcare workers</w:t>
            </w:r>
            <w:r w:rsidR="00FE2BA4" w:rsidRPr="000B525C">
              <w:rPr>
                <w:lang w:val="en-GB"/>
              </w:rPr>
              <w:t xml:space="preserve"> who are managing the treatment of </w:t>
            </w:r>
            <w:r w:rsidRPr="000B525C">
              <w:rPr>
                <w:lang w:val="en-GB"/>
              </w:rPr>
              <w:t xml:space="preserve">participants </w:t>
            </w:r>
            <w:r w:rsidR="00A35185">
              <w:rPr>
                <w:lang w:val="en-GB"/>
              </w:rPr>
              <w:t>in</w:t>
            </w:r>
            <w:r w:rsidRPr="000B525C">
              <w:rPr>
                <w:lang w:val="en-GB"/>
              </w:rPr>
              <w:t xml:space="preserve"> the endTB clinical trial</w:t>
            </w:r>
            <w:r w:rsidR="00F56536">
              <w:rPr>
                <w:lang w:val="en-GB"/>
              </w:rPr>
              <w:t>s</w:t>
            </w:r>
            <w:r w:rsidRPr="000B525C">
              <w:rPr>
                <w:lang w:val="en-GB"/>
              </w:rPr>
              <w:t>.</w:t>
            </w:r>
          </w:p>
        </w:tc>
      </w:tr>
    </w:tbl>
    <w:p w14:paraId="47481AEB" w14:textId="189FAD5D" w:rsidR="0076142D" w:rsidRPr="00B10B25" w:rsidRDefault="0076142D" w:rsidP="00CE436E">
      <w:pPr>
        <w:keepNext/>
        <w:keepLines/>
        <w:spacing w:after="120"/>
        <w:jc w:val="both"/>
        <w:rPr>
          <w:sz w:val="16"/>
          <w:lang w:val="en-GB"/>
        </w:rPr>
      </w:pPr>
    </w:p>
    <w:p w14:paraId="343D7FEA" w14:textId="527A555E" w:rsidR="0076142D" w:rsidRDefault="00396643" w:rsidP="00CE436E">
      <w:pPr>
        <w:pStyle w:val="Heading2"/>
        <w:spacing w:before="0" w:after="120"/>
        <w:jc w:val="both"/>
        <w:rPr>
          <w:lang w:val="en-GB"/>
        </w:rPr>
      </w:pPr>
      <w:bookmarkStart w:id="5" w:name="_Toc166246298"/>
      <w:r w:rsidRPr="000B525C">
        <w:rPr>
          <w:lang w:val="en-GB"/>
        </w:rPr>
        <w:t>RESPONSIBLE FUNCTIONS</w:t>
      </w:r>
      <w:bookmarkEnd w:id="5"/>
    </w:p>
    <w:tbl>
      <w:tblPr>
        <w:tblStyle w:val="5"/>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6651"/>
      </w:tblGrid>
      <w:tr w:rsidR="0076142D" w:rsidRPr="000B525C" w14:paraId="064732BD" w14:textId="77777777" w:rsidTr="00BE2C8A">
        <w:trPr>
          <w:trHeight w:val="60"/>
        </w:trPr>
        <w:tc>
          <w:tcPr>
            <w:tcW w:w="2925" w:type="dxa"/>
            <w:shd w:val="clear" w:color="auto" w:fill="F2F2F2"/>
          </w:tcPr>
          <w:p w14:paraId="366105FB" w14:textId="77777777" w:rsidR="0076142D" w:rsidRPr="000B525C" w:rsidRDefault="00396643" w:rsidP="00CE436E">
            <w:pPr>
              <w:keepNext/>
              <w:keepLines/>
              <w:spacing w:before="80" w:after="80"/>
              <w:contextualSpacing w:val="0"/>
              <w:jc w:val="both"/>
              <w:rPr>
                <w:lang w:val="en-GB"/>
              </w:rPr>
            </w:pPr>
            <w:r w:rsidRPr="000B525C">
              <w:rPr>
                <w:b/>
                <w:lang w:val="en-GB"/>
              </w:rPr>
              <w:t>Function</w:t>
            </w:r>
          </w:p>
        </w:tc>
        <w:tc>
          <w:tcPr>
            <w:tcW w:w="6651" w:type="dxa"/>
            <w:shd w:val="clear" w:color="auto" w:fill="F2F2F2"/>
            <w:vAlign w:val="center"/>
          </w:tcPr>
          <w:p w14:paraId="432F3D15" w14:textId="77777777" w:rsidR="0076142D" w:rsidRPr="000B525C" w:rsidRDefault="00396643" w:rsidP="00CE436E">
            <w:pPr>
              <w:keepNext/>
              <w:keepLines/>
              <w:spacing w:before="80" w:after="80"/>
              <w:contextualSpacing w:val="0"/>
              <w:jc w:val="both"/>
              <w:rPr>
                <w:lang w:val="en-GB"/>
              </w:rPr>
            </w:pPr>
            <w:r w:rsidRPr="000B525C">
              <w:rPr>
                <w:b/>
                <w:lang w:val="en-GB"/>
              </w:rPr>
              <w:t>Activities</w:t>
            </w:r>
          </w:p>
        </w:tc>
      </w:tr>
      <w:tr w:rsidR="005F3E82" w:rsidRPr="00F56536" w14:paraId="43A61879" w14:textId="77777777" w:rsidTr="00BE2C8A">
        <w:tc>
          <w:tcPr>
            <w:tcW w:w="2925" w:type="dxa"/>
            <w:shd w:val="clear" w:color="auto" w:fill="FFFFFF"/>
          </w:tcPr>
          <w:p w14:paraId="6B70B53A" w14:textId="719E7778" w:rsidR="005F3E82" w:rsidRPr="000B525C" w:rsidRDefault="00B12277" w:rsidP="00B12277">
            <w:pPr>
              <w:keepNext/>
              <w:keepLines/>
              <w:spacing w:before="80" w:after="80"/>
              <w:rPr>
                <w:b/>
                <w:lang w:val="en-GB"/>
              </w:rPr>
            </w:pPr>
            <w:r>
              <w:rPr>
                <w:b/>
                <w:lang w:val="en-GB"/>
              </w:rPr>
              <w:t>Site P</w:t>
            </w:r>
            <w:r w:rsidR="005F3E82" w:rsidRPr="000B525C">
              <w:rPr>
                <w:b/>
                <w:lang w:val="en-GB"/>
              </w:rPr>
              <w:t xml:space="preserve">rincipal </w:t>
            </w:r>
            <w:r>
              <w:rPr>
                <w:b/>
                <w:lang w:val="en-GB"/>
              </w:rPr>
              <w:t>I</w:t>
            </w:r>
            <w:r w:rsidR="005F3E82" w:rsidRPr="000B525C">
              <w:rPr>
                <w:b/>
                <w:lang w:val="en-GB"/>
              </w:rPr>
              <w:t>nvestigator (</w:t>
            </w:r>
            <w:r w:rsidR="00031E85">
              <w:rPr>
                <w:b/>
                <w:lang w:val="en-GB"/>
              </w:rPr>
              <w:t>S</w:t>
            </w:r>
            <w:r w:rsidR="005F3E82" w:rsidRPr="000B525C">
              <w:rPr>
                <w:b/>
                <w:lang w:val="en-GB"/>
              </w:rPr>
              <w:t>ite</w:t>
            </w:r>
            <w:r w:rsidR="00031E85">
              <w:rPr>
                <w:b/>
                <w:lang w:val="en-GB"/>
              </w:rPr>
              <w:t xml:space="preserve"> </w:t>
            </w:r>
            <w:r w:rsidR="005F3E82" w:rsidRPr="000B525C">
              <w:rPr>
                <w:b/>
                <w:lang w:val="en-GB"/>
              </w:rPr>
              <w:t>PI)</w:t>
            </w:r>
          </w:p>
        </w:tc>
        <w:tc>
          <w:tcPr>
            <w:tcW w:w="6651" w:type="dxa"/>
            <w:shd w:val="clear" w:color="auto" w:fill="FFFFFF"/>
            <w:vAlign w:val="center"/>
          </w:tcPr>
          <w:p w14:paraId="04678B4C" w14:textId="23A9AA35" w:rsidR="002B4B91" w:rsidRDefault="002B4B91" w:rsidP="002B4B91">
            <w:pPr>
              <w:pStyle w:val="ListParagraph"/>
              <w:keepNext/>
              <w:keepLines/>
              <w:numPr>
                <w:ilvl w:val="0"/>
                <w:numId w:val="47"/>
              </w:numPr>
              <w:spacing w:before="80" w:after="80"/>
              <w:ind w:left="424" w:hanging="425"/>
              <w:jc w:val="both"/>
              <w:rPr>
                <w:lang w:val="en-GB"/>
              </w:rPr>
            </w:pPr>
            <w:r w:rsidRPr="00B12277">
              <w:rPr>
                <w:rFonts w:asciiTheme="minorHAnsi" w:hAnsiTheme="minorHAnsi" w:cs="Arial"/>
                <w:lang w:val="en-GB"/>
              </w:rPr>
              <w:t xml:space="preserve">Accountable for patient eligibility  </w:t>
            </w:r>
          </w:p>
          <w:p w14:paraId="5DE56023" w14:textId="722AABB0" w:rsidR="005F3E82" w:rsidRPr="002B4B91" w:rsidRDefault="00760862" w:rsidP="002B4B91">
            <w:pPr>
              <w:pStyle w:val="ListParagraph"/>
              <w:keepNext/>
              <w:keepLines/>
              <w:numPr>
                <w:ilvl w:val="0"/>
                <w:numId w:val="47"/>
              </w:numPr>
              <w:spacing w:before="80" w:after="80"/>
              <w:ind w:left="424" w:hanging="425"/>
              <w:jc w:val="both"/>
              <w:rPr>
                <w:lang w:val="en-GB"/>
              </w:rPr>
            </w:pPr>
            <w:r w:rsidRPr="002B4B91">
              <w:rPr>
                <w:rFonts w:asciiTheme="minorHAnsi" w:hAnsiTheme="minorHAnsi" w:cs="Arial"/>
                <w:lang w:val="en-GB"/>
              </w:rPr>
              <w:t>Su</w:t>
            </w:r>
            <w:r w:rsidR="00A9659B" w:rsidRPr="002B4B91">
              <w:rPr>
                <w:rFonts w:asciiTheme="minorHAnsi" w:hAnsiTheme="minorHAnsi" w:cs="Arial"/>
                <w:lang w:val="en-GB"/>
              </w:rPr>
              <w:t xml:space="preserve">pport the </w:t>
            </w:r>
            <w:r w:rsidR="002B4B91" w:rsidRPr="002B4B91">
              <w:rPr>
                <w:rFonts w:asciiTheme="minorHAnsi" w:hAnsiTheme="minorHAnsi" w:cs="Arial"/>
                <w:lang w:val="en-GB"/>
              </w:rPr>
              <w:t xml:space="preserve">delegated </w:t>
            </w:r>
            <w:r w:rsidR="005F48C5" w:rsidRPr="002B4B91">
              <w:rPr>
                <w:rFonts w:asciiTheme="minorHAnsi" w:hAnsiTheme="minorHAnsi" w:cs="Arial"/>
                <w:lang w:val="en-GB"/>
              </w:rPr>
              <w:t xml:space="preserve">Site </w:t>
            </w:r>
            <w:r w:rsidR="00A9659B" w:rsidRPr="002B4B91">
              <w:rPr>
                <w:rFonts w:asciiTheme="minorHAnsi" w:hAnsiTheme="minorHAnsi" w:cs="Arial"/>
                <w:lang w:val="en-GB"/>
              </w:rPr>
              <w:t xml:space="preserve">CI in determining </w:t>
            </w:r>
            <w:r w:rsidR="00D221C5" w:rsidRPr="002B4B91">
              <w:rPr>
                <w:rFonts w:asciiTheme="minorHAnsi" w:hAnsiTheme="minorHAnsi" w:cs="Arial"/>
                <w:lang w:val="en-GB"/>
              </w:rPr>
              <w:t>the eligibility of the participant</w:t>
            </w:r>
            <w:r w:rsidR="00EF2314" w:rsidRPr="002B4B91">
              <w:rPr>
                <w:rFonts w:asciiTheme="minorHAnsi" w:hAnsiTheme="minorHAnsi" w:cs="Arial"/>
                <w:lang w:val="en-GB"/>
              </w:rPr>
              <w:t>s</w:t>
            </w:r>
            <w:r w:rsidR="00D221C5" w:rsidRPr="002B4B91">
              <w:rPr>
                <w:rFonts w:asciiTheme="minorHAnsi" w:hAnsiTheme="minorHAnsi" w:cs="Arial"/>
                <w:lang w:val="en-GB"/>
              </w:rPr>
              <w:t xml:space="preserve"> for HCV treatment, performing and interpreting diagnostics, and providing HCV treatment</w:t>
            </w:r>
          </w:p>
        </w:tc>
      </w:tr>
      <w:tr w:rsidR="00B12277" w:rsidRPr="00F56536" w14:paraId="2A3A27E7" w14:textId="77777777" w:rsidTr="00BE2C8A">
        <w:tc>
          <w:tcPr>
            <w:tcW w:w="2925" w:type="dxa"/>
            <w:shd w:val="clear" w:color="auto" w:fill="FFFFFF"/>
          </w:tcPr>
          <w:p w14:paraId="1F5FEAAA" w14:textId="61A6CEE1" w:rsidR="00B12277" w:rsidRDefault="002B4B91" w:rsidP="00B12277">
            <w:pPr>
              <w:keepNext/>
              <w:keepLines/>
              <w:spacing w:before="80" w:after="80"/>
              <w:rPr>
                <w:b/>
                <w:lang w:val="en-GB"/>
              </w:rPr>
            </w:pPr>
            <w:r>
              <w:rPr>
                <w:b/>
                <w:lang w:val="en-GB"/>
              </w:rPr>
              <w:t xml:space="preserve">Site Principal Investigator (Site PI) and/or </w:t>
            </w:r>
            <w:r w:rsidR="00B12277" w:rsidRPr="000B525C">
              <w:rPr>
                <w:b/>
                <w:lang w:val="en-GB"/>
              </w:rPr>
              <w:t xml:space="preserve">Site </w:t>
            </w:r>
            <w:r w:rsidR="00B12277">
              <w:rPr>
                <w:b/>
                <w:lang w:val="en-GB"/>
              </w:rPr>
              <w:t>Co I</w:t>
            </w:r>
            <w:r w:rsidR="00B12277" w:rsidRPr="000B525C">
              <w:rPr>
                <w:b/>
                <w:lang w:val="en-GB"/>
              </w:rPr>
              <w:t>nvestigator</w:t>
            </w:r>
            <w:r w:rsidR="00B12277" w:rsidRPr="000B525C">
              <w:rPr>
                <w:lang w:val="en-GB"/>
              </w:rPr>
              <w:t xml:space="preserve"> </w:t>
            </w:r>
            <w:r w:rsidR="00B12277" w:rsidRPr="000B525C">
              <w:rPr>
                <w:b/>
                <w:lang w:val="en-GB"/>
              </w:rPr>
              <w:t>(</w:t>
            </w:r>
            <w:r w:rsidR="00B12277">
              <w:rPr>
                <w:b/>
                <w:lang w:val="en-GB"/>
              </w:rPr>
              <w:t>S</w:t>
            </w:r>
            <w:r w:rsidR="00B12277" w:rsidRPr="000B525C">
              <w:rPr>
                <w:b/>
                <w:lang w:val="en-GB"/>
              </w:rPr>
              <w:t>ite</w:t>
            </w:r>
            <w:r w:rsidR="00B12277">
              <w:rPr>
                <w:b/>
                <w:lang w:val="en-GB"/>
              </w:rPr>
              <w:t xml:space="preserve"> </w:t>
            </w:r>
            <w:r w:rsidR="00B12277" w:rsidRPr="000B525C">
              <w:rPr>
                <w:b/>
                <w:lang w:val="en-GB"/>
              </w:rPr>
              <w:t>CI)</w:t>
            </w:r>
            <w:r w:rsidR="00B12277" w:rsidRPr="000B525C">
              <w:rPr>
                <w:lang w:val="en-GB"/>
              </w:rPr>
              <w:t xml:space="preserve"> </w:t>
            </w:r>
          </w:p>
        </w:tc>
        <w:tc>
          <w:tcPr>
            <w:tcW w:w="6651" w:type="dxa"/>
            <w:shd w:val="clear" w:color="auto" w:fill="FFFFFF"/>
            <w:vAlign w:val="center"/>
          </w:tcPr>
          <w:p w14:paraId="3DBA2C16" w14:textId="1A405938" w:rsidR="00B12277" w:rsidRDefault="00B12277" w:rsidP="00B12277">
            <w:pPr>
              <w:pStyle w:val="ListParagraph"/>
              <w:keepNext/>
              <w:keepLines/>
              <w:numPr>
                <w:ilvl w:val="0"/>
                <w:numId w:val="1"/>
              </w:numPr>
              <w:spacing w:before="80" w:after="80"/>
              <w:jc w:val="both"/>
              <w:rPr>
                <w:rFonts w:asciiTheme="minorHAnsi" w:hAnsiTheme="minorHAnsi" w:cs="Arial"/>
                <w:lang w:val="en-GB"/>
              </w:rPr>
            </w:pPr>
            <w:r>
              <w:rPr>
                <w:rFonts w:asciiTheme="minorHAnsi" w:hAnsiTheme="minorHAnsi" w:cs="Arial"/>
                <w:lang w:val="en-GB"/>
              </w:rPr>
              <w:t>Determine the eligibility of the participants for HCV treatment, perform and interpret diagnostics, and provide HCV treatment</w:t>
            </w:r>
          </w:p>
        </w:tc>
      </w:tr>
      <w:tr w:rsidR="0076142D" w:rsidRPr="00F56536" w14:paraId="24B2F19B" w14:textId="77777777" w:rsidTr="00BE2C8A">
        <w:tc>
          <w:tcPr>
            <w:tcW w:w="2925" w:type="dxa"/>
            <w:shd w:val="clear" w:color="auto" w:fill="FFFFFF"/>
          </w:tcPr>
          <w:p w14:paraId="78CDA1F5" w14:textId="41226AC4" w:rsidR="0076142D" w:rsidRPr="000B525C" w:rsidRDefault="00241CE6" w:rsidP="005E25F3">
            <w:pPr>
              <w:keepNext/>
              <w:keepLines/>
              <w:spacing w:before="80" w:after="80"/>
              <w:contextualSpacing w:val="0"/>
              <w:rPr>
                <w:b/>
                <w:lang w:val="en-GB"/>
              </w:rPr>
            </w:pPr>
            <w:r w:rsidRPr="000B525C">
              <w:rPr>
                <w:b/>
                <w:lang w:val="en-GB"/>
              </w:rPr>
              <w:t>Clinical Advisory Committee</w:t>
            </w:r>
            <w:r w:rsidR="00441102" w:rsidRPr="000B525C">
              <w:rPr>
                <w:b/>
                <w:lang w:val="en-GB"/>
              </w:rPr>
              <w:t xml:space="preserve"> (CAC)</w:t>
            </w:r>
          </w:p>
        </w:tc>
        <w:tc>
          <w:tcPr>
            <w:tcW w:w="6651" w:type="dxa"/>
            <w:shd w:val="clear" w:color="auto" w:fill="FFFFFF"/>
            <w:vAlign w:val="center"/>
          </w:tcPr>
          <w:p w14:paraId="03CB2E11" w14:textId="3AFD8ED8" w:rsidR="0076142D" w:rsidRPr="000B525C" w:rsidRDefault="002F1DAC" w:rsidP="004D2925">
            <w:pPr>
              <w:pStyle w:val="ListParagraph"/>
              <w:keepNext/>
              <w:keepLines/>
              <w:numPr>
                <w:ilvl w:val="0"/>
                <w:numId w:val="2"/>
              </w:numPr>
              <w:spacing w:before="80" w:after="80"/>
              <w:jc w:val="both"/>
              <w:rPr>
                <w:lang w:val="en-GB"/>
              </w:rPr>
            </w:pPr>
            <w:r w:rsidRPr="000B525C">
              <w:rPr>
                <w:lang w:val="en-GB"/>
              </w:rPr>
              <w:t>Provides advice regarding doubtful cases to clinical staff</w:t>
            </w:r>
            <w:r w:rsidR="00441102" w:rsidRPr="000B525C">
              <w:rPr>
                <w:lang w:val="en-GB"/>
              </w:rPr>
              <w:t xml:space="preserve"> </w:t>
            </w:r>
            <w:r w:rsidR="00D221C5">
              <w:rPr>
                <w:lang w:val="en-GB"/>
              </w:rPr>
              <w:t>as specified in</w:t>
            </w:r>
            <w:r w:rsidR="00441102" w:rsidRPr="000B525C">
              <w:rPr>
                <w:lang w:val="en-GB"/>
              </w:rPr>
              <w:t xml:space="preserve"> </w:t>
            </w:r>
            <w:r w:rsidR="00441102" w:rsidRPr="00B12277">
              <w:rPr>
                <w:lang w:val="en-GB"/>
              </w:rPr>
              <w:t xml:space="preserve">SOP </w:t>
            </w:r>
            <w:r w:rsidR="005F48C5" w:rsidRPr="00B12277">
              <w:rPr>
                <w:lang w:val="en-GB"/>
              </w:rPr>
              <w:t xml:space="preserve">SP-024-CT </w:t>
            </w:r>
            <w:r w:rsidR="004D2925" w:rsidRPr="00B12277">
              <w:rPr>
                <w:lang w:val="en-GB"/>
              </w:rPr>
              <w:t xml:space="preserve">Modus Operandi and </w:t>
            </w:r>
            <w:r w:rsidR="005F48C5" w:rsidRPr="00B12277">
              <w:rPr>
                <w:lang w:val="en-GB"/>
              </w:rPr>
              <w:t>C</w:t>
            </w:r>
            <w:r w:rsidR="00441102" w:rsidRPr="00B12277">
              <w:rPr>
                <w:lang w:val="en-GB"/>
              </w:rPr>
              <w:t>ommunication with the CAC</w:t>
            </w:r>
          </w:p>
        </w:tc>
      </w:tr>
    </w:tbl>
    <w:p w14:paraId="50EA7743" w14:textId="77777777" w:rsidR="00640441" w:rsidRDefault="00640441" w:rsidP="00640441">
      <w:pPr>
        <w:pStyle w:val="Heading2"/>
        <w:numPr>
          <w:ilvl w:val="0"/>
          <w:numId w:val="0"/>
        </w:numPr>
        <w:spacing w:before="0" w:after="120"/>
        <w:ind w:left="720"/>
        <w:jc w:val="both"/>
        <w:rPr>
          <w:lang w:val="en-GB"/>
        </w:rPr>
      </w:pPr>
    </w:p>
    <w:p w14:paraId="36210876" w14:textId="5C4DD97B" w:rsidR="0076142D" w:rsidRPr="000B525C" w:rsidRDefault="00396643" w:rsidP="00CE436E">
      <w:pPr>
        <w:pStyle w:val="Heading2"/>
        <w:spacing w:before="0" w:after="120"/>
        <w:jc w:val="both"/>
        <w:rPr>
          <w:lang w:val="en-GB"/>
        </w:rPr>
      </w:pPr>
      <w:bookmarkStart w:id="6" w:name="_Toc166246299"/>
      <w:r w:rsidRPr="000B525C">
        <w:rPr>
          <w:lang w:val="en-GB"/>
        </w:rPr>
        <w:t>DEFINITIONS and ABBREVIATIONS</w:t>
      </w:r>
      <w:bookmarkEnd w:id="6"/>
    </w:p>
    <w:p w14:paraId="4892CFB6" w14:textId="1B99BF52" w:rsidR="008E7D9A" w:rsidRDefault="008E7D9A" w:rsidP="001A0633">
      <w:pPr>
        <w:keepNext/>
        <w:keepLines/>
        <w:spacing w:after="0"/>
        <w:jc w:val="both"/>
        <w:rPr>
          <w:b/>
          <w:lang w:val="en-GB"/>
        </w:rPr>
      </w:pPr>
      <w:r>
        <w:rPr>
          <w:b/>
          <w:lang w:val="en-GB"/>
        </w:rPr>
        <w:t>APRI score:</w:t>
      </w:r>
      <w:r w:rsidRPr="005E25F3">
        <w:rPr>
          <w:lang w:val="en-GB"/>
        </w:rPr>
        <w:t xml:space="preserve"> Aspartate aminotransferase to platelet</w:t>
      </w:r>
      <w:r>
        <w:rPr>
          <w:lang w:val="en-GB"/>
        </w:rPr>
        <w:t xml:space="preserve"> ratio index score.</w:t>
      </w:r>
    </w:p>
    <w:p w14:paraId="05A94024" w14:textId="5764941C" w:rsidR="003246EC" w:rsidRDefault="003246EC" w:rsidP="001A0633">
      <w:pPr>
        <w:keepNext/>
        <w:keepLines/>
        <w:spacing w:after="0"/>
        <w:jc w:val="both"/>
        <w:rPr>
          <w:b/>
          <w:lang w:val="en-GB"/>
        </w:rPr>
      </w:pPr>
      <w:r>
        <w:rPr>
          <w:b/>
          <w:lang w:val="en-GB"/>
        </w:rPr>
        <w:t>AST:</w:t>
      </w:r>
      <w:r w:rsidRPr="005E25F3">
        <w:rPr>
          <w:lang w:val="en-GB"/>
        </w:rPr>
        <w:t xml:space="preserve"> </w:t>
      </w:r>
      <w:r>
        <w:rPr>
          <w:lang w:val="en-GB"/>
        </w:rPr>
        <w:t>A</w:t>
      </w:r>
      <w:r w:rsidRPr="005E25F3">
        <w:rPr>
          <w:lang w:val="en-GB"/>
        </w:rPr>
        <w:t>spartate aminotransferase</w:t>
      </w:r>
      <w:r>
        <w:rPr>
          <w:lang w:val="en-GB"/>
        </w:rPr>
        <w:t>.</w:t>
      </w:r>
    </w:p>
    <w:p w14:paraId="0759220E" w14:textId="62CAB6AA" w:rsidR="001659EF" w:rsidRPr="00024E69" w:rsidRDefault="001659EF" w:rsidP="00024E69">
      <w:pPr>
        <w:keepNext/>
        <w:keepLines/>
        <w:spacing w:after="0"/>
        <w:jc w:val="both"/>
        <w:rPr>
          <w:rFonts w:asciiTheme="minorHAnsi" w:hAnsiTheme="minorHAnsi"/>
          <w:highlight w:val="white"/>
          <w:lang w:val="en-GB"/>
        </w:rPr>
      </w:pPr>
      <w:r w:rsidRPr="00F31A75">
        <w:rPr>
          <w:b/>
          <w:bCs/>
          <w:lang w:val="en-GB"/>
        </w:rPr>
        <w:t xml:space="preserve">Clinical Advisory Committee (CAC): </w:t>
      </w:r>
      <w:r w:rsidRPr="4022C1EB">
        <w:rPr>
          <w:rFonts w:asciiTheme="minorHAnsi" w:hAnsiTheme="minorHAnsi"/>
          <w:highlight w:val="white"/>
          <w:lang w:val="en-GB"/>
        </w:rPr>
        <w:t>The CAC is composed of both internal and external clinical experts representing various disciplines and specialties. It serves as an advisory body to endTB site investigators by providing consultation regarding subject eligibility, case management, medical monitoring, and permanent treatment discontinuation</w:t>
      </w:r>
      <w:r w:rsidR="0017053B" w:rsidRPr="557ACC6A">
        <w:t>.</w:t>
      </w:r>
    </w:p>
    <w:p w14:paraId="2308A56A" w14:textId="717B8A2A" w:rsidR="0068571F" w:rsidRDefault="0068571F" w:rsidP="001A0633">
      <w:pPr>
        <w:keepNext/>
        <w:keepLines/>
        <w:spacing w:after="0"/>
        <w:jc w:val="both"/>
        <w:rPr>
          <w:rFonts w:asciiTheme="minorHAnsi" w:hAnsiTheme="minorHAnsi"/>
          <w:lang w:val="en-GB"/>
        </w:rPr>
      </w:pPr>
      <w:r w:rsidRPr="005E25F3">
        <w:rPr>
          <w:rFonts w:asciiTheme="minorHAnsi" w:hAnsiTheme="minorHAnsi"/>
          <w:b/>
          <w:lang w:val="en-GB"/>
        </w:rPr>
        <w:t>HBV:</w:t>
      </w:r>
      <w:r>
        <w:rPr>
          <w:rFonts w:asciiTheme="minorHAnsi" w:hAnsiTheme="minorHAnsi"/>
          <w:lang w:val="en-GB"/>
        </w:rPr>
        <w:t xml:space="preserve"> Hepatitis B virus.</w:t>
      </w:r>
    </w:p>
    <w:p w14:paraId="2B705F27" w14:textId="13C00D17" w:rsidR="0068571F" w:rsidRDefault="0068571F" w:rsidP="001A0633">
      <w:pPr>
        <w:keepNext/>
        <w:keepLines/>
        <w:spacing w:after="0"/>
        <w:jc w:val="both"/>
        <w:rPr>
          <w:rFonts w:asciiTheme="minorHAnsi" w:hAnsiTheme="minorHAnsi"/>
          <w:lang w:val="en-GB"/>
        </w:rPr>
      </w:pPr>
      <w:r w:rsidRPr="005E25F3">
        <w:rPr>
          <w:rFonts w:asciiTheme="minorHAnsi" w:hAnsiTheme="minorHAnsi"/>
          <w:b/>
          <w:lang w:val="en-GB"/>
        </w:rPr>
        <w:t>HCV:</w:t>
      </w:r>
      <w:r>
        <w:rPr>
          <w:rFonts w:asciiTheme="minorHAnsi" w:hAnsiTheme="minorHAnsi"/>
          <w:lang w:val="en-GB"/>
        </w:rPr>
        <w:t xml:space="preserve"> Hepatitis C virus.</w:t>
      </w:r>
    </w:p>
    <w:p w14:paraId="0FE6B2DA" w14:textId="2228EAC5" w:rsidR="00064516" w:rsidRDefault="0068571F" w:rsidP="00602B0E">
      <w:pPr>
        <w:keepNext/>
        <w:keepLines/>
        <w:spacing w:after="0"/>
        <w:jc w:val="both"/>
        <w:rPr>
          <w:rFonts w:asciiTheme="minorHAnsi" w:hAnsiTheme="minorHAnsi"/>
          <w:lang w:val="en-GB"/>
        </w:rPr>
      </w:pPr>
      <w:r w:rsidRPr="005E25F3">
        <w:rPr>
          <w:rFonts w:asciiTheme="minorHAnsi" w:hAnsiTheme="minorHAnsi"/>
          <w:b/>
          <w:lang w:val="en-GB"/>
        </w:rPr>
        <w:t>HIV:</w:t>
      </w:r>
      <w:r>
        <w:rPr>
          <w:rFonts w:asciiTheme="minorHAnsi" w:hAnsiTheme="minorHAnsi"/>
          <w:lang w:val="en-GB"/>
        </w:rPr>
        <w:t xml:space="preserve"> Human immunodeficiency virus.</w:t>
      </w:r>
    </w:p>
    <w:p w14:paraId="5A79E468" w14:textId="77777777" w:rsidR="00347D98" w:rsidRDefault="00347D98" w:rsidP="00602B0E">
      <w:pPr>
        <w:keepNext/>
        <w:keepLines/>
        <w:spacing w:after="0"/>
        <w:jc w:val="both"/>
        <w:rPr>
          <w:rFonts w:asciiTheme="minorHAnsi" w:hAnsiTheme="minorHAnsi"/>
          <w:lang w:val="en-GB"/>
        </w:rPr>
      </w:pPr>
    </w:p>
    <w:p w14:paraId="2C4E77AD" w14:textId="2ECD2A90" w:rsidR="0076142D" w:rsidRPr="000B525C" w:rsidRDefault="00396643" w:rsidP="00CE436E">
      <w:pPr>
        <w:pStyle w:val="Heading2"/>
        <w:spacing w:before="0" w:after="120"/>
        <w:jc w:val="both"/>
        <w:rPr>
          <w:lang w:val="en-GB"/>
        </w:rPr>
      </w:pPr>
      <w:bookmarkStart w:id="7" w:name="_Toc166246300"/>
      <w:r w:rsidRPr="000B525C">
        <w:rPr>
          <w:lang w:val="en-GB"/>
        </w:rPr>
        <w:lastRenderedPageBreak/>
        <w:t>PROCEDURE</w:t>
      </w:r>
      <w:bookmarkEnd w:id="7"/>
    </w:p>
    <w:p w14:paraId="5951F566" w14:textId="5DB8807A" w:rsidR="0076142D" w:rsidRPr="000B525C" w:rsidRDefault="002E4F52" w:rsidP="00CE436E">
      <w:pPr>
        <w:pStyle w:val="Heading3"/>
        <w:jc w:val="both"/>
        <w:rPr>
          <w:lang w:val="en-GB"/>
        </w:rPr>
      </w:pPr>
      <w:bookmarkStart w:id="8" w:name="_Toc166246301"/>
      <w:r w:rsidRPr="000B525C">
        <w:rPr>
          <w:lang w:val="en-GB"/>
        </w:rPr>
        <w:t>Diagnosis of chronic Hepatitis C</w:t>
      </w:r>
      <w:bookmarkEnd w:id="8"/>
    </w:p>
    <w:p w14:paraId="55104779" w14:textId="739281B2" w:rsidR="003D1DFC" w:rsidRPr="000B525C" w:rsidRDefault="000D3C2F" w:rsidP="00CE436E">
      <w:pPr>
        <w:keepNext/>
        <w:keepLines/>
        <w:jc w:val="both"/>
        <w:rPr>
          <w:lang w:val="en-GB"/>
        </w:rPr>
      </w:pPr>
      <w:r>
        <w:rPr>
          <w:lang w:val="en-GB"/>
        </w:rPr>
        <w:t>Serological testing for HCV antibodies should be performed routinely for a</w:t>
      </w:r>
      <w:r w:rsidR="000D410D" w:rsidRPr="000B525C">
        <w:rPr>
          <w:lang w:val="en-GB"/>
        </w:rPr>
        <w:t>ll subjects screened for the endTB clinical trial</w:t>
      </w:r>
      <w:r w:rsidR="00640441">
        <w:rPr>
          <w:lang w:val="en-GB"/>
        </w:rPr>
        <w:t>s</w:t>
      </w:r>
      <w:r w:rsidR="000D410D" w:rsidRPr="000B525C">
        <w:rPr>
          <w:lang w:val="en-GB"/>
        </w:rPr>
        <w:t xml:space="preserve">, </w:t>
      </w:r>
      <w:bookmarkStart w:id="9" w:name="OLE_LINK1"/>
      <w:bookmarkStart w:id="10" w:name="OLE_LINK2"/>
      <w:r w:rsidR="000D410D" w:rsidRPr="000B525C">
        <w:rPr>
          <w:lang w:val="en-GB"/>
        </w:rPr>
        <w:t xml:space="preserve">in the absence of documentation of a recent test. </w:t>
      </w:r>
      <w:bookmarkEnd w:id="9"/>
      <w:bookmarkEnd w:id="10"/>
      <w:r w:rsidR="000D410D" w:rsidRPr="000B525C">
        <w:rPr>
          <w:lang w:val="en-GB"/>
        </w:rPr>
        <w:t xml:space="preserve">All subjects </w:t>
      </w:r>
      <w:r w:rsidR="00960191" w:rsidRPr="000B525C">
        <w:rPr>
          <w:lang w:val="en-GB"/>
        </w:rPr>
        <w:t xml:space="preserve">with a positive anti-HCV </w:t>
      </w:r>
      <w:r w:rsidR="003D1DFC" w:rsidRPr="000B525C">
        <w:rPr>
          <w:lang w:val="en-GB"/>
        </w:rPr>
        <w:t xml:space="preserve">antibody </w:t>
      </w:r>
      <w:r w:rsidR="00960191" w:rsidRPr="000B525C">
        <w:rPr>
          <w:lang w:val="en-GB"/>
        </w:rPr>
        <w:t>test should</w:t>
      </w:r>
      <w:r w:rsidR="003D1DFC" w:rsidRPr="000B525C">
        <w:rPr>
          <w:lang w:val="en-GB"/>
        </w:rPr>
        <w:t xml:space="preserve"> undergo a confirmation test with a quantitative or qualitative </w:t>
      </w:r>
      <w:r>
        <w:rPr>
          <w:lang w:val="en-GB"/>
        </w:rPr>
        <w:t xml:space="preserve">HCV </w:t>
      </w:r>
      <w:r w:rsidR="003D1DFC" w:rsidRPr="000B525C">
        <w:rPr>
          <w:lang w:val="en-GB"/>
        </w:rPr>
        <w:t>RNA nucleic acid test.</w:t>
      </w:r>
    </w:p>
    <w:p w14:paraId="25BFE0A5" w14:textId="674CB7F9" w:rsidR="00393CBB" w:rsidRPr="000B525C" w:rsidRDefault="003D1DFC" w:rsidP="00CE436E">
      <w:pPr>
        <w:keepNext/>
        <w:keepLines/>
        <w:jc w:val="both"/>
        <w:rPr>
          <w:lang w:val="en-GB"/>
        </w:rPr>
      </w:pPr>
      <w:r w:rsidRPr="000B525C">
        <w:rPr>
          <w:lang w:val="en-GB"/>
        </w:rPr>
        <w:t>Serological testing for HCV antibodies test may be false negative in severely immunosuppressed patients, for instance patients with advanced HIV disease (low CD4 levels)</w:t>
      </w:r>
      <w:r w:rsidR="005C1D43">
        <w:rPr>
          <w:lang w:val="en-GB"/>
        </w:rPr>
        <w:t xml:space="preserve">, </w:t>
      </w:r>
      <w:r w:rsidR="00920DBF">
        <w:rPr>
          <w:lang w:val="en-GB"/>
        </w:rPr>
        <w:t>and during</w:t>
      </w:r>
      <w:r w:rsidR="005C1D43">
        <w:rPr>
          <w:lang w:val="en-GB"/>
        </w:rPr>
        <w:t xml:space="preserve"> acute HCV infection</w:t>
      </w:r>
      <w:r w:rsidRPr="000B525C">
        <w:rPr>
          <w:lang w:val="en-GB"/>
        </w:rPr>
        <w:t xml:space="preserve">. In such patients, in </w:t>
      </w:r>
      <w:r w:rsidR="004E33AC">
        <w:rPr>
          <w:lang w:val="en-GB"/>
        </w:rPr>
        <w:t xml:space="preserve">the </w:t>
      </w:r>
      <w:r w:rsidRPr="000B525C">
        <w:rPr>
          <w:lang w:val="en-GB"/>
        </w:rPr>
        <w:t xml:space="preserve">presence of unexplained high levels of ALT and a </w:t>
      </w:r>
      <w:r w:rsidR="00393CBB" w:rsidRPr="000B525C">
        <w:rPr>
          <w:lang w:val="en-GB"/>
        </w:rPr>
        <w:t>negative serological test for HCV antibodies</w:t>
      </w:r>
      <w:r w:rsidRPr="000B525C">
        <w:rPr>
          <w:lang w:val="en-GB"/>
        </w:rPr>
        <w:t xml:space="preserve">, </w:t>
      </w:r>
      <w:r w:rsidR="00393CBB" w:rsidRPr="000B525C">
        <w:rPr>
          <w:lang w:val="en-GB"/>
        </w:rPr>
        <w:t xml:space="preserve">a quantitative or qualitative </w:t>
      </w:r>
      <w:r w:rsidR="00DB0BEE">
        <w:rPr>
          <w:lang w:val="en-GB"/>
        </w:rPr>
        <w:t xml:space="preserve">HCV </w:t>
      </w:r>
      <w:r w:rsidR="00393CBB" w:rsidRPr="000B525C">
        <w:rPr>
          <w:lang w:val="en-GB"/>
        </w:rPr>
        <w:t>RNA nucleic acid test</w:t>
      </w:r>
      <w:r w:rsidR="00DB0BEE">
        <w:rPr>
          <w:lang w:val="en-GB"/>
        </w:rPr>
        <w:t xml:space="preserve"> should be considered</w:t>
      </w:r>
      <w:r w:rsidR="00393CBB" w:rsidRPr="000B525C">
        <w:rPr>
          <w:lang w:val="en-GB"/>
        </w:rPr>
        <w:t>.</w:t>
      </w:r>
    </w:p>
    <w:p w14:paraId="5FF883A5" w14:textId="49F120F0" w:rsidR="003D1DFC" w:rsidRPr="000B525C" w:rsidRDefault="003D1DFC" w:rsidP="003D1DFC">
      <w:pPr>
        <w:pStyle w:val="Heading4"/>
        <w:spacing w:before="0" w:after="120"/>
        <w:ind w:left="1800" w:hanging="720"/>
        <w:jc w:val="both"/>
        <w:rPr>
          <w:i w:val="0"/>
          <w:iCs/>
          <w:lang w:val="en-GB"/>
        </w:rPr>
      </w:pPr>
      <w:r w:rsidRPr="000B525C">
        <w:rPr>
          <w:i w:val="0"/>
          <w:iCs/>
          <w:lang w:val="en-GB"/>
        </w:rPr>
        <w:t>HCV genotype</w:t>
      </w:r>
    </w:p>
    <w:p w14:paraId="2DC6FE55" w14:textId="636D1ED4" w:rsidR="003D1DFC" w:rsidRPr="000B525C" w:rsidRDefault="00FD0D7E" w:rsidP="00407C6D">
      <w:pPr>
        <w:keepNext/>
        <w:keepLines/>
        <w:spacing w:line="240" w:lineRule="auto"/>
        <w:jc w:val="both"/>
        <w:rPr>
          <w:lang w:val="en-GB"/>
        </w:rPr>
      </w:pPr>
      <w:r w:rsidRPr="000B525C">
        <w:rPr>
          <w:lang w:val="en-GB"/>
        </w:rPr>
        <w:t xml:space="preserve">The currently recommended treatment for </w:t>
      </w:r>
      <w:r w:rsidR="003D1DFC" w:rsidRPr="000B525C">
        <w:rPr>
          <w:lang w:val="en-GB"/>
        </w:rPr>
        <w:t xml:space="preserve">HCV </w:t>
      </w:r>
      <w:r w:rsidRPr="000B525C">
        <w:rPr>
          <w:lang w:val="en-GB"/>
        </w:rPr>
        <w:t>infection is pan-genotypic, i</w:t>
      </w:r>
      <w:r w:rsidR="00FE6D17">
        <w:rPr>
          <w:lang w:val="en-GB"/>
        </w:rPr>
        <w:t>.</w:t>
      </w:r>
      <w:r w:rsidRPr="000B525C">
        <w:rPr>
          <w:lang w:val="en-GB"/>
        </w:rPr>
        <w:t>e.</w:t>
      </w:r>
      <w:r w:rsidR="00613E1B">
        <w:rPr>
          <w:lang w:val="en-GB"/>
        </w:rPr>
        <w:t>,</w:t>
      </w:r>
      <w:r w:rsidRPr="000B525C">
        <w:rPr>
          <w:lang w:val="en-GB"/>
        </w:rPr>
        <w:t xml:space="preserve"> it works on all </w:t>
      </w:r>
      <w:r w:rsidR="00FE6D17">
        <w:rPr>
          <w:lang w:val="en-GB"/>
        </w:rPr>
        <w:t>six</w:t>
      </w:r>
      <w:r w:rsidRPr="000B525C">
        <w:rPr>
          <w:lang w:val="en-GB"/>
        </w:rPr>
        <w:t xml:space="preserve"> most common</w:t>
      </w:r>
      <w:r w:rsidR="00FE6D17" w:rsidRPr="00FE6D17">
        <w:rPr>
          <w:lang w:val="en-GB"/>
        </w:rPr>
        <w:t xml:space="preserve"> </w:t>
      </w:r>
      <w:r w:rsidR="00FE6D17" w:rsidRPr="000B525C">
        <w:rPr>
          <w:lang w:val="en-GB"/>
        </w:rPr>
        <w:t>HCV</w:t>
      </w:r>
      <w:r w:rsidRPr="000B525C">
        <w:rPr>
          <w:lang w:val="en-GB"/>
        </w:rPr>
        <w:t xml:space="preserve"> genotypes. Therefore, performing HCV genotype testing before treatment start is not mandatory. However, if available, HCV genotype testing should be performed in patients with liver cirrhosis to guide the duration of treatment.</w:t>
      </w:r>
    </w:p>
    <w:p w14:paraId="21841D8E" w14:textId="195553D8" w:rsidR="000D410D" w:rsidRPr="000B525C" w:rsidRDefault="003F1902" w:rsidP="003F1902">
      <w:pPr>
        <w:pStyle w:val="Heading4"/>
        <w:spacing w:before="0" w:after="120"/>
        <w:ind w:left="1800" w:hanging="720"/>
        <w:jc w:val="both"/>
        <w:rPr>
          <w:i w:val="0"/>
          <w:iCs/>
          <w:lang w:val="en-GB"/>
        </w:rPr>
      </w:pPr>
      <w:r w:rsidRPr="000B525C">
        <w:rPr>
          <w:i w:val="0"/>
          <w:iCs/>
          <w:lang w:val="en-GB"/>
        </w:rPr>
        <w:t>Diagnosis of relevant comorbidities</w:t>
      </w:r>
    </w:p>
    <w:p w14:paraId="4DC4CB09" w14:textId="5DBD4544" w:rsidR="00693E20" w:rsidRPr="000B525C" w:rsidRDefault="00CC7FA6" w:rsidP="00407C6D">
      <w:pPr>
        <w:keepNext/>
        <w:keepLines/>
        <w:spacing w:line="240" w:lineRule="auto"/>
        <w:jc w:val="both"/>
        <w:rPr>
          <w:lang w:val="en-GB"/>
        </w:rPr>
      </w:pPr>
      <w:r>
        <w:rPr>
          <w:lang w:val="en-GB"/>
        </w:rPr>
        <w:t>Serological testing for HBV and HIV should be performed routinely for a</w:t>
      </w:r>
      <w:r w:rsidR="003F1902" w:rsidRPr="000B525C">
        <w:rPr>
          <w:lang w:val="en-GB"/>
        </w:rPr>
        <w:t>ll subjects screened for the endTB clinical trial</w:t>
      </w:r>
      <w:r w:rsidR="00640441">
        <w:rPr>
          <w:lang w:val="en-GB"/>
        </w:rPr>
        <w:t>s</w:t>
      </w:r>
      <w:r>
        <w:rPr>
          <w:lang w:val="en-GB"/>
        </w:rPr>
        <w:t xml:space="preserve">, </w:t>
      </w:r>
      <w:r w:rsidRPr="000B525C">
        <w:rPr>
          <w:lang w:val="en-GB"/>
        </w:rPr>
        <w:t>in the absence of documentation of a recent test</w:t>
      </w:r>
      <w:r w:rsidR="003F1902" w:rsidRPr="000B525C">
        <w:rPr>
          <w:lang w:val="en-GB"/>
        </w:rPr>
        <w:t>. The presence of these co-infection</w:t>
      </w:r>
      <w:r w:rsidR="00A757E8">
        <w:rPr>
          <w:lang w:val="en-GB"/>
        </w:rPr>
        <w:t>s</w:t>
      </w:r>
      <w:r w:rsidR="003F1902" w:rsidRPr="000B525C">
        <w:rPr>
          <w:lang w:val="en-GB"/>
        </w:rPr>
        <w:t xml:space="preserve"> can influence HCV treatment.</w:t>
      </w:r>
    </w:p>
    <w:p w14:paraId="32054166" w14:textId="36BA9A91" w:rsidR="003922DB" w:rsidRPr="000B525C" w:rsidRDefault="003922DB" w:rsidP="003922DB">
      <w:pPr>
        <w:pStyle w:val="Heading4"/>
        <w:spacing w:before="0" w:after="120"/>
        <w:ind w:left="1800" w:hanging="720"/>
        <w:jc w:val="both"/>
        <w:rPr>
          <w:i w:val="0"/>
          <w:iCs/>
          <w:lang w:val="en-GB"/>
        </w:rPr>
      </w:pPr>
      <w:r w:rsidRPr="000B525C">
        <w:rPr>
          <w:i w:val="0"/>
          <w:iCs/>
          <w:lang w:val="en-GB"/>
        </w:rPr>
        <w:t>Pregnancy</w:t>
      </w:r>
    </w:p>
    <w:p w14:paraId="726A91A8" w14:textId="12CE0217" w:rsidR="00CF53E8" w:rsidRPr="000B525C" w:rsidRDefault="004E0360" w:rsidP="00407C6D">
      <w:pPr>
        <w:spacing w:line="240" w:lineRule="auto"/>
        <w:jc w:val="both"/>
        <w:rPr>
          <w:lang w:val="en-GB"/>
        </w:rPr>
      </w:pPr>
      <w:r w:rsidRPr="004E0360">
        <w:rPr>
          <w:lang w:val="en-GB"/>
        </w:rPr>
        <w:t xml:space="preserve">There is still not </w:t>
      </w:r>
      <w:r w:rsidR="008E2D05">
        <w:rPr>
          <w:lang w:val="en-GB"/>
        </w:rPr>
        <w:t xml:space="preserve">definite </w:t>
      </w:r>
      <w:r w:rsidRPr="004E0360">
        <w:rPr>
          <w:lang w:val="en-GB"/>
        </w:rPr>
        <w:t xml:space="preserve">evidence of the safety of </w:t>
      </w:r>
      <w:r w:rsidR="00E00968">
        <w:rPr>
          <w:lang w:val="en-GB"/>
        </w:rPr>
        <w:t>direct acting antivirals (</w:t>
      </w:r>
      <w:r w:rsidRPr="004E0360">
        <w:rPr>
          <w:lang w:val="en-GB"/>
        </w:rPr>
        <w:t>DAA</w:t>
      </w:r>
      <w:r w:rsidR="00E00968">
        <w:rPr>
          <w:lang w:val="en-GB"/>
        </w:rPr>
        <w:t>)</w:t>
      </w:r>
      <w:r w:rsidRPr="004E0360">
        <w:rPr>
          <w:lang w:val="en-GB"/>
        </w:rPr>
        <w:t xml:space="preserve"> during pregnancy, </w:t>
      </w:r>
      <w:r w:rsidR="00853E81">
        <w:rPr>
          <w:lang w:val="en-GB"/>
        </w:rPr>
        <w:t>although</w:t>
      </w:r>
      <w:r w:rsidR="00853E81" w:rsidRPr="004E0360">
        <w:rPr>
          <w:lang w:val="en-GB"/>
        </w:rPr>
        <w:t xml:space="preserve"> </w:t>
      </w:r>
      <w:r w:rsidRPr="004E0360">
        <w:rPr>
          <w:lang w:val="en-GB"/>
        </w:rPr>
        <w:t xml:space="preserve">so far these drugs </w:t>
      </w:r>
      <w:r w:rsidR="00E00968">
        <w:rPr>
          <w:lang w:val="en-GB"/>
        </w:rPr>
        <w:t>appear</w:t>
      </w:r>
      <w:r w:rsidRPr="004E0360">
        <w:rPr>
          <w:lang w:val="en-GB"/>
        </w:rPr>
        <w:t xml:space="preserve"> to be </w:t>
      </w:r>
      <w:r w:rsidR="00E00968">
        <w:rPr>
          <w:lang w:val="en-GB"/>
        </w:rPr>
        <w:t>safer</w:t>
      </w:r>
      <w:r w:rsidRPr="004E0360">
        <w:rPr>
          <w:lang w:val="en-GB"/>
        </w:rPr>
        <w:t xml:space="preserve"> than older treatments like interferon alpha and ribavirin. </w:t>
      </w:r>
      <w:r w:rsidR="00E00968">
        <w:rPr>
          <w:lang w:val="en-GB"/>
        </w:rPr>
        <w:t xml:space="preserve">HCV treatment </w:t>
      </w:r>
      <w:r w:rsidR="00B23BE0">
        <w:rPr>
          <w:lang w:val="en-GB"/>
        </w:rPr>
        <w:t>in</w:t>
      </w:r>
      <w:r w:rsidR="00B23BE0" w:rsidRPr="004E0360">
        <w:rPr>
          <w:lang w:val="en-GB"/>
        </w:rPr>
        <w:t xml:space="preserve"> pregnant MDR-TB/HCV co-infected patients</w:t>
      </w:r>
      <w:r w:rsidR="00B23BE0" w:rsidDel="00F15A74">
        <w:rPr>
          <w:lang w:val="en-GB"/>
        </w:rPr>
        <w:t xml:space="preserve"> </w:t>
      </w:r>
      <w:r w:rsidR="00B23BE0">
        <w:rPr>
          <w:lang w:val="en-GB"/>
        </w:rPr>
        <w:t>can usually</w:t>
      </w:r>
      <w:r w:rsidR="00E00968">
        <w:rPr>
          <w:lang w:val="en-GB"/>
        </w:rPr>
        <w:t xml:space="preserve"> be </w:t>
      </w:r>
      <w:r w:rsidR="00B23BE0">
        <w:rPr>
          <w:lang w:val="en-GB"/>
        </w:rPr>
        <w:t>postponed to after the delivery</w:t>
      </w:r>
      <w:r w:rsidR="00E00968">
        <w:rPr>
          <w:lang w:val="en-GB"/>
        </w:rPr>
        <w:t>,</w:t>
      </w:r>
      <w:r w:rsidR="00E00968" w:rsidRPr="004E0360">
        <w:rPr>
          <w:lang w:val="en-GB"/>
        </w:rPr>
        <w:t xml:space="preserve"> </w:t>
      </w:r>
      <w:r w:rsidR="00E00968">
        <w:rPr>
          <w:lang w:val="en-GB"/>
        </w:rPr>
        <w:t xml:space="preserve">in </w:t>
      </w:r>
      <w:r w:rsidRPr="004E0360">
        <w:rPr>
          <w:lang w:val="en-GB"/>
        </w:rPr>
        <w:t xml:space="preserve">consultation with the </w:t>
      </w:r>
      <w:r w:rsidR="00E00968">
        <w:rPr>
          <w:lang w:val="en-GB"/>
        </w:rPr>
        <w:t>C</w:t>
      </w:r>
      <w:r w:rsidRPr="004E0360">
        <w:rPr>
          <w:lang w:val="en-GB"/>
        </w:rPr>
        <w:t>AC.</w:t>
      </w:r>
    </w:p>
    <w:p w14:paraId="6E207D0B" w14:textId="51B2CCDA" w:rsidR="00CF53E8" w:rsidRPr="000B525C" w:rsidRDefault="0027769C" w:rsidP="00CF53E8">
      <w:pPr>
        <w:pStyle w:val="Heading3"/>
        <w:ind w:left="1224" w:hanging="504"/>
        <w:jc w:val="both"/>
        <w:rPr>
          <w:lang w:val="en-GB"/>
        </w:rPr>
      </w:pPr>
      <w:bookmarkStart w:id="11" w:name="_Toc166246302"/>
      <w:r w:rsidRPr="000B525C">
        <w:rPr>
          <w:lang w:val="en-GB"/>
        </w:rPr>
        <w:t>Clinical and</w:t>
      </w:r>
      <w:r w:rsidR="00C22B66">
        <w:rPr>
          <w:lang w:val="en-GB"/>
        </w:rPr>
        <w:t xml:space="preserve"> instrumental</w:t>
      </w:r>
      <w:r w:rsidRPr="000B525C">
        <w:rPr>
          <w:lang w:val="en-GB"/>
        </w:rPr>
        <w:t xml:space="preserve"> eligibility assessment</w:t>
      </w:r>
      <w:bookmarkEnd w:id="11"/>
      <w:r w:rsidRPr="000B525C">
        <w:rPr>
          <w:lang w:val="en-GB"/>
        </w:rPr>
        <w:t xml:space="preserve"> </w:t>
      </w:r>
    </w:p>
    <w:p w14:paraId="4D3F17CF" w14:textId="1A34E7DF" w:rsidR="00E337E0" w:rsidRPr="000B525C" w:rsidRDefault="00CF53E8" w:rsidP="00584815">
      <w:pPr>
        <w:keepNext/>
        <w:keepLines/>
        <w:spacing w:after="120" w:line="240" w:lineRule="auto"/>
        <w:jc w:val="both"/>
        <w:rPr>
          <w:lang w:val="en-GB"/>
        </w:rPr>
      </w:pPr>
      <w:r w:rsidRPr="000B525C">
        <w:rPr>
          <w:rFonts w:asciiTheme="minorHAnsi" w:hAnsiTheme="minorHAnsi"/>
          <w:lang w:val="en-GB"/>
        </w:rPr>
        <w:t xml:space="preserve">All patients with confirmed HCV infection (positive </w:t>
      </w:r>
      <w:r w:rsidR="00E337E0">
        <w:rPr>
          <w:rFonts w:asciiTheme="minorHAnsi" w:hAnsiTheme="minorHAnsi"/>
          <w:lang w:val="en-GB"/>
        </w:rPr>
        <w:t xml:space="preserve">HCV </w:t>
      </w:r>
      <w:r w:rsidRPr="000B525C">
        <w:rPr>
          <w:lang w:val="en-GB"/>
        </w:rPr>
        <w:t>RNA nucleic acid test) should undergo a thorough clinical and instrumental assessment. Eligibility for treatment for HCV will then be assessed.</w:t>
      </w:r>
    </w:p>
    <w:p w14:paraId="0B9F7C14" w14:textId="5A291146" w:rsidR="00A41972" w:rsidRPr="000B525C" w:rsidRDefault="00D50BF6" w:rsidP="00024E69">
      <w:pPr>
        <w:pStyle w:val="Heading4"/>
        <w:spacing w:before="0" w:after="120"/>
        <w:ind w:left="1843" w:hanging="785"/>
        <w:jc w:val="both"/>
        <w:rPr>
          <w:lang w:val="en-GB"/>
        </w:rPr>
      </w:pPr>
      <w:r w:rsidRPr="000B525C">
        <w:rPr>
          <w:lang w:val="en-GB"/>
        </w:rPr>
        <w:t>Clinical assessment</w:t>
      </w:r>
    </w:p>
    <w:p w14:paraId="7574FAF6" w14:textId="1340818A" w:rsidR="00CF53E8" w:rsidRPr="000B525C" w:rsidRDefault="00CF53E8" w:rsidP="00407C6D">
      <w:pPr>
        <w:spacing w:after="0" w:line="240" w:lineRule="auto"/>
        <w:rPr>
          <w:lang w:val="en-GB"/>
        </w:rPr>
      </w:pPr>
      <w:r w:rsidRPr="000B525C">
        <w:rPr>
          <w:lang w:val="en-GB"/>
        </w:rPr>
        <w:t xml:space="preserve">The </w:t>
      </w:r>
      <w:r w:rsidR="00031E85">
        <w:rPr>
          <w:b/>
          <w:lang w:val="en-GB"/>
        </w:rPr>
        <w:t>S</w:t>
      </w:r>
      <w:r w:rsidR="00CA3B27" w:rsidRPr="005454E9">
        <w:rPr>
          <w:b/>
          <w:lang w:val="en-GB"/>
        </w:rPr>
        <w:t>ite</w:t>
      </w:r>
      <w:r w:rsidR="00031E85">
        <w:rPr>
          <w:b/>
          <w:lang w:val="en-GB"/>
        </w:rPr>
        <w:t xml:space="preserve"> </w:t>
      </w:r>
      <w:r w:rsidR="00CA3B27" w:rsidRPr="005454E9">
        <w:rPr>
          <w:b/>
          <w:lang w:val="en-GB"/>
        </w:rPr>
        <w:t>CI</w:t>
      </w:r>
      <w:r w:rsidRPr="000B525C">
        <w:rPr>
          <w:lang w:val="en-GB"/>
        </w:rPr>
        <w:t xml:space="preserve"> should perform a </w:t>
      </w:r>
      <w:r w:rsidR="00D52365">
        <w:rPr>
          <w:lang w:val="en-GB"/>
        </w:rPr>
        <w:t>p</w:t>
      </w:r>
      <w:r w:rsidRPr="000B525C">
        <w:rPr>
          <w:lang w:val="en-GB"/>
        </w:rPr>
        <w:t xml:space="preserve">hysical </w:t>
      </w:r>
      <w:r w:rsidR="00D52365">
        <w:rPr>
          <w:lang w:val="en-GB"/>
        </w:rPr>
        <w:t>e</w:t>
      </w:r>
      <w:r w:rsidRPr="000B525C">
        <w:rPr>
          <w:lang w:val="en-GB"/>
        </w:rPr>
        <w:t xml:space="preserve">xamination </w:t>
      </w:r>
      <w:r w:rsidR="00E337E0">
        <w:rPr>
          <w:lang w:val="en-GB"/>
        </w:rPr>
        <w:t xml:space="preserve">and a review of previous </w:t>
      </w:r>
      <w:r w:rsidR="00D52365">
        <w:rPr>
          <w:lang w:val="en-GB"/>
        </w:rPr>
        <w:t>m</w:t>
      </w:r>
      <w:r w:rsidR="00E337E0">
        <w:rPr>
          <w:lang w:val="en-GB"/>
        </w:rPr>
        <w:t xml:space="preserve">edical </w:t>
      </w:r>
      <w:r w:rsidR="00D52365">
        <w:rPr>
          <w:lang w:val="en-GB"/>
        </w:rPr>
        <w:t>h</w:t>
      </w:r>
      <w:r w:rsidR="00E337E0">
        <w:rPr>
          <w:lang w:val="en-GB"/>
        </w:rPr>
        <w:t xml:space="preserve">istory, </w:t>
      </w:r>
      <w:r w:rsidRPr="000B525C">
        <w:rPr>
          <w:lang w:val="en-GB"/>
        </w:rPr>
        <w:t>with specific attention for signs/symptoms of cirrhosis and decompensated cirrhosis, in particular:</w:t>
      </w:r>
    </w:p>
    <w:p w14:paraId="23CCB03F" w14:textId="49D1AA97" w:rsidR="00CF53E8" w:rsidRPr="000B525C" w:rsidRDefault="006F119A" w:rsidP="00E337E0">
      <w:pPr>
        <w:pStyle w:val="CommentText"/>
        <w:numPr>
          <w:ilvl w:val="0"/>
          <w:numId w:val="15"/>
        </w:numPr>
        <w:spacing w:after="0" w:line="276" w:lineRule="auto"/>
        <w:jc w:val="both"/>
        <w:rPr>
          <w:sz w:val="22"/>
          <w:szCs w:val="22"/>
          <w:lang w:val="en-GB"/>
        </w:rPr>
      </w:pPr>
      <w:r w:rsidRPr="000B525C">
        <w:rPr>
          <w:sz w:val="22"/>
          <w:szCs w:val="22"/>
          <w:lang w:val="en-GB"/>
        </w:rPr>
        <w:t>H</w:t>
      </w:r>
      <w:r w:rsidR="00CF53E8" w:rsidRPr="000B525C">
        <w:rPr>
          <w:sz w:val="22"/>
          <w:szCs w:val="22"/>
          <w:lang w:val="en-GB"/>
        </w:rPr>
        <w:t>epatic encephalopathy</w:t>
      </w:r>
      <w:r w:rsidRPr="000B525C">
        <w:rPr>
          <w:sz w:val="22"/>
          <w:szCs w:val="22"/>
          <w:lang w:val="en-GB"/>
        </w:rPr>
        <w:t>;</w:t>
      </w:r>
    </w:p>
    <w:p w14:paraId="7E92248B" w14:textId="0B8A2C97" w:rsidR="00CF53E8" w:rsidRPr="000B525C" w:rsidRDefault="006F119A" w:rsidP="00CF53E8">
      <w:pPr>
        <w:pStyle w:val="ListParagraph"/>
        <w:numPr>
          <w:ilvl w:val="0"/>
          <w:numId w:val="14"/>
        </w:numPr>
        <w:spacing w:after="0" w:line="240" w:lineRule="auto"/>
        <w:jc w:val="both"/>
        <w:rPr>
          <w:lang w:val="en-GB"/>
        </w:rPr>
      </w:pPr>
      <w:r w:rsidRPr="000B525C">
        <w:rPr>
          <w:lang w:val="en-GB"/>
        </w:rPr>
        <w:t>Ascites;</w:t>
      </w:r>
    </w:p>
    <w:p w14:paraId="4790E986" w14:textId="09EBEE6B" w:rsidR="00CF53E8" w:rsidRPr="000B525C" w:rsidRDefault="00CF53E8" w:rsidP="00CF53E8">
      <w:pPr>
        <w:pStyle w:val="ListParagraph"/>
        <w:numPr>
          <w:ilvl w:val="0"/>
          <w:numId w:val="14"/>
        </w:numPr>
        <w:spacing w:after="0" w:line="240" w:lineRule="auto"/>
        <w:jc w:val="both"/>
        <w:rPr>
          <w:lang w:val="en-GB"/>
        </w:rPr>
      </w:pPr>
      <w:r w:rsidRPr="000B525C">
        <w:rPr>
          <w:lang w:val="en-GB"/>
        </w:rPr>
        <w:t xml:space="preserve">Liver </w:t>
      </w:r>
      <w:r w:rsidR="00E337E0">
        <w:rPr>
          <w:lang w:val="en-GB"/>
        </w:rPr>
        <w:t>and</w:t>
      </w:r>
      <w:r w:rsidRPr="000B525C">
        <w:rPr>
          <w:lang w:val="en-GB"/>
        </w:rPr>
        <w:t xml:space="preserve"> spleen palpation and detection of masses</w:t>
      </w:r>
      <w:r w:rsidR="006F119A" w:rsidRPr="000B525C">
        <w:rPr>
          <w:lang w:val="en-GB"/>
        </w:rPr>
        <w:t>;</w:t>
      </w:r>
    </w:p>
    <w:p w14:paraId="45D7DB8A" w14:textId="589BE0B1" w:rsidR="006F119A" w:rsidRPr="005454E9" w:rsidRDefault="00CF53E8" w:rsidP="00CF53E8">
      <w:pPr>
        <w:pStyle w:val="ListParagraph"/>
        <w:numPr>
          <w:ilvl w:val="0"/>
          <w:numId w:val="14"/>
        </w:numPr>
        <w:spacing w:after="0" w:line="240" w:lineRule="auto"/>
        <w:jc w:val="both"/>
        <w:rPr>
          <w:lang w:val="en-GB"/>
        </w:rPr>
      </w:pPr>
      <w:r w:rsidRPr="000B525C">
        <w:rPr>
          <w:lang w:val="en-GB"/>
        </w:rPr>
        <w:t xml:space="preserve">History of </w:t>
      </w:r>
      <w:r w:rsidRPr="005454E9">
        <w:rPr>
          <w:lang w:val="en-GB"/>
        </w:rPr>
        <w:t>upper gastrointestinal bleeding</w:t>
      </w:r>
      <w:r w:rsidR="00E337E0" w:rsidRPr="005454E9">
        <w:rPr>
          <w:lang w:val="en-GB"/>
        </w:rPr>
        <w:t>;</w:t>
      </w:r>
    </w:p>
    <w:p w14:paraId="1D5B8B6E" w14:textId="1AE3CE67" w:rsidR="00CF53E8" w:rsidRPr="004833AA" w:rsidRDefault="006F119A" w:rsidP="00CF53E8">
      <w:pPr>
        <w:pStyle w:val="ListParagraph"/>
        <w:numPr>
          <w:ilvl w:val="0"/>
          <w:numId w:val="14"/>
        </w:numPr>
        <w:spacing w:after="0" w:line="240" w:lineRule="auto"/>
        <w:jc w:val="both"/>
        <w:rPr>
          <w:lang w:val="en-GB"/>
        </w:rPr>
      </w:pPr>
      <w:r w:rsidRPr="004833AA">
        <w:rPr>
          <w:lang w:val="en-GB"/>
        </w:rPr>
        <w:t>S</w:t>
      </w:r>
      <w:r w:rsidR="00CF53E8" w:rsidRPr="004833AA">
        <w:rPr>
          <w:lang w:val="en-GB"/>
        </w:rPr>
        <w:t>igns of severe fibrosis with portal hypertension</w:t>
      </w:r>
      <w:r w:rsidR="00E337E0" w:rsidRPr="004833AA">
        <w:rPr>
          <w:lang w:val="en-GB"/>
        </w:rPr>
        <w:t>;</w:t>
      </w:r>
    </w:p>
    <w:p w14:paraId="2EFB6CF6" w14:textId="30720B2D" w:rsidR="006F119A" w:rsidRPr="004833AA" w:rsidRDefault="00CF53E8" w:rsidP="006F119A">
      <w:pPr>
        <w:pStyle w:val="ListParagraph"/>
        <w:numPr>
          <w:ilvl w:val="0"/>
          <w:numId w:val="14"/>
        </w:numPr>
        <w:spacing w:after="0" w:line="240" w:lineRule="auto"/>
        <w:jc w:val="both"/>
        <w:rPr>
          <w:lang w:val="en-GB"/>
        </w:rPr>
      </w:pPr>
      <w:r w:rsidRPr="004833AA">
        <w:rPr>
          <w:lang w:val="en-GB"/>
        </w:rPr>
        <w:lastRenderedPageBreak/>
        <w:t>Jaundice</w:t>
      </w:r>
      <w:r w:rsidR="00E337E0" w:rsidRPr="004833AA">
        <w:rPr>
          <w:lang w:val="en-GB"/>
        </w:rPr>
        <w:t>;</w:t>
      </w:r>
    </w:p>
    <w:p w14:paraId="5531F770" w14:textId="5855718C" w:rsidR="00EC6129" w:rsidRPr="00A15FF8" w:rsidRDefault="006F119A" w:rsidP="006F119A">
      <w:pPr>
        <w:pStyle w:val="ListParagraph"/>
        <w:numPr>
          <w:ilvl w:val="0"/>
          <w:numId w:val="14"/>
        </w:numPr>
        <w:spacing w:after="0" w:line="240" w:lineRule="auto"/>
        <w:jc w:val="both"/>
        <w:rPr>
          <w:lang w:val="es-PE"/>
        </w:rPr>
      </w:pPr>
      <w:r w:rsidRPr="00A15FF8">
        <w:rPr>
          <w:lang w:val="es-PE"/>
        </w:rPr>
        <w:t>P</w:t>
      </w:r>
      <w:r w:rsidR="00CF53E8" w:rsidRPr="00A15FF8">
        <w:rPr>
          <w:lang w:val="es-PE"/>
        </w:rPr>
        <w:t>eripheral stigmata of liver disease (</w:t>
      </w:r>
      <w:r w:rsidR="00E337E0" w:rsidRPr="00A15FF8">
        <w:rPr>
          <w:lang w:val="es-PE"/>
        </w:rPr>
        <w:t>telangiectasias</w:t>
      </w:r>
      <w:r w:rsidR="00CF53E8" w:rsidRPr="00A15FF8">
        <w:rPr>
          <w:lang w:val="es-PE"/>
        </w:rPr>
        <w:t>, palmar erythema, gynecomastia, etc.)</w:t>
      </w:r>
      <w:r w:rsidRPr="00A15FF8">
        <w:rPr>
          <w:lang w:val="es-PE"/>
        </w:rPr>
        <w:t>.</w:t>
      </w:r>
    </w:p>
    <w:p w14:paraId="5A84DFE4" w14:textId="50FB81DC" w:rsidR="00A50FD7" w:rsidRPr="005454E9" w:rsidRDefault="00D50BF6" w:rsidP="00024E69">
      <w:pPr>
        <w:pStyle w:val="Heading4"/>
        <w:spacing w:before="0" w:after="120"/>
        <w:ind w:left="1843" w:hanging="643"/>
        <w:jc w:val="both"/>
        <w:rPr>
          <w:bCs/>
          <w:iCs/>
          <w:lang w:val="en-GB"/>
        </w:rPr>
      </w:pPr>
      <w:r w:rsidRPr="005454E9">
        <w:rPr>
          <w:lang w:val="en-GB"/>
        </w:rPr>
        <w:t>Instrumental assessment</w:t>
      </w:r>
      <w:r w:rsidR="005016C8" w:rsidRPr="005454E9">
        <w:rPr>
          <w:lang w:val="en-GB"/>
        </w:rPr>
        <w:t>s</w:t>
      </w:r>
    </w:p>
    <w:p w14:paraId="4FC5B772" w14:textId="696F829B" w:rsidR="00A41972" w:rsidRPr="00792815" w:rsidRDefault="000F7704" w:rsidP="00407C6D">
      <w:pPr>
        <w:keepNext/>
        <w:keepLines/>
        <w:spacing w:line="240" w:lineRule="auto"/>
        <w:jc w:val="both"/>
        <w:rPr>
          <w:lang w:val="en-GB"/>
        </w:rPr>
      </w:pPr>
      <w:r w:rsidRPr="005454E9">
        <w:rPr>
          <w:lang w:val="en-GB"/>
        </w:rPr>
        <w:t xml:space="preserve">Multiple non-invasive instrumental tests are available for staging </w:t>
      </w:r>
      <w:r w:rsidRPr="00792815">
        <w:rPr>
          <w:lang w:val="en-GB"/>
        </w:rPr>
        <w:t xml:space="preserve">liver disease. If available, </w:t>
      </w:r>
      <w:r w:rsidR="006F119A" w:rsidRPr="00792815">
        <w:rPr>
          <w:lang w:val="en-GB"/>
        </w:rPr>
        <w:t xml:space="preserve">both </w:t>
      </w:r>
      <w:r w:rsidRPr="004833AA">
        <w:rPr>
          <w:lang w:val="en-GB"/>
        </w:rPr>
        <w:t xml:space="preserve">elastography and </w:t>
      </w:r>
      <w:r w:rsidR="006F119A" w:rsidRPr="004833AA">
        <w:rPr>
          <w:lang w:val="en-GB"/>
        </w:rPr>
        <w:t>a biomarker evaluation</w:t>
      </w:r>
      <w:r w:rsidRPr="004833AA">
        <w:rPr>
          <w:lang w:val="en-GB"/>
        </w:rPr>
        <w:t xml:space="preserve"> </w:t>
      </w:r>
      <w:r w:rsidR="006F119A" w:rsidRPr="004833AA">
        <w:rPr>
          <w:lang w:val="en-GB"/>
        </w:rPr>
        <w:t>(i</w:t>
      </w:r>
      <w:r w:rsidR="00E337E0" w:rsidRPr="004833AA">
        <w:rPr>
          <w:lang w:val="en-GB"/>
        </w:rPr>
        <w:t>.</w:t>
      </w:r>
      <w:r w:rsidR="006F119A" w:rsidRPr="00792815">
        <w:rPr>
          <w:lang w:val="en-GB"/>
        </w:rPr>
        <w:t>e.</w:t>
      </w:r>
      <w:r w:rsidR="007D24A2" w:rsidRPr="00792815">
        <w:rPr>
          <w:lang w:val="en-GB"/>
        </w:rPr>
        <w:t>,</w:t>
      </w:r>
      <w:r w:rsidR="006F119A" w:rsidRPr="00792815">
        <w:rPr>
          <w:lang w:val="en-GB"/>
        </w:rPr>
        <w:t xml:space="preserve"> </w:t>
      </w:r>
      <w:r w:rsidRPr="00792815">
        <w:rPr>
          <w:lang w:val="en-GB"/>
        </w:rPr>
        <w:t>APRI score</w:t>
      </w:r>
      <w:r w:rsidR="006F119A" w:rsidRPr="00792815">
        <w:rPr>
          <w:lang w:val="en-GB"/>
        </w:rPr>
        <w:t>)</w:t>
      </w:r>
      <w:r w:rsidRPr="00792815">
        <w:rPr>
          <w:lang w:val="en-GB"/>
        </w:rPr>
        <w:t xml:space="preserve"> are recommended in all HCV-positive patients.</w:t>
      </w:r>
    </w:p>
    <w:p w14:paraId="20268DDE" w14:textId="4320A076" w:rsidR="005F1485" w:rsidRPr="000B525C" w:rsidRDefault="005F1485" w:rsidP="00024E69">
      <w:pPr>
        <w:pStyle w:val="Heading4"/>
        <w:numPr>
          <w:ilvl w:val="4"/>
          <w:numId w:val="11"/>
        </w:numPr>
        <w:spacing w:before="0" w:after="120"/>
        <w:ind w:left="2127"/>
        <w:jc w:val="both"/>
        <w:rPr>
          <w:lang w:val="en-GB"/>
        </w:rPr>
      </w:pPr>
      <w:r w:rsidRPr="000B525C">
        <w:rPr>
          <w:lang w:val="en-GB"/>
        </w:rPr>
        <w:t>Elastography</w:t>
      </w:r>
    </w:p>
    <w:p w14:paraId="233C7A3C" w14:textId="5251CB4E" w:rsidR="005F1485" w:rsidRPr="000B525C" w:rsidRDefault="005F1485" w:rsidP="00407C6D">
      <w:pPr>
        <w:spacing w:line="240" w:lineRule="auto"/>
        <w:jc w:val="both"/>
        <w:rPr>
          <w:lang w:val="en-GB"/>
        </w:rPr>
      </w:pPr>
      <w:r w:rsidRPr="000B525C">
        <w:rPr>
          <w:lang w:val="en-GB"/>
        </w:rPr>
        <w:t>Liver stiffness is measured through a device called Fibro</w:t>
      </w:r>
      <w:r w:rsidR="00BA06B8">
        <w:rPr>
          <w:lang w:val="en-GB"/>
        </w:rPr>
        <w:t>s</w:t>
      </w:r>
      <w:r w:rsidRPr="000B525C">
        <w:rPr>
          <w:lang w:val="en-GB"/>
        </w:rPr>
        <w:t>can®, which consists of an ultrasound transducer probe mounted on the axis of a vibrator. Fibroscan examination is painless and rapid (&lt;</w:t>
      </w:r>
      <w:r w:rsidR="00915F10">
        <w:rPr>
          <w:lang w:val="en-GB"/>
        </w:rPr>
        <w:t xml:space="preserve"> </w:t>
      </w:r>
      <w:r w:rsidRPr="000B525C">
        <w:rPr>
          <w:lang w:val="en-GB"/>
        </w:rPr>
        <w:t xml:space="preserve">5 minutes). It is performed with the patient </w:t>
      </w:r>
      <w:r w:rsidR="00DB1B34">
        <w:rPr>
          <w:lang w:val="en-GB"/>
        </w:rPr>
        <w:t>fast</w:t>
      </w:r>
      <w:r w:rsidR="00417709">
        <w:rPr>
          <w:lang w:val="en-GB"/>
        </w:rPr>
        <w:t>ing</w:t>
      </w:r>
      <w:r w:rsidR="00DB1B34">
        <w:rPr>
          <w:lang w:val="en-GB"/>
        </w:rPr>
        <w:t xml:space="preserve"> </w:t>
      </w:r>
      <w:r w:rsidR="00417709">
        <w:rPr>
          <w:lang w:val="en-GB"/>
        </w:rPr>
        <w:t xml:space="preserve">for </w:t>
      </w:r>
      <w:r w:rsidR="00DB1B34">
        <w:rPr>
          <w:lang w:val="en-GB"/>
        </w:rPr>
        <w:t>at least 2 hours</w:t>
      </w:r>
      <w:r w:rsidR="00C17899">
        <w:rPr>
          <w:lang w:val="en-GB"/>
        </w:rPr>
        <w:t xml:space="preserve"> </w:t>
      </w:r>
      <w:r w:rsidRPr="000B525C">
        <w:rPr>
          <w:lang w:val="en-GB"/>
        </w:rPr>
        <w:t>in the supine position, with the right arm tucked behind the head. The probe transducer is placed on the skin, between the rib bones at the level of the right lobe of the liver where a biopsy would be performed. The operator performs 10 valid acquisitions, and then Fibroscan software calculates the median value. The software itself determines whether each measurement is successful or not. Results are expressed in kiloPascals (kPa) and level of validity (&gt; 75%).</w:t>
      </w:r>
    </w:p>
    <w:p w14:paraId="01593FC5" w14:textId="1BE0F876" w:rsidR="005F1485" w:rsidRPr="000B525C" w:rsidRDefault="005F1485" w:rsidP="00640441">
      <w:pPr>
        <w:spacing w:after="0"/>
        <w:rPr>
          <w:lang w:val="en-GB"/>
        </w:rPr>
      </w:pPr>
      <w:r w:rsidRPr="000B525C">
        <w:rPr>
          <w:lang w:val="en-GB"/>
        </w:rPr>
        <w:t>Th</w:t>
      </w:r>
      <w:r w:rsidR="008E34DA" w:rsidRPr="000B525C">
        <w:rPr>
          <w:lang w:val="en-GB"/>
        </w:rPr>
        <w:t>e following th</w:t>
      </w:r>
      <w:r w:rsidRPr="000B525C">
        <w:rPr>
          <w:lang w:val="en-GB"/>
        </w:rPr>
        <w:t>resholds</w:t>
      </w:r>
      <w:r w:rsidR="008E34DA" w:rsidRPr="000B525C">
        <w:rPr>
          <w:lang w:val="en-GB"/>
        </w:rPr>
        <w:t xml:space="preserve"> are used</w:t>
      </w:r>
      <w:r w:rsidRPr="000B525C">
        <w:rPr>
          <w:lang w:val="en-GB"/>
        </w:rPr>
        <w:t xml:space="preserve"> </w:t>
      </w:r>
      <w:r w:rsidR="008E34DA" w:rsidRPr="000B525C">
        <w:rPr>
          <w:lang w:val="en-GB"/>
        </w:rPr>
        <w:t>to</w:t>
      </w:r>
      <w:r w:rsidRPr="000B525C">
        <w:rPr>
          <w:lang w:val="en-GB"/>
        </w:rPr>
        <w:t xml:space="preserve"> stag</w:t>
      </w:r>
      <w:r w:rsidR="008E34DA" w:rsidRPr="000B525C">
        <w:rPr>
          <w:lang w:val="en-GB"/>
        </w:rPr>
        <w:t>e the level</w:t>
      </w:r>
      <w:r w:rsidRPr="000B525C">
        <w:rPr>
          <w:lang w:val="en-GB"/>
        </w:rPr>
        <w:t xml:space="preserve"> </w:t>
      </w:r>
      <w:r w:rsidR="008E34DA" w:rsidRPr="000B525C">
        <w:rPr>
          <w:lang w:val="en-GB"/>
        </w:rPr>
        <w:t>of</w:t>
      </w:r>
      <w:r w:rsidRPr="000B525C">
        <w:rPr>
          <w:lang w:val="en-GB"/>
        </w:rPr>
        <w:t xml:space="preserve"> liver fibrosis in HCV</w:t>
      </w:r>
      <w:r w:rsidR="008E34DA" w:rsidRPr="000B525C">
        <w:rPr>
          <w:lang w:val="en-GB"/>
        </w:rPr>
        <w:t>-infected</w:t>
      </w:r>
      <w:r w:rsidRPr="000B525C">
        <w:rPr>
          <w:lang w:val="en-GB"/>
        </w:rPr>
        <w:t xml:space="preserve"> patient</w:t>
      </w:r>
      <w:r w:rsidR="008E34DA" w:rsidRPr="000B525C">
        <w:rPr>
          <w:lang w:val="en-GB"/>
        </w:rPr>
        <w:t>s</w:t>
      </w:r>
      <w:r w:rsidRPr="000B525C">
        <w:rPr>
          <w:lang w:val="en-GB"/>
        </w:rPr>
        <w:t>:</w:t>
      </w:r>
    </w:p>
    <w:p w14:paraId="1D1F6F3E" w14:textId="66922B70" w:rsidR="00C34CDF" w:rsidRPr="002B7B65" w:rsidRDefault="005F1485" w:rsidP="00640441">
      <w:pPr>
        <w:pStyle w:val="ListParagraph"/>
        <w:numPr>
          <w:ilvl w:val="0"/>
          <w:numId w:val="2"/>
        </w:numPr>
        <w:spacing w:after="0"/>
        <w:ind w:left="709"/>
        <w:rPr>
          <w:lang w:val="es-ES"/>
        </w:rPr>
      </w:pPr>
      <w:r w:rsidRPr="00175F03">
        <w:rPr>
          <w:lang w:val="es-ES"/>
        </w:rPr>
        <w:t>F0-F1</w:t>
      </w:r>
      <w:r w:rsidR="008E34DA" w:rsidRPr="00175F03">
        <w:rPr>
          <w:lang w:val="es-ES"/>
        </w:rPr>
        <w:t xml:space="preserve"> (</w:t>
      </w:r>
      <w:r w:rsidRPr="00175F03">
        <w:rPr>
          <w:lang w:val="es-ES"/>
        </w:rPr>
        <w:t>≤ 7 kPa</w:t>
      </w:r>
      <w:r w:rsidR="008E34DA" w:rsidRPr="00175F03">
        <w:rPr>
          <w:lang w:val="es-ES"/>
        </w:rPr>
        <w:t>)</w:t>
      </w:r>
      <w:r w:rsidRPr="00175F03">
        <w:rPr>
          <w:lang w:val="es-ES"/>
        </w:rPr>
        <w:t>:</w:t>
      </w:r>
      <w:r w:rsidR="00640441">
        <w:rPr>
          <w:lang w:val="es-ES"/>
        </w:rPr>
        <w:tab/>
      </w:r>
      <w:r w:rsidRPr="002B7B65">
        <w:rPr>
          <w:lang w:val="es-ES"/>
        </w:rPr>
        <w:t>no or minimal fibrosis</w:t>
      </w:r>
      <w:r w:rsidR="008E34DA" w:rsidRPr="002B7B65">
        <w:rPr>
          <w:lang w:val="es-ES"/>
        </w:rPr>
        <w:t>;</w:t>
      </w:r>
    </w:p>
    <w:p w14:paraId="6A273E36" w14:textId="0842FCAF" w:rsidR="00C34CDF" w:rsidRPr="00E337E0" w:rsidRDefault="005F1485" w:rsidP="00640441">
      <w:pPr>
        <w:pStyle w:val="ListParagraph"/>
        <w:numPr>
          <w:ilvl w:val="0"/>
          <w:numId w:val="2"/>
        </w:numPr>
        <w:ind w:left="709"/>
        <w:rPr>
          <w:lang w:val="en-US"/>
        </w:rPr>
      </w:pPr>
      <w:r w:rsidRPr="00E337E0">
        <w:rPr>
          <w:lang w:val="en-US"/>
        </w:rPr>
        <w:t>F2</w:t>
      </w:r>
      <w:r w:rsidR="008E34DA" w:rsidRPr="00E337E0">
        <w:rPr>
          <w:lang w:val="en-US"/>
        </w:rPr>
        <w:t xml:space="preserve"> (</w:t>
      </w:r>
      <w:r w:rsidRPr="00E337E0">
        <w:rPr>
          <w:lang w:val="en-US"/>
        </w:rPr>
        <w:t>7,1-9.5 kPa</w:t>
      </w:r>
      <w:r w:rsidR="008E34DA" w:rsidRPr="00E337E0">
        <w:rPr>
          <w:lang w:val="en-US"/>
        </w:rPr>
        <w:t>)</w:t>
      </w:r>
      <w:r w:rsidRPr="00E337E0">
        <w:rPr>
          <w:lang w:val="en-US"/>
        </w:rPr>
        <w:t>:</w:t>
      </w:r>
      <w:r w:rsidR="00640441">
        <w:rPr>
          <w:lang w:val="en-US"/>
        </w:rPr>
        <w:tab/>
        <w:t xml:space="preserve"> </w:t>
      </w:r>
      <w:r w:rsidRPr="00E337E0">
        <w:rPr>
          <w:lang w:val="en-US"/>
        </w:rPr>
        <w:t>moderate fibrosis</w:t>
      </w:r>
      <w:r w:rsidR="008E34DA" w:rsidRPr="00E337E0">
        <w:rPr>
          <w:lang w:val="en-US"/>
        </w:rPr>
        <w:t>;</w:t>
      </w:r>
    </w:p>
    <w:p w14:paraId="58C26573" w14:textId="0CE47635" w:rsidR="00C34CDF" w:rsidRPr="00E337E0" w:rsidRDefault="005F1485" w:rsidP="00640441">
      <w:pPr>
        <w:pStyle w:val="ListParagraph"/>
        <w:numPr>
          <w:ilvl w:val="0"/>
          <w:numId w:val="2"/>
        </w:numPr>
        <w:ind w:left="709"/>
        <w:rPr>
          <w:lang w:val="en-US"/>
        </w:rPr>
      </w:pPr>
      <w:r w:rsidRPr="00E337E0">
        <w:rPr>
          <w:lang w:val="en-US"/>
        </w:rPr>
        <w:t>F3</w:t>
      </w:r>
      <w:r w:rsidR="008E34DA" w:rsidRPr="00E337E0">
        <w:rPr>
          <w:lang w:val="en-US"/>
        </w:rPr>
        <w:t xml:space="preserve"> (</w:t>
      </w:r>
      <w:r w:rsidRPr="00E337E0">
        <w:rPr>
          <w:lang w:val="en-US"/>
        </w:rPr>
        <w:t>9</w:t>
      </w:r>
      <w:r w:rsidR="008E34DA" w:rsidRPr="00E337E0">
        <w:rPr>
          <w:lang w:val="en-US"/>
        </w:rPr>
        <w:t>,</w:t>
      </w:r>
      <w:r w:rsidRPr="00E337E0">
        <w:rPr>
          <w:lang w:val="en-US"/>
        </w:rPr>
        <w:t>6-13</w:t>
      </w:r>
      <w:r w:rsidR="008E34DA" w:rsidRPr="00E337E0">
        <w:rPr>
          <w:lang w:val="en-US"/>
        </w:rPr>
        <w:t>,</w:t>
      </w:r>
      <w:r w:rsidRPr="00E337E0">
        <w:rPr>
          <w:lang w:val="en-US"/>
        </w:rPr>
        <w:t>9 kPa</w:t>
      </w:r>
      <w:r w:rsidR="008E34DA" w:rsidRPr="00E337E0">
        <w:rPr>
          <w:lang w:val="en-US"/>
        </w:rPr>
        <w:t>)</w:t>
      </w:r>
      <w:r w:rsidRPr="00E337E0">
        <w:rPr>
          <w:lang w:val="en-US"/>
        </w:rPr>
        <w:t>:</w:t>
      </w:r>
      <w:r w:rsidR="00640441">
        <w:rPr>
          <w:lang w:val="en-US"/>
        </w:rPr>
        <w:t xml:space="preserve"> </w:t>
      </w:r>
      <w:r w:rsidRPr="00E337E0">
        <w:rPr>
          <w:lang w:val="en-US"/>
        </w:rPr>
        <w:t>severe fibrosis</w:t>
      </w:r>
      <w:r w:rsidR="008E34DA" w:rsidRPr="00E337E0">
        <w:rPr>
          <w:lang w:val="en-US"/>
        </w:rPr>
        <w:t>;</w:t>
      </w:r>
    </w:p>
    <w:p w14:paraId="76BA0A83" w14:textId="557BC50A" w:rsidR="008E34DA" w:rsidRPr="00E337E0" w:rsidRDefault="005F1485" w:rsidP="00640441">
      <w:pPr>
        <w:pStyle w:val="ListParagraph"/>
        <w:numPr>
          <w:ilvl w:val="0"/>
          <w:numId w:val="2"/>
        </w:numPr>
        <w:ind w:left="709"/>
        <w:rPr>
          <w:lang w:val="en-US"/>
        </w:rPr>
      </w:pPr>
      <w:r w:rsidRPr="00E337E0">
        <w:rPr>
          <w:lang w:val="en-US"/>
        </w:rPr>
        <w:t>F4</w:t>
      </w:r>
      <w:r w:rsidR="008E34DA" w:rsidRPr="00E337E0">
        <w:rPr>
          <w:lang w:val="en-US"/>
        </w:rPr>
        <w:t xml:space="preserve"> (</w:t>
      </w:r>
      <w:r w:rsidRPr="00E337E0">
        <w:rPr>
          <w:lang w:val="en-US"/>
        </w:rPr>
        <w:t>≥ 14</w:t>
      </w:r>
      <w:r w:rsidR="008E34DA" w:rsidRPr="00E337E0">
        <w:rPr>
          <w:lang w:val="en-US"/>
        </w:rPr>
        <w:t xml:space="preserve"> </w:t>
      </w:r>
      <w:r w:rsidRPr="00E337E0">
        <w:rPr>
          <w:lang w:val="en-US"/>
        </w:rPr>
        <w:t>kPa</w:t>
      </w:r>
      <w:r w:rsidR="00640441">
        <w:rPr>
          <w:lang w:val="en-US"/>
        </w:rPr>
        <w:t xml:space="preserve">): </w:t>
      </w:r>
      <w:r w:rsidRPr="00E337E0">
        <w:rPr>
          <w:lang w:val="en-US"/>
        </w:rPr>
        <w:t>cirrhosis</w:t>
      </w:r>
      <w:r w:rsidR="008E34DA" w:rsidRPr="00E337E0">
        <w:rPr>
          <w:lang w:val="en-US"/>
        </w:rPr>
        <w:t>.</w:t>
      </w:r>
    </w:p>
    <w:p w14:paraId="03E7E995" w14:textId="5A55094E" w:rsidR="008E34DA" w:rsidRPr="000B525C" w:rsidRDefault="005F1485" w:rsidP="008E34DA">
      <w:pPr>
        <w:rPr>
          <w:lang w:val="en-GB"/>
        </w:rPr>
      </w:pPr>
      <w:r w:rsidRPr="000B525C">
        <w:rPr>
          <w:rFonts w:asciiTheme="minorHAnsi" w:hAnsiTheme="minorHAnsi"/>
          <w:lang w:val="en-GB"/>
        </w:rPr>
        <w:t>Transient elastography values may be artificially increased by a number of factors, including acute liver inflammation (cytolysis), liver congestion (</w:t>
      </w:r>
      <w:r w:rsidR="00BA06B8">
        <w:rPr>
          <w:rFonts w:asciiTheme="minorHAnsi" w:hAnsiTheme="minorHAnsi"/>
          <w:lang w:val="en-GB"/>
        </w:rPr>
        <w:t>e.</w:t>
      </w:r>
      <w:r w:rsidR="00577A24">
        <w:rPr>
          <w:rFonts w:asciiTheme="minorHAnsi" w:hAnsiTheme="minorHAnsi"/>
          <w:lang w:val="en-GB"/>
        </w:rPr>
        <w:t>g.,</w:t>
      </w:r>
      <w:r w:rsidR="00BA06B8">
        <w:rPr>
          <w:rFonts w:asciiTheme="minorHAnsi" w:hAnsiTheme="minorHAnsi"/>
          <w:lang w:val="en-GB"/>
        </w:rPr>
        <w:t xml:space="preserve"> </w:t>
      </w:r>
      <w:r w:rsidRPr="000B525C">
        <w:rPr>
          <w:rFonts w:asciiTheme="minorHAnsi" w:hAnsiTheme="minorHAnsi"/>
          <w:lang w:val="en-GB"/>
        </w:rPr>
        <w:t>cardiac failure), a recent meal, amyloidosis and cholestasis</w:t>
      </w:r>
      <w:r w:rsidR="007E134D">
        <w:rPr>
          <w:rFonts w:asciiTheme="minorHAnsi" w:hAnsiTheme="minorHAnsi"/>
          <w:lang w:val="en-GB"/>
        </w:rPr>
        <w:t>;</w:t>
      </w:r>
      <w:r w:rsidRPr="000B525C">
        <w:rPr>
          <w:rFonts w:asciiTheme="minorHAnsi" w:hAnsiTheme="minorHAnsi"/>
          <w:lang w:val="en-GB"/>
        </w:rPr>
        <w:t xml:space="preserve"> </w:t>
      </w:r>
      <w:r w:rsidR="007E134D">
        <w:rPr>
          <w:rFonts w:asciiTheme="minorHAnsi" w:hAnsiTheme="minorHAnsi"/>
          <w:lang w:val="en-GB"/>
        </w:rPr>
        <w:t xml:space="preserve">it </w:t>
      </w:r>
      <w:r w:rsidRPr="000B525C">
        <w:rPr>
          <w:rFonts w:asciiTheme="minorHAnsi" w:hAnsiTheme="minorHAnsi"/>
          <w:lang w:val="en-GB"/>
        </w:rPr>
        <w:t>may be less accurate in obese patients or when performed by inexperienced operators.</w:t>
      </w:r>
    </w:p>
    <w:p w14:paraId="59C7F756" w14:textId="0B52C969" w:rsidR="008E34DA" w:rsidRPr="000B525C" w:rsidRDefault="005F1485" w:rsidP="00640441">
      <w:pPr>
        <w:spacing w:after="0"/>
        <w:rPr>
          <w:lang w:val="en-GB"/>
        </w:rPr>
      </w:pPr>
      <w:r w:rsidRPr="000B525C">
        <w:rPr>
          <w:rFonts w:asciiTheme="minorHAnsi" w:hAnsiTheme="minorHAnsi"/>
          <w:lang w:val="en-GB"/>
        </w:rPr>
        <w:t xml:space="preserve">For a good quality </w:t>
      </w:r>
      <w:r w:rsidR="00BA06B8" w:rsidRPr="000B525C">
        <w:rPr>
          <w:rFonts w:asciiTheme="minorHAnsi" w:hAnsiTheme="minorHAnsi"/>
          <w:lang w:val="en-GB"/>
        </w:rPr>
        <w:t>Fibroscan</w:t>
      </w:r>
      <w:r w:rsidRPr="000B525C">
        <w:rPr>
          <w:rFonts w:asciiTheme="minorHAnsi" w:hAnsiTheme="minorHAnsi"/>
          <w:lang w:val="en-GB"/>
        </w:rPr>
        <w:t xml:space="preserve"> exam:</w:t>
      </w:r>
    </w:p>
    <w:p w14:paraId="02EC8455" w14:textId="02056CFB" w:rsidR="008E34DA" w:rsidRPr="000B525C" w:rsidRDefault="008E34DA" w:rsidP="00640441">
      <w:pPr>
        <w:pStyle w:val="ListParagraph"/>
        <w:numPr>
          <w:ilvl w:val="0"/>
          <w:numId w:val="27"/>
        </w:numPr>
        <w:spacing w:after="0"/>
        <w:rPr>
          <w:lang w:val="en-GB"/>
        </w:rPr>
      </w:pPr>
      <w:r w:rsidRPr="000B525C">
        <w:rPr>
          <w:rFonts w:asciiTheme="minorHAnsi" w:hAnsiTheme="minorHAnsi"/>
          <w:lang w:val="en-GB"/>
        </w:rPr>
        <w:t>T</w:t>
      </w:r>
      <w:r w:rsidR="005F1485" w:rsidRPr="000B525C">
        <w:rPr>
          <w:rFonts w:asciiTheme="minorHAnsi" w:hAnsiTheme="minorHAnsi"/>
          <w:lang w:val="en-GB"/>
        </w:rPr>
        <w:t>he patient must be fast</w:t>
      </w:r>
      <w:r w:rsidR="006516BB">
        <w:rPr>
          <w:rFonts w:asciiTheme="minorHAnsi" w:hAnsiTheme="minorHAnsi"/>
          <w:lang w:val="en-GB"/>
        </w:rPr>
        <w:t>ing</w:t>
      </w:r>
      <w:r w:rsidR="005F1485" w:rsidRPr="000B525C">
        <w:rPr>
          <w:rFonts w:asciiTheme="minorHAnsi" w:hAnsiTheme="minorHAnsi"/>
          <w:lang w:val="en-GB"/>
        </w:rPr>
        <w:t xml:space="preserve"> at least since 120 min before performing the Fibro</w:t>
      </w:r>
      <w:r w:rsidR="00BA06B8">
        <w:rPr>
          <w:rFonts w:asciiTheme="minorHAnsi" w:hAnsiTheme="minorHAnsi"/>
          <w:lang w:val="en-GB"/>
        </w:rPr>
        <w:t>s</w:t>
      </w:r>
      <w:r w:rsidR="005F1485" w:rsidRPr="000B525C">
        <w:rPr>
          <w:rFonts w:asciiTheme="minorHAnsi" w:hAnsiTheme="minorHAnsi"/>
          <w:lang w:val="en-GB"/>
        </w:rPr>
        <w:t>can</w:t>
      </w:r>
      <w:r w:rsidRPr="000B525C">
        <w:rPr>
          <w:rFonts w:asciiTheme="minorHAnsi" w:hAnsiTheme="minorHAnsi"/>
          <w:lang w:val="en-GB"/>
        </w:rPr>
        <w:t>;</w:t>
      </w:r>
    </w:p>
    <w:p w14:paraId="14D2F3F1" w14:textId="2B04C9BA" w:rsidR="00BA06B8" w:rsidRPr="007D3A24" w:rsidRDefault="005F1485" w:rsidP="007D3A24">
      <w:pPr>
        <w:pStyle w:val="ListParagraph"/>
        <w:numPr>
          <w:ilvl w:val="0"/>
          <w:numId w:val="27"/>
        </w:numPr>
        <w:rPr>
          <w:lang w:val="en-GB"/>
        </w:rPr>
      </w:pPr>
      <w:r w:rsidRPr="000B525C">
        <w:rPr>
          <w:rFonts w:asciiTheme="minorHAnsi" w:hAnsiTheme="minorHAnsi"/>
          <w:lang w:val="en-GB"/>
        </w:rPr>
        <w:t>Unreliable readings are mostly seen in patients with obesity or ascites</w:t>
      </w:r>
      <w:r w:rsidR="00BA06B8">
        <w:rPr>
          <w:rFonts w:asciiTheme="minorHAnsi" w:hAnsiTheme="minorHAnsi"/>
          <w:lang w:val="en-GB"/>
        </w:rPr>
        <w:t>.</w:t>
      </w:r>
    </w:p>
    <w:p w14:paraId="20310C2F" w14:textId="77777777" w:rsidR="007C637C" w:rsidRPr="000B525C" w:rsidRDefault="005F1485" w:rsidP="00024E69">
      <w:pPr>
        <w:pStyle w:val="Heading4"/>
        <w:numPr>
          <w:ilvl w:val="4"/>
          <w:numId w:val="11"/>
        </w:numPr>
        <w:spacing w:before="0" w:after="120"/>
        <w:ind w:left="2127"/>
        <w:jc w:val="both"/>
        <w:rPr>
          <w:i w:val="0"/>
          <w:lang w:val="en-GB"/>
        </w:rPr>
      </w:pPr>
      <w:r w:rsidRPr="000B525C">
        <w:rPr>
          <w:bCs/>
          <w:i w:val="0"/>
          <w:iCs/>
          <w:lang w:val="en-GB"/>
        </w:rPr>
        <w:t>APRI score</w:t>
      </w:r>
    </w:p>
    <w:p w14:paraId="44C814A3" w14:textId="46057EED" w:rsidR="007C637C" w:rsidRPr="000B525C" w:rsidRDefault="006555C7" w:rsidP="00407C6D">
      <w:pPr>
        <w:spacing w:after="120" w:line="240" w:lineRule="auto"/>
        <w:jc w:val="both"/>
        <w:rPr>
          <w:i/>
          <w:lang w:val="en-GB"/>
        </w:rPr>
      </w:pPr>
      <w:r w:rsidRPr="000B525C">
        <w:rPr>
          <w:lang w:val="en-GB"/>
        </w:rPr>
        <w:t>Biomarker scores</w:t>
      </w:r>
      <w:r w:rsidR="005F1485" w:rsidRPr="000B525C">
        <w:rPr>
          <w:lang w:val="en-GB"/>
        </w:rPr>
        <w:t xml:space="preserve"> are other tools to assess liver fibrosis</w:t>
      </w:r>
      <w:r w:rsidRPr="000B525C">
        <w:rPr>
          <w:lang w:val="en-GB"/>
        </w:rPr>
        <w:t>: they</w:t>
      </w:r>
      <w:r w:rsidR="005F1485" w:rsidRPr="000B525C">
        <w:rPr>
          <w:lang w:val="en-GB"/>
        </w:rPr>
        <w:t xml:space="preserve"> </w:t>
      </w:r>
      <w:r w:rsidRPr="000B525C">
        <w:rPr>
          <w:lang w:val="en-GB"/>
        </w:rPr>
        <w:t>are</w:t>
      </w:r>
      <w:r w:rsidR="005F1485" w:rsidRPr="000B525C">
        <w:rPr>
          <w:lang w:val="en-GB"/>
        </w:rPr>
        <w:t xml:space="preserve"> less accurate than Fibro</w:t>
      </w:r>
      <w:r w:rsidRPr="000B525C">
        <w:rPr>
          <w:lang w:val="en-GB"/>
        </w:rPr>
        <w:t>s</w:t>
      </w:r>
      <w:r w:rsidR="005F1485" w:rsidRPr="000B525C">
        <w:rPr>
          <w:lang w:val="en-GB"/>
        </w:rPr>
        <w:t>can.</w:t>
      </w:r>
      <w:r w:rsidR="008E34DA" w:rsidRPr="000B525C">
        <w:rPr>
          <w:lang w:val="en-GB"/>
        </w:rPr>
        <w:t xml:space="preserve"> </w:t>
      </w:r>
      <w:r w:rsidR="005F1485" w:rsidRPr="000B525C">
        <w:rPr>
          <w:lang w:val="en-GB"/>
        </w:rPr>
        <w:t>However</w:t>
      </w:r>
      <w:r w:rsidR="008E34DA" w:rsidRPr="000B525C">
        <w:rPr>
          <w:lang w:val="en-GB"/>
        </w:rPr>
        <w:t>,</w:t>
      </w:r>
      <w:r w:rsidR="005F1485" w:rsidRPr="000B525C">
        <w:rPr>
          <w:lang w:val="en-GB"/>
        </w:rPr>
        <w:t xml:space="preserve"> if scores are above the threshold, </w:t>
      </w:r>
      <w:r w:rsidRPr="000B525C">
        <w:rPr>
          <w:lang w:val="en-GB"/>
        </w:rPr>
        <w:t>they have</w:t>
      </w:r>
      <w:r w:rsidR="005F1485" w:rsidRPr="000B525C">
        <w:rPr>
          <w:lang w:val="en-GB"/>
        </w:rPr>
        <w:t xml:space="preserve"> good predictive </w:t>
      </w:r>
      <w:r w:rsidRPr="000B525C">
        <w:rPr>
          <w:lang w:val="en-GB"/>
        </w:rPr>
        <w:t>value for</w:t>
      </w:r>
      <w:r w:rsidR="005F1485" w:rsidRPr="000B525C">
        <w:rPr>
          <w:lang w:val="en-GB"/>
        </w:rPr>
        <w:t xml:space="preserve"> advanced liver disease</w:t>
      </w:r>
      <w:r w:rsidR="008E34DA" w:rsidRPr="000B525C">
        <w:rPr>
          <w:lang w:val="en-GB"/>
        </w:rPr>
        <w:t xml:space="preserve">. </w:t>
      </w:r>
      <w:r w:rsidRPr="000B525C">
        <w:rPr>
          <w:lang w:val="en-GB"/>
        </w:rPr>
        <w:t xml:space="preserve">It is recommended to use the </w:t>
      </w:r>
      <w:r w:rsidR="001C6A99" w:rsidRPr="001C6A99">
        <w:rPr>
          <w:lang w:val="en-GB"/>
        </w:rPr>
        <w:t>aspartate aminotransferase</w:t>
      </w:r>
      <w:r w:rsidR="006D00A9">
        <w:rPr>
          <w:lang w:val="en-GB"/>
        </w:rPr>
        <w:t xml:space="preserve"> </w:t>
      </w:r>
      <w:r w:rsidR="001C6A99">
        <w:rPr>
          <w:lang w:val="en-GB"/>
        </w:rPr>
        <w:t>(</w:t>
      </w:r>
      <w:r w:rsidRPr="000B525C">
        <w:rPr>
          <w:lang w:val="en-GB"/>
        </w:rPr>
        <w:t>AST</w:t>
      </w:r>
      <w:r w:rsidR="001C6A99">
        <w:rPr>
          <w:lang w:val="en-GB"/>
        </w:rPr>
        <w:t>)</w:t>
      </w:r>
      <w:r w:rsidRPr="000B525C">
        <w:rPr>
          <w:lang w:val="en-GB"/>
        </w:rPr>
        <w:t>-to-platelet ratio index</w:t>
      </w:r>
      <w:r w:rsidR="005F1485" w:rsidRPr="000B525C">
        <w:rPr>
          <w:lang w:val="en-GB"/>
        </w:rPr>
        <w:t xml:space="preserve"> </w:t>
      </w:r>
      <w:r w:rsidRPr="000B525C">
        <w:rPr>
          <w:lang w:val="en-GB"/>
        </w:rPr>
        <w:t>(</w:t>
      </w:r>
      <w:r w:rsidR="005F1485" w:rsidRPr="000B525C">
        <w:rPr>
          <w:lang w:val="en-GB"/>
        </w:rPr>
        <w:t>APRI</w:t>
      </w:r>
      <w:r w:rsidRPr="000B525C">
        <w:rPr>
          <w:lang w:val="en-GB"/>
        </w:rPr>
        <w:t>)</w:t>
      </w:r>
      <w:r w:rsidR="005F1485" w:rsidRPr="000B525C">
        <w:rPr>
          <w:lang w:val="en-GB"/>
        </w:rPr>
        <w:t xml:space="preserve"> score,</w:t>
      </w:r>
      <w:r w:rsidRPr="000B525C">
        <w:rPr>
          <w:lang w:val="en-GB"/>
        </w:rPr>
        <w:t xml:space="preserve"> for which</w:t>
      </w:r>
      <w:r w:rsidR="005F1485" w:rsidRPr="000B525C">
        <w:rPr>
          <w:lang w:val="en-GB"/>
        </w:rPr>
        <w:t xml:space="preserve"> only </w:t>
      </w:r>
      <w:r w:rsidR="00D52365">
        <w:rPr>
          <w:lang w:val="en-GB"/>
        </w:rPr>
        <w:t>p</w:t>
      </w:r>
      <w:r w:rsidR="005F1485" w:rsidRPr="000B525C">
        <w:rPr>
          <w:lang w:val="en-GB"/>
        </w:rPr>
        <w:t>latelets and AST are needed</w:t>
      </w:r>
      <w:r w:rsidRPr="000B525C">
        <w:rPr>
          <w:lang w:val="en-GB"/>
        </w:rPr>
        <w:t>:</w:t>
      </w:r>
    </w:p>
    <w:p w14:paraId="696E520C" w14:textId="0DF91FAC" w:rsidR="007C637C" w:rsidRPr="000B525C" w:rsidRDefault="005F1485" w:rsidP="006D00A9">
      <w:pPr>
        <w:spacing w:after="120"/>
        <w:jc w:val="center"/>
        <w:rPr>
          <w:i/>
          <w:lang w:val="en-GB"/>
        </w:rPr>
      </w:pPr>
      <w:r w:rsidRPr="006D00A9">
        <w:rPr>
          <w:b/>
          <w:u w:val="single"/>
          <w:lang w:val="en-GB"/>
        </w:rPr>
        <w:t xml:space="preserve">APRI </w:t>
      </w:r>
      <w:r w:rsidR="000867EC" w:rsidRPr="006D00A9">
        <w:rPr>
          <w:b/>
          <w:u w:val="single"/>
          <w:lang w:val="en-GB"/>
        </w:rPr>
        <w:t>score</w:t>
      </w:r>
      <w:r w:rsidR="000867EC" w:rsidRPr="006D00A9">
        <w:rPr>
          <w:b/>
          <w:lang w:val="en-GB"/>
        </w:rPr>
        <w:t xml:space="preserve"> </w:t>
      </w:r>
      <w:r w:rsidRPr="006D00A9">
        <w:rPr>
          <w:b/>
          <w:lang w:val="en-GB"/>
        </w:rPr>
        <w:t>= [{AST/AST_ULN} x 100] /</w:t>
      </w:r>
      <w:r w:rsidR="008E3385">
        <w:rPr>
          <w:b/>
          <w:lang w:val="en-GB"/>
        </w:rPr>
        <w:t xml:space="preserve"> </w:t>
      </w:r>
      <w:r w:rsidRPr="004A613D">
        <w:rPr>
          <w:b/>
          <w:lang w:val="en-GB"/>
        </w:rPr>
        <w:t>platelet count</w:t>
      </w:r>
      <w:r w:rsidR="006B7E1D">
        <w:rPr>
          <w:lang w:val="en-GB"/>
        </w:rPr>
        <w:br/>
        <w:t>(where</w:t>
      </w:r>
      <w:r w:rsidRPr="000B525C">
        <w:rPr>
          <w:lang w:val="en-GB"/>
        </w:rPr>
        <w:t xml:space="preserve"> AST_ULN</w:t>
      </w:r>
      <w:r w:rsidR="006B7E1D">
        <w:rPr>
          <w:lang w:val="en-GB"/>
        </w:rPr>
        <w:t xml:space="preserve"> = </w:t>
      </w:r>
      <w:r w:rsidRPr="000B525C">
        <w:rPr>
          <w:lang w:val="en-GB"/>
        </w:rPr>
        <w:t xml:space="preserve">upper limit of normal </w:t>
      </w:r>
      <w:r w:rsidR="006B7E1D">
        <w:rPr>
          <w:lang w:val="en-GB"/>
        </w:rPr>
        <w:t xml:space="preserve">for </w:t>
      </w:r>
      <w:r w:rsidRPr="000B525C">
        <w:rPr>
          <w:lang w:val="en-GB"/>
        </w:rPr>
        <w:t>AST result</w:t>
      </w:r>
      <w:r w:rsidR="006B7E1D">
        <w:rPr>
          <w:lang w:val="en-GB"/>
        </w:rPr>
        <w:t>)</w:t>
      </w:r>
    </w:p>
    <w:p w14:paraId="1964A137" w14:textId="6B9AD558" w:rsidR="007C637C" w:rsidRDefault="005F1485" w:rsidP="007C637C">
      <w:pPr>
        <w:spacing w:after="120"/>
        <w:jc w:val="both"/>
        <w:rPr>
          <w:lang w:val="en-GB"/>
        </w:rPr>
      </w:pPr>
      <w:r w:rsidRPr="000B525C">
        <w:rPr>
          <w:lang w:val="en-GB"/>
        </w:rPr>
        <w:t xml:space="preserve">Note: </w:t>
      </w:r>
      <w:r w:rsidR="00C86C3D">
        <w:rPr>
          <w:lang w:val="en-GB"/>
        </w:rPr>
        <w:t>The units for AST and AST_ULN are IU/L. The units for platelet count are 10</w:t>
      </w:r>
      <w:r w:rsidR="00C86C3D" w:rsidRPr="004A613D">
        <w:rPr>
          <w:vertAlign w:val="superscript"/>
          <w:lang w:val="en-GB"/>
        </w:rPr>
        <w:t>9</w:t>
      </w:r>
      <w:r w:rsidR="00C86C3D">
        <w:rPr>
          <w:lang w:val="en-GB"/>
        </w:rPr>
        <w:t xml:space="preserve">/L. </w:t>
      </w:r>
      <w:r w:rsidR="00D7509C">
        <w:rPr>
          <w:lang w:val="en-GB"/>
        </w:rPr>
        <w:t xml:space="preserve">The </w:t>
      </w:r>
      <w:r w:rsidR="003C1D85">
        <w:rPr>
          <w:lang w:val="en-GB"/>
        </w:rPr>
        <w:t xml:space="preserve">value of </w:t>
      </w:r>
      <w:r w:rsidR="00D7509C">
        <w:rPr>
          <w:lang w:val="en-GB"/>
        </w:rPr>
        <w:t>AST</w:t>
      </w:r>
      <w:r w:rsidR="003C1D85">
        <w:rPr>
          <w:lang w:val="en-GB"/>
        </w:rPr>
        <w:t>_</w:t>
      </w:r>
      <w:r w:rsidRPr="000B525C">
        <w:rPr>
          <w:lang w:val="en-GB"/>
        </w:rPr>
        <w:t>ULN depend</w:t>
      </w:r>
      <w:r w:rsidR="00F82F1D">
        <w:rPr>
          <w:lang w:val="en-GB"/>
        </w:rPr>
        <w:t>s</w:t>
      </w:r>
      <w:r w:rsidRPr="000B525C">
        <w:rPr>
          <w:lang w:val="en-GB"/>
        </w:rPr>
        <w:t xml:space="preserve"> on the local laboratory values used as reference.</w:t>
      </w:r>
      <w:r w:rsidR="00D90D5F" w:rsidRPr="000B525C">
        <w:rPr>
          <w:lang w:val="en-GB"/>
        </w:rPr>
        <w:t xml:space="preserve"> </w:t>
      </w:r>
      <w:r w:rsidR="00BD1F64">
        <w:rPr>
          <w:lang w:val="en-GB"/>
        </w:rPr>
        <w:t xml:space="preserve">The </w:t>
      </w:r>
      <w:r w:rsidRPr="000B525C">
        <w:rPr>
          <w:lang w:val="en-GB"/>
        </w:rPr>
        <w:t xml:space="preserve">APRI </w:t>
      </w:r>
      <w:r w:rsidR="00BD1F64">
        <w:rPr>
          <w:lang w:val="en-GB"/>
        </w:rPr>
        <w:t xml:space="preserve">score </w:t>
      </w:r>
      <w:r w:rsidRPr="000B525C">
        <w:rPr>
          <w:lang w:val="en-GB"/>
        </w:rPr>
        <w:t>has been validated for the diagnosis of both significant fibrosis and cirrhosis.</w:t>
      </w:r>
    </w:p>
    <w:p w14:paraId="5F450FF3" w14:textId="524538F6" w:rsidR="008569E2" w:rsidRPr="00B10FA7" w:rsidRDefault="008569E2" w:rsidP="008569E2">
      <w:pPr>
        <w:spacing w:after="120"/>
        <w:jc w:val="both"/>
        <w:rPr>
          <w:lang w:val="en-GB"/>
        </w:rPr>
      </w:pPr>
      <w:r w:rsidRPr="00B10FA7">
        <w:rPr>
          <w:lang w:val="en-GB"/>
        </w:rPr>
        <w:t xml:space="preserve">Online calculators can be used </w:t>
      </w:r>
      <w:r>
        <w:rPr>
          <w:lang w:val="en-GB"/>
        </w:rPr>
        <w:t>(</w:t>
      </w:r>
      <w:hyperlink r:id="rId11" w:history="1">
        <w:r w:rsidRPr="00B10FA7">
          <w:rPr>
            <w:rStyle w:val="Hyperlink"/>
          </w:rPr>
          <w:t>https://www.mdcalc.com/ast-platelet-ratio-index-apri</w:t>
        </w:r>
      </w:hyperlink>
      <w:r w:rsidRPr="00B10FA7">
        <w:rPr>
          <w:lang w:val="en-GB"/>
        </w:rPr>
        <w:t>)</w:t>
      </w:r>
      <w:r>
        <w:rPr>
          <w:lang w:val="en-GB"/>
        </w:rPr>
        <w:t>; in alternative, free phone apps are available (</w:t>
      </w:r>
      <w:r w:rsidRPr="00E71DD5">
        <w:rPr>
          <w:lang w:val="en-GB"/>
        </w:rPr>
        <w:t>MDCalc</w:t>
      </w:r>
      <w:r>
        <w:rPr>
          <w:lang w:val="en-GB"/>
        </w:rPr>
        <w:t>).</w:t>
      </w:r>
    </w:p>
    <w:p w14:paraId="4F27AB02" w14:textId="3F7C2A04" w:rsidR="005F1485" w:rsidRPr="00BA06B8" w:rsidRDefault="005F1485" w:rsidP="007C637C">
      <w:pPr>
        <w:spacing w:after="120"/>
        <w:jc w:val="both"/>
        <w:rPr>
          <w:i/>
          <w:lang w:val="en-GB"/>
        </w:rPr>
      </w:pPr>
      <w:r w:rsidRPr="00BA06B8">
        <w:rPr>
          <w:i/>
          <w:lang w:val="en-GB"/>
        </w:rPr>
        <w:lastRenderedPageBreak/>
        <w:t xml:space="preserve">Table 1: </w:t>
      </w:r>
      <w:r w:rsidR="006555C7" w:rsidRPr="00BA06B8">
        <w:rPr>
          <w:i/>
          <w:lang w:val="en-GB"/>
        </w:rPr>
        <w:t>Low and high cut-off values and s</w:t>
      </w:r>
      <w:r w:rsidRPr="00BA06B8">
        <w:rPr>
          <w:i/>
          <w:lang w:val="en-GB"/>
        </w:rPr>
        <w:t>ummary of sensitivity</w:t>
      </w:r>
      <w:r w:rsidR="006555C7" w:rsidRPr="00BA06B8">
        <w:rPr>
          <w:i/>
          <w:lang w:val="en-GB"/>
        </w:rPr>
        <w:t xml:space="preserve"> and</w:t>
      </w:r>
      <w:r w:rsidRPr="00BA06B8">
        <w:rPr>
          <w:i/>
          <w:lang w:val="en-GB"/>
        </w:rPr>
        <w:t xml:space="preserve"> specificity of APRI </w:t>
      </w:r>
      <w:r w:rsidR="006555C7" w:rsidRPr="00BA06B8">
        <w:rPr>
          <w:i/>
          <w:lang w:val="en-GB"/>
        </w:rPr>
        <w:t>score</w:t>
      </w:r>
      <w:r w:rsidRPr="00BA06B8">
        <w:rPr>
          <w:i/>
          <w:lang w:val="en-GB"/>
        </w:rPr>
        <w:t xml:space="preserve"> (WHO HCV guidelines 201</w:t>
      </w:r>
      <w:r w:rsidR="006555C7" w:rsidRPr="00BA06B8">
        <w:rPr>
          <w:i/>
          <w:lang w:val="en-GB"/>
        </w:rPr>
        <w:t>8</w:t>
      </w:r>
      <w:r w:rsidRPr="00BA06B8">
        <w:rPr>
          <w:i/>
          <w:lang w:val="en-GB"/>
        </w:rPr>
        <w:t>, p</w:t>
      </w:r>
      <w:r w:rsidR="006555C7" w:rsidRPr="00BA06B8">
        <w:rPr>
          <w:i/>
          <w:lang w:val="en-GB"/>
        </w:rPr>
        <w:t>34</w:t>
      </w:r>
      <w:r w:rsidRPr="00BA06B8">
        <w:rPr>
          <w:i/>
          <w:lang w:val="en-GB"/>
        </w:rPr>
        <w:t>)</w:t>
      </w:r>
    </w:p>
    <w:tbl>
      <w:tblPr>
        <w:tblStyle w:val="TableGrid"/>
        <w:tblW w:w="0" w:type="auto"/>
        <w:tblLook w:val="04A0" w:firstRow="1" w:lastRow="0" w:firstColumn="1" w:lastColumn="0" w:noHBand="0" w:noVBand="1"/>
      </w:tblPr>
      <w:tblGrid>
        <w:gridCol w:w="2337"/>
        <w:gridCol w:w="2337"/>
        <w:gridCol w:w="2338"/>
        <w:gridCol w:w="2338"/>
      </w:tblGrid>
      <w:tr w:rsidR="005471E1" w:rsidRPr="000B525C" w14:paraId="5221C528" w14:textId="77777777" w:rsidTr="00377F48">
        <w:tc>
          <w:tcPr>
            <w:tcW w:w="4674" w:type="dxa"/>
            <w:gridSpan w:val="2"/>
          </w:tcPr>
          <w:p w14:paraId="2C54B1AA" w14:textId="00FE5355" w:rsidR="005471E1" w:rsidRPr="000B525C" w:rsidRDefault="005471E1" w:rsidP="005F1485">
            <w:pPr>
              <w:keepNext/>
              <w:keepLines/>
              <w:jc w:val="both"/>
              <w:rPr>
                <w:b/>
                <w:lang w:val="en-GB"/>
              </w:rPr>
            </w:pPr>
          </w:p>
        </w:tc>
        <w:tc>
          <w:tcPr>
            <w:tcW w:w="2338" w:type="dxa"/>
          </w:tcPr>
          <w:p w14:paraId="483081A7" w14:textId="37CF835A" w:rsidR="005471E1" w:rsidRPr="000B525C" w:rsidRDefault="005471E1" w:rsidP="005471E1">
            <w:pPr>
              <w:keepNext/>
              <w:keepLines/>
              <w:jc w:val="center"/>
              <w:rPr>
                <w:b/>
                <w:lang w:val="en-GB"/>
              </w:rPr>
            </w:pPr>
            <w:r w:rsidRPr="000B525C">
              <w:rPr>
                <w:b/>
                <w:lang w:val="en-GB"/>
              </w:rPr>
              <w:t>Low cut-off</w:t>
            </w:r>
          </w:p>
        </w:tc>
        <w:tc>
          <w:tcPr>
            <w:tcW w:w="2338" w:type="dxa"/>
          </w:tcPr>
          <w:p w14:paraId="07EAB4AB" w14:textId="07D60E5A" w:rsidR="005471E1" w:rsidRPr="000B525C" w:rsidRDefault="005471E1" w:rsidP="005471E1">
            <w:pPr>
              <w:keepNext/>
              <w:keepLines/>
              <w:jc w:val="center"/>
              <w:rPr>
                <w:b/>
                <w:lang w:val="en-GB"/>
              </w:rPr>
            </w:pPr>
            <w:r w:rsidRPr="000B525C">
              <w:rPr>
                <w:b/>
                <w:lang w:val="en-GB"/>
              </w:rPr>
              <w:t>High cut-off</w:t>
            </w:r>
          </w:p>
        </w:tc>
      </w:tr>
      <w:tr w:rsidR="005471E1" w:rsidRPr="000B525C" w14:paraId="593F6B7F" w14:textId="77777777" w:rsidTr="00FD33EA">
        <w:tc>
          <w:tcPr>
            <w:tcW w:w="2337" w:type="dxa"/>
            <w:vMerge w:val="restart"/>
          </w:tcPr>
          <w:p w14:paraId="76B128F6" w14:textId="77777777" w:rsidR="005471E1" w:rsidRPr="000B525C" w:rsidRDefault="005471E1" w:rsidP="005471E1">
            <w:pPr>
              <w:keepNext/>
              <w:keepLines/>
              <w:jc w:val="both"/>
              <w:rPr>
                <w:b/>
                <w:lang w:val="en-GB"/>
              </w:rPr>
            </w:pPr>
            <w:r w:rsidRPr="000B525C">
              <w:rPr>
                <w:b/>
                <w:lang w:val="en-GB"/>
              </w:rPr>
              <w:t>Significant fibrosis</w:t>
            </w:r>
          </w:p>
          <w:p w14:paraId="749582D8" w14:textId="057D6D24" w:rsidR="005471E1" w:rsidRPr="000B525C" w:rsidRDefault="005471E1" w:rsidP="005471E1">
            <w:pPr>
              <w:keepNext/>
              <w:keepLines/>
              <w:jc w:val="both"/>
              <w:rPr>
                <w:b/>
                <w:lang w:val="en-GB"/>
              </w:rPr>
            </w:pPr>
            <w:r w:rsidRPr="000B525C">
              <w:rPr>
                <w:b/>
                <w:lang w:val="en-GB"/>
              </w:rPr>
              <w:t>(METAVIR ≥F2)</w:t>
            </w:r>
          </w:p>
        </w:tc>
        <w:tc>
          <w:tcPr>
            <w:tcW w:w="2337" w:type="dxa"/>
          </w:tcPr>
          <w:p w14:paraId="26C98737" w14:textId="45A01A64" w:rsidR="005471E1" w:rsidRPr="000B525C" w:rsidRDefault="005471E1" w:rsidP="005F1485">
            <w:pPr>
              <w:keepNext/>
              <w:keepLines/>
              <w:jc w:val="both"/>
              <w:rPr>
                <w:lang w:val="en-GB"/>
              </w:rPr>
            </w:pPr>
            <w:r w:rsidRPr="000B525C">
              <w:rPr>
                <w:lang w:val="en-GB"/>
              </w:rPr>
              <w:t>Cut-off value</w:t>
            </w:r>
          </w:p>
        </w:tc>
        <w:tc>
          <w:tcPr>
            <w:tcW w:w="2338" w:type="dxa"/>
          </w:tcPr>
          <w:p w14:paraId="1C550E71" w14:textId="58297911" w:rsidR="005471E1" w:rsidRPr="000B525C" w:rsidRDefault="005471E1" w:rsidP="005471E1">
            <w:pPr>
              <w:keepNext/>
              <w:keepLines/>
              <w:jc w:val="center"/>
              <w:rPr>
                <w:lang w:val="en-GB"/>
              </w:rPr>
            </w:pPr>
            <w:r w:rsidRPr="000B525C">
              <w:rPr>
                <w:lang w:val="en-GB"/>
              </w:rPr>
              <w:t>0,5</w:t>
            </w:r>
          </w:p>
        </w:tc>
        <w:tc>
          <w:tcPr>
            <w:tcW w:w="2338" w:type="dxa"/>
          </w:tcPr>
          <w:p w14:paraId="0617C724" w14:textId="0076DB15" w:rsidR="005471E1" w:rsidRPr="000B525C" w:rsidRDefault="005471E1" w:rsidP="005471E1">
            <w:pPr>
              <w:keepNext/>
              <w:keepLines/>
              <w:jc w:val="center"/>
              <w:rPr>
                <w:lang w:val="en-GB"/>
              </w:rPr>
            </w:pPr>
            <w:r w:rsidRPr="000B525C">
              <w:rPr>
                <w:lang w:val="en-GB"/>
              </w:rPr>
              <w:t>1,5</w:t>
            </w:r>
          </w:p>
        </w:tc>
      </w:tr>
      <w:tr w:rsidR="005471E1" w:rsidRPr="000B525C" w14:paraId="2B4C6550" w14:textId="77777777" w:rsidTr="00FD33EA">
        <w:tc>
          <w:tcPr>
            <w:tcW w:w="2337" w:type="dxa"/>
            <w:vMerge/>
          </w:tcPr>
          <w:p w14:paraId="710BC28C" w14:textId="77777777" w:rsidR="005471E1" w:rsidRPr="000B525C" w:rsidRDefault="005471E1" w:rsidP="005471E1">
            <w:pPr>
              <w:keepNext/>
              <w:keepLines/>
              <w:jc w:val="both"/>
              <w:rPr>
                <w:b/>
                <w:lang w:val="en-GB"/>
              </w:rPr>
            </w:pPr>
          </w:p>
        </w:tc>
        <w:tc>
          <w:tcPr>
            <w:tcW w:w="2337" w:type="dxa"/>
          </w:tcPr>
          <w:p w14:paraId="67F3B709" w14:textId="77777777" w:rsidR="005471E1" w:rsidRPr="000B525C" w:rsidRDefault="005471E1" w:rsidP="005471E1">
            <w:pPr>
              <w:keepNext/>
              <w:keepLines/>
              <w:jc w:val="both"/>
              <w:rPr>
                <w:lang w:val="en-GB"/>
              </w:rPr>
            </w:pPr>
            <w:r w:rsidRPr="000B525C">
              <w:rPr>
                <w:lang w:val="en-GB"/>
              </w:rPr>
              <w:t>Sensitivity</w:t>
            </w:r>
          </w:p>
          <w:p w14:paraId="6B3365C6" w14:textId="6364C252" w:rsidR="005471E1" w:rsidRPr="000B525C" w:rsidRDefault="005471E1" w:rsidP="005471E1">
            <w:pPr>
              <w:keepNext/>
              <w:keepLines/>
              <w:jc w:val="both"/>
              <w:rPr>
                <w:lang w:val="en-GB"/>
              </w:rPr>
            </w:pPr>
            <w:r w:rsidRPr="000B525C">
              <w:rPr>
                <w:lang w:val="en-GB"/>
              </w:rPr>
              <w:t>(95% CI)</w:t>
            </w:r>
          </w:p>
        </w:tc>
        <w:tc>
          <w:tcPr>
            <w:tcW w:w="2338" w:type="dxa"/>
          </w:tcPr>
          <w:p w14:paraId="4E8509F1" w14:textId="77777777" w:rsidR="005471E1" w:rsidRPr="000B525C" w:rsidRDefault="005471E1" w:rsidP="005471E1">
            <w:pPr>
              <w:keepNext/>
              <w:keepLines/>
              <w:jc w:val="center"/>
              <w:rPr>
                <w:lang w:val="en-GB"/>
              </w:rPr>
            </w:pPr>
            <w:r w:rsidRPr="000B525C">
              <w:rPr>
                <w:lang w:val="en-GB"/>
              </w:rPr>
              <w:t>82</w:t>
            </w:r>
          </w:p>
          <w:p w14:paraId="2DD452F1" w14:textId="637A77B0" w:rsidR="005471E1" w:rsidRPr="000B525C" w:rsidRDefault="005471E1" w:rsidP="005471E1">
            <w:pPr>
              <w:keepNext/>
              <w:keepLines/>
              <w:jc w:val="center"/>
              <w:rPr>
                <w:lang w:val="en-GB"/>
              </w:rPr>
            </w:pPr>
            <w:r w:rsidRPr="000B525C">
              <w:rPr>
                <w:lang w:val="en-GB"/>
              </w:rPr>
              <w:t>(77-86)</w:t>
            </w:r>
          </w:p>
        </w:tc>
        <w:tc>
          <w:tcPr>
            <w:tcW w:w="2338" w:type="dxa"/>
          </w:tcPr>
          <w:p w14:paraId="74987A91" w14:textId="77777777" w:rsidR="005471E1" w:rsidRPr="000B525C" w:rsidRDefault="005471E1" w:rsidP="005471E1">
            <w:pPr>
              <w:keepNext/>
              <w:keepLines/>
              <w:jc w:val="center"/>
              <w:rPr>
                <w:lang w:val="en-GB"/>
              </w:rPr>
            </w:pPr>
            <w:r w:rsidRPr="000B525C">
              <w:rPr>
                <w:lang w:val="en-GB"/>
              </w:rPr>
              <w:t>39</w:t>
            </w:r>
          </w:p>
          <w:p w14:paraId="457EC4B0" w14:textId="545C50E6" w:rsidR="005471E1" w:rsidRPr="000B525C" w:rsidRDefault="005471E1" w:rsidP="005471E1">
            <w:pPr>
              <w:keepNext/>
              <w:keepLines/>
              <w:jc w:val="center"/>
              <w:rPr>
                <w:lang w:val="en-GB"/>
              </w:rPr>
            </w:pPr>
            <w:r w:rsidRPr="000B525C">
              <w:rPr>
                <w:lang w:val="en-GB"/>
              </w:rPr>
              <w:t>(32-47)</w:t>
            </w:r>
          </w:p>
        </w:tc>
      </w:tr>
      <w:tr w:rsidR="005471E1" w:rsidRPr="000B525C" w14:paraId="42DA31CF" w14:textId="77777777" w:rsidTr="00FD33EA">
        <w:tc>
          <w:tcPr>
            <w:tcW w:w="2337" w:type="dxa"/>
            <w:vMerge/>
          </w:tcPr>
          <w:p w14:paraId="2CD76B95" w14:textId="77777777" w:rsidR="005471E1" w:rsidRPr="000B525C" w:rsidRDefault="005471E1" w:rsidP="005F1485">
            <w:pPr>
              <w:keepNext/>
              <w:keepLines/>
              <w:jc w:val="both"/>
              <w:rPr>
                <w:b/>
                <w:lang w:val="en-GB"/>
              </w:rPr>
            </w:pPr>
          </w:p>
        </w:tc>
        <w:tc>
          <w:tcPr>
            <w:tcW w:w="2337" w:type="dxa"/>
          </w:tcPr>
          <w:p w14:paraId="074CDBB6" w14:textId="77777777" w:rsidR="005471E1" w:rsidRPr="000B525C" w:rsidRDefault="005471E1" w:rsidP="005F1485">
            <w:pPr>
              <w:keepNext/>
              <w:keepLines/>
              <w:jc w:val="both"/>
              <w:rPr>
                <w:lang w:val="en-GB"/>
              </w:rPr>
            </w:pPr>
            <w:r w:rsidRPr="000B525C">
              <w:rPr>
                <w:lang w:val="en-GB"/>
              </w:rPr>
              <w:t>Specificity</w:t>
            </w:r>
          </w:p>
          <w:p w14:paraId="5F46EB79" w14:textId="2A959B1A" w:rsidR="005471E1" w:rsidRPr="000B525C" w:rsidRDefault="005471E1" w:rsidP="005F1485">
            <w:pPr>
              <w:keepNext/>
              <w:keepLines/>
              <w:jc w:val="both"/>
              <w:rPr>
                <w:lang w:val="en-GB"/>
              </w:rPr>
            </w:pPr>
            <w:r w:rsidRPr="000B525C">
              <w:rPr>
                <w:lang w:val="en-GB"/>
              </w:rPr>
              <w:t>(95% CI)</w:t>
            </w:r>
          </w:p>
        </w:tc>
        <w:tc>
          <w:tcPr>
            <w:tcW w:w="2338" w:type="dxa"/>
          </w:tcPr>
          <w:p w14:paraId="1438E4A4" w14:textId="77777777" w:rsidR="005471E1" w:rsidRPr="000B525C" w:rsidRDefault="005471E1" w:rsidP="005471E1">
            <w:pPr>
              <w:keepNext/>
              <w:keepLines/>
              <w:jc w:val="center"/>
              <w:rPr>
                <w:lang w:val="en-GB"/>
              </w:rPr>
            </w:pPr>
            <w:r w:rsidRPr="000B525C">
              <w:rPr>
                <w:lang w:val="en-GB"/>
              </w:rPr>
              <w:t>57</w:t>
            </w:r>
          </w:p>
          <w:p w14:paraId="3EC47193" w14:textId="196D6142" w:rsidR="005471E1" w:rsidRPr="000B525C" w:rsidRDefault="005471E1" w:rsidP="005471E1">
            <w:pPr>
              <w:keepNext/>
              <w:keepLines/>
              <w:jc w:val="center"/>
              <w:rPr>
                <w:lang w:val="en-GB"/>
              </w:rPr>
            </w:pPr>
            <w:r w:rsidRPr="000B525C">
              <w:rPr>
                <w:lang w:val="en-GB"/>
              </w:rPr>
              <w:t>(49-65)</w:t>
            </w:r>
          </w:p>
        </w:tc>
        <w:tc>
          <w:tcPr>
            <w:tcW w:w="2338" w:type="dxa"/>
          </w:tcPr>
          <w:p w14:paraId="406A251B" w14:textId="77777777" w:rsidR="005471E1" w:rsidRPr="000B525C" w:rsidRDefault="005471E1" w:rsidP="005471E1">
            <w:pPr>
              <w:keepNext/>
              <w:keepLines/>
              <w:jc w:val="center"/>
              <w:rPr>
                <w:lang w:val="en-GB"/>
              </w:rPr>
            </w:pPr>
            <w:r w:rsidRPr="000B525C">
              <w:rPr>
                <w:lang w:val="en-GB"/>
              </w:rPr>
              <w:t>92</w:t>
            </w:r>
          </w:p>
          <w:p w14:paraId="1145EE78" w14:textId="3809F326" w:rsidR="005471E1" w:rsidRPr="000B525C" w:rsidRDefault="005471E1" w:rsidP="005471E1">
            <w:pPr>
              <w:keepNext/>
              <w:keepLines/>
              <w:jc w:val="center"/>
              <w:rPr>
                <w:lang w:val="en-GB"/>
              </w:rPr>
            </w:pPr>
            <w:r w:rsidRPr="000B525C">
              <w:rPr>
                <w:lang w:val="en-GB"/>
              </w:rPr>
              <w:t>(89-94)</w:t>
            </w:r>
          </w:p>
        </w:tc>
      </w:tr>
      <w:tr w:rsidR="005471E1" w:rsidRPr="000B525C" w14:paraId="4CADECC3" w14:textId="77777777" w:rsidTr="00FD33EA">
        <w:tc>
          <w:tcPr>
            <w:tcW w:w="2337" w:type="dxa"/>
            <w:vMerge w:val="restart"/>
          </w:tcPr>
          <w:p w14:paraId="18F4C2DB" w14:textId="77777777" w:rsidR="005471E1" w:rsidRPr="000B525C" w:rsidRDefault="005471E1" w:rsidP="005471E1">
            <w:pPr>
              <w:keepNext/>
              <w:keepLines/>
              <w:jc w:val="both"/>
              <w:rPr>
                <w:b/>
                <w:lang w:val="en-GB"/>
              </w:rPr>
            </w:pPr>
            <w:r w:rsidRPr="000B525C">
              <w:rPr>
                <w:b/>
                <w:lang w:val="en-GB"/>
              </w:rPr>
              <w:t>Cirrhosis</w:t>
            </w:r>
          </w:p>
          <w:p w14:paraId="47B59F3A" w14:textId="00E401D0" w:rsidR="005471E1" w:rsidRPr="000B525C" w:rsidRDefault="005471E1" w:rsidP="005471E1">
            <w:pPr>
              <w:keepNext/>
              <w:keepLines/>
              <w:jc w:val="both"/>
              <w:rPr>
                <w:b/>
                <w:lang w:val="en-GB"/>
              </w:rPr>
            </w:pPr>
            <w:r w:rsidRPr="000B525C">
              <w:rPr>
                <w:b/>
                <w:lang w:val="en-GB"/>
              </w:rPr>
              <w:t>(METAVIR F4)</w:t>
            </w:r>
          </w:p>
        </w:tc>
        <w:tc>
          <w:tcPr>
            <w:tcW w:w="2337" w:type="dxa"/>
          </w:tcPr>
          <w:p w14:paraId="1DAA436C" w14:textId="2386B0D4" w:rsidR="005471E1" w:rsidRPr="000B525C" w:rsidRDefault="005471E1" w:rsidP="005471E1">
            <w:pPr>
              <w:keepNext/>
              <w:keepLines/>
              <w:jc w:val="both"/>
              <w:rPr>
                <w:lang w:val="en-GB"/>
              </w:rPr>
            </w:pPr>
            <w:r w:rsidRPr="000B525C">
              <w:rPr>
                <w:lang w:val="en-GB"/>
              </w:rPr>
              <w:t>Cut-off value</w:t>
            </w:r>
          </w:p>
        </w:tc>
        <w:tc>
          <w:tcPr>
            <w:tcW w:w="2338" w:type="dxa"/>
          </w:tcPr>
          <w:p w14:paraId="27E9476C" w14:textId="6DFE9BCD" w:rsidR="005471E1" w:rsidRPr="000B525C" w:rsidRDefault="005471E1" w:rsidP="005471E1">
            <w:pPr>
              <w:keepNext/>
              <w:keepLines/>
              <w:jc w:val="center"/>
              <w:rPr>
                <w:lang w:val="en-GB"/>
              </w:rPr>
            </w:pPr>
            <w:r w:rsidRPr="000B525C">
              <w:rPr>
                <w:lang w:val="en-GB"/>
              </w:rPr>
              <w:t>1,0</w:t>
            </w:r>
          </w:p>
        </w:tc>
        <w:tc>
          <w:tcPr>
            <w:tcW w:w="2338" w:type="dxa"/>
          </w:tcPr>
          <w:p w14:paraId="3B65D51F" w14:textId="68FB616D" w:rsidR="005471E1" w:rsidRPr="000B525C" w:rsidRDefault="005471E1" w:rsidP="005471E1">
            <w:pPr>
              <w:keepNext/>
              <w:keepLines/>
              <w:jc w:val="center"/>
              <w:rPr>
                <w:lang w:val="en-GB"/>
              </w:rPr>
            </w:pPr>
            <w:r w:rsidRPr="000B525C">
              <w:rPr>
                <w:lang w:val="en-GB"/>
              </w:rPr>
              <w:t>2,0</w:t>
            </w:r>
          </w:p>
        </w:tc>
      </w:tr>
      <w:tr w:rsidR="005471E1" w:rsidRPr="000B525C" w14:paraId="4215B043" w14:textId="77777777" w:rsidTr="00FD33EA">
        <w:tc>
          <w:tcPr>
            <w:tcW w:w="2337" w:type="dxa"/>
            <w:vMerge/>
          </w:tcPr>
          <w:p w14:paraId="4760E143" w14:textId="77777777" w:rsidR="005471E1" w:rsidRPr="000B525C" w:rsidRDefault="005471E1" w:rsidP="005471E1">
            <w:pPr>
              <w:keepNext/>
              <w:keepLines/>
              <w:jc w:val="both"/>
              <w:rPr>
                <w:lang w:val="en-GB"/>
              </w:rPr>
            </w:pPr>
          </w:p>
        </w:tc>
        <w:tc>
          <w:tcPr>
            <w:tcW w:w="2337" w:type="dxa"/>
          </w:tcPr>
          <w:p w14:paraId="6418777C" w14:textId="77777777" w:rsidR="005471E1" w:rsidRPr="000B525C" w:rsidRDefault="005471E1" w:rsidP="005471E1">
            <w:pPr>
              <w:keepNext/>
              <w:keepLines/>
              <w:jc w:val="both"/>
              <w:rPr>
                <w:lang w:val="en-GB"/>
              </w:rPr>
            </w:pPr>
            <w:r w:rsidRPr="000B525C">
              <w:rPr>
                <w:lang w:val="en-GB"/>
              </w:rPr>
              <w:t>Sensitivity</w:t>
            </w:r>
          </w:p>
          <w:p w14:paraId="6AAE9ACF" w14:textId="19ACAF22" w:rsidR="005471E1" w:rsidRPr="000B525C" w:rsidRDefault="005471E1" w:rsidP="005471E1">
            <w:pPr>
              <w:keepNext/>
              <w:keepLines/>
              <w:jc w:val="both"/>
              <w:rPr>
                <w:lang w:val="en-GB"/>
              </w:rPr>
            </w:pPr>
            <w:r w:rsidRPr="000B525C">
              <w:rPr>
                <w:lang w:val="en-GB"/>
              </w:rPr>
              <w:t>(95% CI)</w:t>
            </w:r>
          </w:p>
        </w:tc>
        <w:tc>
          <w:tcPr>
            <w:tcW w:w="2338" w:type="dxa"/>
          </w:tcPr>
          <w:p w14:paraId="06B2F4EC" w14:textId="77777777" w:rsidR="005471E1" w:rsidRPr="000B525C" w:rsidRDefault="005471E1" w:rsidP="005471E1">
            <w:pPr>
              <w:keepNext/>
              <w:keepLines/>
              <w:jc w:val="center"/>
              <w:rPr>
                <w:lang w:val="en-GB"/>
              </w:rPr>
            </w:pPr>
            <w:r w:rsidRPr="000B525C">
              <w:rPr>
                <w:lang w:val="en-GB"/>
              </w:rPr>
              <w:t>77</w:t>
            </w:r>
          </w:p>
          <w:p w14:paraId="4775DE60" w14:textId="0FAD9103" w:rsidR="005471E1" w:rsidRPr="000B525C" w:rsidRDefault="005471E1" w:rsidP="005471E1">
            <w:pPr>
              <w:keepNext/>
              <w:keepLines/>
              <w:jc w:val="center"/>
              <w:rPr>
                <w:lang w:val="en-GB"/>
              </w:rPr>
            </w:pPr>
            <w:r w:rsidRPr="000B525C">
              <w:rPr>
                <w:lang w:val="en-GB"/>
              </w:rPr>
              <w:t>(73-81)</w:t>
            </w:r>
          </w:p>
        </w:tc>
        <w:tc>
          <w:tcPr>
            <w:tcW w:w="2338" w:type="dxa"/>
          </w:tcPr>
          <w:p w14:paraId="197D1F44" w14:textId="77777777" w:rsidR="005471E1" w:rsidRPr="000B525C" w:rsidRDefault="005471E1" w:rsidP="005471E1">
            <w:pPr>
              <w:keepNext/>
              <w:keepLines/>
              <w:jc w:val="center"/>
              <w:rPr>
                <w:lang w:val="en-GB"/>
              </w:rPr>
            </w:pPr>
            <w:r w:rsidRPr="000B525C">
              <w:rPr>
                <w:lang w:val="en-GB"/>
              </w:rPr>
              <w:t>48</w:t>
            </w:r>
          </w:p>
          <w:p w14:paraId="0FE0E74A" w14:textId="49F2CF8E" w:rsidR="005471E1" w:rsidRPr="000B525C" w:rsidRDefault="005471E1" w:rsidP="005471E1">
            <w:pPr>
              <w:keepNext/>
              <w:keepLines/>
              <w:jc w:val="center"/>
              <w:rPr>
                <w:lang w:val="en-GB"/>
              </w:rPr>
            </w:pPr>
            <w:r w:rsidRPr="000B525C">
              <w:rPr>
                <w:lang w:val="en-GB"/>
              </w:rPr>
              <w:t>(41-56)</w:t>
            </w:r>
          </w:p>
        </w:tc>
      </w:tr>
      <w:tr w:rsidR="005471E1" w:rsidRPr="000B525C" w14:paraId="6202A58A" w14:textId="77777777" w:rsidTr="00FD33EA">
        <w:tc>
          <w:tcPr>
            <w:tcW w:w="2337" w:type="dxa"/>
            <w:vMerge/>
          </w:tcPr>
          <w:p w14:paraId="5517E4E3" w14:textId="77777777" w:rsidR="005471E1" w:rsidRPr="000B525C" w:rsidRDefault="005471E1" w:rsidP="005471E1">
            <w:pPr>
              <w:keepNext/>
              <w:keepLines/>
              <w:jc w:val="both"/>
              <w:rPr>
                <w:lang w:val="en-GB"/>
              </w:rPr>
            </w:pPr>
          </w:p>
        </w:tc>
        <w:tc>
          <w:tcPr>
            <w:tcW w:w="2337" w:type="dxa"/>
          </w:tcPr>
          <w:p w14:paraId="56383B9B" w14:textId="77777777" w:rsidR="005471E1" w:rsidRPr="000B525C" w:rsidRDefault="005471E1" w:rsidP="005471E1">
            <w:pPr>
              <w:keepNext/>
              <w:keepLines/>
              <w:jc w:val="both"/>
              <w:rPr>
                <w:lang w:val="en-GB"/>
              </w:rPr>
            </w:pPr>
            <w:r w:rsidRPr="000B525C">
              <w:rPr>
                <w:lang w:val="en-GB"/>
              </w:rPr>
              <w:t>Specificity</w:t>
            </w:r>
          </w:p>
          <w:p w14:paraId="10B4BD8C" w14:textId="46539A3A" w:rsidR="005471E1" w:rsidRPr="000B525C" w:rsidRDefault="005471E1" w:rsidP="005471E1">
            <w:pPr>
              <w:keepNext/>
              <w:keepLines/>
              <w:jc w:val="both"/>
              <w:rPr>
                <w:lang w:val="en-GB"/>
              </w:rPr>
            </w:pPr>
            <w:r w:rsidRPr="000B525C">
              <w:rPr>
                <w:lang w:val="en-GB"/>
              </w:rPr>
              <w:t>(95% CI)</w:t>
            </w:r>
          </w:p>
        </w:tc>
        <w:tc>
          <w:tcPr>
            <w:tcW w:w="2338" w:type="dxa"/>
          </w:tcPr>
          <w:p w14:paraId="7EB65FFA" w14:textId="77777777" w:rsidR="005471E1" w:rsidRPr="000B525C" w:rsidRDefault="007C637C" w:rsidP="005471E1">
            <w:pPr>
              <w:keepNext/>
              <w:keepLines/>
              <w:jc w:val="center"/>
              <w:rPr>
                <w:lang w:val="en-GB"/>
              </w:rPr>
            </w:pPr>
            <w:r w:rsidRPr="000B525C">
              <w:rPr>
                <w:lang w:val="en-GB"/>
              </w:rPr>
              <w:t>78</w:t>
            </w:r>
          </w:p>
          <w:p w14:paraId="00D8589D" w14:textId="3E26B68E" w:rsidR="007C637C" w:rsidRPr="000B525C" w:rsidRDefault="007C637C" w:rsidP="005471E1">
            <w:pPr>
              <w:keepNext/>
              <w:keepLines/>
              <w:jc w:val="center"/>
              <w:rPr>
                <w:lang w:val="en-GB"/>
              </w:rPr>
            </w:pPr>
            <w:r w:rsidRPr="000B525C">
              <w:rPr>
                <w:lang w:val="en-GB"/>
              </w:rPr>
              <w:t>(74-81)</w:t>
            </w:r>
          </w:p>
        </w:tc>
        <w:tc>
          <w:tcPr>
            <w:tcW w:w="2338" w:type="dxa"/>
          </w:tcPr>
          <w:p w14:paraId="3652E783" w14:textId="77777777" w:rsidR="005471E1" w:rsidRPr="000B525C" w:rsidRDefault="007C637C" w:rsidP="005471E1">
            <w:pPr>
              <w:keepNext/>
              <w:keepLines/>
              <w:jc w:val="center"/>
              <w:rPr>
                <w:lang w:val="en-GB"/>
              </w:rPr>
            </w:pPr>
            <w:r w:rsidRPr="000B525C">
              <w:rPr>
                <w:lang w:val="en-GB"/>
              </w:rPr>
              <w:t>94</w:t>
            </w:r>
          </w:p>
          <w:p w14:paraId="06CC2DB8" w14:textId="0C234551" w:rsidR="007C637C" w:rsidRPr="000B525C" w:rsidRDefault="007C637C" w:rsidP="005471E1">
            <w:pPr>
              <w:keepNext/>
              <w:keepLines/>
              <w:jc w:val="center"/>
              <w:rPr>
                <w:lang w:val="en-GB"/>
              </w:rPr>
            </w:pPr>
            <w:r w:rsidRPr="000B525C">
              <w:rPr>
                <w:lang w:val="en-GB"/>
              </w:rPr>
              <w:t>(91-95)</w:t>
            </w:r>
          </w:p>
        </w:tc>
      </w:tr>
    </w:tbl>
    <w:p w14:paraId="127CD457" w14:textId="77777777" w:rsidR="00C26F31" w:rsidRDefault="00C26F31" w:rsidP="00276D3A">
      <w:pPr>
        <w:keepNext/>
        <w:keepLines/>
        <w:spacing w:after="0" w:line="240" w:lineRule="auto"/>
        <w:jc w:val="both"/>
        <w:rPr>
          <w:lang w:val="en-GB"/>
        </w:rPr>
      </w:pPr>
    </w:p>
    <w:p w14:paraId="46185E5E" w14:textId="1D0CE368" w:rsidR="00A41972" w:rsidRDefault="004D73AF" w:rsidP="00C26F31">
      <w:pPr>
        <w:keepNext/>
        <w:keepLines/>
        <w:spacing w:after="0" w:line="240" w:lineRule="auto"/>
        <w:jc w:val="both"/>
        <w:rPr>
          <w:lang w:val="en-GB"/>
        </w:rPr>
      </w:pPr>
      <w:r w:rsidRPr="000B525C">
        <w:rPr>
          <w:lang w:val="en-GB"/>
        </w:rPr>
        <w:t xml:space="preserve">For the purpose of assessing the patients for the presence of cirrhosis (METAVIR </w:t>
      </w:r>
      <w:r w:rsidR="00C6344F">
        <w:rPr>
          <w:lang w:val="en-GB"/>
        </w:rPr>
        <w:t>F</w:t>
      </w:r>
      <w:r w:rsidRPr="000B525C">
        <w:rPr>
          <w:lang w:val="en-GB"/>
        </w:rPr>
        <w:t>4) it is recommended to use the low cut-off of the APRI score (1,0) in order to minimize the number of false negative results.</w:t>
      </w:r>
    </w:p>
    <w:p w14:paraId="60C17AFB" w14:textId="77777777" w:rsidR="00276D3A" w:rsidRPr="007D3A24" w:rsidRDefault="00276D3A" w:rsidP="00C26F31">
      <w:pPr>
        <w:keepNext/>
        <w:keepLines/>
        <w:spacing w:after="0" w:line="240" w:lineRule="auto"/>
        <w:jc w:val="both"/>
        <w:rPr>
          <w:lang w:val="en-GB"/>
        </w:rPr>
      </w:pPr>
    </w:p>
    <w:p w14:paraId="2250DDB3" w14:textId="637CECCE" w:rsidR="003922DB" w:rsidRPr="000B525C" w:rsidRDefault="000F7704" w:rsidP="00024E69">
      <w:pPr>
        <w:pStyle w:val="Heading4"/>
        <w:spacing w:before="0" w:after="120"/>
        <w:ind w:left="1701" w:hanging="567"/>
        <w:jc w:val="both"/>
        <w:rPr>
          <w:lang w:val="en-GB"/>
        </w:rPr>
      </w:pPr>
      <w:r w:rsidRPr="000B525C">
        <w:rPr>
          <w:lang w:val="en-GB"/>
        </w:rPr>
        <w:t xml:space="preserve">Evaluation of </w:t>
      </w:r>
      <w:r w:rsidR="00630422">
        <w:rPr>
          <w:lang w:val="en-GB"/>
        </w:rPr>
        <w:t xml:space="preserve">the </w:t>
      </w:r>
      <w:r w:rsidRPr="000B525C">
        <w:rPr>
          <w:lang w:val="en-GB"/>
        </w:rPr>
        <w:t>severity of liver cirrhosis</w:t>
      </w:r>
    </w:p>
    <w:p w14:paraId="5428E5A2" w14:textId="155F07E9" w:rsidR="00640441" w:rsidRPr="00C26F31" w:rsidRDefault="000F7704" w:rsidP="00C26F31">
      <w:pPr>
        <w:jc w:val="both"/>
        <w:rPr>
          <w:lang w:val="en-GB"/>
        </w:rPr>
      </w:pPr>
      <w:r w:rsidRPr="000B525C">
        <w:rPr>
          <w:lang w:val="en-GB"/>
        </w:rPr>
        <w:t xml:space="preserve">In patients with a clinical suspicion of being affected by </w:t>
      </w:r>
      <w:r w:rsidR="000B525C" w:rsidRPr="000B525C">
        <w:rPr>
          <w:lang w:val="en-GB"/>
        </w:rPr>
        <w:t>cirrhosis</w:t>
      </w:r>
      <w:r w:rsidRPr="000B525C">
        <w:rPr>
          <w:lang w:val="en-GB"/>
        </w:rPr>
        <w:t xml:space="preserve">, based </w:t>
      </w:r>
      <w:r w:rsidR="006656AC" w:rsidRPr="000B525C">
        <w:rPr>
          <w:lang w:val="en-GB"/>
        </w:rPr>
        <w:t xml:space="preserve">either </w:t>
      </w:r>
      <w:r w:rsidRPr="000B525C">
        <w:rPr>
          <w:lang w:val="en-GB"/>
        </w:rPr>
        <w:t>on clinical presentation or on instrumental asses</w:t>
      </w:r>
      <w:r w:rsidR="000B525C" w:rsidRPr="000B525C">
        <w:rPr>
          <w:lang w:val="en-GB"/>
        </w:rPr>
        <w:t>s</w:t>
      </w:r>
      <w:r w:rsidRPr="000B525C">
        <w:rPr>
          <w:lang w:val="en-GB"/>
        </w:rPr>
        <w:t>ments (F4</w:t>
      </w:r>
      <w:r w:rsidR="006656AC" w:rsidRPr="000B525C">
        <w:rPr>
          <w:lang w:val="en-GB"/>
        </w:rPr>
        <w:t xml:space="preserve"> in</w:t>
      </w:r>
      <w:r w:rsidRPr="000B525C">
        <w:rPr>
          <w:lang w:val="en-GB"/>
        </w:rPr>
        <w:t xml:space="preserve"> APRI score or Fibroscan), the severity of the cirrhosis should be classified as</w:t>
      </w:r>
      <w:r w:rsidR="00183880" w:rsidRPr="000B525C">
        <w:rPr>
          <w:lang w:val="en-GB"/>
        </w:rPr>
        <w:t xml:space="preserve"> </w:t>
      </w:r>
      <w:r w:rsidRPr="000B525C">
        <w:rPr>
          <w:lang w:val="en-GB"/>
        </w:rPr>
        <w:t xml:space="preserve">compensated or decompensated </w:t>
      </w:r>
      <w:r w:rsidR="00183880" w:rsidRPr="000B525C">
        <w:rPr>
          <w:lang w:val="en-GB"/>
        </w:rPr>
        <w:t>using</w:t>
      </w:r>
      <w:r w:rsidRPr="000B525C">
        <w:rPr>
          <w:lang w:val="en-GB"/>
        </w:rPr>
        <w:t xml:space="preserve"> the Child</w:t>
      </w:r>
      <w:r w:rsidR="00FE7F8C">
        <w:rPr>
          <w:lang w:val="en-GB"/>
        </w:rPr>
        <w:t>-</w:t>
      </w:r>
      <w:r w:rsidRPr="000B525C">
        <w:rPr>
          <w:lang w:val="en-GB"/>
        </w:rPr>
        <w:t>Pugh score. The Child</w:t>
      </w:r>
      <w:r w:rsidR="00FE7F8C">
        <w:rPr>
          <w:lang w:val="en-GB"/>
        </w:rPr>
        <w:t>-</w:t>
      </w:r>
      <w:r w:rsidRPr="000B525C">
        <w:rPr>
          <w:lang w:val="en-GB"/>
        </w:rPr>
        <w:t xml:space="preserve">Pugh score combines </w:t>
      </w:r>
      <w:r w:rsidR="00183880" w:rsidRPr="000B525C">
        <w:rPr>
          <w:lang w:val="en-GB"/>
        </w:rPr>
        <w:t xml:space="preserve">five </w:t>
      </w:r>
      <w:r w:rsidRPr="000B525C">
        <w:rPr>
          <w:lang w:val="en-GB"/>
        </w:rPr>
        <w:t>clinical and biological markers</w:t>
      </w:r>
      <w:r w:rsidR="00183880" w:rsidRPr="000B525C">
        <w:rPr>
          <w:lang w:val="en-GB"/>
        </w:rPr>
        <w:t xml:space="preserve"> of liver disease</w:t>
      </w:r>
      <w:r w:rsidRPr="000B525C">
        <w:rPr>
          <w:lang w:val="en-GB"/>
        </w:rPr>
        <w:t xml:space="preserve"> (platelets, albumin, INR/Quick Test, total bilirubin)</w:t>
      </w:r>
      <w:r w:rsidR="00183880" w:rsidRPr="000B525C">
        <w:rPr>
          <w:lang w:val="en-GB"/>
        </w:rPr>
        <w:t xml:space="preserve">: each measure is scored 1-3, with 3 indicating most severe </w:t>
      </w:r>
      <w:r w:rsidR="00BA06B8">
        <w:rPr>
          <w:lang w:val="en-GB"/>
        </w:rPr>
        <w:t>disease</w:t>
      </w:r>
      <w:r w:rsidR="00183880" w:rsidRPr="000B525C">
        <w:rPr>
          <w:lang w:val="en-GB"/>
        </w:rPr>
        <w:t xml:space="preserve"> (Table 2).</w:t>
      </w:r>
    </w:p>
    <w:p w14:paraId="0FE7BC7E" w14:textId="7FB35A4A" w:rsidR="005F1485" w:rsidRDefault="005F1485" w:rsidP="005F1485">
      <w:pPr>
        <w:pStyle w:val="NormalWeb"/>
        <w:spacing w:before="0" w:beforeAutospacing="0" w:after="0" w:afterAutospacing="0"/>
        <w:jc w:val="both"/>
        <w:rPr>
          <w:rFonts w:ascii="Calibri" w:hAnsi="Calibri"/>
          <w:i/>
          <w:iCs/>
          <w:sz w:val="22"/>
          <w:szCs w:val="22"/>
          <w:lang w:val="en-GB"/>
        </w:rPr>
      </w:pPr>
      <w:r w:rsidRPr="000B525C">
        <w:rPr>
          <w:rFonts w:ascii="Calibri" w:hAnsi="Calibri" w:cs="Calibri"/>
          <w:i/>
          <w:iCs/>
          <w:sz w:val="22"/>
          <w:szCs w:val="22"/>
          <w:lang w:val="en-GB"/>
        </w:rPr>
        <w:t xml:space="preserve">Table </w:t>
      </w:r>
      <w:r w:rsidR="00BA06B8">
        <w:rPr>
          <w:rFonts w:ascii="Calibri" w:hAnsi="Calibri" w:cs="Calibri"/>
          <w:i/>
          <w:iCs/>
          <w:sz w:val="22"/>
          <w:szCs w:val="22"/>
          <w:lang w:val="en-GB"/>
        </w:rPr>
        <w:t>2</w:t>
      </w:r>
      <w:r w:rsidRPr="000B525C">
        <w:rPr>
          <w:rFonts w:ascii="Calibri" w:hAnsi="Calibri" w:cs="Calibri"/>
          <w:i/>
          <w:iCs/>
          <w:sz w:val="22"/>
          <w:szCs w:val="22"/>
          <w:lang w:val="en-GB"/>
        </w:rPr>
        <w:t>:</w:t>
      </w:r>
      <w:r w:rsidRPr="000B525C">
        <w:rPr>
          <w:rFonts w:ascii="Calibri" w:hAnsi="Calibri"/>
          <w:i/>
          <w:iCs/>
          <w:sz w:val="22"/>
          <w:szCs w:val="22"/>
          <w:lang w:val="en-GB"/>
        </w:rPr>
        <w:t xml:space="preserve"> </w:t>
      </w:r>
      <w:r w:rsidR="007B6B4C">
        <w:rPr>
          <w:rFonts w:ascii="Calibri" w:hAnsi="Calibri"/>
          <w:i/>
          <w:iCs/>
          <w:sz w:val="22"/>
          <w:szCs w:val="22"/>
          <w:lang w:val="en-GB"/>
        </w:rPr>
        <w:t xml:space="preserve">Evaluation of </w:t>
      </w:r>
      <w:r w:rsidRPr="000B525C">
        <w:rPr>
          <w:rFonts w:ascii="Calibri" w:hAnsi="Calibri"/>
          <w:i/>
          <w:iCs/>
          <w:sz w:val="22"/>
          <w:szCs w:val="22"/>
          <w:lang w:val="en-GB"/>
        </w:rPr>
        <w:t xml:space="preserve">Child-Pugh </w:t>
      </w:r>
      <w:r w:rsidR="007B6B4C">
        <w:rPr>
          <w:rFonts w:ascii="Calibri" w:hAnsi="Calibri"/>
          <w:i/>
          <w:iCs/>
          <w:sz w:val="22"/>
          <w:szCs w:val="22"/>
          <w:lang w:val="en-GB"/>
        </w:rPr>
        <w:t>s</w:t>
      </w:r>
      <w:r w:rsidRPr="000B525C">
        <w:rPr>
          <w:rFonts w:ascii="Calibri" w:hAnsi="Calibri"/>
          <w:i/>
          <w:iCs/>
          <w:sz w:val="22"/>
          <w:szCs w:val="22"/>
          <w:lang w:val="en-GB"/>
        </w:rPr>
        <w:t>core:</w:t>
      </w:r>
    </w:p>
    <w:p w14:paraId="35EE83DB" w14:textId="77777777" w:rsidR="005016C8" w:rsidRPr="000B525C" w:rsidRDefault="005016C8" w:rsidP="005F1485">
      <w:pPr>
        <w:pStyle w:val="NormalWeb"/>
        <w:spacing w:before="0" w:beforeAutospacing="0" w:after="0" w:afterAutospacing="0"/>
        <w:jc w:val="both"/>
        <w:rPr>
          <w:rFonts w:ascii="Calibri" w:hAnsi="Calibri" w:cs="Calibri"/>
          <w:i/>
          <w:iCs/>
          <w:sz w:val="22"/>
          <w:szCs w:val="22"/>
          <w:lang w:val="en-GB"/>
        </w:rPr>
      </w:pPr>
    </w:p>
    <w:tbl>
      <w:tblPr>
        <w:tblStyle w:val="TableauGrille1Clair-Accentuation51"/>
        <w:tblW w:w="0" w:type="auto"/>
        <w:tblLook w:val="00A0" w:firstRow="1" w:lastRow="0" w:firstColumn="1" w:lastColumn="0" w:noHBand="0" w:noVBand="0"/>
      </w:tblPr>
      <w:tblGrid>
        <w:gridCol w:w="3175"/>
        <w:gridCol w:w="1215"/>
        <w:gridCol w:w="2693"/>
        <w:gridCol w:w="2267"/>
      </w:tblGrid>
      <w:tr w:rsidR="005F1485" w:rsidRPr="000B525C" w14:paraId="12ECE88A" w14:textId="77777777" w:rsidTr="00D7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themeFill="accent5" w:themeFillTint="66"/>
            <w:hideMark/>
          </w:tcPr>
          <w:p w14:paraId="4836E1A0" w14:textId="77777777" w:rsidR="005F1485" w:rsidRPr="000B525C" w:rsidRDefault="005F1485" w:rsidP="000B525C">
            <w:pPr>
              <w:jc w:val="center"/>
              <w:rPr>
                <w:b w:val="0"/>
                <w:bCs w:val="0"/>
                <w:szCs w:val="20"/>
                <w:lang w:val="en-GB"/>
              </w:rPr>
            </w:pPr>
            <w:r w:rsidRPr="000B525C">
              <w:rPr>
                <w:szCs w:val="20"/>
                <w:lang w:val="en-GB"/>
              </w:rPr>
              <w:t>Measure</w:t>
            </w:r>
          </w:p>
        </w:tc>
        <w:tc>
          <w:tcPr>
            <w:tcW w:w="1215" w:type="dxa"/>
            <w:shd w:val="clear" w:color="auto" w:fill="B4C6E7" w:themeFill="accent5" w:themeFillTint="66"/>
            <w:hideMark/>
          </w:tcPr>
          <w:p w14:paraId="7C7A8546" w14:textId="77777777" w:rsidR="005F1485" w:rsidRPr="000B525C" w:rsidRDefault="005F1485" w:rsidP="000B525C">
            <w:pPr>
              <w:jc w:val="center"/>
              <w:cnfStyle w:val="100000000000" w:firstRow="1" w:lastRow="0" w:firstColumn="0" w:lastColumn="0" w:oddVBand="0" w:evenVBand="0" w:oddHBand="0" w:evenHBand="0" w:firstRowFirstColumn="0" w:firstRowLastColumn="0" w:lastRowFirstColumn="0" w:lastRowLastColumn="0"/>
              <w:rPr>
                <w:b w:val="0"/>
                <w:bCs w:val="0"/>
                <w:szCs w:val="20"/>
                <w:lang w:val="en-GB"/>
              </w:rPr>
            </w:pPr>
            <w:r w:rsidRPr="000B525C">
              <w:rPr>
                <w:szCs w:val="20"/>
                <w:lang w:val="en-GB"/>
              </w:rPr>
              <w:t>1 point</w:t>
            </w:r>
          </w:p>
        </w:tc>
        <w:tc>
          <w:tcPr>
            <w:tcW w:w="2693" w:type="dxa"/>
            <w:shd w:val="clear" w:color="auto" w:fill="B4C6E7" w:themeFill="accent5" w:themeFillTint="66"/>
            <w:hideMark/>
          </w:tcPr>
          <w:p w14:paraId="0357B995" w14:textId="77777777" w:rsidR="005F1485" w:rsidRPr="000B525C" w:rsidRDefault="005F1485" w:rsidP="000B525C">
            <w:pPr>
              <w:jc w:val="center"/>
              <w:cnfStyle w:val="100000000000" w:firstRow="1" w:lastRow="0" w:firstColumn="0" w:lastColumn="0" w:oddVBand="0" w:evenVBand="0" w:oddHBand="0" w:evenHBand="0" w:firstRowFirstColumn="0" w:firstRowLastColumn="0" w:lastRowFirstColumn="0" w:lastRowLastColumn="0"/>
              <w:rPr>
                <w:b w:val="0"/>
                <w:bCs w:val="0"/>
                <w:szCs w:val="20"/>
                <w:lang w:val="en-GB"/>
              </w:rPr>
            </w:pPr>
            <w:r w:rsidRPr="000B525C">
              <w:rPr>
                <w:szCs w:val="20"/>
                <w:lang w:val="en-GB"/>
              </w:rPr>
              <w:t>2 points</w:t>
            </w:r>
          </w:p>
        </w:tc>
        <w:tc>
          <w:tcPr>
            <w:tcW w:w="2267" w:type="dxa"/>
            <w:shd w:val="clear" w:color="auto" w:fill="B4C6E7" w:themeFill="accent5" w:themeFillTint="66"/>
            <w:hideMark/>
          </w:tcPr>
          <w:p w14:paraId="57773303" w14:textId="77777777" w:rsidR="005F1485" w:rsidRPr="000B525C" w:rsidRDefault="005F1485" w:rsidP="000B525C">
            <w:pPr>
              <w:jc w:val="center"/>
              <w:cnfStyle w:val="100000000000" w:firstRow="1" w:lastRow="0" w:firstColumn="0" w:lastColumn="0" w:oddVBand="0" w:evenVBand="0" w:oddHBand="0" w:evenHBand="0" w:firstRowFirstColumn="0" w:firstRowLastColumn="0" w:lastRowFirstColumn="0" w:lastRowLastColumn="0"/>
              <w:rPr>
                <w:b w:val="0"/>
                <w:bCs w:val="0"/>
                <w:szCs w:val="20"/>
                <w:lang w:val="en-GB"/>
              </w:rPr>
            </w:pPr>
            <w:r w:rsidRPr="000B525C">
              <w:rPr>
                <w:szCs w:val="20"/>
                <w:lang w:val="en-GB"/>
              </w:rPr>
              <w:t>3 points</w:t>
            </w:r>
          </w:p>
        </w:tc>
      </w:tr>
      <w:tr w:rsidR="005F1485" w:rsidRPr="000B525C" w14:paraId="0DDCCF9D" w14:textId="77777777" w:rsidTr="00D75726">
        <w:tc>
          <w:tcPr>
            <w:cnfStyle w:val="001000000000" w:firstRow="0" w:lastRow="0" w:firstColumn="1" w:lastColumn="0" w:oddVBand="0" w:evenVBand="0" w:oddHBand="0" w:evenHBand="0" w:firstRowFirstColumn="0" w:firstRowLastColumn="0" w:lastRowFirstColumn="0" w:lastRowLastColumn="0"/>
            <w:tcW w:w="0" w:type="auto"/>
            <w:hideMark/>
          </w:tcPr>
          <w:p w14:paraId="25A19F92" w14:textId="77777777" w:rsidR="005F1485" w:rsidRPr="000B525C" w:rsidRDefault="005F1485" w:rsidP="000B525C">
            <w:pPr>
              <w:jc w:val="center"/>
              <w:rPr>
                <w:szCs w:val="20"/>
                <w:lang w:val="en-GB"/>
              </w:rPr>
            </w:pPr>
            <w:r w:rsidRPr="000B525C">
              <w:rPr>
                <w:szCs w:val="20"/>
                <w:lang w:val="en-GB"/>
              </w:rPr>
              <w:t>Total bilirubin, μmol/L (mg/dL)</w:t>
            </w:r>
          </w:p>
        </w:tc>
        <w:tc>
          <w:tcPr>
            <w:tcW w:w="1215" w:type="dxa"/>
            <w:hideMark/>
          </w:tcPr>
          <w:p w14:paraId="447368AC" w14:textId="6599D8DB"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&lt;</w:t>
            </w:r>
            <w:r w:rsidR="00616B82">
              <w:rPr>
                <w:szCs w:val="20"/>
                <w:lang w:val="en-GB"/>
              </w:rPr>
              <w:t xml:space="preserve"> </w:t>
            </w:r>
            <w:r w:rsidRPr="000B525C">
              <w:rPr>
                <w:szCs w:val="20"/>
                <w:lang w:val="en-GB"/>
              </w:rPr>
              <w:t>34 (&lt;</w:t>
            </w:r>
            <w:r w:rsidR="00616B82">
              <w:rPr>
                <w:szCs w:val="20"/>
                <w:lang w:val="en-GB"/>
              </w:rPr>
              <w:t xml:space="preserve"> </w:t>
            </w:r>
            <w:r w:rsidRPr="000B525C">
              <w:rPr>
                <w:szCs w:val="20"/>
                <w:lang w:val="en-GB"/>
              </w:rPr>
              <w:t>2)</w:t>
            </w:r>
          </w:p>
        </w:tc>
        <w:tc>
          <w:tcPr>
            <w:tcW w:w="2693" w:type="dxa"/>
            <w:hideMark/>
          </w:tcPr>
          <w:p w14:paraId="1A837703"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34-50 (2-3)</w:t>
            </w:r>
          </w:p>
        </w:tc>
        <w:tc>
          <w:tcPr>
            <w:tcW w:w="2267" w:type="dxa"/>
            <w:hideMark/>
          </w:tcPr>
          <w:p w14:paraId="4079707A" w14:textId="58C40A4D"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&gt;</w:t>
            </w:r>
            <w:r w:rsidR="00616B82">
              <w:rPr>
                <w:szCs w:val="20"/>
                <w:lang w:val="en-GB"/>
              </w:rPr>
              <w:t xml:space="preserve"> </w:t>
            </w:r>
            <w:r w:rsidRPr="000B525C">
              <w:rPr>
                <w:szCs w:val="20"/>
                <w:lang w:val="en-GB"/>
              </w:rPr>
              <w:t>50 (&gt;</w:t>
            </w:r>
            <w:r w:rsidR="00E35A9C">
              <w:rPr>
                <w:szCs w:val="20"/>
                <w:lang w:val="en-GB"/>
              </w:rPr>
              <w:t xml:space="preserve"> </w:t>
            </w:r>
            <w:r w:rsidRPr="000B525C">
              <w:rPr>
                <w:szCs w:val="20"/>
                <w:lang w:val="en-GB"/>
              </w:rPr>
              <w:t>3)</w:t>
            </w:r>
          </w:p>
        </w:tc>
      </w:tr>
      <w:tr w:rsidR="005F1485" w:rsidRPr="000B525C" w14:paraId="6EB02808" w14:textId="77777777" w:rsidTr="00D75726">
        <w:tc>
          <w:tcPr>
            <w:cnfStyle w:val="001000000000" w:firstRow="0" w:lastRow="0" w:firstColumn="1" w:lastColumn="0" w:oddVBand="0" w:evenVBand="0" w:oddHBand="0" w:evenHBand="0" w:firstRowFirstColumn="0" w:firstRowLastColumn="0" w:lastRowFirstColumn="0" w:lastRowLastColumn="0"/>
            <w:tcW w:w="0" w:type="auto"/>
            <w:hideMark/>
          </w:tcPr>
          <w:p w14:paraId="6B1584F6" w14:textId="615D62CF" w:rsidR="005F1485" w:rsidRPr="000B525C" w:rsidRDefault="005F1485" w:rsidP="000B525C">
            <w:pPr>
              <w:jc w:val="center"/>
              <w:rPr>
                <w:szCs w:val="20"/>
                <w:lang w:val="en-GB"/>
              </w:rPr>
            </w:pPr>
            <w:r w:rsidRPr="000B525C">
              <w:rPr>
                <w:szCs w:val="20"/>
                <w:lang w:val="en-GB"/>
              </w:rPr>
              <w:t>Serum albumin, g/</w:t>
            </w:r>
            <w:r w:rsidR="00263919">
              <w:rPr>
                <w:szCs w:val="20"/>
                <w:lang w:val="en-GB"/>
              </w:rPr>
              <w:t>L</w:t>
            </w:r>
          </w:p>
        </w:tc>
        <w:tc>
          <w:tcPr>
            <w:tcW w:w="1215" w:type="dxa"/>
            <w:hideMark/>
          </w:tcPr>
          <w:p w14:paraId="339AC3C9" w14:textId="5A212E1C"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&gt;</w:t>
            </w:r>
            <w:r w:rsidR="00616B82">
              <w:rPr>
                <w:szCs w:val="20"/>
                <w:lang w:val="en-GB"/>
              </w:rPr>
              <w:t xml:space="preserve"> </w:t>
            </w:r>
            <w:r w:rsidRPr="000B525C">
              <w:rPr>
                <w:szCs w:val="20"/>
                <w:lang w:val="en-GB"/>
              </w:rPr>
              <w:t>35</w:t>
            </w:r>
          </w:p>
        </w:tc>
        <w:tc>
          <w:tcPr>
            <w:tcW w:w="2693" w:type="dxa"/>
            <w:hideMark/>
          </w:tcPr>
          <w:p w14:paraId="5355B795"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28-35</w:t>
            </w:r>
          </w:p>
        </w:tc>
        <w:tc>
          <w:tcPr>
            <w:tcW w:w="2267" w:type="dxa"/>
            <w:hideMark/>
          </w:tcPr>
          <w:p w14:paraId="1A70A67F"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&lt; 28</w:t>
            </w:r>
          </w:p>
        </w:tc>
      </w:tr>
      <w:tr w:rsidR="005F1485" w:rsidRPr="000B525C" w14:paraId="438EAD42" w14:textId="77777777" w:rsidTr="00D75726">
        <w:tc>
          <w:tcPr>
            <w:cnfStyle w:val="001000000000" w:firstRow="0" w:lastRow="0" w:firstColumn="1" w:lastColumn="0" w:oddVBand="0" w:evenVBand="0" w:oddHBand="0" w:evenHBand="0" w:firstRowFirstColumn="0" w:firstRowLastColumn="0" w:lastRowFirstColumn="0" w:lastRowLastColumn="0"/>
            <w:tcW w:w="0" w:type="auto"/>
            <w:hideMark/>
          </w:tcPr>
          <w:p w14:paraId="76FCA933" w14:textId="77777777" w:rsidR="005F1485" w:rsidRPr="000B525C" w:rsidRDefault="005F1485" w:rsidP="000B525C">
            <w:pPr>
              <w:jc w:val="center"/>
              <w:rPr>
                <w:szCs w:val="20"/>
                <w:lang w:val="en-GB"/>
              </w:rPr>
            </w:pPr>
            <w:r w:rsidRPr="000B525C">
              <w:rPr>
                <w:szCs w:val="20"/>
                <w:lang w:val="en-GB"/>
              </w:rPr>
              <w:t>INR</w:t>
            </w:r>
          </w:p>
        </w:tc>
        <w:tc>
          <w:tcPr>
            <w:tcW w:w="1215" w:type="dxa"/>
            <w:hideMark/>
          </w:tcPr>
          <w:p w14:paraId="55F3F1C0"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&lt; 1.7</w:t>
            </w:r>
          </w:p>
        </w:tc>
        <w:tc>
          <w:tcPr>
            <w:tcW w:w="2693" w:type="dxa"/>
            <w:hideMark/>
          </w:tcPr>
          <w:p w14:paraId="0A8E4611"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1.71-2.30</w:t>
            </w:r>
          </w:p>
        </w:tc>
        <w:tc>
          <w:tcPr>
            <w:tcW w:w="2267" w:type="dxa"/>
            <w:hideMark/>
          </w:tcPr>
          <w:p w14:paraId="0F22C28F"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&gt; 2.30</w:t>
            </w:r>
          </w:p>
        </w:tc>
      </w:tr>
      <w:tr w:rsidR="005F1485" w:rsidRPr="000B525C" w14:paraId="42AE18A6" w14:textId="77777777" w:rsidTr="00D75726">
        <w:tc>
          <w:tcPr>
            <w:cnfStyle w:val="001000000000" w:firstRow="0" w:lastRow="0" w:firstColumn="1" w:lastColumn="0" w:oddVBand="0" w:evenVBand="0" w:oddHBand="0" w:evenHBand="0" w:firstRowFirstColumn="0" w:firstRowLastColumn="0" w:lastRowFirstColumn="0" w:lastRowLastColumn="0"/>
            <w:tcW w:w="0" w:type="auto"/>
            <w:hideMark/>
          </w:tcPr>
          <w:p w14:paraId="5399977D" w14:textId="77D2084B" w:rsidR="005F1485" w:rsidRPr="000B525C" w:rsidRDefault="005F1485" w:rsidP="000B525C">
            <w:pPr>
              <w:jc w:val="center"/>
              <w:rPr>
                <w:szCs w:val="20"/>
                <w:lang w:val="en-GB"/>
              </w:rPr>
            </w:pPr>
            <w:r w:rsidRPr="000B525C">
              <w:rPr>
                <w:szCs w:val="20"/>
                <w:lang w:val="en-GB"/>
              </w:rPr>
              <w:t>Ascites</w:t>
            </w:r>
            <w:r w:rsidR="004833AA">
              <w:rPr>
                <w:szCs w:val="20"/>
                <w:lang w:val="en-GB"/>
              </w:rPr>
              <w:t>, grade</w:t>
            </w:r>
            <w:r w:rsidRPr="000B525C">
              <w:rPr>
                <w:szCs w:val="20"/>
                <w:lang w:val="en-GB"/>
              </w:rPr>
              <w:t xml:space="preserve"> (see below)</w:t>
            </w:r>
          </w:p>
        </w:tc>
        <w:tc>
          <w:tcPr>
            <w:tcW w:w="1215" w:type="dxa"/>
            <w:hideMark/>
          </w:tcPr>
          <w:p w14:paraId="4655806F"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None</w:t>
            </w:r>
          </w:p>
        </w:tc>
        <w:tc>
          <w:tcPr>
            <w:tcW w:w="2693" w:type="dxa"/>
            <w:hideMark/>
          </w:tcPr>
          <w:p w14:paraId="592CFCFC"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Mild</w:t>
            </w:r>
          </w:p>
        </w:tc>
        <w:tc>
          <w:tcPr>
            <w:tcW w:w="2267" w:type="dxa"/>
            <w:hideMark/>
          </w:tcPr>
          <w:p w14:paraId="2DF24782"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Moderate to Severe</w:t>
            </w:r>
          </w:p>
        </w:tc>
      </w:tr>
      <w:tr w:rsidR="005F1485" w:rsidRPr="00F56536" w14:paraId="151E4102" w14:textId="77777777" w:rsidTr="00D75726">
        <w:tc>
          <w:tcPr>
            <w:cnfStyle w:val="001000000000" w:firstRow="0" w:lastRow="0" w:firstColumn="1" w:lastColumn="0" w:oddVBand="0" w:evenVBand="0" w:oddHBand="0" w:evenHBand="0" w:firstRowFirstColumn="0" w:firstRowLastColumn="0" w:lastRowFirstColumn="0" w:lastRowLastColumn="0"/>
            <w:tcW w:w="0" w:type="auto"/>
            <w:hideMark/>
          </w:tcPr>
          <w:p w14:paraId="2BF46AA7" w14:textId="5AC9E31E" w:rsidR="005F1485" w:rsidRPr="000B525C" w:rsidRDefault="005F1485" w:rsidP="000B525C">
            <w:pPr>
              <w:jc w:val="center"/>
              <w:rPr>
                <w:szCs w:val="20"/>
                <w:lang w:val="en-GB"/>
              </w:rPr>
            </w:pPr>
            <w:r w:rsidRPr="000B525C">
              <w:rPr>
                <w:szCs w:val="20"/>
                <w:lang w:val="en-GB"/>
              </w:rPr>
              <w:t>Hepatic encephalopathy</w:t>
            </w:r>
            <w:r w:rsidR="004833AA">
              <w:rPr>
                <w:szCs w:val="20"/>
                <w:lang w:val="en-GB"/>
              </w:rPr>
              <w:t>, West Haven criteria</w:t>
            </w:r>
            <w:r w:rsidRPr="000B525C">
              <w:rPr>
                <w:szCs w:val="20"/>
                <w:lang w:val="en-GB"/>
              </w:rPr>
              <w:t xml:space="preserve"> (see below)</w:t>
            </w:r>
          </w:p>
        </w:tc>
        <w:tc>
          <w:tcPr>
            <w:tcW w:w="1215" w:type="dxa"/>
            <w:hideMark/>
          </w:tcPr>
          <w:p w14:paraId="5AAC540B"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None</w:t>
            </w:r>
          </w:p>
        </w:tc>
        <w:tc>
          <w:tcPr>
            <w:tcW w:w="2693" w:type="dxa"/>
            <w:hideMark/>
          </w:tcPr>
          <w:p w14:paraId="20211FDC"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Grade I-II (or suppressed with medication)</w:t>
            </w:r>
          </w:p>
        </w:tc>
        <w:tc>
          <w:tcPr>
            <w:tcW w:w="2267" w:type="dxa"/>
            <w:hideMark/>
          </w:tcPr>
          <w:p w14:paraId="31D00A0C" w14:textId="77777777" w:rsidR="005F1485" w:rsidRPr="000B525C" w:rsidRDefault="005F1485" w:rsidP="000B525C">
            <w:pPr>
              <w:jc w:val="center"/>
              <w:cnfStyle w:val="000000000000" w:firstRow="0" w:lastRow="0" w:firstColumn="0" w:lastColumn="0" w:oddVBand="0" w:evenVBand="0" w:oddHBand="0" w:evenHBand="0" w:firstRowFirstColumn="0" w:firstRowLastColumn="0" w:lastRowFirstColumn="0" w:lastRowLastColumn="0"/>
              <w:rPr>
                <w:szCs w:val="20"/>
                <w:lang w:val="en-GB"/>
              </w:rPr>
            </w:pPr>
            <w:r w:rsidRPr="000B525C">
              <w:rPr>
                <w:szCs w:val="20"/>
                <w:lang w:val="en-GB"/>
              </w:rPr>
              <w:t>Grade III-IV (or refractory)</w:t>
            </w:r>
          </w:p>
        </w:tc>
      </w:tr>
    </w:tbl>
    <w:p w14:paraId="28D0C909" w14:textId="77777777" w:rsidR="00556CD2" w:rsidRDefault="00556CD2" w:rsidP="00C26F31">
      <w:pPr>
        <w:spacing w:after="0" w:line="240" w:lineRule="auto"/>
        <w:jc w:val="both"/>
        <w:rPr>
          <w:b/>
          <w:bCs/>
          <w:i/>
          <w:iCs/>
          <w:lang w:val="en-GB"/>
        </w:rPr>
      </w:pPr>
    </w:p>
    <w:p w14:paraId="10B5223B" w14:textId="0AD1AC6F" w:rsidR="00183880" w:rsidRPr="000B525C" w:rsidRDefault="00183880" w:rsidP="00C26F31">
      <w:pPr>
        <w:spacing w:after="0" w:line="240" w:lineRule="auto"/>
        <w:jc w:val="both"/>
        <w:rPr>
          <w:b/>
          <w:bCs/>
          <w:i/>
          <w:iCs/>
          <w:lang w:val="en-GB"/>
        </w:rPr>
      </w:pPr>
      <w:r w:rsidRPr="000B525C">
        <w:rPr>
          <w:b/>
          <w:bCs/>
          <w:i/>
          <w:iCs/>
          <w:lang w:val="en-GB"/>
        </w:rPr>
        <w:t>Grade of ascites:</w:t>
      </w:r>
    </w:p>
    <w:p w14:paraId="15573823" w14:textId="56A48374" w:rsidR="00183880" w:rsidRPr="000B525C" w:rsidRDefault="00183880" w:rsidP="00183880">
      <w:pPr>
        <w:pStyle w:val="ListParagraph"/>
        <w:numPr>
          <w:ilvl w:val="0"/>
          <w:numId w:val="28"/>
        </w:numPr>
        <w:jc w:val="both"/>
        <w:rPr>
          <w:lang w:val="en-GB"/>
        </w:rPr>
      </w:pPr>
      <w:r w:rsidRPr="000B525C">
        <w:rPr>
          <w:lang w:val="en-GB"/>
        </w:rPr>
        <w:t>Mild</w:t>
      </w:r>
      <w:r w:rsidR="0082498F">
        <w:rPr>
          <w:lang w:val="en-GB"/>
        </w:rPr>
        <w:t xml:space="preserve"> –</w:t>
      </w:r>
      <w:r w:rsidRPr="000B525C">
        <w:rPr>
          <w:lang w:val="en-GB"/>
        </w:rPr>
        <w:t xml:space="preserve"> only visible on ultrasound and CT;</w:t>
      </w:r>
    </w:p>
    <w:p w14:paraId="459BBE1E" w14:textId="0053D455" w:rsidR="00183880" w:rsidRPr="000B525C" w:rsidRDefault="00183880" w:rsidP="00183880">
      <w:pPr>
        <w:pStyle w:val="ListParagraph"/>
        <w:numPr>
          <w:ilvl w:val="0"/>
          <w:numId w:val="28"/>
        </w:numPr>
        <w:jc w:val="both"/>
        <w:rPr>
          <w:lang w:val="en-GB"/>
        </w:rPr>
      </w:pPr>
      <w:r w:rsidRPr="000B525C">
        <w:rPr>
          <w:lang w:val="en-GB"/>
        </w:rPr>
        <w:t>Moderate</w:t>
      </w:r>
      <w:r w:rsidR="0082498F">
        <w:rPr>
          <w:lang w:val="en-GB"/>
        </w:rPr>
        <w:t xml:space="preserve"> –</w:t>
      </w:r>
      <w:r w:rsidRPr="000B525C">
        <w:rPr>
          <w:lang w:val="en-GB"/>
        </w:rPr>
        <w:t xml:space="preserve"> detectable with flank bulging and shifting dullness;</w:t>
      </w:r>
    </w:p>
    <w:p w14:paraId="1DFE1B14" w14:textId="2B057687" w:rsidR="002672D1" w:rsidRPr="007D3A24" w:rsidRDefault="00183880" w:rsidP="002672D1">
      <w:pPr>
        <w:pStyle w:val="ListParagraph"/>
        <w:numPr>
          <w:ilvl w:val="0"/>
          <w:numId w:val="28"/>
        </w:numPr>
        <w:jc w:val="both"/>
        <w:rPr>
          <w:lang w:val="en-GB"/>
        </w:rPr>
      </w:pPr>
      <w:r w:rsidRPr="000B525C">
        <w:rPr>
          <w:lang w:val="en-GB"/>
        </w:rPr>
        <w:t>Severe</w:t>
      </w:r>
      <w:r w:rsidR="0082498F">
        <w:rPr>
          <w:lang w:val="en-GB"/>
        </w:rPr>
        <w:t xml:space="preserve"> –</w:t>
      </w:r>
      <w:r w:rsidRPr="000B525C">
        <w:rPr>
          <w:lang w:val="en-GB"/>
        </w:rPr>
        <w:t xml:space="preserve"> directly visible, confirmed with the fluid wave test</w:t>
      </w:r>
      <w:r w:rsidR="00717597">
        <w:rPr>
          <w:lang w:val="en-GB"/>
        </w:rPr>
        <w:t>.</w:t>
      </w:r>
    </w:p>
    <w:p w14:paraId="488E2E6A" w14:textId="77777777" w:rsidR="005F1485" w:rsidRPr="000B525C" w:rsidRDefault="005F1485" w:rsidP="005F1485">
      <w:pPr>
        <w:rPr>
          <w:b/>
          <w:bCs/>
          <w:i/>
          <w:iCs/>
          <w:lang w:val="en-GB"/>
        </w:rPr>
      </w:pPr>
      <w:r w:rsidRPr="000B525C">
        <w:rPr>
          <w:b/>
          <w:bCs/>
          <w:i/>
          <w:iCs/>
          <w:lang w:val="en-GB"/>
        </w:rPr>
        <w:t>West Haven Criteria of hepatic encephalopathy:</w:t>
      </w:r>
    </w:p>
    <w:p w14:paraId="10843891" w14:textId="0BA0F4FC" w:rsidR="00183880" w:rsidRPr="000B525C" w:rsidRDefault="005F1485" w:rsidP="005F1485">
      <w:pPr>
        <w:pStyle w:val="ListParagraph"/>
        <w:numPr>
          <w:ilvl w:val="0"/>
          <w:numId w:val="29"/>
        </w:numPr>
        <w:jc w:val="both"/>
        <w:rPr>
          <w:lang w:val="en-GB"/>
        </w:rPr>
      </w:pPr>
      <w:r w:rsidRPr="000B525C">
        <w:rPr>
          <w:b/>
          <w:bCs/>
          <w:lang w:val="en-GB"/>
        </w:rPr>
        <w:t xml:space="preserve">Grade I </w:t>
      </w:r>
      <w:r w:rsidR="0082498F">
        <w:rPr>
          <w:lang w:val="en-GB"/>
        </w:rPr>
        <w:t>–</w:t>
      </w:r>
      <w:r w:rsidRPr="000B525C">
        <w:rPr>
          <w:lang w:val="en-GB"/>
        </w:rPr>
        <w:t xml:space="preserve"> Trivial lack of awareness; euphoria or anxiety; shortened attention span; impaired performance of addition or subtraction;</w:t>
      </w:r>
    </w:p>
    <w:p w14:paraId="5E6A0F9B" w14:textId="38E3248A" w:rsidR="00183880" w:rsidRPr="000B525C" w:rsidRDefault="005F1485" w:rsidP="005F1485">
      <w:pPr>
        <w:pStyle w:val="ListParagraph"/>
        <w:numPr>
          <w:ilvl w:val="0"/>
          <w:numId w:val="29"/>
        </w:numPr>
        <w:jc w:val="both"/>
        <w:rPr>
          <w:lang w:val="en-GB"/>
        </w:rPr>
      </w:pPr>
      <w:r w:rsidRPr="000B525C">
        <w:rPr>
          <w:b/>
          <w:bCs/>
          <w:lang w:val="en-GB"/>
        </w:rPr>
        <w:lastRenderedPageBreak/>
        <w:t>Grade II</w:t>
      </w:r>
      <w:r w:rsidRPr="000B525C">
        <w:rPr>
          <w:lang w:val="en-GB"/>
        </w:rPr>
        <w:t xml:space="preserve"> </w:t>
      </w:r>
      <w:r w:rsidR="0082498F">
        <w:rPr>
          <w:lang w:val="en-GB"/>
        </w:rPr>
        <w:t>–</w:t>
      </w:r>
      <w:r w:rsidRPr="000B525C">
        <w:rPr>
          <w:lang w:val="en-GB"/>
        </w:rPr>
        <w:t xml:space="preserve"> Lethargy or apathy; minimal disorientation for time or place; subtle personality change; inappropriate behaviour;</w:t>
      </w:r>
    </w:p>
    <w:p w14:paraId="286AA156" w14:textId="77777777" w:rsidR="00183880" w:rsidRPr="000B525C" w:rsidRDefault="005F1485" w:rsidP="005F1485">
      <w:pPr>
        <w:pStyle w:val="ListParagraph"/>
        <w:numPr>
          <w:ilvl w:val="0"/>
          <w:numId w:val="29"/>
        </w:numPr>
        <w:jc w:val="both"/>
        <w:rPr>
          <w:lang w:val="en-GB"/>
        </w:rPr>
      </w:pPr>
      <w:r w:rsidRPr="000B525C">
        <w:rPr>
          <w:b/>
          <w:bCs/>
          <w:lang w:val="en-GB"/>
        </w:rPr>
        <w:t>Grade III</w:t>
      </w:r>
      <w:r w:rsidRPr="000B525C">
        <w:rPr>
          <w:lang w:val="en-GB"/>
        </w:rPr>
        <w:t xml:space="preserve"> – Somnolence to semi-stupor but responsive to verbal stimuli; confusion; gross disorientation;</w:t>
      </w:r>
    </w:p>
    <w:p w14:paraId="38981549" w14:textId="7CFD966C" w:rsidR="005016C8" w:rsidRPr="007D3A24" w:rsidRDefault="005F1485" w:rsidP="007D3A24">
      <w:pPr>
        <w:pStyle w:val="ListParagraph"/>
        <w:numPr>
          <w:ilvl w:val="0"/>
          <w:numId w:val="29"/>
        </w:numPr>
        <w:jc w:val="both"/>
        <w:rPr>
          <w:rStyle w:val="mw-headline"/>
          <w:lang w:val="en-GB"/>
        </w:rPr>
      </w:pPr>
      <w:r w:rsidRPr="000B525C">
        <w:rPr>
          <w:b/>
          <w:bCs/>
          <w:lang w:val="en-GB"/>
        </w:rPr>
        <w:t>Grade IV</w:t>
      </w:r>
      <w:r w:rsidRPr="000B525C">
        <w:rPr>
          <w:lang w:val="en-GB"/>
        </w:rPr>
        <w:t xml:space="preserve"> </w:t>
      </w:r>
      <w:r w:rsidR="0082498F">
        <w:rPr>
          <w:lang w:val="en-GB"/>
        </w:rPr>
        <w:t>–</w:t>
      </w:r>
      <w:r w:rsidRPr="000B525C">
        <w:rPr>
          <w:lang w:val="en-GB"/>
        </w:rPr>
        <w:t xml:space="preserve"> Coma (unresponsive to verbal or noxious stimuli).</w:t>
      </w:r>
    </w:p>
    <w:p w14:paraId="78A49920" w14:textId="2780BAB3" w:rsidR="007B6B4C" w:rsidRDefault="007B6B4C" w:rsidP="007B6B4C">
      <w:pPr>
        <w:pStyle w:val="NormalWeb"/>
        <w:spacing w:before="0" w:beforeAutospacing="0" w:after="0" w:afterAutospacing="0"/>
        <w:jc w:val="both"/>
        <w:rPr>
          <w:rFonts w:ascii="Calibri" w:hAnsi="Calibri"/>
          <w:i/>
          <w:iCs/>
          <w:sz w:val="22"/>
          <w:szCs w:val="22"/>
          <w:lang w:val="en-GB"/>
        </w:rPr>
      </w:pPr>
      <w:r w:rsidRPr="000B525C">
        <w:rPr>
          <w:rFonts w:ascii="Calibri" w:hAnsi="Calibri" w:cs="Calibri"/>
          <w:i/>
          <w:iCs/>
          <w:sz w:val="22"/>
          <w:szCs w:val="22"/>
          <w:lang w:val="en-GB"/>
        </w:rPr>
        <w:t xml:space="preserve">Table </w:t>
      </w:r>
      <w:r w:rsidR="00BA06B8">
        <w:rPr>
          <w:rFonts w:ascii="Calibri" w:hAnsi="Calibri" w:cs="Calibri"/>
          <w:i/>
          <w:iCs/>
          <w:sz w:val="22"/>
          <w:szCs w:val="22"/>
          <w:lang w:val="en-GB"/>
        </w:rPr>
        <w:t>3</w:t>
      </w:r>
      <w:r w:rsidRPr="000B525C">
        <w:rPr>
          <w:rFonts w:ascii="Calibri" w:hAnsi="Calibri" w:cs="Calibri"/>
          <w:i/>
          <w:iCs/>
          <w:sz w:val="22"/>
          <w:szCs w:val="22"/>
          <w:lang w:val="en-GB"/>
        </w:rPr>
        <w:t>:</w:t>
      </w:r>
      <w:r w:rsidRPr="000B525C">
        <w:rPr>
          <w:rFonts w:ascii="Calibri" w:hAnsi="Calibri"/>
          <w:i/>
          <w:iCs/>
          <w:sz w:val="22"/>
          <w:szCs w:val="22"/>
          <w:lang w:val="en-GB"/>
        </w:rPr>
        <w:t xml:space="preserve"> </w:t>
      </w:r>
      <w:r>
        <w:rPr>
          <w:rFonts w:ascii="Calibri" w:hAnsi="Calibri"/>
          <w:i/>
          <w:iCs/>
          <w:sz w:val="22"/>
          <w:szCs w:val="22"/>
          <w:lang w:val="en-GB"/>
        </w:rPr>
        <w:t xml:space="preserve">Interpretation of </w:t>
      </w:r>
      <w:r w:rsidRPr="000B525C">
        <w:rPr>
          <w:rFonts w:ascii="Calibri" w:hAnsi="Calibri"/>
          <w:i/>
          <w:iCs/>
          <w:sz w:val="22"/>
          <w:szCs w:val="22"/>
          <w:lang w:val="en-GB"/>
        </w:rPr>
        <w:t xml:space="preserve">Child-Pugh </w:t>
      </w:r>
      <w:r>
        <w:rPr>
          <w:rFonts w:ascii="Calibri" w:hAnsi="Calibri"/>
          <w:i/>
          <w:iCs/>
          <w:sz w:val="22"/>
          <w:szCs w:val="22"/>
          <w:lang w:val="en-GB"/>
        </w:rPr>
        <w:t>s</w:t>
      </w:r>
      <w:r w:rsidRPr="000B525C">
        <w:rPr>
          <w:rFonts w:ascii="Calibri" w:hAnsi="Calibri"/>
          <w:i/>
          <w:iCs/>
          <w:sz w:val="22"/>
          <w:szCs w:val="22"/>
          <w:lang w:val="en-GB"/>
        </w:rPr>
        <w:t xml:space="preserve">core </w:t>
      </w:r>
      <w:r>
        <w:rPr>
          <w:rFonts w:ascii="Calibri" w:hAnsi="Calibri"/>
          <w:i/>
          <w:iCs/>
          <w:sz w:val="22"/>
          <w:szCs w:val="22"/>
          <w:lang w:val="en-GB"/>
        </w:rPr>
        <w:t>results</w:t>
      </w:r>
      <w:r w:rsidRPr="000B525C">
        <w:rPr>
          <w:rFonts w:ascii="Calibri" w:hAnsi="Calibri"/>
          <w:i/>
          <w:iCs/>
          <w:sz w:val="22"/>
          <w:szCs w:val="22"/>
          <w:lang w:val="en-GB"/>
        </w:rPr>
        <w:t>:</w:t>
      </w:r>
    </w:p>
    <w:p w14:paraId="78D143F3" w14:textId="77777777" w:rsidR="007B6B4C" w:rsidRDefault="007B6B4C" w:rsidP="007B6B4C">
      <w:pPr>
        <w:pStyle w:val="NormalWeb"/>
        <w:spacing w:before="0" w:beforeAutospacing="0" w:after="0" w:afterAutospacing="0"/>
        <w:jc w:val="both"/>
        <w:rPr>
          <w:rFonts w:ascii="Calibri" w:hAnsi="Calibri"/>
          <w:i/>
          <w:iCs/>
          <w:sz w:val="22"/>
          <w:szCs w:val="22"/>
          <w:lang w:val="en-GB"/>
        </w:rPr>
      </w:pPr>
    </w:p>
    <w:tbl>
      <w:tblPr>
        <w:tblStyle w:val="TableauGrille1Clair-Accentuation51"/>
        <w:tblW w:w="0" w:type="auto"/>
        <w:tblLook w:val="00A0" w:firstRow="1" w:lastRow="0" w:firstColumn="1" w:lastColumn="0" w:noHBand="0" w:noVBand="0"/>
      </w:tblPr>
      <w:tblGrid>
        <w:gridCol w:w="1129"/>
        <w:gridCol w:w="1276"/>
        <w:gridCol w:w="3157"/>
        <w:gridCol w:w="1854"/>
        <w:gridCol w:w="1854"/>
      </w:tblGrid>
      <w:tr w:rsidR="006555C7" w:rsidRPr="005016C8" w14:paraId="413520F8" w14:textId="77777777" w:rsidTr="00893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B4C6E7" w:themeFill="accent5" w:themeFillTint="66"/>
            <w:vAlign w:val="center"/>
            <w:hideMark/>
          </w:tcPr>
          <w:p w14:paraId="199D022D" w14:textId="77777777" w:rsidR="006555C7" w:rsidRPr="005016C8" w:rsidRDefault="006555C7" w:rsidP="00BA06B8">
            <w:pPr>
              <w:jc w:val="center"/>
              <w:rPr>
                <w:b w:val="0"/>
                <w:bCs w:val="0"/>
                <w:lang w:val="en-GB"/>
              </w:rPr>
            </w:pPr>
            <w:r w:rsidRPr="005016C8">
              <w:rPr>
                <w:lang w:val="en-GB"/>
              </w:rPr>
              <w:t>Points</w:t>
            </w:r>
          </w:p>
        </w:tc>
        <w:tc>
          <w:tcPr>
            <w:tcW w:w="1276" w:type="dxa"/>
            <w:shd w:val="clear" w:color="auto" w:fill="B4C6E7" w:themeFill="accent5" w:themeFillTint="66"/>
            <w:vAlign w:val="center"/>
            <w:hideMark/>
          </w:tcPr>
          <w:p w14:paraId="37693291" w14:textId="77777777" w:rsidR="006555C7" w:rsidRPr="005016C8" w:rsidRDefault="006555C7" w:rsidP="00BA06B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5016C8">
              <w:rPr>
                <w:lang w:val="en-GB"/>
              </w:rPr>
              <w:t>Class</w:t>
            </w:r>
          </w:p>
        </w:tc>
        <w:tc>
          <w:tcPr>
            <w:tcW w:w="3157" w:type="dxa"/>
            <w:shd w:val="clear" w:color="auto" w:fill="B4C6E7" w:themeFill="accent5" w:themeFillTint="66"/>
            <w:vAlign w:val="center"/>
          </w:tcPr>
          <w:p w14:paraId="713D7958" w14:textId="313B0303" w:rsidR="006555C7" w:rsidRPr="005016C8" w:rsidRDefault="006555C7" w:rsidP="00BA06B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5016C8">
              <w:rPr>
                <w:lang w:val="en-GB"/>
              </w:rPr>
              <w:t>Type of cirrhosis</w:t>
            </w:r>
          </w:p>
        </w:tc>
        <w:tc>
          <w:tcPr>
            <w:tcW w:w="1854" w:type="dxa"/>
            <w:shd w:val="clear" w:color="auto" w:fill="B4C6E7" w:themeFill="accent5" w:themeFillTint="66"/>
            <w:vAlign w:val="center"/>
            <w:hideMark/>
          </w:tcPr>
          <w:p w14:paraId="59C5C3AF" w14:textId="2F9CF62A" w:rsidR="006555C7" w:rsidRPr="005016C8" w:rsidRDefault="00BA06B8" w:rsidP="00BA06B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5016C8">
              <w:rPr>
                <w:lang w:val="en-GB"/>
              </w:rPr>
              <w:t>One-year</w:t>
            </w:r>
            <w:r w:rsidR="006555C7" w:rsidRPr="005016C8">
              <w:rPr>
                <w:lang w:val="en-GB"/>
              </w:rPr>
              <w:t xml:space="preserve"> survival</w:t>
            </w:r>
          </w:p>
        </w:tc>
        <w:tc>
          <w:tcPr>
            <w:tcW w:w="1854" w:type="dxa"/>
            <w:shd w:val="clear" w:color="auto" w:fill="B4C6E7" w:themeFill="accent5" w:themeFillTint="66"/>
            <w:vAlign w:val="center"/>
            <w:hideMark/>
          </w:tcPr>
          <w:p w14:paraId="12F0F6B4" w14:textId="2F27A076" w:rsidR="006555C7" w:rsidRPr="005016C8" w:rsidRDefault="006555C7" w:rsidP="00BA06B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5016C8">
              <w:rPr>
                <w:lang w:val="en-GB"/>
              </w:rPr>
              <w:t>Two</w:t>
            </w:r>
            <w:r w:rsidR="00927BAE">
              <w:rPr>
                <w:lang w:val="en-GB"/>
              </w:rPr>
              <w:t>-</w:t>
            </w:r>
            <w:r w:rsidRPr="005016C8">
              <w:rPr>
                <w:lang w:val="en-GB"/>
              </w:rPr>
              <w:t>year survival</w:t>
            </w:r>
          </w:p>
        </w:tc>
      </w:tr>
      <w:tr w:rsidR="006555C7" w:rsidRPr="005016C8" w14:paraId="5E2D25ED" w14:textId="77777777" w:rsidTr="008939C1">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2E3EB22C" w14:textId="77777777" w:rsidR="006555C7" w:rsidRPr="005016C8" w:rsidRDefault="006555C7" w:rsidP="00BA06B8">
            <w:pPr>
              <w:jc w:val="center"/>
              <w:rPr>
                <w:lang w:val="en-GB"/>
              </w:rPr>
            </w:pPr>
            <w:r w:rsidRPr="005016C8">
              <w:rPr>
                <w:lang w:val="en-GB"/>
              </w:rPr>
              <w:t>5-6</w:t>
            </w:r>
          </w:p>
        </w:tc>
        <w:tc>
          <w:tcPr>
            <w:tcW w:w="1276" w:type="dxa"/>
            <w:vAlign w:val="center"/>
            <w:hideMark/>
          </w:tcPr>
          <w:p w14:paraId="364600ED" w14:textId="67AFF5CB" w:rsidR="006555C7" w:rsidRPr="005016C8" w:rsidRDefault="006555C7" w:rsidP="00BA06B8">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A</w:t>
            </w:r>
          </w:p>
        </w:tc>
        <w:tc>
          <w:tcPr>
            <w:tcW w:w="3157" w:type="dxa"/>
            <w:vAlign w:val="center"/>
          </w:tcPr>
          <w:p w14:paraId="69331C06" w14:textId="256D38B7" w:rsidR="006555C7" w:rsidRPr="005016C8" w:rsidRDefault="006555C7" w:rsidP="00BA06B8">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Compensated cirrhosis</w:t>
            </w:r>
          </w:p>
        </w:tc>
        <w:tc>
          <w:tcPr>
            <w:tcW w:w="1854" w:type="dxa"/>
            <w:vAlign w:val="center"/>
            <w:hideMark/>
          </w:tcPr>
          <w:p w14:paraId="369E4DC1" w14:textId="5E65246C" w:rsidR="006555C7" w:rsidRPr="005016C8" w:rsidRDefault="006555C7" w:rsidP="00BA06B8">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100%</w:t>
            </w:r>
          </w:p>
        </w:tc>
        <w:tc>
          <w:tcPr>
            <w:tcW w:w="1854" w:type="dxa"/>
            <w:vAlign w:val="center"/>
            <w:hideMark/>
          </w:tcPr>
          <w:p w14:paraId="7219ADCA" w14:textId="77777777" w:rsidR="006555C7" w:rsidRPr="005016C8" w:rsidRDefault="006555C7" w:rsidP="00BA06B8">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85%</w:t>
            </w:r>
          </w:p>
        </w:tc>
      </w:tr>
      <w:tr w:rsidR="006555C7" w:rsidRPr="005016C8" w14:paraId="4D51E212" w14:textId="77777777" w:rsidTr="008939C1">
        <w:tc>
          <w:tcPr>
            <w:cnfStyle w:val="001000000000" w:firstRow="0" w:lastRow="0" w:firstColumn="1" w:lastColumn="0" w:oddVBand="0" w:evenVBand="0" w:oddHBand="0" w:evenHBand="0" w:firstRowFirstColumn="0" w:firstRowLastColumn="0" w:lastRowFirstColumn="0" w:lastRowLastColumn="0"/>
            <w:tcW w:w="1129" w:type="dxa"/>
            <w:hideMark/>
          </w:tcPr>
          <w:p w14:paraId="0514E592" w14:textId="77777777" w:rsidR="006555C7" w:rsidRPr="005016C8" w:rsidRDefault="006555C7" w:rsidP="007B6B4C">
            <w:pPr>
              <w:jc w:val="center"/>
              <w:rPr>
                <w:lang w:val="en-GB"/>
              </w:rPr>
            </w:pPr>
            <w:r w:rsidRPr="005016C8">
              <w:rPr>
                <w:lang w:val="en-GB"/>
              </w:rPr>
              <w:t>7-9</w:t>
            </w:r>
          </w:p>
        </w:tc>
        <w:tc>
          <w:tcPr>
            <w:tcW w:w="1276" w:type="dxa"/>
            <w:hideMark/>
          </w:tcPr>
          <w:p w14:paraId="0DB7B7CE" w14:textId="64756AA0" w:rsidR="006555C7" w:rsidRPr="005016C8" w:rsidRDefault="006555C7" w:rsidP="007B6B4C">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B</w:t>
            </w:r>
          </w:p>
        </w:tc>
        <w:tc>
          <w:tcPr>
            <w:tcW w:w="3157" w:type="dxa"/>
            <w:vMerge w:val="restart"/>
          </w:tcPr>
          <w:p w14:paraId="33C09D53" w14:textId="5F6527D0" w:rsidR="006555C7" w:rsidRPr="005016C8" w:rsidRDefault="006555C7" w:rsidP="007B6B4C">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Decompensated cirrhosis</w:t>
            </w:r>
          </w:p>
        </w:tc>
        <w:tc>
          <w:tcPr>
            <w:tcW w:w="1854" w:type="dxa"/>
            <w:hideMark/>
          </w:tcPr>
          <w:p w14:paraId="5C13224A" w14:textId="68C6F562" w:rsidR="006555C7" w:rsidRPr="005016C8" w:rsidRDefault="006555C7" w:rsidP="007B6B4C">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81%</w:t>
            </w:r>
          </w:p>
        </w:tc>
        <w:tc>
          <w:tcPr>
            <w:tcW w:w="1854" w:type="dxa"/>
            <w:hideMark/>
          </w:tcPr>
          <w:p w14:paraId="65176385" w14:textId="77777777" w:rsidR="006555C7" w:rsidRPr="005016C8" w:rsidRDefault="006555C7" w:rsidP="007B6B4C">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57%</w:t>
            </w:r>
          </w:p>
        </w:tc>
      </w:tr>
      <w:tr w:rsidR="006555C7" w:rsidRPr="005016C8" w14:paraId="59C11770" w14:textId="77777777" w:rsidTr="008939C1">
        <w:tc>
          <w:tcPr>
            <w:cnfStyle w:val="001000000000" w:firstRow="0" w:lastRow="0" w:firstColumn="1" w:lastColumn="0" w:oddVBand="0" w:evenVBand="0" w:oddHBand="0" w:evenHBand="0" w:firstRowFirstColumn="0" w:firstRowLastColumn="0" w:lastRowFirstColumn="0" w:lastRowLastColumn="0"/>
            <w:tcW w:w="1129" w:type="dxa"/>
            <w:hideMark/>
          </w:tcPr>
          <w:p w14:paraId="595AB6F0" w14:textId="77777777" w:rsidR="006555C7" w:rsidRPr="005016C8" w:rsidRDefault="006555C7" w:rsidP="007B6B4C">
            <w:pPr>
              <w:jc w:val="center"/>
              <w:rPr>
                <w:lang w:val="en-GB"/>
              </w:rPr>
            </w:pPr>
            <w:r w:rsidRPr="005016C8">
              <w:rPr>
                <w:lang w:val="en-GB"/>
              </w:rPr>
              <w:t>10-15</w:t>
            </w:r>
          </w:p>
        </w:tc>
        <w:tc>
          <w:tcPr>
            <w:tcW w:w="1276" w:type="dxa"/>
            <w:hideMark/>
          </w:tcPr>
          <w:p w14:paraId="0828EC55" w14:textId="07885BF6" w:rsidR="006555C7" w:rsidRPr="005016C8" w:rsidRDefault="006555C7" w:rsidP="007B6B4C">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C</w:t>
            </w:r>
          </w:p>
        </w:tc>
        <w:tc>
          <w:tcPr>
            <w:tcW w:w="3157" w:type="dxa"/>
            <w:vMerge/>
          </w:tcPr>
          <w:p w14:paraId="2AD5E90C" w14:textId="77777777" w:rsidR="006555C7" w:rsidRPr="005016C8" w:rsidRDefault="006555C7" w:rsidP="007B6B4C">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1854" w:type="dxa"/>
            <w:hideMark/>
          </w:tcPr>
          <w:p w14:paraId="24FF35DF" w14:textId="7F604221" w:rsidR="006555C7" w:rsidRPr="005016C8" w:rsidRDefault="006555C7" w:rsidP="007B6B4C">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45%</w:t>
            </w:r>
          </w:p>
        </w:tc>
        <w:tc>
          <w:tcPr>
            <w:tcW w:w="1854" w:type="dxa"/>
            <w:hideMark/>
          </w:tcPr>
          <w:p w14:paraId="6DC2804E" w14:textId="77777777" w:rsidR="006555C7" w:rsidRPr="005016C8" w:rsidRDefault="006555C7" w:rsidP="007B6B4C">
            <w:pPr>
              <w:jc w:val="center"/>
              <w:cnfStyle w:val="000000000000" w:firstRow="0" w:lastRow="0" w:firstColumn="0" w:lastColumn="0" w:oddVBand="0" w:evenVBand="0" w:oddHBand="0" w:evenHBand="0" w:firstRowFirstColumn="0" w:firstRowLastColumn="0" w:lastRowFirstColumn="0" w:lastRowLastColumn="0"/>
              <w:rPr>
                <w:lang w:val="en-GB"/>
              </w:rPr>
            </w:pPr>
            <w:r w:rsidRPr="005016C8">
              <w:rPr>
                <w:lang w:val="en-GB"/>
              </w:rPr>
              <w:t>35%</w:t>
            </w:r>
          </w:p>
        </w:tc>
      </w:tr>
    </w:tbl>
    <w:p w14:paraId="58F88462" w14:textId="77777777" w:rsidR="005016C8" w:rsidRPr="000B525C" w:rsidRDefault="005016C8" w:rsidP="006555C7">
      <w:pPr>
        <w:jc w:val="both"/>
        <w:rPr>
          <w:lang w:val="en-GB"/>
        </w:rPr>
      </w:pPr>
    </w:p>
    <w:p w14:paraId="316E0AE3" w14:textId="382465D0" w:rsidR="00BA06B8" w:rsidRPr="008E0DF9" w:rsidRDefault="001E3872" w:rsidP="00024E69">
      <w:pPr>
        <w:pStyle w:val="Heading3"/>
        <w:ind w:left="1276" w:hanging="556"/>
        <w:rPr>
          <w:lang w:val="en-GB"/>
        </w:rPr>
      </w:pPr>
      <w:bookmarkStart w:id="12" w:name="_Toc166246303"/>
      <w:r w:rsidRPr="001E3872">
        <w:rPr>
          <w:lang w:val="en-GB"/>
        </w:rPr>
        <w:t>HCV treatment</w:t>
      </w:r>
      <w:bookmarkEnd w:id="12"/>
    </w:p>
    <w:p w14:paraId="4A75AE79" w14:textId="2A990F10" w:rsidR="001E3872" w:rsidRPr="002672D1" w:rsidRDefault="00630422" w:rsidP="00024E69">
      <w:pPr>
        <w:pStyle w:val="Heading4"/>
        <w:spacing w:before="0" w:after="200"/>
        <w:ind w:left="1843" w:hanging="640"/>
        <w:rPr>
          <w:lang w:val="en-GB"/>
        </w:rPr>
      </w:pPr>
      <w:r w:rsidRPr="00630422">
        <w:rPr>
          <w:lang w:val="en-GB"/>
        </w:rPr>
        <w:t>Eligibility for HCV treatment</w:t>
      </w:r>
    </w:p>
    <w:p w14:paraId="7EC05799" w14:textId="4E69C349" w:rsidR="00630422" w:rsidRDefault="00630422" w:rsidP="000D4F0B">
      <w:pPr>
        <w:pStyle w:val="NoSpacing"/>
        <w:spacing w:after="200"/>
        <w:jc w:val="both"/>
        <w:rPr>
          <w:lang w:val="en-GB"/>
        </w:rPr>
      </w:pPr>
      <w:r w:rsidRPr="000B525C">
        <w:rPr>
          <w:lang w:val="en-GB"/>
        </w:rPr>
        <w:t xml:space="preserve">All patients </w:t>
      </w:r>
      <w:r>
        <w:rPr>
          <w:lang w:val="en-GB"/>
        </w:rPr>
        <w:t>with</w:t>
      </w:r>
      <w:r w:rsidRPr="000B525C">
        <w:rPr>
          <w:lang w:val="en-GB"/>
        </w:rPr>
        <w:t xml:space="preserve"> HCV </w:t>
      </w:r>
      <w:r>
        <w:rPr>
          <w:lang w:val="en-GB"/>
        </w:rPr>
        <w:t>infection</w:t>
      </w:r>
      <w:r w:rsidRPr="000B525C">
        <w:rPr>
          <w:lang w:val="en-GB"/>
        </w:rPr>
        <w:t xml:space="preserve"> should be assessed for eligibility for HCV treatment.</w:t>
      </w:r>
    </w:p>
    <w:p w14:paraId="33ED84F7" w14:textId="2200FCC5" w:rsidR="00630422" w:rsidRDefault="00630422" w:rsidP="001E3872">
      <w:pPr>
        <w:pStyle w:val="NoSpacing"/>
        <w:spacing w:after="200" w:line="276" w:lineRule="auto"/>
        <w:jc w:val="both"/>
        <w:rPr>
          <w:lang w:val="en-GB"/>
        </w:rPr>
      </w:pPr>
      <w:r>
        <w:rPr>
          <w:lang w:val="en-GB"/>
        </w:rPr>
        <w:t xml:space="preserve">It is currently recommended that all patients with HCV infection without cirrhosis and with compensated cirrhosis (Child-Pugh class A) receive HCV treatment. This recommendation </w:t>
      </w:r>
      <w:r w:rsidR="001E3872">
        <w:rPr>
          <w:lang w:val="en-GB"/>
        </w:rPr>
        <w:t>may be</w:t>
      </w:r>
      <w:r>
        <w:rPr>
          <w:lang w:val="en-GB"/>
        </w:rPr>
        <w:t xml:space="preserve"> even stronger in subjects affected by drug-resistant tuberculosis, where the HCV infection can lead to increased toxicity associated with the anti-tuberculosis treatment.</w:t>
      </w:r>
    </w:p>
    <w:p w14:paraId="7D0F76C8" w14:textId="36FB9883" w:rsidR="00630422" w:rsidRPr="001E3872" w:rsidRDefault="00630422" w:rsidP="00024E69">
      <w:pPr>
        <w:pStyle w:val="NoSpacing"/>
        <w:spacing w:after="200" w:line="276" w:lineRule="auto"/>
        <w:jc w:val="both"/>
        <w:rPr>
          <w:lang w:val="en-GB"/>
        </w:rPr>
      </w:pPr>
      <w:r>
        <w:rPr>
          <w:lang w:val="en-GB"/>
        </w:rPr>
        <w:t>Patients with d</w:t>
      </w:r>
      <w:r w:rsidRPr="000B525C">
        <w:rPr>
          <w:lang w:val="en-GB"/>
        </w:rPr>
        <w:t xml:space="preserve">ecompensated cirrhosis </w:t>
      </w:r>
      <w:r>
        <w:rPr>
          <w:lang w:val="en-GB"/>
        </w:rPr>
        <w:t xml:space="preserve">(Child-Pugh class B and C) </w:t>
      </w:r>
      <w:r w:rsidR="006D6636">
        <w:rPr>
          <w:lang w:val="en-GB"/>
        </w:rPr>
        <w:t>should</w:t>
      </w:r>
      <w:r w:rsidRPr="000B525C">
        <w:rPr>
          <w:lang w:val="en-GB"/>
        </w:rPr>
        <w:t xml:space="preserve"> be evaluated for treatment on a case</w:t>
      </w:r>
      <w:r w:rsidR="00B43B84">
        <w:rPr>
          <w:lang w:val="en-GB"/>
        </w:rPr>
        <w:t>-</w:t>
      </w:r>
      <w:r w:rsidRPr="000B525C">
        <w:rPr>
          <w:lang w:val="en-GB"/>
        </w:rPr>
        <w:t>by</w:t>
      </w:r>
      <w:r w:rsidR="00B43B84">
        <w:rPr>
          <w:lang w:val="en-GB"/>
        </w:rPr>
        <w:t>-</w:t>
      </w:r>
      <w:r w:rsidRPr="000B525C">
        <w:rPr>
          <w:lang w:val="en-GB"/>
        </w:rPr>
        <w:t xml:space="preserve">case basis. Benefits of treatment </w:t>
      </w:r>
      <w:r w:rsidR="001E3872">
        <w:rPr>
          <w:lang w:val="en-GB"/>
        </w:rPr>
        <w:t xml:space="preserve">are </w:t>
      </w:r>
      <w:r w:rsidR="006D6636">
        <w:rPr>
          <w:lang w:val="en-GB"/>
        </w:rPr>
        <w:t xml:space="preserve">reduced because of the </w:t>
      </w:r>
      <w:r w:rsidR="006D6636" w:rsidRPr="000B525C">
        <w:rPr>
          <w:lang w:val="en-GB"/>
        </w:rPr>
        <w:t>limited reversion of</w:t>
      </w:r>
      <w:r w:rsidR="006D6636">
        <w:rPr>
          <w:lang w:val="en-GB"/>
        </w:rPr>
        <w:t xml:space="preserve"> advanced hepatic</w:t>
      </w:r>
      <w:r w:rsidR="006D6636" w:rsidRPr="000B525C">
        <w:rPr>
          <w:lang w:val="en-GB"/>
        </w:rPr>
        <w:t xml:space="preserve"> damage </w:t>
      </w:r>
      <w:r w:rsidR="006D6636">
        <w:rPr>
          <w:lang w:val="en-GB"/>
        </w:rPr>
        <w:t>and in particular if</w:t>
      </w:r>
      <w:r w:rsidRPr="000B525C">
        <w:rPr>
          <w:lang w:val="en-GB"/>
        </w:rPr>
        <w:t xml:space="preserve"> liver transplant</w:t>
      </w:r>
      <w:r w:rsidR="006D6636">
        <w:rPr>
          <w:lang w:val="en-GB"/>
        </w:rPr>
        <w:t xml:space="preserve"> is unavailable;</w:t>
      </w:r>
      <w:r w:rsidRPr="000B525C">
        <w:rPr>
          <w:lang w:val="en-GB"/>
        </w:rPr>
        <w:t xml:space="preserve"> complications of both treatment and HCV infection are more likely (liver failure, possible renal impairment, higher chances of complications with probably lower chances of sustained </w:t>
      </w:r>
      <w:r w:rsidR="007D3A24" w:rsidRPr="000B525C">
        <w:rPr>
          <w:lang w:val="en-GB"/>
        </w:rPr>
        <w:t>virologic</w:t>
      </w:r>
      <w:r w:rsidRPr="000B525C">
        <w:rPr>
          <w:lang w:val="en-GB"/>
        </w:rPr>
        <w:t xml:space="preserve"> response).</w:t>
      </w:r>
      <w:r w:rsidR="005F7E6A">
        <w:rPr>
          <w:lang w:val="en-GB"/>
        </w:rPr>
        <w:t xml:space="preserve"> The indication for </w:t>
      </w:r>
      <w:r w:rsidR="005F7E6A" w:rsidRPr="005F7E6A">
        <w:rPr>
          <w:lang w:val="en-GB"/>
        </w:rPr>
        <w:t xml:space="preserve">HCV treatment </w:t>
      </w:r>
      <w:r w:rsidR="005F7E6A">
        <w:rPr>
          <w:lang w:val="en-GB"/>
        </w:rPr>
        <w:t>for</w:t>
      </w:r>
      <w:r w:rsidR="005F7E6A" w:rsidRPr="005F7E6A">
        <w:rPr>
          <w:lang w:val="en-GB"/>
        </w:rPr>
        <w:t xml:space="preserve"> these </w:t>
      </w:r>
      <w:r w:rsidR="005F7E6A">
        <w:rPr>
          <w:lang w:val="en-GB"/>
        </w:rPr>
        <w:t>patients</w:t>
      </w:r>
      <w:r w:rsidR="005F7E6A" w:rsidRPr="005F7E6A">
        <w:rPr>
          <w:lang w:val="en-GB"/>
        </w:rPr>
        <w:t xml:space="preserve"> should be discussed with the CAC.</w:t>
      </w:r>
    </w:p>
    <w:p w14:paraId="348AAB85" w14:textId="62DF0945" w:rsidR="00630422" w:rsidRPr="002672D1" w:rsidRDefault="00630422" w:rsidP="009A423A">
      <w:pPr>
        <w:pStyle w:val="Heading4"/>
        <w:spacing w:before="0" w:after="200"/>
        <w:ind w:left="1843" w:hanging="640"/>
        <w:rPr>
          <w:lang w:val="en-GB"/>
        </w:rPr>
      </w:pPr>
      <w:r w:rsidRPr="00974E06">
        <w:rPr>
          <w:lang w:val="en-GB"/>
        </w:rPr>
        <w:t>Choice of treatment and treatment duration</w:t>
      </w:r>
    </w:p>
    <w:p w14:paraId="0F1BEA6B" w14:textId="7772464B" w:rsidR="003F46EA" w:rsidRPr="001E3872" w:rsidRDefault="003F46EA" w:rsidP="001E3872">
      <w:pPr>
        <w:suppressAutoHyphens/>
        <w:autoSpaceDN w:val="0"/>
        <w:jc w:val="both"/>
        <w:textAlignment w:val="baseline"/>
        <w:rPr>
          <w:lang w:val="en-GB"/>
        </w:rPr>
      </w:pPr>
      <w:r w:rsidRPr="001E3872">
        <w:rPr>
          <w:lang w:val="en-GB"/>
        </w:rPr>
        <w:t>The choice of the HCV treatment regimen is different depending on whether HCV genotype is available</w:t>
      </w:r>
      <w:r w:rsidR="002B7B65">
        <w:rPr>
          <w:lang w:val="en-GB"/>
        </w:rPr>
        <w:t>, and on the prevalence of HCV genotype 3</w:t>
      </w:r>
      <w:r w:rsidR="00BA06B8">
        <w:rPr>
          <w:lang w:val="en-GB"/>
        </w:rPr>
        <w:t xml:space="preserve"> (see Appendi</w:t>
      </w:r>
      <w:r w:rsidR="00D614E6">
        <w:rPr>
          <w:lang w:val="en-GB"/>
        </w:rPr>
        <w:t xml:space="preserve">x </w:t>
      </w:r>
      <w:r w:rsidR="00BA06B8">
        <w:rPr>
          <w:lang w:val="en-GB"/>
        </w:rPr>
        <w:t>1)</w:t>
      </w:r>
      <w:r w:rsidRPr="001E3872">
        <w:rPr>
          <w:lang w:val="en-GB"/>
        </w:rPr>
        <w:t>.</w:t>
      </w:r>
    </w:p>
    <w:p w14:paraId="2A1E915B" w14:textId="77777777" w:rsidR="003F46EA" w:rsidRPr="002B7B65" w:rsidRDefault="003F46EA" w:rsidP="002B7B65">
      <w:pPr>
        <w:pStyle w:val="ListParagraph"/>
        <w:numPr>
          <w:ilvl w:val="0"/>
          <w:numId w:val="45"/>
        </w:numPr>
        <w:suppressAutoHyphens/>
        <w:autoSpaceDN w:val="0"/>
        <w:jc w:val="both"/>
        <w:textAlignment w:val="baseline"/>
        <w:rPr>
          <w:lang w:val="en-GB"/>
        </w:rPr>
      </w:pPr>
      <w:r w:rsidRPr="002B7B65">
        <w:rPr>
          <w:lang w:val="en-GB"/>
        </w:rPr>
        <w:t>If the HCV genotype is available:</w:t>
      </w:r>
    </w:p>
    <w:p w14:paraId="7A829888" w14:textId="722F7A31" w:rsidR="002B7B65" w:rsidRDefault="003F46EA" w:rsidP="002B7B65">
      <w:pPr>
        <w:pStyle w:val="ListParagraph"/>
        <w:numPr>
          <w:ilvl w:val="0"/>
          <w:numId w:val="24"/>
        </w:numPr>
        <w:suppressAutoHyphens/>
        <w:autoSpaceDN w:val="0"/>
        <w:contextualSpacing w:val="0"/>
        <w:jc w:val="both"/>
        <w:textAlignment w:val="baseline"/>
        <w:rPr>
          <w:lang w:val="en-GB"/>
        </w:rPr>
      </w:pPr>
      <w:r w:rsidRPr="003F46EA">
        <w:rPr>
          <w:lang w:val="en-GB"/>
        </w:rPr>
        <w:t xml:space="preserve">The recommended treatment for 1) patients without cirrhosis and 2) patients with compensated cirrhosis (Child-Pugh class A) and HCV genotype 1,2,4,5, and 6, is the association of </w:t>
      </w:r>
      <w:r w:rsidRPr="003F46EA">
        <w:rPr>
          <w:u w:val="single"/>
          <w:lang w:val="en-GB"/>
        </w:rPr>
        <w:t>Sofosbuvir 400 mg 1 c</w:t>
      </w:r>
      <w:r w:rsidR="003075F1">
        <w:rPr>
          <w:u w:val="single"/>
          <w:lang w:val="en-GB"/>
        </w:rPr>
        <w:t>a</w:t>
      </w:r>
      <w:r w:rsidRPr="003F46EA">
        <w:rPr>
          <w:u w:val="single"/>
          <w:lang w:val="en-GB"/>
        </w:rPr>
        <w:t>p</w:t>
      </w:r>
      <w:r w:rsidR="003075F1">
        <w:rPr>
          <w:u w:val="single"/>
          <w:lang w:val="en-GB"/>
        </w:rPr>
        <w:t>sule</w:t>
      </w:r>
      <w:r w:rsidRPr="003F46EA">
        <w:rPr>
          <w:u w:val="single"/>
          <w:lang w:val="en-GB"/>
        </w:rPr>
        <w:t>/day and Daclatasvir 60 mg 1 c</w:t>
      </w:r>
      <w:r w:rsidR="003075F1">
        <w:rPr>
          <w:u w:val="single"/>
          <w:lang w:val="en-GB"/>
        </w:rPr>
        <w:t>a</w:t>
      </w:r>
      <w:r w:rsidRPr="003F46EA">
        <w:rPr>
          <w:u w:val="single"/>
          <w:lang w:val="en-GB"/>
        </w:rPr>
        <w:t>p</w:t>
      </w:r>
      <w:r w:rsidR="003075F1">
        <w:rPr>
          <w:u w:val="single"/>
          <w:lang w:val="en-GB"/>
        </w:rPr>
        <w:t>sule</w:t>
      </w:r>
      <w:r w:rsidRPr="003F46EA">
        <w:rPr>
          <w:u w:val="single"/>
          <w:lang w:val="en-GB"/>
        </w:rPr>
        <w:t>/day</w:t>
      </w:r>
      <w:r w:rsidRPr="003F46EA">
        <w:rPr>
          <w:lang w:val="en-GB"/>
        </w:rPr>
        <w:t xml:space="preserve"> taken with or without food </w:t>
      </w:r>
      <w:r w:rsidRPr="003F46EA">
        <w:rPr>
          <w:u w:val="single"/>
          <w:lang w:val="en-GB"/>
        </w:rPr>
        <w:t>for a duration of 12 weeks</w:t>
      </w:r>
      <w:r w:rsidRPr="003F46EA">
        <w:rPr>
          <w:lang w:val="en-GB"/>
        </w:rPr>
        <w:t>.</w:t>
      </w:r>
    </w:p>
    <w:p w14:paraId="7FD5C7EC" w14:textId="5FB7DADC" w:rsidR="00630422" w:rsidRPr="002B7B65" w:rsidRDefault="003F46EA" w:rsidP="002B7B65">
      <w:pPr>
        <w:pStyle w:val="ListParagraph"/>
        <w:numPr>
          <w:ilvl w:val="0"/>
          <w:numId w:val="24"/>
        </w:numPr>
        <w:suppressAutoHyphens/>
        <w:autoSpaceDN w:val="0"/>
        <w:contextualSpacing w:val="0"/>
        <w:jc w:val="both"/>
        <w:textAlignment w:val="baseline"/>
        <w:rPr>
          <w:lang w:val="en-GB"/>
        </w:rPr>
      </w:pPr>
      <w:r w:rsidRPr="002B7B65">
        <w:rPr>
          <w:lang w:val="en-GB"/>
        </w:rPr>
        <w:lastRenderedPageBreak/>
        <w:t xml:space="preserve">The recommended treatment for patients with compensated cirrhosis (Child-Pugh class A) and HCV genotype 3 is the association of </w:t>
      </w:r>
      <w:r w:rsidRPr="002B7B65">
        <w:rPr>
          <w:u w:val="single"/>
          <w:lang w:val="en-GB"/>
        </w:rPr>
        <w:t>Sofosbuvir 400 mg 1 c</w:t>
      </w:r>
      <w:r w:rsidR="00A84191">
        <w:rPr>
          <w:u w:val="single"/>
          <w:lang w:val="en-GB"/>
        </w:rPr>
        <w:t>a</w:t>
      </w:r>
      <w:r w:rsidRPr="002B7B65">
        <w:rPr>
          <w:u w:val="single"/>
          <w:lang w:val="en-GB"/>
        </w:rPr>
        <w:t>p</w:t>
      </w:r>
      <w:r w:rsidR="00A84191">
        <w:rPr>
          <w:u w:val="single"/>
          <w:lang w:val="en-GB"/>
        </w:rPr>
        <w:t>sule</w:t>
      </w:r>
      <w:r w:rsidRPr="002B7B65">
        <w:rPr>
          <w:u w:val="single"/>
          <w:lang w:val="en-GB"/>
        </w:rPr>
        <w:t>/day and Daclatasvir 60 mg 1 c</w:t>
      </w:r>
      <w:r w:rsidR="00A84191">
        <w:rPr>
          <w:u w:val="single"/>
          <w:lang w:val="en-GB"/>
        </w:rPr>
        <w:t>a</w:t>
      </w:r>
      <w:r w:rsidRPr="002B7B65">
        <w:rPr>
          <w:u w:val="single"/>
          <w:lang w:val="en-GB"/>
        </w:rPr>
        <w:t>p</w:t>
      </w:r>
      <w:r w:rsidR="00A84191">
        <w:rPr>
          <w:u w:val="single"/>
          <w:lang w:val="en-GB"/>
        </w:rPr>
        <w:t>sule</w:t>
      </w:r>
      <w:r w:rsidRPr="002B7B65">
        <w:rPr>
          <w:u w:val="single"/>
          <w:lang w:val="en-GB"/>
        </w:rPr>
        <w:t>/day</w:t>
      </w:r>
      <w:r w:rsidRPr="002B7B65">
        <w:rPr>
          <w:lang w:val="en-GB"/>
        </w:rPr>
        <w:t xml:space="preserve"> taken with or without food </w:t>
      </w:r>
      <w:r w:rsidRPr="002B7B65">
        <w:rPr>
          <w:u w:val="single"/>
          <w:lang w:val="en-GB"/>
        </w:rPr>
        <w:t>for a duration of 24 weeks</w:t>
      </w:r>
      <w:r w:rsidRPr="002B7B65">
        <w:rPr>
          <w:lang w:val="en-GB"/>
        </w:rPr>
        <w:t>.</w:t>
      </w:r>
    </w:p>
    <w:p w14:paraId="73BF3C56" w14:textId="0693A1A9" w:rsidR="001E3872" w:rsidRPr="002B7B65" w:rsidRDefault="001E3872" w:rsidP="002B7B65">
      <w:pPr>
        <w:pStyle w:val="ListParagraph"/>
        <w:numPr>
          <w:ilvl w:val="0"/>
          <w:numId w:val="45"/>
        </w:numPr>
        <w:suppressAutoHyphens/>
        <w:autoSpaceDN w:val="0"/>
        <w:jc w:val="both"/>
        <w:textAlignment w:val="baseline"/>
        <w:rPr>
          <w:lang w:val="en-GB"/>
        </w:rPr>
      </w:pPr>
      <w:r w:rsidRPr="002B7B65">
        <w:rPr>
          <w:lang w:val="en-GB"/>
        </w:rPr>
        <w:t>If the HCV genotype is not available</w:t>
      </w:r>
      <w:r w:rsidR="008B0AA6" w:rsidRPr="002B7B65">
        <w:rPr>
          <w:lang w:val="en-GB"/>
        </w:rPr>
        <w:t xml:space="preserve"> and</w:t>
      </w:r>
      <w:r w:rsidR="002B7B65">
        <w:rPr>
          <w:lang w:val="en-GB"/>
        </w:rPr>
        <w:t xml:space="preserve"> HCV</w:t>
      </w:r>
      <w:r w:rsidR="008B0AA6" w:rsidRPr="002B7B65">
        <w:rPr>
          <w:lang w:val="en-GB"/>
        </w:rPr>
        <w:t xml:space="preserve"> genotype 3 prevalence is estimated </w:t>
      </w:r>
      <w:r w:rsidR="0086696C">
        <w:rPr>
          <w:lang w:val="en-GB"/>
        </w:rPr>
        <w:t xml:space="preserve">at </w:t>
      </w:r>
      <w:r w:rsidR="002B7B65">
        <w:rPr>
          <w:lang w:val="en-GB"/>
        </w:rPr>
        <w:t>&lt;</w:t>
      </w:r>
      <w:r w:rsidR="008B0AA6" w:rsidRPr="002B7B65">
        <w:rPr>
          <w:lang w:val="en-GB"/>
        </w:rPr>
        <w:t xml:space="preserve"> 5%</w:t>
      </w:r>
      <w:r w:rsidRPr="002B7B65">
        <w:rPr>
          <w:lang w:val="en-GB"/>
        </w:rPr>
        <w:t>:</w:t>
      </w:r>
    </w:p>
    <w:p w14:paraId="510949EF" w14:textId="60B4009E" w:rsidR="002B7B65" w:rsidRPr="002B7B65" w:rsidRDefault="002B7B65" w:rsidP="002B7B65">
      <w:pPr>
        <w:pStyle w:val="ListParagraph"/>
        <w:numPr>
          <w:ilvl w:val="0"/>
          <w:numId w:val="24"/>
        </w:numPr>
        <w:suppressAutoHyphens/>
        <w:autoSpaceDN w:val="0"/>
        <w:contextualSpacing w:val="0"/>
        <w:jc w:val="both"/>
        <w:textAlignment w:val="baseline"/>
        <w:rPr>
          <w:lang w:val="en-GB"/>
        </w:rPr>
      </w:pPr>
      <w:r w:rsidRPr="003F46EA">
        <w:rPr>
          <w:lang w:val="en-GB"/>
        </w:rPr>
        <w:t xml:space="preserve">The recommended treatment for patients without cirrhosis and patients with compensated cirrhosis (Child-Pugh class A) is the association of </w:t>
      </w:r>
      <w:r w:rsidRPr="003F46EA">
        <w:rPr>
          <w:u w:val="single"/>
          <w:lang w:val="en-GB"/>
        </w:rPr>
        <w:t>Sofosbuvir 400 mg 1 c</w:t>
      </w:r>
      <w:r w:rsidR="00A84191">
        <w:rPr>
          <w:u w:val="single"/>
          <w:lang w:val="en-GB"/>
        </w:rPr>
        <w:t>a</w:t>
      </w:r>
      <w:r w:rsidRPr="003F46EA">
        <w:rPr>
          <w:u w:val="single"/>
          <w:lang w:val="en-GB"/>
        </w:rPr>
        <w:t>p</w:t>
      </w:r>
      <w:r w:rsidR="00A84191">
        <w:rPr>
          <w:u w:val="single"/>
          <w:lang w:val="en-GB"/>
        </w:rPr>
        <w:t>sule</w:t>
      </w:r>
      <w:r w:rsidRPr="003F46EA">
        <w:rPr>
          <w:u w:val="single"/>
          <w:lang w:val="en-GB"/>
        </w:rPr>
        <w:t>/day and Daclatasvir 60 mg 1 c</w:t>
      </w:r>
      <w:r w:rsidR="00A84191">
        <w:rPr>
          <w:u w:val="single"/>
          <w:lang w:val="en-GB"/>
        </w:rPr>
        <w:t>a</w:t>
      </w:r>
      <w:r w:rsidRPr="003F46EA">
        <w:rPr>
          <w:u w:val="single"/>
          <w:lang w:val="en-GB"/>
        </w:rPr>
        <w:t>p</w:t>
      </w:r>
      <w:r w:rsidR="00A84191">
        <w:rPr>
          <w:u w:val="single"/>
          <w:lang w:val="en-GB"/>
        </w:rPr>
        <w:t>sule</w:t>
      </w:r>
      <w:r w:rsidRPr="003F46EA">
        <w:rPr>
          <w:u w:val="single"/>
          <w:lang w:val="en-GB"/>
        </w:rPr>
        <w:t>/day</w:t>
      </w:r>
      <w:r w:rsidRPr="003F46EA">
        <w:rPr>
          <w:lang w:val="en-GB"/>
        </w:rPr>
        <w:t xml:space="preserve"> taken with or without food </w:t>
      </w:r>
      <w:r w:rsidRPr="003F46EA">
        <w:rPr>
          <w:u w:val="single"/>
          <w:lang w:val="en-GB"/>
        </w:rPr>
        <w:t>for a duration of 12 weeks</w:t>
      </w:r>
      <w:r w:rsidRPr="003F46EA">
        <w:rPr>
          <w:lang w:val="en-GB"/>
        </w:rPr>
        <w:t>.</w:t>
      </w:r>
    </w:p>
    <w:p w14:paraId="12E9A0F2" w14:textId="23CD2E57" w:rsidR="002B7B65" w:rsidRPr="002B7B65" w:rsidRDefault="002B7B65" w:rsidP="002B7B65">
      <w:pPr>
        <w:pStyle w:val="ListParagraph"/>
        <w:numPr>
          <w:ilvl w:val="0"/>
          <w:numId w:val="45"/>
        </w:numPr>
        <w:suppressAutoHyphens/>
        <w:autoSpaceDN w:val="0"/>
        <w:jc w:val="both"/>
        <w:textAlignment w:val="baseline"/>
        <w:rPr>
          <w:lang w:val="en-GB"/>
        </w:rPr>
      </w:pPr>
      <w:r w:rsidRPr="002B7B65">
        <w:rPr>
          <w:lang w:val="en-GB"/>
        </w:rPr>
        <w:t>If the HCV genotype is not available and</w:t>
      </w:r>
      <w:r>
        <w:rPr>
          <w:lang w:val="en-GB"/>
        </w:rPr>
        <w:t xml:space="preserve"> HCV</w:t>
      </w:r>
      <w:r w:rsidRPr="002B7B65">
        <w:rPr>
          <w:lang w:val="en-GB"/>
        </w:rPr>
        <w:t xml:space="preserve"> genotype 3 prevalence is estimated </w:t>
      </w:r>
      <w:r w:rsidR="0086696C">
        <w:rPr>
          <w:lang w:val="en-GB"/>
        </w:rPr>
        <w:t xml:space="preserve">at </w:t>
      </w:r>
      <w:r>
        <w:rPr>
          <w:lang w:val="en-GB"/>
        </w:rPr>
        <w:t xml:space="preserve">≥ </w:t>
      </w:r>
      <w:r w:rsidRPr="002B7B65">
        <w:rPr>
          <w:lang w:val="en-GB"/>
        </w:rPr>
        <w:t>5%</w:t>
      </w:r>
      <w:r>
        <w:rPr>
          <w:lang w:val="en-GB"/>
        </w:rPr>
        <w:t>, or if the prevalence is unknown</w:t>
      </w:r>
      <w:r w:rsidRPr="002B7B65">
        <w:rPr>
          <w:lang w:val="en-GB"/>
        </w:rPr>
        <w:t>:</w:t>
      </w:r>
    </w:p>
    <w:p w14:paraId="43B1B13F" w14:textId="0E3C4471" w:rsidR="002B7B65" w:rsidRPr="002B7B65" w:rsidRDefault="002B7B65" w:rsidP="002B7B65">
      <w:pPr>
        <w:pStyle w:val="ListParagraph"/>
        <w:numPr>
          <w:ilvl w:val="0"/>
          <w:numId w:val="24"/>
        </w:numPr>
        <w:suppressAutoHyphens/>
        <w:autoSpaceDN w:val="0"/>
        <w:jc w:val="both"/>
        <w:textAlignment w:val="baseline"/>
        <w:rPr>
          <w:lang w:val="en-GB"/>
        </w:rPr>
      </w:pPr>
      <w:r w:rsidRPr="002B7B65">
        <w:rPr>
          <w:lang w:val="en-GB"/>
        </w:rPr>
        <w:t xml:space="preserve">The recommended treatment for patients without cirrhosis is the association of </w:t>
      </w:r>
      <w:r w:rsidRPr="002B7B65">
        <w:rPr>
          <w:u w:val="single"/>
          <w:lang w:val="en-GB"/>
        </w:rPr>
        <w:t>Sofosbuvir 400 mg 1 c</w:t>
      </w:r>
      <w:r w:rsidR="0086696C">
        <w:rPr>
          <w:u w:val="single"/>
          <w:lang w:val="en-GB"/>
        </w:rPr>
        <w:t>a</w:t>
      </w:r>
      <w:r w:rsidRPr="002B7B65">
        <w:rPr>
          <w:u w:val="single"/>
          <w:lang w:val="en-GB"/>
        </w:rPr>
        <w:t>p</w:t>
      </w:r>
      <w:r w:rsidR="0086696C">
        <w:rPr>
          <w:u w:val="single"/>
          <w:lang w:val="en-GB"/>
        </w:rPr>
        <w:t>sule</w:t>
      </w:r>
      <w:r w:rsidRPr="002B7B65">
        <w:rPr>
          <w:u w:val="single"/>
          <w:lang w:val="en-GB"/>
        </w:rPr>
        <w:t>/day and Daclatasvir 60 mg 1 c</w:t>
      </w:r>
      <w:r w:rsidR="0086696C">
        <w:rPr>
          <w:u w:val="single"/>
          <w:lang w:val="en-GB"/>
        </w:rPr>
        <w:t>a</w:t>
      </w:r>
      <w:r w:rsidRPr="002B7B65">
        <w:rPr>
          <w:u w:val="single"/>
          <w:lang w:val="en-GB"/>
        </w:rPr>
        <w:t>p</w:t>
      </w:r>
      <w:r w:rsidR="0086696C">
        <w:rPr>
          <w:u w:val="single"/>
          <w:lang w:val="en-GB"/>
        </w:rPr>
        <w:t>sule</w:t>
      </w:r>
      <w:r w:rsidRPr="002B7B65">
        <w:rPr>
          <w:u w:val="single"/>
          <w:lang w:val="en-GB"/>
        </w:rPr>
        <w:t>/day</w:t>
      </w:r>
      <w:r w:rsidRPr="002B7B65">
        <w:rPr>
          <w:lang w:val="en-GB"/>
        </w:rPr>
        <w:t xml:space="preserve"> taken with or without food </w:t>
      </w:r>
      <w:r w:rsidRPr="002B7B65">
        <w:rPr>
          <w:u w:val="single"/>
          <w:lang w:val="en-GB"/>
        </w:rPr>
        <w:t>for a duration of 12 weeks</w:t>
      </w:r>
      <w:r>
        <w:rPr>
          <w:lang w:val="en-GB"/>
        </w:rPr>
        <w:t>;</w:t>
      </w:r>
    </w:p>
    <w:p w14:paraId="06850F17" w14:textId="47C93659" w:rsidR="001E3872" w:rsidRPr="007D3A24" w:rsidRDefault="001E3872" w:rsidP="001E3872">
      <w:pPr>
        <w:pStyle w:val="ListParagraph"/>
        <w:numPr>
          <w:ilvl w:val="0"/>
          <w:numId w:val="24"/>
        </w:numPr>
        <w:suppressAutoHyphens/>
        <w:autoSpaceDN w:val="0"/>
        <w:contextualSpacing w:val="0"/>
        <w:jc w:val="both"/>
        <w:textAlignment w:val="baseline"/>
        <w:rPr>
          <w:lang w:val="en-GB"/>
        </w:rPr>
      </w:pPr>
      <w:r w:rsidRPr="003F46EA">
        <w:rPr>
          <w:lang w:val="en-GB"/>
        </w:rPr>
        <w:t xml:space="preserve">The recommended treatment for patients with compensated cirrhosis (Child-Pugh class A) is the association of </w:t>
      </w:r>
      <w:r w:rsidRPr="003F46EA">
        <w:rPr>
          <w:u w:val="single"/>
          <w:lang w:val="en-GB"/>
        </w:rPr>
        <w:t>Sofosbuvir 400 mg 1 c</w:t>
      </w:r>
      <w:r w:rsidR="0086696C">
        <w:rPr>
          <w:u w:val="single"/>
          <w:lang w:val="en-GB"/>
        </w:rPr>
        <w:t>a</w:t>
      </w:r>
      <w:r w:rsidRPr="003F46EA">
        <w:rPr>
          <w:u w:val="single"/>
          <w:lang w:val="en-GB"/>
        </w:rPr>
        <w:t>p</w:t>
      </w:r>
      <w:r w:rsidR="0086696C">
        <w:rPr>
          <w:u w:val="single"/>
          <w:lang w:val="en-GB"/>
        </w:rPr>
        <w:t>sule</w:t>
      </w:r>
      <w:r w:rsidRPr="003F46EA">
        <w:rPr>
          <w:u w:val="single"/>
          <w:lang w:val="en-GB"/>
        </w:rPr>
        <w:t>/day and Daclatasvir 60 mg 1 c</w:t>
      </w:r>
      <w:r w:rsidR="0086696C">
        <w:rPr>
          <w:u w:val="single"/>
          <w:lang w:val="en-GB"/>
        </w:rPr>
        <w:t>a</w:t>
      </w:r>
      <w:r w:rsidRPr="003F46EA">
        <w:rPr>
          <w:u w:val="single"/>
          <w:lang w:val="en-GB"/>
        </w:rPr>
        <w:t>p</w:t>
      </w:r>
      <w:r w:rsidR="0086696C">
        <w:rPr>
          <w:u w:val="single"/>
          <w:lang w:val="en-GB"/>
        </w:rPr>
        <w:t>sule</w:t>
      </w:r>
      <w:r w:rsidRPr="003F46EA">
        <w:rPr>
          <w:u w:val="single"/>
          <w:lang w:val="en-GB"/>
        </w:rPr>
        <w:t>/day</w:t>
      </w:r>
      <w:r w:rsidRPr="003F46EA">
        <w:rPr>
          <w:lang w:val="en-GB"/>
        </w:rPr>
        <w:t xml:space="preserve"> (or 30 mg 2 c</w:t>
      </w:r>
      <w:r w:rsidR="0086696C">
        <w:rPr>
          <w:lang w:val="en-GB"/>
        </w:rPr>
        <w:t>a</w:t>
      </w:r>
      <w:r w:rsidRPr="003F46EA">
        <w:rPr>
          <w:lang w:val="en-GB"/>
        </w:rPr>
        <w:t>p</w:t>
      </w:r>
      <w:r w:rsidR="0086696C">
        <w:rPr>
          <w:lang w:val="en-GB"/>
        </w:rPr>
        <w:t>sules</w:t>
      </w:r>
      <w:r w:rsidRPr="003F46EA">
        <w:rPr>
          <w:lang w:val="en-GB"/>
        </w:rPr>
        <w:t xml:space="preserve">/day) taken with or without food </w:t>
      </w:r>
      <w:r w:rsidRPr="003F46EA">
        <w:rPr>
          <w:u w:val="single"/>
          <w:lang w:val="en-GB"/>
        </w:rPr>
        <w:t>for a duration of 24 weeks</w:t>
      </w:r>
      <w:r w:rsidRPr="003F46EA">
        <w:rPr>
          <w:lang w:val="en-GB"/>
        </w:rPr>
        <w:t>.</w:t>
      </w:r>
    </w:p>
    <w:p w14:paraId="1C1F365D" w14:textId="74845617" w:rsidR="006D6636" w:rsidRPr="002672D1" w:rsidRDefault="006D6636" w:rsidP="00024E69">
      <w:pPr>
        <w:pStyle w:val="Heading4"/>
        <w:spacing w:before="0" w:after="200"/>
        <w:ind w:left="1843" w:hanging="640"/>
        <w:rPr>
          <w:lang w:val="en-GB"/>
        </w:rPr>
      </w:pPr>
      <w:r>
        <w:rPr>
          <w:lang w:val="en-GB"/>
        </w:rPr>
        <w:t>Timing of HCV treatment</w:t>
      </w:r>
    </w:p>
    <w:p w14:paraId="20A617D3" w14:textId="3EC2D832" w:rsidR="006D6636" w:rsidRDefault="006D6636" w:rsidP="00276D3A">
      <w:pPr>
        <w:suppressAutoHyphens/>
        <w:autoSpaceDN w:val="0"/>
        <w:spacing w:line="240" w:lineRule="auto"/>
        <w:jc w:val="both"/>
        <w:textAlignment w:val="baseline"/>
        <w:rPr>
          <w:lang w:val="en-GB"/>
        </w:rPr>
      </w:pPr>
      <w:r w:rsidRPr="006D6636">
        <w:rPr>
          <w:lang w:val="en-GB"/>
        </w:rPr>
        <w:t>The best timing of HCV treatment in patients receiving MDR-TB treatment is unclear. It is generally recommended to start HCV treatment after 2-4 weeks after MDR-TB treatment start.</w:t>
      </w:r>
    </w:p>
    <w:p w14:paraId="007E70D7" w14:textId="71B66474" w:rsidR="00593C62" w:rsidRPr="002672D1" w:rsidRDefault="00593C62" w:rsidP="00024E69">
      <w:pPr>
        <w:pStyle w:val="Heading4"/>
        <w:spacing w:before="0" w:after="200"/>
        <w:ind w:left="1843" w:hanging="640"/>
        <w:rPr>
          <w:lang w:val="en-GB"/>
        </w:rPr>
      </w:pPr>
      <w:r>
        <w:rPr>
          <w:lang w:val="en-GB"/>
        </w:rPr>
        <w:t>Treatment monitoring</w:t>
      </w:r>
    </w:p>
    <w:p w14:paraId="2C650A54" w14:textId="53757005" w:rsidR="00640441" w:rsidRPr="00405BD2" w:rsidRDefault="00692DFA" w:rsidP="00276D3A">
      <w:pPr>
        <w:spacing w:line="240" w:lineRule="auto"/>
        <w:jc w:val="both"/>
        <w:rPr>
          <w:lang w:val="en-GB"/>
        </w:rPr>
      </w:pPr>
      <w:r>
        <w:rPr>
          <w:lang w:val="en-GB"/>
        </w:rPr>
        <w:t>T</w:t>
      </w:r>
      <w:r w:rsidR="007E1B88">
        <w:rPr>
          <w:lang w:val="en-GB"/>
        </w:rPr>
        <w:t>he advised t</w:t>
      </w:r>
      <w:r>
        <w:rPr>
          <w:lang w:val="en-GB"/>
        </w:rPr>
        <w:t xml:space="preserve">reatment monitoring </w:t>
      </w:r>
      <w:r w:rsidR="007E1B88">
        <w:rPr>
          <w:lang w:val="en-GB"/>
        </w:rPr>
        <w:t>schedule</w:t>
      </w:r>
      <w:r>
        <w:rPr>
          <w:lang w:val="en-GB"/>
        </w:rPr>
        <w:t xml:space="preserve"> </w:t>
      </w:r>
      <w:r w:rsidR="007E1B88">
        <w:rPr>
          <w:lang w:val="en-GB"/>
        </w:rPr>
        <w:t>is</w:t>
      </w:r>
      <w:r>
        <w:rPr>
          <w:lang w:val="en-GB"/>
        </w:rPr>
        <w:t xml:space="preserve"> summarised in Table </w:t>
      </w:r>
      <w:r w:rsidR="00BA06B8">
        <w:rPr>
          <w:lang w:val="en-GB"/>
        </w:rPr>
        <w:t>4</w:t>
      </w:r>
      <w:r>
        <w:rPr>
          <w:lang w:val="en-GB"/>
        </w:rPr>
        <w:t xml:space="preserve">. </w:t>
      </w:r>
      <w:r w:rsidR="007E1B88">
        <w:rPr>
          <w:lang w:val="en-GB"/>
        </w:rPr>
        <w:t xml:space="preserve">In addition, </w:t>
      </w:r>
      <w:r w:rsidR="00BD0905">
        <w:rPr>
          <w:lang w:val="en-GB"/>
        </w:rPr>
        <w:t>i</w:t>
      </w:r>
      <w:r w:rsidRPr="00692DFA">
        <w:rPr>
          <w:lang w:val="en-GB"/>
        </w:rPr>
        <w:t xml:space="preserve">f available and if curative treatment is </w:t>
      </w:r>
      <w:r w:rsidR="007E1B88">
        <w:rPr>
          <w:lang w:val="en-GB"/>
        </w:rPr>
        <w:t xml:space="preserve">potentially </w:t>
      </w:r>
      <w:r w:rsidRPr="00692DFA">
        <w:rPr>
          <w:lang w:val="en-GB"/>
        </w:rPr>
        <w:t xml:space="preserve">accessible for the patient, </w:t>
      </w:r>
      <w:r w:rsidR="007E1B88">
        <w:rPr>
          <w:lang w:val="en-GB"/>
        </w:rPr>
        <w:t>patients with cirrhosis (</w:t>
      </w:r>
      <w:r w:rsidRPr="00692DFA">
        <w:rPr>
          <w:lang w:val="en-GB"/>
        </w:rPr>
        <w:t>F4</w:t>
      </w:r>
      <w:r w:rsidR="007E1B88">
        <w:rPr>
          <w:lang w:val="en-GB"/>
        </w:rPr>
        <w:t>)</w:t>
      </w:r>
      <w:r w:rsidRPr="00692DFA">
        <w:rPr>
          <w:lang w:val="en-GB"/>
        </w:rPr>
        <w:t xml:space="preserve"> should have a </w:t>
      </w:r>
      <w:r w:rsidR="00BD0905">
        <w:rPr>
          <w:lang w:val="en-GB"/>
        </w:rPr>
        <w:t xml:space="preserve">follow-up ultrasound every </w:t>
      </w:r>
      <w:r w:rsidRPr="00692DFA">
        <w:rPr>
          <w:lang w:val="en-GB"/>
        </w:rPr>
        <w:t>6 month</w:t>
      </w:r>
      <w:r w:rsidR="00BD0905">
        <w:rPr>
          <w:lang w:val="en-GB"/>
        </w:rPr>
        <w:t>s</w:t>
      </w:r>
      <w:r w:rsidRPr="00692DFA">
        <w:rPr>
          <w:lang w:val="en-GB"/>
        </w:rPr>
        <w:t xml:space="preserve"> to check </w:t>
      </w:r>
      <w:r w:rsidR="00BD0905">
        <w:rPr>
          <w:lang w:val="en-GB"/>
        </w:rPr>
        <w:t xml:space="preserve">for </w:t>
      </w:r>
      <w:r w:rsidRPr="00692DFA">
        <w:rPr>
          <w:lang w:val="en-GB"/>
        </w:rPr>
        <w:t xml:space="preserve">the emergence of </w:t>
      </w:r>
      <w:r w:rsidR="007E1B88">
        <w:rPr>
          <w:lang w:val="en-GB"/>
        </w:rPr>
        <w:t>hepatocellular cancer,</w:t>
      </w:r>
      <w:r w:rsidRPr="00692DFA">
        <w:rPr>
          <w:lang w:val="en-GB"/>
        </w:rPr>
        <w:t xml:space="preserve"> which if </w:t>
      </w:r>
      <w:r w:rsidR="007E1B88">
        <w:rPr>
          <w:lang w:val="en-GB"/>
        </w:rPr>
        <w:t>diagnosed</w:t>
      </w:r>
      <w:r w:rsidRPr="00692DFA">
        <w:rPr>
          <w:lang w:val="en-GB"/>
        </w:rPr>
        <w:t xml:space="preserve"> early </w:t>
      </w:r>
      <w:r w:rsidR="007E1B88">
        <w:rPr>
          <w:lang w:val="en-GB"/>
        </w:rPr>
        <w:t>has good chances of treatment</w:t>
      </w:r>
      <w:r w:rsidRPr="00692DFA">
        <w:rPr>
          <w:lang w:val="en-GB"/>
        </w:rPr>
        <w:t>.</w:t>
      </w:r>
    </w:p>
    <w:tbl>
      <w:tblPr>
        <w:tblpPr w:leftFromText="181" w:rightFromText="181" w:vertAnchor="text" w:horzAnchor="margin" w:tblpY="31"/>
        <w:tblOverlap w:val="neve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135"/>
        <w:gridCol w:w="710"/>
        <w:gridCol w:w="710"/>
        <w:gridCol w:w="710"/>
        <w:gridCol w:w="3220"/>
      </w:tblGrid>
      <w:tr w:rsidR="008939C1" w:rsidRPr="00F56536" w14:paraId="561FBEFC" w14:textId="77777777" w:rsidTr="008939C1">
        <w:tc>
          <w:tcPr>
            <w:tcW w:w="1622" w:type="pct"/>
          </w:tcPr>
          <w:p w14:paraId="7B8C94E1" w14:textId="55A36688" w:rsidR="00BE15AF" w:rsidRPr="00A32EF1" w:rsidRDefault="00BE15AF" w:rsidP="00A32EF1">
            <w:pPr>
              <w:spacing w:after="0"/>
              <w:rPr>
                <w:rFonts w:asciiTheme="minorHAnsi" w:hAnsiTheme="minorHAnsi" w:cstheme="minorHAnsi"/>
                <w:b/>
                <w:lang w:val="en-GB"/>
              </w:rPr>
            </w:pPr>
            <w:r w:rsidRPr="00A32EF1">
              <w:rPr>
                <w:rFonts w:asciiTheme="minorHAnsi" w:hAnsiTheme="minorHAnsi" w:cstheme="minorHAnsi"/>
                <w:b/>
                <w:lang w:val="en-GB"/>
              </w:rPr>
              <w:t>Examination</w:t>
            </w:r>
          </w:p>
        </w:tc>
        <w:tc>
          <w:tcPr>
            <w:tcW w:w="591" w:type="pct"/>
          </w:tcPr>
          <w:p w14:paraId="5B387472" w14:textId="49ADC590" w:rsidR="00BE15AF" w:rsidRPr="00A32EF1" w:rsidRDefault="00BE15AF" w:rsidP="00A32EF1">
            <w:pPr>
              <w:spacing w:after="0"/>
              <w:jc w:val="center"/>
              <w:rPr>
                <w:rFonts w:asciiTheme="minorHAnsi" w:hAnsiTheme="minorHAnsi" w:cstheme="minorHAnsi"/>
                <w:b/>
                <w:lang w:val="en-GB"/>
              </w:rPr>
            </w:pPr>
            <w:r w:rsidRPr="00A32EF1">
              <w:rPr>
                <w:rFonts w:asciiTheme="minorHAnsi" w:hAnsiTheme="minorHAnsi" w:cstheme="minorHAnsi"/>
                <w:b/>
                <w:lang w:val="en-GB"/>
              </w:rPr>
              <w:t>Baseline</w:t>
            </w:r>
          </w:p>
        </w:tc>
        <w:tc>
          <w:tcPr>
            <w:tcW w:w="370" w:type="pct"/>
          </w:tcPr>
          <w:p w14:paraId="4E67A4C1" w14:textId="7539CD43" w:rsidR="00BE15AF" w:rsidRPr="00A32EF1" w:rsidRDefault="00BE15AF" w:rsidP="00A32EF1">
            <w:pPr>
              <w:spacing w:after="0"/>
              <w:jc w:val="center"/>
              <w:rPr>
                <w:rFonts w:asciiTheme="minorHAnsi" w:hAnsiTheme="minorHAnsi" w:cstheme="minorHAnsi"/>
                <w:b/>
                <w:bCs/>
                <w:lang w:val="en-GB"/>
              </w:rPr>
            </w:pPr>
            <w:r w:rsidRPr="00A32EF1">
              <w:rPr>
                <w:rFonts w:asciiTheme="minorHAnsi" w:hAnsiTheme="minorHAnsi" w:cstheme="minorHAnsi"/>
                <w:b/>
                <w:bCs/>
                <w:lang w:val="en-GB"/>
              </w:rPr>
              <w:t>W4</w:t>
            </w:r>
          </w:p>
        </w:tc>
        <w:tc>
          <w:tcPr>
            <w:tcW w:w="370" w:type="pct"/>
          </w:tcPr>
          <w:p w14:paraId="1D8B263E" w14:textId="5DC8CF7B" w:rsidR="00BE15AF" w:rsidRPr="00A32EF1" w:rsidRDefault="00BE15AF" w:rsidP="00A32EF1">
            <w:pPr>
              <w:spacing w:after="0"/>
              <w:jc w:val="center"/>
              <w:rPr>
                <w:rFonts w:asciiTheme="minorHAnsi" w:hAnsiTheme="minorHAnsi" w:cstheme="minorHAnsi"/>
                <w:b/>
                <w:bCs/>
                <w:lang w:val="en-GB"/>
              </w:rPr>
            </w:pPr>
            <w:r w:rsidRPr="00A32EF1">
              <w:rPr>
                <w:rFonts w:asciiTheme="minorHAnsi" w:hAnsiTheme="minorHAnsi" w:cstheme="minorHAnsi"/>
                <w:b/>
                <w:bCs/>
                <w:lang w:val="en-GB"/>
              </w:rPr>
              <w:t>W12</w:t>
            </w:r>
          </w:p>
        </w:tc>
        <w:tc>
          <w:tcPr>
            <w:tcW w:w="370" w:type="pct"/>
          </w:tcPr>
          <w:p w14:paraId="2672CB8B" w14:textId="268D22F8" w:rsidR="00BE15AF" w:rsidRPr="00A32EF1" w:rsidRDefault="00A32EF1" w:rsidP="00A32EF1">
            <w:pPr>
              <w:spacing w:after="0"/>
              <w:jc w:val="center"/>
              <w:rPr>
                <w:rFonts w:asciiTheme="minorHAnsi" w:hAnsiTheme="minorHAnsi" w:cstheme="minorHAnsi"/>
                <w:b/>
                <w:bCs/>
                <w:lang w:val="en-GB"/>
              </w:rPr>
            </w:pPr>
            <w:r w:rsidRPr="00A32EF1">
              <w:rPr>
                <w:rFonts w:asciiTheme="minorHAnsi" w:hAnsiTheme="minorHAnsi" w:cstheme="minorHAnsi"/>
                <w:b/>
                <w:bCs/>
                <w:lang w:val="en-GB"/>
              </w:rPr>
              <w:t>W</w:t>
            </w:r>
            <w:r w:rsidR="00BE15AF" w:rsidRPr="00A32EF1">
              <w:rPr>
                <w:rFonts w:asciiTheme="minorHAnsi" w:hAnsiTheme="minorHAnsi" w:cstheme="minorHAnsi"/>
                <w:b/>
                <w:bCs/>
                <w:lang w:val="en-GB"/>
              </w:rPr>
              <w:t>24</w:t>
            </w:r>
          </w:p>
        </w:tc>
        <w:tc>
          <w:tcPr>
            <w:tcW w:w="1678" w:type="pct"/>
          </w:tcPr>
          <w:p w14:paraId="1CF74BB2" w14:textId="69B8A751" w:rsidR="00BE15AF" w:rsidRPr="00A32EF1" w:rsidRDefault="00BE15AF" w:rsidP="00A32EF1">
            <w:pPr>
              <w:spacing w:after="0"/>
              <w:jc w:val="center"/>
              <w:rPr>
                <w:rFonts w:asciiTheme="minorHAnsi" w:hAnsiTheme="minorHAnsi" w:cstheme="minorHAnsi"/>
                <w:b/>
                <w:lang w:val="en-GB"/>
              </w:rPr>
            </w:pPr>
            <w:r w:rsidRPr="00A32EF1">
              <w:rPr>
                <w:rFonts w:asciiTheme="minorHAnsi" w:hAnsiTheme="minorHAnsi" w:cstheme="minorHAnsi"/>
                <w:b/>
                <w:lang w:val="en-GB"/>
              </w:rPr>
              <w:t>12 weeks after end of treatment</w:t>
            </w:r>
          </w:p>
        </w:tc>
      </w:tr>
      <w:tr w:rsidR="008939C1" w:rsidRPr="00A32EF1" w14:paraId="30A04FEC" w14:textId="77777777" w:rsidTr="008939C1">
        <w:tc>
          <w:tcPr>
            <w:tcW w:w="1622" w:type="pct"/>
            <w:vAlign w:val="center"/>
          </w:tcPr>
          <w:p w14:paraId="1AEEA2CA" w14:textId="77777777" w:rsidR="00BE15AF" w:rsidRPr="00A32EF1" w:rsidRDefault="00BE15AF" w:rsidP="00A32EF1">
            <w:pPr>
              <w:spacing w:after="0"/>
              <w:rPr>
                <w:rFonts w:asciiTheme="minorHAnsi" w:hAnsiTheme="minorHAnsi" w:cstheme="minorHAnsi"/>
                <w:lang w:val="en-GB"/>
              </w:rPr>
            </w:pPr>
            <w:r w:rsidRPr="00A32EF1">
              <w:rPr>
                <w:rFonts w:asciiTheme="minorHAnsi" w:hAnsiTheme="minorHAnsi" w:cstheme="minorHAnsi"/>
                <w:lang w:val="en-GB"/>
              </w:rPr>
              <w:t>Clinical Evaluation</w:t>
            </w:r>
          </w:p>
        </w:tc>
        <w:tc>
          <w:tcPr>
            <w:tcW w:w="591" w:type="pct"/>
            <w:vAlign w:val="center"/>
          </w:tcPr>
          <w:p w14:paraId="4FE7DFAC"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795DD467"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69A98681"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7881D740" w14:textId="77777777" w:rsidR="00BE15AF" w:rsidRPr="00A32EF1" w:rsidRDefault="00BE15AF" w:rsidP="00A32EF1">
            <w:pPr>
              <w:spacing w:after="0"/>
              <w:jc w:val="center"/>
              <w:rPr>
                <w:rFonts w:asciiTheme="minorHAnsi" w:hAnsiTheme="minorHAnsi" w:cstheme="minorHAnsi"/>
                <w:vertAlign w:val="superscript"/>
                <w:lang w:val="en-GB"/>
              </w:rPr>
            </w:pPr>
            <w:r w:rsidRPr="00A32EF1">
              <w:rPr>
                <w:rFonts w:asciiTheme="minorHAnsi" w:hAnsiTheme="minorHAnsi" w:cstheme="minorHAnsi"/>
                <w:lang w:val="en-GB"/>
              </w:rPr>
              <w:t>X</w:t>
            </w:r>
          </w:p>
        </w:tc>
        <w:tc>
          <w:tcPr>
            <w:tcW w:w="1678" w:type="pct"/>
            <w:vAlign w:val="center"/>
          </w:tcPr>
          <w:p w14:paraId="282BBA8C"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r>
      <w:tr w:rsidR="008939C1" w:rsidRPr="00A32EF1" w14:paraId="77589330" w14:textId="77777777" w:rsidTr="008939C1">
        <w:tc>
          <w:tcPr>
            <w:tcW w:w="1622" w:type="pct"/>
            <w:vAlign w:val="center"/>
          </w:tcPr>
          <w:p w14:paraId="0103FF2C" w14:textId="1DC6E739" w:rsidR="00BE15AF" w:rsidRPr="00A32EF1" w:rsidRDefault="00A32EF1" w:rsidP="00A32EF1">
            <w:pPr>
              <w:spacing w:after="0"/>
              <w:rPr>
                <w:rFonts w:asciiTheme="minorHAnsi" w:hAnsiTheme="minorHAnsi" w:cstheme="minorHAnsi"/>
                <w:lang w:val="en-GB"/>
              </w:rPr>
            </w:pPr>
            <w:r w:rsidRPr="00A32EF1">
              <w:rPr>
                <w:rFonts w:asciiTheme="minorHAnsi" w:hAnsiTheme="minorHAnsi" w:cstheme="minorHAnsi"/>
                <w:lang w:val="en-GB"/>
              </w:rPr>
              <w:t>Creatinine</w:t>
            </w:r>
            <w:r w:rsidR="00BE15AF" w:rsidRPr="00A32EF1">
              <w:rPr>
                <w:rFonts w:asciiTheme="minorHAnsi" w:hAnsiTheme="minorHAnsi" w:cstheme="minorHAnsi"/>
                <w:lang w:val="en-GB"/>
              </w:rPr>
              <w:t xml:space="preserve"> </w:t>
            </w:r>
          </w:p>
        </w:tc>
        <w:tc>
          <w:tcPr>
            <w:tcW w:w="591" w:type="pct"/>
            <w:vAlign w:val="center"/>
          </w:tcPr>
          <w:p w14:paraId="1160E745"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0D11A1C4"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1EA76E30"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10E52052" w14:textId="77777777" w:rsidR="00BE15AF" w:rsidRPr="00A32EF1" w:rsidRDefault="00BE15AF" w:rsidP="00A32EF1">
            <w:pPr>
              <w:spacing w:after="0"/>
              <w:jc w:val="center"/>
              <w:rPr>
                <w:rFonts w:asciiTheme="minorHAnsi" w:hAnsiTheme="minorHAnsi" w:cstheme="minorHAnsi"/>
                <w:lang w:val="en-GB"/>
              </w:rPr>
            </w:pPr>
          </w:p>
        </w:tc>
        <w:tc>
          <w:tcPr>
            <w:tcW w:w="1678" w:type="pct"/>
            <w:vAlign w:val="center"/>
          </w:tcPr>
          <w:p w14:paraId="4115AB47"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53A5431D" w14:textId="77777777" w:rsidTr="008939C1">
        <w:tc>
          <w:tcPr>
            <w:tcW w:w="1622" w:type="pct"/>
            <w:vAlign w:val="center"/>
          </w:tcPr>
          <w:p w14:paraId="61B54ABC" w14:textId="511223B5" w:rsidR="00BE15AF" w:rsidRPr="00A32EF1" w:rsidRDefault="00BE15AF" w:rsidP="00A32EF1">
            <w:pPr>
              <w:spacing w:after="0"/>
              <w:rPr>
                <w:rFonts w:asciiTheme="minorHAnsi" w:hAnsiTheme="minorHAnsi" w:cstheme="minorHAnsi"/>
                <w:vertAlign w:val="superscript"/>
                <w:lang w:val="en-GB"/>
              </w:rPr>
            </w:pPr>
            <w:r w:rsidRPr="00A32EF1">
              <w:rPr>
                <w:rFonts w:asciiTheme="minorHAnsi" w:hAnsiTheme="minorHAnsi" w:cstheme="minorHAnsi"/>
                <w:lang w:val="en-GB"/>
              </w:rPr>
              <w:t>ALT</w:t>
            </w:r>
            <w:r w:rsidR="00CF7288">
              <w:rPr>
                <w:rFonts w:asciiTheme="minorHAnsi" w:hAnsiTheme="minorHAnsi" w:cstheme="minorHAnsi"/>
                <w:lang w:val="en-GB"/>
              </w:rPr>
              <w:t>, AST</w:t>
            </w:r>
          </w:p>
        </w:tc>
        <w:tc>
          <w:tcPr>
            <w:tcW w:w="591" w:type="pct"/>
            <w:vAlign w:val="center"/>
          </w:tcPr>
          <w:p w14:paraId="0300F7BA"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35795D52"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2715720B"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4A9E0838" w14:textId="77777777" w:rsidR="00BE15AF" w:rsidRPr="00A32EF1" w:rsidRDefault="00BE15AF" w:rsidP="00A32EF1">
            <w:pPr>
              <w:spacing w:after="0"/>
              <w:jc w:val="center"/>
              <w:rPr>
                <w:rFonts w:asciiTheme="minorHAnsi" w:hAnsiTheme="minorHAnsi" w:cstheme="minorHAnsi"/>
                <w:lang w:val="en-GB"/>
              </w:rPr>
            </w:pPr>
          </w:p>
        </w:tc>
        <w:tc>
          <w:tcPr>
            <w:tcW w:w="1678" w:type="pct"/>
            <w:vAlign w:val="center"/>
          </w:tcPr>
          <w:p w14:paraId="2BAE2A9B"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r>
      <w:tr w:rsidR="008939C1" w:rsidRPr="00A32EF1" w14:paraId="4BB28640" w14:textId="77777777" w:rsidTr="008939C1">
        <w:tc>
          <w:tcPr>
            <w:tcW w:w="1622" w:type="pct"/>
            <w:vAlign w:val="center"/>
          </w:tcPr>
          <w:p w14:paraId="07AA73D8" w14:textId="77777777" w:rsidR="00BE15AF" w:rsidRPr="00A32EF1" w:rsidRDefault="00BE15AF" w:rsidP="00A32EF1">
            <w:pPr>
              <w:spacing w:after="0"/>
              <w:rPr>
                <w:rFonts w:asciiTheme="minorHAnsi" w:hAnsiTheme="minorHAnsi" w:cstheme="minorHAnsi"/>
                <w:lang w:val="en-GB"/>
              </w:rPr>
            </w:pPr>
            <w:r w:rsidRPr="00A32EF1">
              <w:rPr>
                <w:rFonts w:asciiTheme="minorHAnsi" w:hAnsiTheme="minorHAnsi" w:cstheme="minorHAnsi"/>
                <w:lang w:val="en-GB"/>
              </w:rPr>
              <w:t xml:space="preserve">Haemoglobin </w:t>
            </w:r>
          </w:p>
        </w:tc>
        <w:tc>
          <w:tcPr>
            <w:tcW w:w="591" w:type="pct"/>
            <w:vAlign w:val="center"/>
          </w:tcPr>
          <w:p w14:paraId="312AE53C"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07E2C2CA"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2</w:t>
            </w:r>
          </w:p>
        </w:tc>
        <w:tc>
          <w:tcPr>
            <w:tcW w:w="370" w:type="pct"/>
            <w:vAlign w:val="center"/>
          </w:tcPr>
          <w:p w14:paraId="304BF136"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038EF0E3" w14:textId="77777777" w:rsidR="00BE15AF" w:rsidRPr="00A32EF1" w:rsidRDefault="00BE15AF" w:rsidP="00A32EF1">
            <w:pPr>
              <w:spacing w:after="0"/>
              <w:jc w:val="center"/>
              <w:rPr>
                <w:rFonts w:asciiTheme="minorHAnsi" w:hAnsiTheme="minorHAnsi" w:cstheme="minorHAnsi"/>
                <w:lang w:val="en-GB"/>
              </w:rPr>
            </w:pPr>
          </w:p>
        </w:tc>
        <w:tc>
          <w:tcPr>
            <w:tcW w:w="1678" w:type="pct"/>
            <w:vAlign w:val="center"/>
          </w:tcPr>
          <w:p w14:paraId="1DBBE0FA"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57CD62C9" w14:textId="77777777" w:rsidTr="008939C1">
        <w:tc>
          <w:tcPr>
            <w:tcW w:w="1622" w:type="pct"/>
            <w:vAlign w:val="center"/>
          </w:tcPr>
          <w:p w14:paraId="1AD51E44" w14:textId="77777777" w:rsidR="00BE15AF" w:rsidRPr="00A32EF1" w:rsidRDefault="00BE15AF" w:rsidP="00A32EF1">
            <w:pPr>
              <w:spacing w:after="0"/>
              <w:rPr>
                <w:rFonts w:asciiTheme="minorHAnsi" w:hAnsiTheme="minorHAnsi" w:cstheme="minorHAnsi"/>
                <w:lang w:val="en-GB"/>
              </w:rPr>
            </w:pPr>
            <w:r w:rsidRPr="00A32EF1">
              <w:rPr>
                <w:rFonts w:asciiTheme="minorHAnsi" w:hAnsiTheme="minorHAnsi" w:cstheme="minorHAnsi"/>
                <w:lang w:val="en-GB"/>
              </w:rPr>
              <w:t>Platelets</w:t>
            </w:r>
            <w:r w:rsidRPr="00A32EF1">
              <w:rPr>
                <w:rFonts w:asciiTheme="minorHAnsi" w:hAnsiTheme="minorHAnsi" w:cstheme="minorHAnsi"/>
                <w:vertAlign w:val="superscript"/>
                <w:lang w:val="en-GB"/>
              </w:rPr>
              <w:t>1</w:t>
            </w:r>
          </w:p>
        </w:tc>
        <w:tc>
          <w:tcPr>
            <w:tcW w:w="591" w:type="pct"/>
            <w:vAlign w:val="center"/>
          </w:tcPr>
          <w:p w14:paraId="7CF6E872"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70489541"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3CA5E7CF"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1</w:t>
            </w:r>
          </w:p>
        </w:tc>
        <w:tc>
          <w:tcPr>
            <w:tcW w:w="370" w:type="pct"/>
            <w:vAlign w:val="center"/>
          </w:tcPr>
          <w:p w14:paraId="0F878D45"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1</w:t>
            </w:r>
          </w:p>
        </w:tc>
        <w:tc>
          <w:tcPr>
            <w:tcW w:w="1678" w:type="pct"/>
            <w:vAlign w:val="center"/>
          </w:tcPr>
          <w:p w14:paraId="5E4352D3"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18949EF4" w14:textId="77777777" w:rsidTr="008939C1">
        <w:tc>
          <w:tcPr>
            <w:tcW w:w="1622" w:type="pct"/>
            <w:vAlign w:val="center"/>
          </w:tcPr>
          <w:p w14:paraId="7D5395B4" w14:textId="773C985F" w:rsidR="00BE15AF" w:rsidRPr="00A32EF1" w:rsidRDefault="00BE15AF" w:rsidP="00A32EF1">
            <w:pPr>
              <w:spacing w:after="0"/>
              <w:rPr>
                <w:rFonts w:asciiTheme="minorHAnsi" w:hAnsiTheme="minorHAnsi" w:cstheme="minorHAnsi"/>
                <w:lang w:val="en-GB"/>
              </w:rPr>
            </w:pPr>
            <w:r w:rsidRPr="00A32EF1">
              <w:rPr>
                <w:rFonts w:asciiTheme="minorHAnsi" w:hAnsiTheme="minorHAnsi" w:cstheme="minorHAnsi"/>
                <w:lang w:val="en-GB"/>
              </w:rPr>
              <w:t>INR or PT</w:t>
            </w:r>
            <w:r w:rsidRPr="00A32EF1">
              <w:rPr>
                <w:rFonts w:asciiTheme="minorHAnsi" w:hAnsiTheme="minorHAnsi" w:cstheme="minorHAnsi"/>
                <w:vertAlign w:val="superscript"/>
                <w:lang w:val="en-GB"/>
              </w:rPr>
              <w:t>1</w:t>
            </w:r>
          </w:p>
        </w:tc>
        <w:tc>
          <w:tcPr>
            <w:tcW w:w="591" w:type="pct"/>
            <w:vAlign w:val="center"/>
          </w:tcPr>
          <w:p w14:paraId="0AA30EAF"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304A6933"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28BA124B"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1</w:t>
            </w:r>
          </w:p>
        </w:tc>
        <w:tc>
          <w:tcPr>
            <w:tcW w:w="370" w:type="pct"/>
            <w:vAlign w:val="center"/>
          </w:tcPr>
          <w:p w14:paraId="2F97AB95" w14:textId="77777777" w:rsidR="00BE15AF" w:rsidRPr="00A32EF1" w:rsidRDefault="00BE15AF" w:rsidP="00A32EF1">
            <w:pPr>
              <w:spacing w:after="0"/>
              <w:jc w:val="center"/>
              <w:rPr>
                <w:rFonts w:asciiTheme="minorHAnsi" w:hAnsiTheme="minorHAnsi" w:cstheme="minorHAnsi"/>
                <w:vertAlign w:val="superscript"/>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1</w:t>
            </w:r>
          </w:p>
        </w:tc>
        <w:tc>
          <w:tcPr>
            <w:tcW w:w="1678" w:type="pct"/>
            <w:vAlign w:val="center"/>
          </w:tcPr>
          <w:p w14:paraId="689E3643"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6395C5B9" w14:textId="77777777" w:rsidTr="008939C1">
        <w:tc>
          <w:tcPr>
            <w:tcW w:w="1622" w:type="pct"/>
            <w:vAlign w:val="center"/>
          </w:tcPr>
          <w:p w14:paraId="18A2BEB9" w14:textId="77777777" w:rsidR="00BE15AF" w:rsidRPr="00A32EF1" w:rsidRDefault="00BE15AF" w:rsidP="00A32EF1">
            <w:pPr>
              <w:spacing w:after="0"/>
              <w:rPr>
                <w:rFonts w:asciiTheme="minorHAnsi" w:hAnsiTheme="minorHAnsi" w:cstheme="minorHAnsi"/>
                <w:vertAlign w:val="superscript"/>
                <w:lang w:val="en-GB"/>
              </w:rPr>
            </w:pPr>
            <w:r w:rsidRPr="00A32EF1">
              <w:rPr>
                <w:rFonts w:asciiTheme="minorHAnsi" w:hAnsiTheme="minorHAnsi" w:cstheme="minorHAnsi"/>
                <w:lang w:val="en-GB"/>
              </w:rPr>
              <w:t>Bilirubin total</w:t>
            </w:r>
            <w:r w:rsidRPr="00A32EF1">
              <w:rPr>
                <w:rFonts w:asciiTheme="minorHAnsi" w:hAnsiTheme="minorHAnsi" w:cstheme="minorHAnsi"/>
                <w:vertAlign w:val="superscript"/>
                <w:lang w:val="en-GB"/>
              </w:rPr>
              <w:t>1</w:t>
            </w:r>
          </w:p>
        </w:tc>
        <w:tc>
          <w:tcPr>
            <w:tcW w:w="591" w:type="pct"/>
            <w:vAlign w:val="center"/>
          </w:tcPr>
          <w:p w14:paraId="367B8F02"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251F5A0D"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10A10598"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1</w:t>
            </w:r>
          </w:p>
        </w:tc>
        <w:tc>
          <w:tcPr>
            <w:tcW w:w="370" w:type="pct"/>
            <w:vAlign w:val="center"/>
          </w:tcPr>
          <w:p w14:paraId="756EFF32" w14:textId="77777777" w:rsidR="00BE15AF" w:rsidRPr="00A32EF1" w:rsidRDefault="00BE15AF" w:rsidP="00A32EF1">
            <w:pPr>
              <w:spacing w:after="0"/>
              <w:jc w:val="center"/>
              <w:rPr>
                <w:rFonts w:asciiTheme="minorHAnsi" w:hAnsiTheme="minorHAnsi" w:cstheme="minorHAnsi"/>
                <w:vertAlign w:val="superscript"/>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1</w:t>
            </w:r>
          </w:p>
        </w:tc>
        <w:tc>
          <w:tcPr>
            <w:tcW w:w="1678" w:type="pct"/>
            <w:vAlign w:val="center"/>
          </w:tcPr>
          <w:p w14:paraId="3E4120D8"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6E579076" w14:textId="77777777" w:rsidTr="008939C1">
        <w:tc>
          <w:tcPr>
            <w:tcW w:w="1622" w:type="pct"/>
            <w:vAlign w:val="center"/>
          </w:tcPr>
          <w:p w14:paraId="03CF4073" w14:textId="77777777" w:rsidR="00BE15AF" w:rsidRPr="00A32EF1" w:rsidRDefault="00BE15AF" w:rsidP="00A32EF1">
            <w:pPr>
              <w:spacing w:after="0"/>
              <w:rPr>
                <w:rFonts w:asciiTheme="minorHAnsi" w:hAnsiTheme="minorHAnsi" w:cstheme="minorHAnsi"/>
                <w:vertAlign w:val="superscript"/>
                <w:lang w:val="en-GB"/>
              </w:rPr>
            </w:pPr>
            <w:r w:rsidRPr="00A32EF1">
              <w:rPr>
                <w:rFonts w:asciiTheme="minorHAnsi" w:hAnsiTheme="minorHAnsi" w:cstheme="minorHAnsi"/>
                <w:lang w:val="en-GB"/>
              </w:rPr>
              <w:t>Albumin</w:t>
            </w:r>
            <w:r w:rsidRPr="00A32EF1">
              <w:rPr>
                <w:rFonts w:asciiTheme="minorHAnsi" w:hAnsiTheme="minorHAnsi" w:cstheme="minorHAnsi"/>
                <w:vertAlign w:val="superscript"/>
                <w:lang w:val="en-GB"/>
              </w:rPr>
              <w:t>1</w:t>
            </w:r>
          </w:p>
        </w:tc>
        <w:tc>
          <w:tcPr>
            <w:tcW w:w="591" w:type="pct"/>
            <w:vAlign w:val="center"/>
          </w:tcPr>
          <w:p w14:paraId="40E82104"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3E2631A8"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2842D840"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1</w:t>
            </w:r>
          </w:p>
        </w:tc>
        <w:tc>
          <w:tcPr>
            <w:tcW w:w="370" w:type="pct"/>
            <w:vAlign w:val="center"/>
          </w:tcPr>
          <w:p w14:paraId="0FF53D17" w14:textId="7C963EDB"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r w:rsidRPr="00A32EF1">
              <w:rPr>
                <w:rFonts w:asciiTheme="minorHAnsi" w:hAnsiTheme="minorHAnsi" w:cstheme="minorHAnsi"/>
                <w:vertAlign w:val="superscript"/>
                <w:lang w:val="en-GB"/>
              </w:rPr>
              <w:t>1</w:t>
            </w:r>
          </w:p>
        </w:tc>
        <w:tc>
          <w:tcPr>
            <w:tcW w:w="1678" w:type="pct"/>
            <w:vAlign w:val="center"/>
          </w:tcPr>
          <w:p w14:paraId="4E355054"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3C325CA2" w14:textId="77777777" w:rsidTr="008939C1">
        <w:tc>
          <w:tcPr>
            <w:tcW w:w="1622" w:type="pct"/>
            <w:vAlign w:val="center"/>
          </w:tcPr>
          <w:p w14:paraId="25623A64" w14:textId="3C33461F" w:rsidR="00BE15AF" w:rsidRPr="00A32EF1" w:rsidRDefault="00BE15AF" w:rsidP="00A32EF1">
            <w:pPr>
              <w:spacing w:after="0"/>
              <w:rPr>
                <w:rFonts w:asciiTheme="minorHAnsi" w:hAnsiTheme="minorHAnsi" w:cstheme="minorHAnsi"/>
                <w:lang w:val="fr-FR"/>
              </w:rPr>
            </w:pPr>
            <w:r w:rsidRPr="00A32EF1">
              <w:rPr>
                <w:rFonts w:asciiTheme="minorHAnsi" w:hAnsiTheme="minorHAnsi" w:cstheme="minorHAnsi"/>
                <w:lang w:val="fr-FR"/>
              </w:rPr>
              <w:t>HCV</w:t>
            </w:r>
            <w:r w:rsidR="00A32EF1" w:rsidRPr="00A32EF1">
              <w:rPr>
                <w:rFonts w:asciiTheme="minorHAnsi" w:hAnsiTheme="minorHAnsi" w:cstheme="minorHAnsi"/>
                <w:lang w:val="fr-FR"/>
              </w:rPr>
              <w:t>-RNA (q</w:t>
            </w:r>
            <w:r w:rsidRPr="00A32EF1">
              <w:rPr>
                <w:rFonts w:asciiTheme="minorHAnsi" w:hAnsiTheme="minorHAnsi" w:cstheme="minorHAnsi"/>
                <w:lang w:val="fr-FR"/>
              </w:rPr>
              <w:t>uantitative</w:t>
            </w:r>
            <w:r w:rsidR="00A32EF1" w:rsidRPr="00A32EF1">
              <w:rPr>
                <w:rFonts w:asciiTheme="minorHAnsi" w:hAnsiTheme="minorHAnsi" w:cstheme="minorHAnsi"/>
                <w:lang w:val="fr-FR"/>
              </w:rPr>
              <w:t>/q</w:t>
            </w:r>
            <w:r w:rsidRPr="00A32EF1">
              <w:rPr>
                <w:rFonts w:asciiTheme="minorHAnsi" w:hAnsiTheme="minorHAnsi" w:cstheme="minorHAnsi"/>
                <w:lang w:val="fr-FR"/>
              </w:rPr>
              <w:t>ualitative</w:t>
            </w:r>
            <w:r w:rsidR="00A32EF1" w:rsidRPr="00A32EF1">
              <w:rPr>
                <w:rFonts w:asciiTheme="minorHAnsi" w:hAnsiTheme="minorHAnsi" w:cstheme="minorHAnsi"/>
                <w:lang w:val="fr-FR"/>
              </w:rPr>
              <w:t>)</w:t>
            </w:r>
          </w:p>
        </w:tc>
        <w:tc>
          <w:tcPr>
            <w:tcW w:w="591" w:type="pct"/>
            <w:vAlign w:val="center"/>
          </w:tcPr>
          <w:p w14:paraId="4466DB94"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2913D0D0" w14:textId="77777777" w:rsidR="00BE15AF" w:rsidRPr="00A32EF1" w:rsidRDefault="00BE15AF" w:rsidP="00A32EF1">
            <w:pPr>
              <w:spacing w:after="0"/>
              <w:jc w:val="center"/>
              <w:rPr>
                <w:rFonts w:asciiTheme="minorHAnsi" w:hAnsiTheme="minorHAnsi" w:cstheme="minorHAnsi"/>
                <w:vertAlign w:val="superscript"/>
                <w:lang w:val="en-GB"/>
              </w:rPr>
            </w:pPr>
          </w:p>
        </w:tc>
        <w:tc>
          <w:tcPr>
            <w:tcW w:w="370" w:type="pct"/>
            <w:vAlign w:val="center"/>
          </w:tcPr>
          <w:p w14:paraId="133B8A80" w14:textId="77777777" w:rsidR="00BE15AF" w:rsidRPr="00A32EF1" w:rsidRDefault="00BE15AF" w:rsidP="00A32EF1">
            <w:pPr>
              <w:spacing w:after="0"/>
              <w:jc w:val="center"/>
              <w:rPr>
                <w:rFonts w:asciiTheme="minorHAnsi" w:hAnsiTheme="minorHAnsi" w:cstheme="minorHAnsi"/>
                <w:vertAlign w:val="superscript"/>
                <w:lang w:val="en-GB"/>
              </w:rPr>
            </w:pPr>
          </w:p>
        </w:tc>
        <w:tc>
          <w:tcPr>
            <w:tcW w:w="370" w:type="pct"/>
            <w:vAlign w:val="center"/>
          </w:tcPr>
          <w:p w14:paraId="415873B2" w14:textId="77777777" w:rsidR="00BE15AF" w:rsidRPr="00A32EF1" w:rsidRDefault="00BE15AF" w:rsidP="00A32EF1">
            <w:pPr>
              <w:spacing w:after="0"/>
              <w:jc w:val="center"/>
              <w:rPr>
                <w:rFonts w:asciiTheme="minorHAnsi" w:hAnsiTheme="minorHAnsi" w:cstheme="minorHAnsi"/>
                <w:lang w:val="en-GB"/>
              </w:rPr>
            </w:pPr>
          </w:p>
        </w:tc>
        <w:tc>
          <w:tcPr>
            <w:tcW w:w="1678" w:type="pct"/>
            <w:vAlign w:val="center"/>
          </w:tcPr>
          <w:p w14:paraId="795B3CA4"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r>
      <w:tr w:rsidR="008939C1" w:rsidRPr="00A32EF1" w14:paraId="49C038E9" w14:textId="77777777" w:rsidTr="008939C1">
        <w:tc>
          <w:tcPr>
            <w:tcW w:w="1622" w:type="pct"/>
            <w:vAlign w:val="center"/>
          </w:tcPr>
          <w:p w14:paraId="731892D5" w14:textId="77777777" w:rsidR="00BE15AF" w:rsidRPr="00A32EF1" w:rsidRDefault="00BE15AF" w:rsidP="00A32EF1">
            <w:pPr>
              <w:spacing w:after="0"/>
              <w:rPr>
                <w:rFonts w:asciiTheme="minorHAnsi" w:hAnsiTheme="minorHAnsi" w:cstheme="minorHAnsi"/>
                <w:lang w:val="en-GB"/>
              </w:rPr>
            </w:pPr>
            <w:r w:rsidRPr="00A32EF1">
              <w:rPr>
                <w:rFonts w:asciiTheme="minorHAnsi" w:hAnsiTheme="minorHAnsi" w:cstheme="minorHAnsi"/>
                <w:lang w:val="en-GB"/>
              </w:rPr>
              <w:t>HCV Genotype</w:t>
            </w:r>
          </w:p>
        </w:tc>
        <w:tc>
          <w:tcPr>
            <w:tcW w:w="591" w:type="pct"/>
            <w:vAlign w:val="center"/>
          </w:tcPr>
          <w:p w14:paraId="10C5E95F"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34779F32"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1AE3BA9F"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5A5858B8" w14:textId="77777777" w:rsidR="00BE15AF" w:rsidRPr="00A32EF1" w:rsidRDefault="00BE15AF" w:rsidP="00A32EF1">
            <w:pPr>
              <w:spacing w:after="0"/>
              <w:jc w:val="center"/>
              <w:rPr>
                <w:rFonts w:asciiTheme="minorHAnsi" w:hAnsiTheme="minorHAnsi" w:cstheme="minorHAnsi"/>
                <w:lang w:val="en-GB"/>
              </w:rPr>
            </w:pPr>
          </w:p>
        </w:tc>
        <w:tc>
          <w:tcPr>
            <w:tcW w:w="1678" w:type="pct"/>
            <w:vAlign w:val="center"/>
          </w:tcPr>
          <w:p w14:paraId="0A50685C"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6B94E5EC" w14:textId="77777777" w:rsidTr="008939C1">
        <w:tc>
          <w:tcPr>
            <w:tcW w:w="1622" w:type="pct"/>
            <w:vAlign w:val="center"/>
          </w:tcPr>
          <w:p w14:paraId="4B607F57" w14:textId="7AE04617" w:rsidR="00BE15AF" w:rsidRPr="00A32EF1" w:rsidRDefault="00C7417B" w:rsidP="00A32EF1">
            <w:pPr>
              <w:spacing w:after="0"/>
              <w:rPr>
                <w:rFonts w:asciiTheme="minorHAnsi" w:hAnsiTheme="minorHAnsi" w:cstheme="minorHAnsi"/>
                <w:lang w:val="en-GB"/>
              </w:rPr>
            </w:pPr>
            <w:r w:rsidRPr="00A32EF1">
              <w:rPr>
                <w:rFonts w:asciiTheme="minorHAnsi" w:hAnsiTheme="minorHAnsi" w:cstheme="minorHAnsi"/>
                <w:lang w:val="en-GB"/>
              </w:rPr>
              <w:lastRenderedPageBreak/>
              <w:t>Fibroscan</w:t>
            </w:r>
          </w:p>
        </w:tc>
        <w:tc>
          <w:tcPr>
            <w:tcW w:w="591" w:type="pct"/>
            <w:vAlign w:val="center"/>
          </w:tcPr>
          <w:p w14:paraId="500205FF"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5211436D"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734C18A7"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1545FF84" w14:textId="77777777" w:rsidR="00BE15AF" w:rsidRPr="00A32EF1" w:rsidRDefault="00BE15AF" w:rsidP="00A32EF1">
            <w:pPr>
              <w:spacing w:after="0"/>
              <w:jc w:val="center"/>
              <w:rPr>
                <w:rFonts w:asciiTheme="minorHAnsi" w:hAnsiTheme="minorHAnsi" w:cstheme="minorHAnsi"/>
                <w:lang w:val="en-GB"/>
              </w:rPr>
            </w:pPr>
          </w:p>
        </w:tc>
        <w:tc>
          <w:tcPr>
            <w:tcW w:w="1678" w:type="pct"/>
            <w:vAlign w:val="center"/>
          </w:tcPr>
          <w:p w14:paraId="3968265F"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7B0CA77A" w14:textId="77777777" w:rsidTr="008939C1">
        <w:tc>
          <w:tcPr>
            <w:tcW w:w="1622" w:type="pct"/>
            <w:vAlign w:val="center"/>
          </w:tcPr>
          <w:p w14:paraId="4A457FA7" w14:textId="78508BCD" w:rsidR="00BE15AF" w:rsidRPr="00A32EF1" w:rsidRDefault="00BE15AF" w:rsidP="00A32EF1">
            <w:pPr>
              <w:spacing w:after="0"/>
              <w:rPr>
                <w:rFonts w:asciiTheme="minorHAnsi" w:hAnsiTheme="minorHAnsi" w:cstheme="minorHAnsi"/>
                <w:lang w:val="en-GB"/>
              </w:rPr>
            </w:pPr>
            <w:r w:rsidRPr="00A32EF1">
              <w:rPr>
                <w:rFonts w:asciiTheme="minorHAnsi" w:hAnsiTheme="minorHAnsi" w:cstheme="minorHAnsi"/>
                <w:lang w:val="en-GB"/>
              </w:rPr>
              <w:t>Liver Ultrasound</w:t>
            </w:r>
            <w:r w:rsidR="00066089">
              <w:rPr>
                <w:rFonts w:asciiTheme="minorHAnsi" w:hAnsiTheme="minorHAnsi" w:cstheme="minorHAnsi"/>
                <w:lang w:val="en-GB"/>
              </w:rPr>
              <w:t xml:space="preserve"> and</w:t>
            </w:r>
            <w:r w:rsidR="007C4B2A" w:rsidRPr="007C4B2A">
              <w:rPr>
                <w:lang w:val="en-US"/>
              </w:rPr>
              <w:t xml:space="preserve"> </w:t>
            </w:r>
            <w:r w:rsidR="007C4B2A" w:rsidRPr="007C4B2A">
              <w:rPr>
                <w:rFonts w:asciiTheme="minorHAnsi" w:hAnsiTheme="minorHAnsi" w:cstheme="minorHAnsi"/>
                <w:lang w:val="en-GB"/>
              </w:rPr>
              <w:t xml:space="preserve">alpha-fetoprotein </w:t>
            </w:r>
            <w:r w:rsidR="007C4B2A">
              <w:rPr>
                <w:rFonts w:asciiTheme="minorHAnsi" w:hAnsiTheme="minorHAnsi" w:cstheme="minorHAnsi"/>
                <w:lang w:val="en-GB"/>
              </w:rPr>
              <w:t>(</w:t>
            </w:r>
            <w:r w:rsidR="00066089">
              <w:rPr>
                <w:rFonts w:asciiTheme="minorHAnsi" w:hAnsiTheme="minorHAnsi" w:cstheme="minorHAnsi"/>
                <w:lang w:val="en-GB"/>
              </w:rPr>
              <w:t>AFP</w:t>
            </w:r>
            <w:r w:rsidR="007C4B2A">
              <w:rPr>
                <w:rFonts w:asciiTheme="minorHAnsi" w:hAnsiTheme="minorHAnsi" w:cstheme="minorHAnsi"/>
                <w:lang w:val="en-GB"/>
              </w:rPr>
              <w:t>)</w:t>
            </w:r>
            <w:r w:rsidRPr="00A32EF1">
              <w:rPr>
                <w:rFonts w:asciiTheme="minorHAnsi" w:hAnsiTheme="minorHAnsi" w:cstheme="minorHAnsi"/>
                <w:vertAlign w:val="superscript"/>
                <w:lang w:val="en-GB"/>
              </w:rPr>
              <w:t>1</w:t>
            </w:r>
            <w:r w:rsidRPr="00A32EF1">
              <w:rPr>
                <w:rFonts w:asciiTheme="minorHAnsi" w:hAnsiTheme="minorHAnsi" w:cstheme="minorHAnsi"/>
                <w:lang w:val="en-GB"/>
              </w:rPr>
              <w:t xml:space="preserve"> </w:t>
            </w:r>
          </w:p>
        </w:tc>
        <w:tc>
          <w:tcPr>
            <w:tcW w:w="591" w:type="pct"/>
            <w:vAlign w:val="center"/>
          </w:tcPr>
          <w:p w14:paraId="673EF951"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20FFEF98"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6CEAA507"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72CA5D4C" w14:textId="77777777" w:rsidR="00BE15AF" w:rsidRPr="00A32EF1" w:rsidRDefault="00BE15AF" w:rsidP="00A32EF1">
            <w:pPr>
              <w:spacing w:after="0"/>
              <w:jc w:val="center"/>
              <w:rPr>
                <w:rFonts w:asciiTheme="minorHAnsi" w:hAnsiTheme="minorHAnsi" w:cstheme="minorHAnsi"/>
                <w:lang w:val="en-GB"/>
              </w:rPr>
            </w:pPr>
          </w:p>
        </w:tc>
        <w:tc>
          <w:tcPr>
            <w:tcW w:w="1678" w:type="pct"/>
            <w:vAlign w:val="center"/>
          </w:tcPr>
          <w:p w14:paraId="586A24A5" w14:textId="77777777" w:rsidR="00BE15AF" w:rsidRPr="00A32EF1" w:rsidRDefault="00BE15AF" w:rsidP="00A32EF1">
            <w:pPr>
              <w:spacing w:after="0"/>
              <w:jc w:val="center"/>
              <w:rPr>
                <w:rFonts w:asciiTheme="minorHAnsi" w:hAnsiTheme="minorHAnsi" w:cstheme="minorHAnsi"/>
                <w:lang w:val="en-GB"/>
              </w:rPr>
            </w:pPr>
          </w:p>
        </w:tc>
      </w:tr>
      <w:tr w:rsidR="008939C1" w:rsidRPr="00A32EF1" w14:paraId="2FF4BC4E" w14:textId="77777777" w:rsidTr="008939C1">
        <w:tc>
          <w:tcPr>
            <w:tcW w:w="1622" w:type="pct"/>
            <w:vAlign w:val="center"/>
          </w:tcPr>
          <w:p w14:paraId="2F81F5D9" w14:textId="2C0C3234" w:rsidR="00BE15AF" w:rsidRPr="00A32EF1" w:rsidRDefault="00A32EF1" w:rsidP="00A32EF1">
            <w:pPr>
              <w:spacing w:after="0"/>
              <w:rPr>
                <w:rFonts w:asciiTheme="minorHAnsi" w:hAnsiTheme="minorHAnsi" w:cstheme="minorHAnsi"/>
                <w:lang w:val="en-GB"/>
              </w:rPr>
            </w:pPr>
            <w:r>
              <w:rPr>
                <w:rFonts w:asciiTheme="minorHAnsi" w:hAnsiTheme="minorHAnsi" w:cstheme="minorHAnsi"/>
                <w:lang w:val="en-GB"/>
              </w:rPr>
              <w:t>Gastroscopy</w:t>
            </w:r>
            <w:r w:rsidR="00CF7288">
              <w:rPr>
                <w:rFonts w:asciiTheme="minorHAnsi" w:hAnsiTheme="minorHAnsi" w:cstheme="minorHAnsi"/>
                <w:vertAlign w:val="superscript"/>
                <w:lang w:val="en-GB"/>
              </w:rPr>
              <w:t>3</w:t>
            </w:r>
            <w:r w:rsidR="00BE15AF" w:rsidRPr="00A32EF1">
              <w:rPr>
                <w:rFonts w:asciiTheme="minorHAnsi" w:hAnsiTheme="minorHAnsi" w:cstheme="minorHAnsi"/>
                <w:lang w:val="en-GB"/>
              </w:rPr>
              <w:t xml:space="preserve"> </w:t>
            </w:r>
          </w:p>
        </w:tc>
        <w:tc>
          <w:tcPr>
            <w:tcW w:w="591" w:type="pct"/>
            <w:vAlign w:val="center"/>
          </w:tcPr>
          <w:p w14:paraId="27C1497E" w14:textId="77777777" w:rsidR="00BE15AF" w:rsidRPr="00A32EF1" w:rsidRDefault="00BE15AF" w:rsidP="00A32EF1">
            <w:pPr>
              <w:spacing w:after="0"/>
              <w:jc w:val="center"/>
              <w:rPr>
                <w:rFonts w:asciiTheme="minorHAnsi" w:hAnsiTheme="minorHAnsi" w:cstheme="minorHAnsi"/>
                <w:lang w:val="en-GB"/>
              </w:rPr>
            </w:pPr>
            <w:r w:rsidRPr="00A32EF1">
              <w:rPr>
                <w:rFonts w:asciiTheme="minorHAnsi" w:hAnsiTheme="minorHAnsi" w:cstheme="minorHAnsi"/>
                <w:lang w:val="en-GB"/>
              </w:rPr>
              <w:t>X</w:t>
            </w:r>
          </w:p>
        </w:tc>
        <w:tc>
          <w:tcPr>
            <w:tcW w:w="370" w:type="pct"/>
            <w:vAlign w:val="center"/>
          </w:tcPr>
          <w:p w14:paraId="243898E6"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1FCEF253" w14:textId="77777777" w:rsidR="00BE15AF" w:rsidRPr="00A32EF1" w:rsidRDefault="00BE15AF" w:rsidP="00A32EF1">
            <w:pPr>
              <w:spacing w:after="0"/>
              <w:jc w:val="center"/>
              <w:rPr>
                <w:rFonts w:asciiTheme="minorHAnsi" w:hAnsiTheme="minorHAnsi" w:cstheme="minorHAnsi"/>
                <w:lang w:val="en-GB"/>
              </w:rPr>
            </w:pPr>
          </w:p>
        </w:tc>
        <w:tc>
          <w:tcPr>
            <w:tcW w:w="370" w:type="pct"/>
            <w:vAlign w:val="center"/>
          </w:tcPr>
          <w:p w14:paraId="1B97BEF1" w14:textId="77777777" w:rsidR="00BE15AF" w:rsidRPr="00A32EF1" w:rsidRDefault="00BE15AF" w:rsidP="00A32EF1">
            <w:pPr>
              <w:spacing w:after="0"/>
              <w:jc w:val="center"/>
              <w:rPr>
                <w:rFonts w:asciiTheme="minorHAnsi" w:hAnsiTheme="minorHAnsi" w:cstheme="minorHAnsi"/>
                <w:lang w:val="en-GB"/>
              </w:rPr>
            </w:pPr>
          </w:p>
        </w:tc>
        <w:tc>
          <w:tcPr>
            <w:tcW w:w="1678" w:type="pct"/>
            <w:vAlign w:val="center"/>
          </w:tcPr>
          <w:p w14:paraId="2784E292" w14:textId="77777777" w:rsidR="00BE15AF" w:rsidRPr="00A32EF1" w:rsidRDefault="00BE15AF" w:rsidP="00A32EF1">
            <w:pPr>
              <w:spacing w:after="0"/>
              <w:jc w:val="center"/>
              <w:rPr>
                <w:rFonts w:asciiTheme="minorHAnsi" w:hAnsiTheme="minorHAnsi" w:cstheme="minorHAnsi"/>
                <w:lang w:val="en-GB"/>
              </w:rPr>
            </w:pPr>
          </w:p>
        </w:tc>
      </w:tr>
    </w:tbl>
    <w:p w14:paraId="4D1D10F5" w14:textId="16A24B3A" w:rsidR="007E1B88" w:rsidRPr="008719EA" w:rsidRDefault="007E1B88" w:rsidP="007E1B88">
      <w:pPr>
        <w:spacing w:after="0" w:line="264" w:lineRule="auto"/>
        <w:rPr>
          <w:i/>
          <w:iCs/>
        </w:rPr>
      </w:pPr>
      <w:r w:rsidRPr="6BFC52D5">
        <w:rPr>
          <w:i/>
          <w:iCs/>
          <w:vertAlign w:val="superscript"/>
        </w:rPr>
        <w:t>1</w:t>
      </w:r>
      <w:r w:rsidRPr="6BFC52D5">
        <w:rPr>
          <w:i/>
          <w:iCs/>
        </w:rPr>
        <w:t xml:space="preserve"> if patient</w:t>
      </w:r>
      <w:r w:rsidR="00CF7288">
        <w:rPr>
          <w:i/>
          <w:iCs/>
        </w:rPr>
        <w:t>s</w:t>
      </w:r>
      <w:r w:rsidRPr="6BFC52D5">
        <w:rPr>
          <w:i/>
          <w:iCs/>
        </w:rPr>
        <w:t xml:space="preserve"> </w:t>
      </w:r>
      <w:r w:rsidR="00CF7288">
        <w:rPr>
          <w:i/>
          <w:iCs/>
        </w:rPr>
        <w:t>are</w:t>
      </w:r>
      <w:r w:rsidRPr="6BFC52D5">
        <w:rPr>
          <w:i/>
          <w:iCs/>
        </w:rPr>
        <w:t xml:space="preserve"> F4</w:t>
      </w:r>
    </w:p>
    <w:p w14:paraId="6F20731F" w14:textId="3D770589" w:rsidR="007E1B88" w:rsidRPr="002B7B65" w:rsidRDefault="007E1B88" w:rsidP="007E1B88">
      <w:pPr>
        <w:spacing w:after="0" w:line="264" w:lineRule="auto"/>
        <w:rPr>
          <w:i/>
          <w:iCs/>
          <w:lang w:val="en-US"/>
        </w:rPr>
      </w:pPr>
      <w:r w:rsidRPr="002B7B65">
        <w:rPr>
          <w:i/>
          <w:iCs/>
          <w:vertAlign w:val="superscript"/>
          <w:lang w:val="en-US"/>
        </w:rPr>
        <w:t>2</w:t>
      </w:r>
      <w:r w:rsidRPr="002B7B65">
        <w:rPr>
          <w:i/>
          <w:iCs/>
          <w:lang w:val="en-US"/>
        </w:rPr>
        <w:t xml:space="preserve"> if </w:t>
      </w:r>
      <w:r w:rsidR="00C7417B">
        <w:rPr>
          <w:i/>
          <w:iCs/>
          <w:lang w:val="en-US"/>
        </w:rPr>
        <w:t>ribavirin</w:t>
      </w:r>
      <w:r w:rsidRPr="002B7B65">
        <w:rPr>
          <w:i/>
          <w:iCs/>
          <w:lang w:val="en-US"/>
        </w:rPr>
        <w:t xml:space="preserve"> treatment</w:t>
      </w:r>
      <w:r w:rsidR="00ED1887" w:rsidRPr="002B7B65">
        <w:rPr>
          <w:i/>
          <w:iCs/>
          <w:lang w:val="en-US"/>
        </w:rPr>
        <w:t xml:space="preserve">: but we do not propose to associate </w:t>
      </w:r>
      <w:r w:rsidR="00C7417B">
        <w:rPr>
          <w:i/>
          <w:iCs/>
          <w:lang w:val="en-US"/>
        </w:rPr>
        <w:t>ri</w:t>
      </w:r>
      <w:r w:rsidR="00BE7FA9">
        <w:rPr>
          <w:i/>
          <w:iCs/>
          <w:lang w:val="en-US"/>
        </w:rPr>
        <w:t>bavirin</w:t>
      </w:r>
      <w:r w:rsidR="00ED1887" w:rsidRPr="002B7B65">
        <w:rPr>
          <w:i/>
          <w:iCs/>
          <w:lang w:val="en-US"/>
        </w:rPr>
        <w:t xml:space="preserve">, so </w:t>
      </w:r>
      <w:r w:rsidR="00BE7FA9">
        <w:rPr>
          <w:i/>
          <w:iCs/>
          <w:lang w:val="en-US"/>
        </w:rPr>
        <w:t>I</w:t>
      </w:r>
      <w:r w:rsidR="00ED1887" w:rsidRPr="002B7B65">
        <w:rPr>
          <w:i/>
          <w:iCs/>
          <w:lang w:val="en-US"/>
        </w:rPr>
        <w:t xml:space="preserve"> think you can de</w:t>
      </w:r>
      <w:r w:rsidR="006F211E" w:rsidRPr="002B7B65">
        <w:rPr>
          <w:i/>
          <w:iCs/>
          <w:lang w:val="en-US"/>
        </w:rPr>
        <w:t>lete this at least for HCV moni</w:t>
      </w:r>
      <w:r w:rsidR="00ED1887" w:rsidRPr="002B7B65">
        <w:rPr>
          <w:i/>
          <w:iCs/>
          <w:lang w:val="en-US"/>
        </w:rPr>
        <w:t xml:space="preserve">toring </w:t>
      </w:r>
      <w:r w:rsidR="006F211E" w:rsidRPr="002B7B65">
        <w:rPr>
          <w:i/>
          <w:iCs/>
          <w:lang w:val="en-US"/>
        </w:rPr>
        <w:t>maybe you need for MDR</w:t>
      </w:r>
      <w:r w:rsidR="00BE7FA9">
        <w:rPr>
          <w:i/>
          <w:iCs/>
          <w:lang w:val="en-US"/>
        </w:rPr>
        <w:t>-</w:t>
      </w:r>
      <w:r w:rsidR="006F211E" w:rsidRPr="002B7B65">
        <w:rPr>
          <w:i/>
          <w:iCs/>
          <w:lang w:val="en-US"/>
        </w:rPr>
        <w:t>TB</w:t>
      </w:r>
    </w:p>
    <w:p w14:paraId="3854A28D" w14:textId="71033667" w:rsidR="007E1B88" w:rsidRPr="00175F03" w:rsidRDefault="00CF7288" w:rsidP="007E1B88">
      <w:pPr>
        <w:spacing w:after="0" w:line="264" w:lineRule="auto"/>
        <w:rPr>
          <w:i/>
          <w:iCs/>
          <w:lang w:val="en-US"/>
        </w:rPr>
      </w:pPr>
      <w:r>
        <w:rPr>
          <w:i/>
          <w:iCs/>
          <w:vertAlign w:val="superscript"/>
          <w:lang w:val="en-US"/>
        </w:rPr>
        <w:t>3</w:t>
      </w:r>
      <w:r w:rsidR="007E1B88" w:rsidRPr="00175F03">
        <w:rPr>
          <w:i/>
          <w:iCs/>
          <w:vertAlign w:val="superscript"/>
          <w:lang w:val="en-US"/>
        </w:rPr>
        <w:t xml:space="preserve"> </w:t>
      </w:r>
      <w:r w:rsidR="007E1B88" w:rsidRPr="00175F03">
        <w:rPr>
          <w:i/>
          <w:iCs/>
          <w:lang w:val="en-US"/>
        </w:rPr>
        <w:t>In patient</w:t>
      </w:r>
      <w:r>
        <w:rPr>
          <w:i/>
          <w:iCs/>
          <w:lang w:val="en-US"/>
        </w:rPr>
        <w:t>s</w:t>
      </w:r>
      <w:r w:rsidR="007E1B88" w:rsidRPr="00175F03">
        <w:rPr>
          <w:i/>
          <w:iCs/>
          <w:lang w:val="en-US"/>
        </w:rPr>
        <w:t xml:space="preserve"> F4 with fibrosis &gt; 20</w:t>
      </w:r>
      <w:r w:rsidR="00883CAE">
        <w:rPr>
          <w:i/>
          <w:iCs/>
          <w:lang w:val="en-US"/>
        </w:rPr>
        <w:t xml:space="preserve"> </w:t>
      </w:r>
      <w:r w:rsidR="007E1B88" w:rsidRPr="00175F03">
        <w:rPr>
          <w:i/>
          <w:iCs/>
          <w:lang w:val="en-US"/>
        </w:rPr>
        <w:t>kPa and platelets &lt; 150000</w:t>
      </w:r>
      <w:r w:rsidR="00074A91">
        <w:rPr>
          <w:i/>
          <w:iCs/>
          <w:lang w:val="en-US"/>
        </w:rPr>
        <w:t>/</w:t>
      </w:r>
      <w:r w:rsidR="00074A91" w:rsidRPr="00074A91">
        <w:rPr>
          <w:i/>
          <w:iCs/>
          <w:lang w:val="en-GB"/>
        </w:rPr>
        <w:t>µL</w:t>
      </w:r>
    </w:p>
    <w:p w14:paraId="2E01845C" w14:textId="77777777" w:rsidR="00A32EF1" w:rsidRDefault="00A32EF1" w:rsidP="004120C8">
      <w:pPr>
        <w:suppressAutoHyphens/>
        <w:autoSpaceDN w:val="0"/>
        <w:spacing w:after="0" w:line="240" w:lineRule="auto"/>
        <w:jc w:val="both"/>
        <w:textAlignment w:val="baseline"/>
        <w:rPr>
          <w:lang w:val="en-GB"/>
        </w:rPr>
      </w:pPr>
    </w:p>
    <w:p w14:paraId="7CBCE57E" w14:textId="2D015039" w:rsidR="006D6636" w:rsidRPr="00FA6F8C" w:rsidRDefault="006D6636" w:rsidP="00024E69">
      <w:pPr>
        <w:pStyle w:val="Heading4"/>
        <w:spacing w:before="0" w:after="200"/>
        <w:ind w:left="1843" w:hanging="640"/>
        <w:rPr>
          <w:lang w:val="en-GB"/>
        </w:rPr>
      </w:pPr>
      <w:r>
        <w:rPr>
          <w:lang w:val="en-GB"/>
        </w:rPr>
        <w:t>Drug-drug interactions</w:t>
      </w:r>
    </w:p>
    <w:p w14:paraId="446F4C47" w14:textId="0E2C105A" w:rsidR="006D6636" w:rsidRPr="006D6636" w:rsidRDefault="006D6636" w:rsidP="00276D3A">
      <w:pPr>
        <w:suppressAutoHyphens/>
        <w:autoSpaceDN w:val="0"/>
        <w:spacing w:line="240" w:lineRule="auto"/>
        <w:jc w:val="both"/>
        <w:textAlignment w:val="baseline"/>
        <w:rPr>
          <w:lang w:val="en-GB"/>
        </w:rPr>
      </w:pPr>
      <w:r w:rsidRPr="006D6636">
        <w:rPr>
          <w:lang w:val="en-GB"/>
        </w:rPr>
        <w:t xml:space="preserve">There is no known interaction between </w:t>
      </w:r>
      <w:r w:rsidR="00FA6F8C">
        <w:rPr>
          <w:lang w:val="en-GB"/>
        </w:rPr>
        <w:t>S</w:t>
      </w:r>
      <w:r w:rsidRPr="006D6636">
        <w:rPr>
          <w:lang w:val="en-GB"/>
        </w:rPr>
        <w:t>ofosbuvir/</w:t>
      </w:r>
      <w:r w:rsidR="00FA6F8C">
        <w:rPr>
          <w:lang w:val="en-GB"/>
        </w:rPr>
        <w:t>D</w:t>
      </w:r>
      <w:r w:rsidRPr="006D6636">
        <w:rPr>
          <w:lang w:val="en-GB"/>
        </w:rPr>
        <w:t>aclatasvir and second-line anti-tuberculosis drugs, including new (bedaquiline, delamanid) and repurposed drugs (linezolid, clofazimine, carbapenems).</w:t>
      </w:r>
    </w:p>
    <w:p w14:paraId="03BF8196" w14:textId="7409ACB2" w:rsidR="006D6636" w:rsidRDefault="006D6636" w:rsidP="006D6636">
      <w:pPr>
        <w:suppressAutoHyphens/>
        <w:autoSpaceDN w:val="0"/>
        <w:jc w:val="both"/>
        <w:textAlignment w:val="baseline"/>
        <w:rPr>
          <w:lang w:val="en-GB"/>
        </w:rPr>
      </w:pPr>
      <w:r w:rsidRPr="006D6636">
        <w:rPr>
          <w:lang w:val="en-GB"/>
        </w:rPr>
        <w:t xml:space="preserve">The following drug-drug interactions should be taken into account when </w:t>
      </w:r>
      <w:r w:rsidR="00FA6F8C">
        <w:rPr>
          <w:lang w:val="en-GB"/>
        </w:rPr>
        <w:t>S</w:t>
      </w:r>
      <w:r w:rsidRPr="006D6636">
        <w:rPr>
          <w:lang w:val="en-GB"/>
        </w:rPr>
        <w:t>ofosbuvir/</w:t>
      </w:r>
      <w:r w:rsidR="00FA6F8C">
        <w:rPr>
          <w:lang w:val="en-GB"/>
        </w:rPr>
        <w:t>D</w:t>
      </w:r>
      <w:r w:rsidRPr="006D6636">
        <w:rPr>
          <w:lang w:val="en-GB"/>
        </w:rPr>
        <w:t>aclatasvir are used:</w:t>
      </w:r>
    </w:p>
    <w:p w14:paraId="433AC907" w14:textId="234B0D8C" w:rsidR="006D6636" w:rsidRDefault="006D6636" w:rsidP="006D6636">
      <w:pPr>
        <w:pStyle w:val="ListParagraph"/>
        <w:numPr>
          <w:ilvl w:val="0"/>
          <w:numId w:val="24"/>
        </w:numPr>
        <w:suppressAutoHyphens/>
        <w:autoSpaceDN w:val="0"/>
        <w:jc w:val="both"/>
        <w:textAlignment w:val="baseline"/>
        <w:rPr>
          <w:lang w:val="en-GB"/>
        </w:rPr>
      </w:pPr>
      <w:r w:rsidRPr="006D6636">
        <w:rPr>
          <w:lang w:val="en-GB"/>
        </w:rPr>
        <w:t>Co-administration with drugs that strongly induce CYP3A4 and P-glycoprotein and thus reduce DAA exposure is contraindicated: anticonvulsants (carbamazepine, phenytoin, oxcarbazepine, phenobarbital), antimycobacterials (rifampicin, rifabutin, rifapentine), systemic dexamethasone</w:t>
      </w:r>
      <w:r w:rsidR="00593C62">
        <w:rPr>
          <w:lang w:val="en-GB"/>
        </w:rPr>
        <w:t>,</w:t>
      </w:r>
      <w:r w:rsidRPr="006D6636">
        <w:rPr>
          <w:lang w:val="en-GB"/>
        </w:rPr>
        <w:t xml:space="preserve"> and St John’s wort</w:t>
      </w:r>
      <w:r w:rsidR="001E4D7D">
        <w:rPr>
          <w:lang w:val="en-GB"/>
        </w:rPr>
        <w:t>.</w:t>
      </w:r>
    </w:p>
    <w:p w14:paraId="570F6EE7" w14:textId="585BE996" w:rsidR="005C6BD3" w:rsidRDefault="001E4D7D" w:rsidP="006D6636">
      <w:pPr>
        <w:pStyle w:val="ListParagraph"/>
        <w:numPr>
          <w:ilvl w:val="0"/>
          <w:numId w:val="24"/>
        </w:numPr>
        <w:suppressAutoHyphens/>
        <w:autoSpaceDN w:val="0"/>
        <w:jc w:val="both"/>
        <w:textAlignment w:val="baseline"/>
        <w:rPr>
          <w:lang w:val="en-GB"/>
        </w:rPr>
      </w:pPr>
      <w:r>
        <w:rPr>
          <w:lang w:val="en-GB"/>
        </w:rPr>
        <w:t xml:space="preserve">Co-administration of </w:t>
      </w:r>
      <w:r w:rsidR="00F22756">
        <w:rPr>
          <w:lang w:val="en-GB"/>
        </w:rPr>
        <w:t>r</w:t>
      </w:r>
      <w:r>
        <w:rPr>
          <w:lang w:val="en-GB"/>
        </w:rPr>
        <w:t xml:space="preserve">ifaximin: </w:t>
      </w:r>
      <w:r w:rsidR="00F22756">
        <w:rPr>
          <w:lang w:val="en-GB"/>
        </w:rPr>
        <w:t xml:space="preserve">Daclatasvir may </w:t>
      </w:r>
      <w:r w:rsidR="00F22756" w:rsidRPr="00F22756">
        <w:rPr>
          <w:lang w:val="en-GB"/>
        </w:rPr>
        <w:t xml:space="preserve">increase the blood levels and effects of </w:t>
      </w:r>
      <w:r w:rsidR="00F22756">
        <w:rPr>
          <w:lang w:val="en-GB"/>
        </w:rPr>
        <w:t>r</w:t>
      </w:r>
      <w:r w:rsidR="00F22756" w:rsidRPr="00F22756">
        <w:rPr>
          <w:lang w:val="en-GB"/>
        </w:rPr>
        <w:t>ifaximin</w:t>
      </w:r>
      <w:r w:rsidR="00F22756">
        <w:rPr>
          <w:lang w:val="en-GB"/>
        </w:rPr>
        <w:t>; there</w:t>
      </w:r>
      <w:r w:rsidR="00F50B71">
        <w:rPr>
          <w:lang w:val="en-GB"/>
        </w:rPr>
        <w:t>fore, this association should be avoided if possible.</w:t>
      </w:r>
    </w:p>
    <w:p w14:paraId="68B8F6E5" w14:textId="77777777" w:rsidR="00797948" w:rsidRDefault="006D6636" w:rsidP="006D6636">
      <w:pPr>
        <w:pStyle w:val="ListParagraph"/>
        <w:numPr>
          <w:ilvl w:val="0"/>
          <w:numId w:val="24"/>
        </w:numPr>
        <w:suppressAutoHyphens/>
        <w:autoSpaceDN w:val="0"/>
        <w:jc w:val="both"/>
        <w:textAlignment w:val="baseline"/>
        <w:rPr>
          <w:lang w:val="en-GB"/>
        </w:rPr>
      </w:pPr>
      <w:r>
        <w:rPr>
          <w:lang w:val="en-GB"/>
        </w:rPr>
        <w:t>Concomitant use with antiretroviral</w:t>
      </w:r>
      <w:r w:rsidR="00797948">
        <w:rPr>
          <w:lang w:val="en-GB"/>
        </w:rPr>
        <w:t>s:</w:t>
      </w:r>
    </w:p>
    <w:p w14:paraId="11A1DC37" w14:textId="61BC2864" w:rsidR="006D6636" w:rsidRDefault="00593C62" w:rsidP="006D6636">
      <w:pPr>
        <w:pStyle w:val="ListParagraph"/>
        <w:numPr>
          <w:ilvl w:val="1"/>
          <w:numId w:val="24"/>
        </w:numPr>
        <w:suppressAutoHyphens/>
        <w:autoSpaceDN w:val="0"/>
        <w:jc w:val="both"/>
        <w:textAlignment w:val="baseline"/>
        <w:rPr>
          <w:lang w:val="en-GB"/>
        </w:rPr>
      </w:pPr>
      <w:r>
        <w:rPr>
          <w:lang w:val="en-GB"/>
        </w:rPr>
        <w:t>C</w:t>
      </w:r>
      <w:r w:rsidR="006D6636">
        <w:rPr>
          <w:lang w:val="en-GB"/>
        </w:rPr>
        <w:t>o-administration</w:t>
      </w:r>
      <w:r w:rsidR="00797948">
        <w:rPr>
          <w:lang w:val="en-GB"/>
        </w:rPr>
        <w:t xml:space="preserve"> with efavirenz or nevirapine</w:t>
      </w:r>
      <w:r w:rsidR="00FA6F8C">
        <w:rPr>
          <w:lang w:val="en-GB"/>
        </w:rPr>
        <w:t>:</w:t>
      </w:r>
      <w:r w:rsidR="006D6636">
        <w:rPr>
          <w:lang w:val="en-GB"/>
        </w:rPr>
        <w:t xml:space="preserve"> </w:t>
      </w:r>
      <w:r w:rsidR="006D6636" w:rsidRPr="006D6636">
        <w:rPr>
          <w:lang w:val="en-GB"/>
        </w:rPr>
        <w:t xml:space="preserve">the dose of </w:t>
      </w:r>
      <w:r w:rsidR="00FA6F8C">
        <w:rPr>
          <w:lang w:val="en-GB"/>
        </w:rPr>
        <w:t>D</w:t>
      </w:r>
      <w:r w:rsidR="006D6636" w:rsidRPr="006D6636">
        <w:rPr>
          <w:lang w:val="en-GB"/>
        </w:rPr>
        <w:t xml:space="preserve">aclatasvir </w:t>
      </w:r>
      <w:r w:rsidR="00797948">
        <w:rPr>
          <w:lang w:val="en-GB"/>
        </w:rPr>
        <w:t xml:space="preserve">should </w:t>
      </w:r>
      <w:r w:rsidR="006D6636" w:rsidRPr="006D6636">
        <w:rPr>
          <w:lang w:val="en-GB"/>
        </w:rPr>
        <w:t>be increased to 90 mg</w:t>
      </w:r>
      <w:r w:rsidR="00797948">
        <w:rPr>
          <w:lang w:val="en-GB"/>
        </w:rPr>
        <w:t xml:space="preserve"> once daily;</w:t>
      </w:r>
    </w:p>
    <w:p w14:paraId="38A6A0C1" w14:textId="21E35A3D" w:rsidR="00797948" w:rsidRDefault="00593C62" w:rsidP="006D6636">
      <w:pPr>
        <w:pStyle w:val="ListParagraph"/>
        <w:numPr>
          <w:ilvl w:val="1"/>
          <w:numId w:val="24"/>
        </w:numPr>
        <w:suppressAutoHyphens/>
        <w:autoSpaceDN w:val="0"/>
        <w:jc w:val="both"/>
        <w:textAlignment w:val="baseline"/>
        <w:rPr>
          <w:lang w:val="en-GB"/>
        </w:rPr>
      </w:pPr>
      <w:r>
        <w:rPr>
          <w:lang w:val="en-GB"/>
        </w:rPr>
        <w:t>C</w:t>
      </w:r>
      <w:r w:rsidR="00797948">
        <w:rPr>
          <w:lang w:val="en-GB"/>
        </w:rPr>
        <w:t xml:space="preserve">o-administration with </w:t>
      </w:r>
      <w:r w:rsidR="00797948" w:rsidRPr="006D6636">
        <w:rPr>
          <w:lang w:val="en-GB"/>
        </w:rPr>
        <w:t>atazanavir/ritonavir and cobicistat</w:t>
      </w:r>
      <w:r w:rsidR="00797948">
        <w:rPr>
          <w:lang w:val="en-GB"/>
        </w:rPr>
        <w:t>-</w:t>
      </w:r>
      <w:r w:rsidR="00797948" w:rsidRPr="006D6636">
        <w:rPr>
          <w:lang w:val="en-GB"/>
        </w:rPr>
        <w:t>containing regimens</w:t>
      </w:r>
      <w:r w:rsidR="00FA6F8C">
        <w:rPr>
          <w:lang w:val="en-GB"/>
        </w:rPr>
        <w:t>:</w:t>
      </w:r>
      <w:r w:rsidR="00797948">
        <w:rPr>
          <w:lang w:val="en-GB"/>
        </w:rPr>
        <w:t xml:space="preserve"> </w:t>
      </w:r>
      <w:r w:rsidR="00797948" w:rsidRPr="006D6636">
        <w:rPr>
          <w:lang w:val="en-GB"/>
        </w:rPr>
        <w:t xml:space="preserve">the dose of </w:t>
      </w:r>
      <w:r w:rsidR="00FA6F8C">
        <w:rPr>
          <w:lang w:val="en-GB"/>
        </w:rPr>
        <w:t>D</w:t>
      </w:r>
      <w:r w:rsidR="00797948" w:rsidRPr="006D6636">
        <w:rPr>
          <w:lang w:val="en-GB"/>
        </w:rPr>
        <w:t xml:space="preserve">aclatasvir </w:t>
      </w:r>
      <w:r w:rsidR="00797948">
        <w:rPr>
          <w:lang w:val="en-GB"/>
        </w:rPr>
        <w:t xml:space="preserve">should </w:t>
      </w:r>
      <w:r w:rsidR="00797948" w:rsidRPr="006D6636">
        <w:rPr>
          <w:lang w:val="en-GB"/>
        </w:rPr>
        <w:t xml:space="preserve">be </w:t>
      </w:r>
      <w:r w:rsidR="00797948">
        <w:rPr>
          <w:lang w:val="en-GB"/>
        </w:rPr>
        <w:t>reduced</w:t>
      </w:r>
      <w:r w:rsidR="00797948" w:rsidRPr="006D6636">
        <w:rPr>
          <w:lang w:val="en-GB"/>
        </w:rPr>
        <w:t xml:space="preserve"> to </w:t>
      </w:r>
      <w:r w:rsidR="00797948">
        <w:rPr>
          <w:lang w:val="en-GB"/>
        </w:rPr>
        <w:t>3</w:t>
      </w:r>
      <w:r w:rsidR="00797948" w:rsidRPr="006D6636">
        <w:rPr>
          <w:lang w:val="en-GB"/>
        </w:rPr>
        <w:t>0 mg</w:t>
      </w:r>
      <w:r w:rsidR="00797948">
        <w:rPr>
          <w:lang w:val="en-GB"/>
        </w:rPr>
        <w:t xml:space="preserve"> once daily;</w:t>
      </w:r>
    </w:p>
    <w:p w14:paraId="0618DC61" w14:textId="50E2356F" w:rsidR="00797948" w:rsidRDefault="00797948" w:rsidP="006D6636">
      <w:pPr>
        <w:pStyle w:val="ListParagraph"/>
        <w:numPr>
          <w:ilvl w:val="1"/>
          <w:numId w:val="24"/>
        </w:numPr>
        <w:suppressAutoHyphens/>
        <w:autoSpaceDN w:val="0"/>
        <w:jc w:val="both"/>
        <w:textAlignment w:val="baseline"/>
        <w:rPr>
          <w:lang w:val="en-GB"/>
        </w:rPr>
      </w:pPr>
      <w:r>
        <w:rPr>
          <w:lang w:val="en-GB"/>
        </w:rPr>
        <w:t xml:space="preserve">No dose change is recommended in case of co-administration with </w:t>
      </w:r>
      <w:r w:rsidR="006D6636" w:rsidRPr="006D6636">
        <w:rPr>
          <w:lang w:val="en-GB"/>
        </w:rPr>
        <w:t>darunavir/ritonavir or lopinavir/ritonavir</w:t>
      </w:r>
      <w:r>
        <w:rPr>
          <w:lang w:val="en-GB"/>
        </w:rPr>
        <w:t>;</w:t>
      </w:r>
    </w:p>
    <w:p w14:paraId="7C9DC823" w14:textId="3A9CF132" w:rsidR="00593C62" w:rsidRPr="007D3A24" w:rsidRDefault="006D6636" w:rsidP="007D3A24">
      <w:pPr>
        <w:pStyle w:val="ListParagraph"/>
        <w:numPr>
          <w:ilvl w:val="1"/>
          <w:numId w:val="24"/>
        </w:numPr>
        <w:suppressAutoHyphens/>
        <w:autoSpaceDN w:val="0"/>
        <w:jc w:val="both"/>
        <w:textAlignment w:val="baseline"/>
        <w:rPr>
          <w:lang w:val="en-GB"/>
        </w:rPr>
      </w:pPr>
      <w:r w:rsidRPr="00797948">
        <w:rPr>
          <w:lang w:val="en-GB"/>
        </w:rPr>
        <w:t xml:space="preserve">There </w:t>
      </w:r>
      <w:r w:rsidR="00797948">
        <w:rPr>
          <w:lang w:val="en-GB"/>
        </w:rPr>
        <w:t>is</w:t>
      </w:r>
      <w:r w:rsidRPr="00797948">
        <w:rPr>
          <w:lang w:val="en-GB"/>
        </w:rPr>
        <w:t xml:space="preserve"> no</w:t>
      </w:r>
      <w:r w:rsidR="00797948">
        <w:rPr>
          <w:lang w:val="en-GB"/>
        </w:rPr>
        <w:t xml:space="preserve"> known</w:t>
      </w:r>
      <w:r w:rsidRPr="00797948">
        <w:rPr>
          <w:lang w:val="en-GB"/>
        </w:rPr>
        <w:t xml:space="preserve"> drug interaction with tenofovir, emtricitabine, abacavir, lamivudine, zidovudine, stavudine, rilpivirine, raltegravir, dolutegravir</w:t>
      </w:r>
      <w:r w:rsidR="00797948">
        <w:rPr>
          <w:lang w:val="en-GB"/>
        </w:rPr>
        <w:t>,</w:t>
      </w:r>
      <w:r w:rsidRPr="00797948">
        <w:rPr>
          <w:lang w:val="en-GB"/>
        </w:rPr>
        <w:t xml:space="preserve"> or maraviroc.</w:t>
      </w:r>
    </w:p>
    <w:p w14:paraId="3CAF8216" w14:textId="4F1C73E8" w:rsidR="00593C62" w:rsidRDefault="00593C62" w:rsidP="006D6636">
      <w:pPr>
        <w:pStyle w:val="ListParagraph"/>
        <w:numPr>
          <w:ilvl w:val="0"/>
          <w:numId w:val="24"/>
        </w:numPr>
        <w:suppressAutoHyphens/>
        <w:autoSpaceDN w:val="0"/>
        <w:jc w:val="both"/>
        <w:textAlignment w:val="baseline"/>
        <w:rPr>
          <w:lang w:val="en-GB"/>
        </w:rPr>
      </w:pPr>
      <w:r>
        <w:rPr>
          <w:lang w:val="en-GB"/>
        </w:rPr>
        <w:t>Co-administration with</w:t>
      </w:r>
      <w:r w:rsidR="006D6636" w:rsidRPr="00593C62">
        <w:rPr>
          <w:lang w:val="en-GB"/>
        </w:rPr>
        <w:t xml:space="preserve"> clarithromycin, telithromycin, erythromycin</w:t>
      </w:r>
      <w:r>
        <w:rPr>
          <w:lang w:val="en-GB"/>
        </w:rPr>
        <w:t>,</w:t>
      </w:r>
      <w:r w:rsidR="006D6636" w:rsidRPr="00593C62">
        <w:rPr>
          <w:lang w:val="en-GB"/>
        </w:rPr>
        <w:t xml:space="preserve"> ketoconazole, itraconazole, posaconazole</w:t>
      </w:r>
      <w:r>
        <w:rPr>
          <w:lang w:val="en-GB"/>
        </w:rPr>
        <w:t>,</w:t>
      </w:r>
      <w:r w:rsidR="006D6636" w:rsidRPr="00593C62">
        <w:rPr>
          <w:lang w:val="en-GB"/>
        </w:rPr>
        <w:t xml:space="preserve"> and voriconazole</w:t>
      </w:r>
      <w:r>
        <w:rPr>
          <w:lang w:val="en-GB"/>
        </w:rPr>
        <w:t xml:space="preserve">: </w:t>
      </w:r>
      <w:r w:rsidRPr="006D6636">
        <w:rPr>
          <w:lang w:val="en-GB"/>
        </w:rPr>
        <w:t xml:space="preserve">the dose of </w:t>
      </w:r>
      <w:r w:rsidR="00FA6F8C">
        <w:rPr>
          <w:lang w:val="en-GB"/>
        </w:rPr>
        <w:t>D</w:t>
      </w:r>
      <w:r w:rsidRPr="006D6636">
        <w:rPr>
          <w:lang w:val="en-GB"/>
        </w:rPr>
        <w:t xml:space="preserve">aclatasvir </w:t>
      </w:r>
      <w:r>
        <w:rPr>
          <w:lang w:val="en-GB"/>
        </w:rPr>
        <w:t xml:space="preserve">should </w:t>
      </w:r>
      <w:r w:rsidRPr="006D6636">
        <w:rPr>
          <w:lang w:val="en-GB"/>
        </w:rPr>
        <w:t xml:space="preserve">be </w:t>
      </w:r>
      <w:r>
        <w:rPr>
          <w:lang w:val="en-GB"/>
        </w:rPr>
        <w:t>reduced</w:t>
      </w:r>
      <w:r w:rsidRPr="006D6636">
        <w:rPr>
          <w:lang w:val="en-GB"/>
        </w:rPr>
        <w:t xml:space="preserve"> to </w:t>
      </w:r>
      <w:r>
        <w:rPr>
          <w:lang w:val="en-GB"/>
        </w:rPr>
        <w:t>3</w:t>
      </w:r>
      <w:r w:rsidRPr="006D6636">
        <w:rPr>
          <w:lang w:val="en-GB"/>
        </w:rPr>
        <w:t>0 mg</w:t>
      </w:r>
      <w:r>
        <w:rPr>
          <w:lang w:val="en-GB"/>
        </w:rPr>
        <w:t xml:space="preserve"> once daily;</w:t>
      </w:r>
    </w:p>
    <w:p w14:paraId="7E262075" w14:textId="546E1DC6" w:rsidR="00593C62" w:rsidRPr="00593C62" w:rsidRDefault="00593C62" w:rsidP="00593C62">
      <w:pPr>
        <w:pStyle w:val="ListParagraph"/>
        <w:numPr>
          <w:ilvl w:val="0"/>
          <w:numId w:val="24"/>
        </w:numPr>
        <w:rPr>
          <w:lang w:val="en-GB"/>
        </w:rPr>
      </w:pPr>
      <w:r w:rsidRPr="00593C62">
        <w:rPr>
          <w:lang w:val="en-GB"/>
        </w:rPr>
        <w:t xml:space="preserve">All </w:t>
      </w:r>
      <w:r w:rsidR="00FA6F8C">
        <w:rPr>
          <w:lang w:val="en-GB"/>
        </w:rPr>
        <w:t>S</w:t>
      </w:r>
      <w:r w:rsidRPr="00593C62">
        <w:rPr>
          <w:lang w:val="en-GB"/>
        </w:rPr>
        <w:t>ofosbuvir</w:t>
      </w:r>
      <w:r>
        <w:rPr>
          <w:lang w:val="en-GB"/>
        </w:rPr>
        <w:t>-</w:t>
      </w:r>
      <w:r w:rsidRPr="00593C62">
        <w:rPr>
          <w:lang w:val="en-GB"/>
        </w:rPr>
        <w:t>based regimen</w:t>
      </w:r>
      <w:r w:rsidR="00F2233F">
        <w:rPr>
          <w:lang w:val="en-GB"/>
        </w:rPr>
        <w:t>s</w:t>
      </w:r>
      <w:r w:rsidRPr="00593C62">
        <w:rPr>
          <w:lang w:val="en-GB"/>
        </w:rPr>
        <w:t xml:space="preserve"> are contraindicated in patients who are being treated with amiodarone because of the risk of </w:t>
      </w:r>
      <w:r w:rsidR="00FA6F8C" w:rsidRPr="00593C62">
        <w:rPr>
          <w:lang w:val="en-GB"/>
        </w:rPr>
        <w:t>life-threatening</w:t>
      </w:r>
      <w:r w:rsidRPr="00593C62">
        <w:rPr>
          <w:lang w:val="en-GB"/>
        </w:rPr>
        <w:t xml:space="preserve"> arrhythmias</w:t>
      </w:r>
      <w:r>
        <w:rPr>
          <w:lang w:val="en-GB"/>
        </w:rPr>
        <w:t>;</w:t>
      </w:r>
    </w:p>
    <w:p w14:paraId="6AA7D709" w14:textId="1128BF7D" w:rsidR="006D6636" w:rsidRPr="007D3A24" w:rsidRDefault="00593C62" w:rsidP="006D6636">
      <w:pPr>
        <w:pStyle w:val="ListParagraph"/>
        <w:numPr>
          <w:ilvl w:val="0"/>
          <w:numId w:val="24"/>
        </w:numPr>
        <w:suppressAutoHyphens/>
        <w:autoSpaceDN w:val="0"/>
        <w:jc w:val="both"/>
        <w:textAlignment w:val="baseline"/>
        <w:rPr>
          <w:lang w:val="en-GB"/>
        </w:rPr>
      </w:pPr>
      <w:r>
        <w:rPr>
          <w:lang w:val="en-GB"/>
        </w:rPr>
        <w:t>D</w:t>
      </w:r>
      <w:r w:rsidR="006D6636" w:rsidRPr="00593C62">
        <w:rPr>
          <w:lang w:val="en-GB"/>
        </w:rPr>
        <w:t xml:space="preserve">ue to </w:t>
      </w:r>
      <w:r w:rsidR="00FA6F8C">
        <w:rPr>
          <w:lang w:val="en-GB"/>
        </w:rPr>
        <w:t>D</w:t>
      </w:r>
      <w:r w:rsidR="006D6636" w:rsidRPr="00593C62">
        <w:rPr>
          <w:lang w:val="en-GB"/>
        </w:rPr>
        <w:t>aclatasvir inhibiting some transport proteins, monitoring is required with dabigatran and digoxin and other P-g</w:t>
      </w:r>
      <w:r w:rsidR="000439BB">
        <w:rPr>
          <w:lang w:val="en-GB"/>
        </w:rPr>
        <w:t>lycoprotein</w:t>
      </w:r>
      <w:r w:rsidR="006D6636" w:rsidRPr="00593C62">
        <w:rPr>
          <w:lang w:val="en-GB"/>
        </w:rPr>
        <w:t xml:space="preserve"> substrates.</w:t>
      </w:r>
    </w:p>
    <w:p w14:paraId="58E87C58" w14:textId="362DDDB2" w:rsidR="00593C62" w:rsidRDefault="00593C62" w:rsidP="00024E69">
      <w:pPr>
        <w:pStyle w:val="Heading4"/>
        <w:spacing w:before="0" w:after="200"/>
        <w:ind w:left="1843" w:hanging="640"/>
        <w:rPr>
          <w:lang w:val="en-GB"/>
        </w:rPr>
      </w:pPr>
      <w:r>
        <w:rPr>
          <w:lang w:val="en-GB"/>
        </w:rPr>
        <w:t>Special situations</w:t>
      </w:r>
    </w:p>
    <w:p w14:paraId="5F89893B" w14:textId="1C4F8A13" w:rsidR="005F7E6A" w:rsidRDefault="005F7E6A" w:rsidP="00B10FA7">
      <w:pPr>
        <w:rPr>
          <w:lang w:val="en-GB"/>
        </w:rPr>
      </w:pPr>
      <w:r>
        <w:rPr>
          <w:lang w:val="en-GB"/>
        </w:rPr>
        <w:t xml:space="preserve">HCV treatment in these specific situations should be discussed with the CAC. </w:t>
      </w:r>
    </w:p>
    <w:p w14:paraId="70A8DDA1" w14:textId="77777777" w:rsidR="007B6B4C" w:rsidRDefault="00593C62" w:rsidP="007B6B4C">
      <w:pPr>
        <w:pStyle w:val="ListParagraph"/>
        <w:numPr>
          <w:ilvl w:val="0"/>
          <w:numId w:val="44"/>
        </w:numPr>
        <w:suppressAutoHyphens/>
        <w:autoSpaceDN w:val="0"/>
        <w:jc w:val="both"/>
        <w:textAlignment w:val="baseline"/>
        <w:rPr>
          <w:b/>
          <w:lang w:val="en-GB"/>
        </w:rPr>
      </w:pPr>
      <w:r w:rsidRPr="007B6B4C">
        <w:rPr>
          <w:b/>
          <w:lang w:val="en-GB"/>
        </w:rPr>
        <w:lastRenderedPageBreak/>
        <w:t>Renal insufficiency:</w:t>
      </w:r>
    </w:p>
    <w:p w14:paraId="44278F0B" w14:textId="571B6089" w:rsidR="007B6B4C" w:rsidRDefault="000F1E50" w:rsidP="007D3A24">
      <w:pPr>
        <w:suppressAutoHyphens/>
        <w:autoSpaceDN w:val="0"/>
        <w:ind w:left="360"/>
        <w:jc w:val="both"/>
        <w:textAlignment w:val="baseline"/>
        <w:rPr>
          <w:lang w:val="en-GB"/>
        </w:rPr>
      </w:pPr>
      <w:r w:rsidRPr="007B6B4C">
        <w:rPr>
          <w:lang w:val="en-GB"/>
        </w:rPr>
        <w:t xml:space="preserve">Currently, </w:t>
      </w:r>
      <w:r w:rsidR="00FA6F8C">
        <w:rPr>
          <w:lang w:val="en-GB"/>
        </w:rPr>
        <w:t>S</w:t>
      </w:r>
      <w:r w:rsidR="00593C62" w:rsidRPr="007B6B4C">
        <w:rPr>
          <w:lang w:val="en-GB"/>
        </w:rPr>
        <w:t>ofosbuvir is contraindicated if creatinine clearance is &lt; 30ml/min</w:t>
      </w:r>
      <w:r w:rsidRPr="007B6B4C">
        <w:rPr>
          <w:lang w:val="en-GB"/>
        </w:rPr>
        <w:t>:</w:t>
      </w:r>
      <w:r w:rsidR="00593C62" w:rsidRPr="007B6B4C">
        <w:rPr>
          <w:lang w:val="en-GB"/>
        </w:rPr>
        <w:t xml:space="preserve"> however</w:t>
      </w:r>
      <w:r w:rsidRPr="007B6B4C">
        <w:rPr>
          <w:lang w:val="en-GB"/>
        </w:rPr>
        <w:t>,</w:t>
      </w:r>
      <w:r w:rsidR="00593C62" w:rsidRPr="007B6B4C">
        <w:rPr>
          <w:lang w:val="en-GB"/>
        </w:rPr>
        <w:t xml:space="preserve"> there is accumulating evidence on safe use of </w:t>
      </w:r>
      <w:r w:rsidR="005F7E6A">
        <w:rPr>
          <w:lang w:val="en-GB"/>
        </w:rPr>
        <w:t>S</w:t>
      </w:r>
      <w:r w:rsidR="005F7E6A" w:rsidRPr="007B6B4C">
        <w:rPr>
          <w:lang w:val="en-GB"/>
        </w:rPr>
        <w:t xml:space="preserve">ofosbuvir </w:t>
      </w:r>
      <w:r w:rsidR="00593C62" w:rsidRPr="007B6B4C">
        <w:rPr>
          <w:lang w:val="en-GB"/>
        </w:rPr>
        <w:t xml:space="preserve">based regimen in </w:t>
      </w:r>
      <w:r w:rsidRPr="007B6B4C">
        <w:rPr>
          <w:lang w:val="en-GB"/>
        </w:rPr>
        <w:t xml:space="preserve">this category of </w:t>
      </w:r>
      <w:r w:rsidR="00593C62" w:rsidRPr="007B6B4C">
        <w:rPr>
          <w:lang w:val="en-GB"/>
        </w:rPr>
        <w:t>patient</w:t>
      </w:r>
      <w:r w:rsidRPr="007B6B4C">
        <w:rPr>
          <w:lang w:val="en-GB"/>
        </w:rPr>
        <w:t>s</w:t>
      </w:r>
      <w:r w:rsidR="00593C62" w:rsidRPr="007B6B4C">
        <w:rPr>
          <w:lang w:val="en-GB"/>
        </w:rPr>
        <w:t>.</w:t>
      </w:r>
    </w:p>
    <w:p w14:paraId="37DB30A1" w14:textId="77777777" w:rsidR="007B6B4C" w:rsidRDefault="007E1B88" w:rsidP="00A92A41">
      <w:pPr>
        <w:pStyle w:val="ListParagraph"/>
        <w:numPr>
          <w:ilvl w:val="0"/>
          <w:numId w:val="44"/>
        </w:numPr>
        <w:suppressAutoHyphens/>
        <w:autoSpaceDN w:val="0"/>
        <w:jc w:val="both"/>
        <w:textAlignment w:val="baseline"/>
        <w:rPr>
          <w:b/>
          <w:lang w:val="en-GB"/>
        </w:rPr>
      </w:pPr>
      <w:r>
        <w:rPr>
          <w:b/>
          <w:lang w:val="en-GB"/>
        </w:rPr>
        <w:t>Patients with decompensated cirrhosis:</w:t>
      </w:r>
    </w:p>
    <w:p w14:paraId="4C3DC875" w14:textId="30908B3B" w:rsidR="007B6B4C" w:rsidRPr="007B6B4C" w:rsidRDefault="00A92A41" w:rsidP="007D3A24">
      <w:pPr>
        <w:suppressAutoHyphens/>
        <w:autoSpaceDN w:val="0"/>
        <w:ind w:left="360"/>
        <w:jc w:val="both"/>
        <w:textAlignment w:val="baseline"/>
        <w:rPr>
          <w:b/>
          <w:lang w:val="en-GB"/>
        </w:rPr>
      </w:pPr>
      <w:r w:rsidRPr="007B6B4C">
        <w:rPr>
          <w:lang w:val="en-GB"/>
        </w:rPr>
        <w:t>In</w:t>
      </w:r>
      <w:r w:rsidR="000F1E50" w:rsidRPr="007B6B4C">
        <w:rPr>
          <w:lang w:val="en-GB"/>
        </w:rPr>
        <w:t xml:space="preserve"> patients with decompensated cirrhosis (Child</w:t>
      </w:r>
      <w:r w:rsidRPr="007B6B4C">
        <w:rPr>
          <w:lang w:val="en-GB"/>
        </w:rPr>
        <w:t>-Pugh</w:t>
      </w:r>
      <w:r w:rsidR="000F1E50" w:rsidRPr="007B6B4C">
        <w:rPr>
          <w:lang w:val="en-GB"/>
        </w:rPr>
        <w:t xml:space="preserve"> B</w:t>
      </w:r>
      <w:r w:rsidRPr="007B6B4C">
        <w:rPr>
          <w:lang w:val="en-GB"/>
        </w:rPr>
        <w:t xml:space="preserve"> and</w:t>
      </w:r>
      <w:r w:rsidR="00247B29">
        <w:rPr>
          <w:lang w:val="en-GB"/>
        </w:rPr>
        <w:t xml:space="preserve"> </w:t>
      </w:r>
      <w:r w:rsidR="00247B29">
        <w:rPr>
          <w:lang w:val="en-GB"/>
        </w:rPr>
        <w:br/>
        <w:t>C</w:t>
      </w:r>
      <w:r w:rsidR="000F1E50" w:rsidRPr="00994B90">
        <w:rPr>
          <w:lang w:val="en-GB"/>
        </w:rPr>
        <w:t>),</w:t>
      </w:r>
      <w:r w:rsidR="000F1E50" w:rsidRPr="007B6B4C">
        <w:rPr>
          <w:lang w:val="en-GB"/>
        </w:rPr>
        <w:t xml:space="preserve"> </w:t>
      </w:r>
      <w:r w:rsidRPr="007B6B4C">
        <w:rPr>
          <w:lang w:val="en-GB"/>
        </w:rPr>
        <w:t>sustained virologic response</w:t>
      </w:r>
      <w:r w:rsidR="000F1E50" w:rsidRPr="007B6B4C">
        <w:rPr>
          <w:lang w:val="en-GB"/>
        </w:rPr>
        <w:t xml:space="preserve"> doesn't always prevent liver disease progression and liver related death. </w:t>
      </w:r>
      <w:r w:rsidRPr="007B6B4C">
        <w:rPr>
          <w:lang w:val="en-GB"/>
        </w:rPr>
        <w:t>In addition, a proportion of patients with decompensated liver disease may deteriorate on treatment and currently there are no predictors to identify this subgroup. Therefore, treatment of persons with decompensated cirrhosis ideally takes place in centres with the expertise to manage complications and where access to liver transplantation is available.</w:t>
      </w:r>
      <w:r w:rsidR="007B6B4C">
        <w:rPr>
          <w:b/>
          <w:lang w:val="en-GB"/>
        </w:rPr>
        <w:t xml:space="preserve"> </w:t>
      </w:r>
      <w:r w:rsidR="000F1E50" w:rsidRPr="000F1E50">
        <w:rPr>
          <w:lang w:val="en-GB"/>
        </w:rPr>
        <w:t xml:space="preserve">Most deaths among those receiving DAA therapy relate to the severity of underlying liver disease. The predictors of improvement or decline have not been clearly identified, though patients with a Model for End-Stage Liver Disease (MELD) score &gt;20 or severe portal hypertension complications may be less likely to improve and might be better served by transplantation than treatment. </w:t>
      </w:r>
      <w:r>
        <w:rPr>
          <w:lang w:val="en-GB"/>
        </w:rPr>
        <w:t xml:space="preserve">If indicated, treatment may include </w:t>
      </w:r>
      <w:r w:rsidRPr="00A92A41">
        <w:rPr>
          <w:lang w:val="en-GB"/>
        </w:rPr>
        <w:t xml:space="preserve">Sofosbuvir </w:t>
      </w:r>
      <w:r>
        <w:rPr>
          <w:lang w:val="en-GB"/>
        </w:rPr>
        <w:t xml:space="preserve">and </w:t>
      </w:r>
      <w:r w:rsidRPr="00A92A41">
        <w:rPr>
          <w:lang w:val="en-GB"/>
        </w:rPr>
        <w:t>Daclatasvir</w:t>
      </w:r>
      <w:r>
        <w:rPr>
          <w:lang w:val="en-GB"/>
        </w:rPr>
        <w:t xml:space="preserve"> </w:t>
      </w:r>
      <w:r w:rsidRPr="00A92A41">
        <w:rPr>
          <w:lang w:val="en-GB"/>
        </w:rPr>
        <w:t>for a duration of 24 weeks.</w:t>
      </w:r>
    </w:p>
    <w:p w14:paraId="33746ABE" w14:textId="77777777" w:rsidR="007B6B4C" w:rsidRDefault="000F1E50" w:rsidP="000F1E50">
      <w:pPr>
        <w:pStyle w:val="ListParagraph"/>
        <w:numPr>
          <w:ilvl w:val="0"/>
          <w:numId w:val="44"/>
        </w:numPr>
        <w:suppressAutoHyphens/>
        <w:autoSpaceDN w:val="0"/>
        <w:jc w:val="both"/>
        <w:textAlignment w:val="baseline"/>
        <w:rPr>
          <w:b/>
          <w:lang w:val="en-GB"/>
        </w:rPr>
      </w:pPr>
      <w:r w:rsidRPr="007B6B4C">
        <w:rPr>
          <w:b/>
          <w:lang w:val="en-GB"/>
        </w:rPr>
        <w:t>Patients who failed a previous treatment containing DAAs</w:t>
      </w:r>
      <w:r w:rsidR="00A92A41" w:rsidRPr="007B6B4C">
        <w:rPr>
          <w:b/>
          <w:lang w:val="en-GB"/>
        </w:rPr>
        <w:t>:</w:t>
      </w:r>
    </w:p>
    <w:p w14:paraId="343551D2" w14:textId="7F77554E" w:rsidR="00A71243" w:rsidRDefault="00A92A41" w:rsidP="007D3A24">
      <w:pPr>
        <w:suppressAutoHyphens/>
        <w:autoSpaceDN w:val="0"/>
        <w:ind w:left="360"/>
        <w:jc w:val="both"/>
        <w:textAlignment w:val="baseline"/>
        <w:rPr>
          <w:lang w:val="en-GB"/>
        </w:rPr>
      </w:pPr>
      <w:r w:rsidRPr="007B6B4C">
        <w:rPr>
          <w:lang w:val="en-GB"/>
        </w:rPr>
        <w:t xml:space="preserve">Treatment outcome of patients receiving DAAs is generally excellent across the different HCV genotypes. For patients who do not achieve Sustained Virologic Response at 12 weeks after the end of treatment, the alternatives are limited. </w:t>
      </w:r>
      <w:r w:rsidR="00B3461C">
        <w:rPr>
          <w:lang w:val="en-GB"/>
        </w:rPr>
        <w:t xml:space="preserve">The </w:t>
      </w:r>
      <w:r w:rsidR="00E351F9">
        <w:rPr>
          <w:lang w:val="en-GB"/>
        </w:rPr>
        <w:t xml:space="preserve">HCV RNA nucleid acid test </w:t>
      </w:r>
      <w:r w:rsidR="00B3461C">
        <w:rPr>
          <w:lang w:val="en-GB"/>
        </w:rPr>
        <w:t>should be repeat</w:t>
      </w:r>
      <w:r w:rsidR="00E351F9">
        <w:rPr>
          <w:lang w:val="en-GB"/>
        </w:rPr>
        <w:t>ed</w:t>
      </w:r>
      <w:r w:rsidR="00B3461C">
        <w:rPr>
          <w:lang w:val="en-GB"/>
        </w:rPr>
        <w:t xml:space="preserve"> before starting a new regimen as spontaneous clearance few months after the first </w:t>
      </w:r>
      <w:r w:rsidR="00E351F9">
        <w:rPr>
          <w:lang w:val="en-GB"/>
        </w:rPr>
        <w:t xml:space="preserve">treatment </w:t>
      </w:r>
      <w:r w:rsidR="00B3461C">
        <w:rPr>
          <w:lang w:val="en-GB"/>
        </w:rPr>
        <w:t xml:space="preserve">may occur.  </w:t>
      </w:r>
      <w:r w:rsidRPr="007B6B4C">
        <w:rPr>
          <w:lang w:val="en-GB"/>
        </w:rPr>
        <w:t xml:space="preserve">Expert advice should be sought to </w:t>
      </w:r>
      <w:r w:rsidR="00A71243" w:rsidRPr="007B6B4C">
        <w:rPr>
          <w:lang w:val="en-GB"/>
        </w:rPr>
        <w:t>evaluate the best option for these patients.</w:t>
      </w:r>
      <w:r w:rsidR="007B6B4C">
        <w:rPr>
          <w:b/>
          <w:lang w:val="en-GB"/>
        </w:rPr>
        <w:t xml:space="preserve"> </w:t>
      </w:r>
      <w:r w:rsidR="00A71243">
        <w:rPr>
          <w:lang w:val="en-GB"/>
        </w:rPr>
        <w:t xml:space="preserve">The association of </w:t>
      </w:r>
      <w:r w:rsidR="000F1E50" w:rsidRPr="000F1E50">
        <w:rPr>
          <w:lang w:val="en-GB"/>
        </w:rPr>
        <w:t>Sofosbuvir</w:t>
      </w:r>
      <w:r w:rsidR="00A71243">
        <w:rPr>
          <w:lang w:val="en-GB"/>
        </w:rPr>
        <w:t>, V</w:t>
      </w:r>
      <w:r w:rsidR="000F1E50" w:rsidRPr="000F1E50">
        <w:rPr>
          <w:lang w:val="en-GB"/>
        </w:rPr>
        <w:t>elpatasvir</w:t>
      </w:r>
      <w:r w:rsidR="00A71243">
        <w:rPr>
          <w:lang w:val="en-GB"/>
        </w:rPr>
        <w:t>, and V</w:t>
      </w:r>
      <w:r w:rsidR="000F1E50" w:rsidRPr="000F1E50">
        <w:rPr>
          <w:lang w:val="en-GB"/>
        </w:rPr>
        <w:t xml:space="preserve">oxilaprevir is </w:t>
      </w:r>
      <w:r w:rsidR="00A71243">
        <w:rPr>
          <w:lang w:val="en-GB"/>
        </w:rPr>
        <w:t>an approved pan</w:t>
      </w:r>
      <w:r w:rsidR="00E351F9">
        <w:rPr>
          <w:lang w:val="en-GB"/>
        </w:rPr>
        <w:t>-</w:t>
      </w:r>
      <w:r w:rsidR="00A71243">
        <w:rPr>
          <w:lang w:val="en-GB"/>
        </w:rPr>
        <w:t xml:space="preserve">genotypic treatment </w:t>
      </w:r>
      <w:r w:rsidR="000F1E50" w:rsidRPr="000F1E50">
        <w:rPr>
          <w:lang w:val="en-GB"/>
        </w:rPr>
        <w:t>for use in HCV-infected persons who previously failed a DAA regimen</w:t>
      </w:r>
      <w:r w:rsidR="00A71243">
        <w:rPr>
          <w:lang w:val="en-GB"/>
        </w:rPr>
        <w:t>.</w:t>
      </w:r>
      <w:r w:rsidR="007D3A24">
        <w:rPr>
          <w:lang w:val="en-GB"/>
        </w:rPr>
        <w:t xml:space="preserve"> </w:t>
      </w:r>
      <w:r w:rsidR="00B3461C">
        <w:rPr>
          <w:lang w:val="en-GB"/>
        </w:rPr>
        <w:t>However</w:t>
      </w:r>
      <w:r w:rsidR="007D3A24">
        <w:rPr>
          <w:lang w:val="en-GB"/>
        </w:rPr>
        <w:t>,</w:t>
      </w:r>
      <w:r w:rsidR="00B3461C">
        <w:rPr>
          <w:lang w:val="en-GB"/>
        </w:rPr>
        <w:t xml:space="preserve"> Voxilaprevir cannot be used in patients with decompensated cirrhosis</w:t>
      </w:r>
      <w:r w:rsidR="007D3A24">
        <w:rPr>
          <w:lang w:val="en-GB"/>
        </w:rPr>
        <w:t>.</w:t>
      </w:r>
    </w:p>
    <w:p w14:paraId="0F8B26CD" w14:textId="77777777" w:rsidR="007B6B4C" w:rsidRDefault="000F1E50" w:rsidP="000F1E50">
      <w:pPr>
        <w:pStyle w:val="ListParagraph"/>
        <w:numPr>
          <w:ilvl w:val="0"/>
          <w:numId w:val="44"/>
        </w:numPr>
        <w:suppressAutoHyphens/>
        <w:autoSpaceDN w:val="0"/>
        <w:jc w:val="both"/>
        <w:textAlignment w:val="baseline"/>
        <w:rPr>
          <w:b/>
          <w:lang w:val="en-GB"/>
        </w:rPr>
      </w:pPr>
      <w:r w:rsidRPr="007B6B4C">
        <w:rPr>
          <w:b/>
          <w:lang w:val="en-GB"/>
        </w:rPr>
        <w:t>HIV-infected patients</w:t>
      </w:r>
      <w:r w:rsidR="00A71243" w:rsidRPr="007B6B4C">
        <w:rPr>
          <w:b/>
          <w:lang w:val="en-GB"/>
        </w:rPr>
        <w:t>:</w:t>
      </w:r>
    </w:p>
    <w:p w14:paraId="3E88284B" w14:textId="515310D9" w:rsidR="0047612D" w:rsidRPr="00D75726" w:rsidRDefault="00A71243" w:rsidP="00640441">
      <w:pPr>
        <w:suppressAutoHyphens/>
        <w:autoSpaceDN w:val="0"/>
        <w:jc w:val="both"/>
        <w:textAlignment w:val="baseline"/>
        <w:rPr>
          <w:lang w:val="en-GB"/>
        </w:rPr>
      </w:pPr>
      <w:r w:rsidRPr="007B6B4C">
        <w:rPr>
          <w:lang w:val="en-GB"/>
        </w:rPr>
        <w:t>Overall, treatment outcomes of HCV treatment in HIV</w:t>
      </w:r>
      <w:r w:rsidR="00BC2622" w:rsidRPr="007B6B4C">
        <w:rPr>
          <w:lang w:val="en-GB"/>
        </w:rPr>
        <w:t>-positive</w:t>
      </w:r>
      <w:r w:rsidRPr="007B6B4C">
        <w:rPr>
          <w:lang w:val="en-GB"/>
        </w:rPr>
        <w:t xml:space="preserve"> patients </w:t>
      </w:r>
      <w:r w:rsidR="00BC2622" w:rsidRPr="007B6B4C">
        <w:rPr>
          <w:lang w:val="en-GB"/>
        </w:rPr>
        <w:t>are</w:t>
      </w:r>
      <w:r w:rsidRPr="007B6B4C">
        <w:rPr>
          <w:lang w:val="en-GB"/>
        </w:rPr>
        <w:t xml:space="preserve"> as g</w:t>
      </w:r>
      <w:r w:rsidR="00BC2622" w:rsidRPr="007B6B4C">
        <w:rPr>
          <w:lang w:val="en-GB"/>
        </w:rPr>
        <w:t>ood as in HIV-negative patients. However, caution should be observed drug-drug interactions between DAAs and antiretrovirals.</w:t>
      </w:r>
    </w:p>
    <w:p w14:paraId="47A4FA56" w14:textId="77777777" w:rsidR="007B6B4C" w:rsidRDefault="000F1E50" w:rsidP="00A71243">
      <w:pPr>
        <w:pStyle w:val="ListParagraph"/>
        <w:numPr>
          <w:ilvl w:val="0"/>
          <w:numId w:val="44"/>
        </w:numPr>
        <w:suppressAutoHyphens/>
        <w:autoSpaceDN w:val="0"/>
        <w:jc w:val="both"/>
        <w:textAlignment w:val="baseline"/>
        <w:rPr>
          <w:b/>
          <w:lang w:val="en-GB"/>
        </w:rPr>
      </w:pPr>
      <w:r w:rsidRPr="007B6B4C">
        <w:rPr>
          <w:b/>
          <w:lang w:val="en-GB"/>
        </w:rPr>
        <w:t>HBV-infected patients</w:t>
      </w:r>
      <w:r w:rsidR="00A71243" w:rsidRPr="007B6B4C">
        <w:rPr>
          <w:b/>
          <w:lang w:val="en-GB"/>
        </w:rPr>
        <w:t>:</w:t>
      </w:r>
    </w:p>
    <w:p w14:paraId="1D0380EA" w14:textId="156E0C78" w:rsidR="00B3461C" w:rsidRDefault="0033027C" w:rsidP="00640441">
      <w:pPr>
        <w:suppressAutoHyphens/>
        <w:autoSpaceDN w:val="0"/>
        <w:jc w:val="both"/>
        <w:textAlignment w:val="baseline"/>
        <w:rPr>
          <w:lang w:val="en-GB"/>
        </w:rPr>
      </w:pPr>
      <w:r>
        <w:rPr>
          <w:lang w:val="en-GB"/>
        </w:rPr>
        <w:t>Although rare, t</w:t>
      </w:r>
      <w:r w:rsidR="00A71243" w:rsidRPr="007B6B4C">
        <w:rPr>
          <w:lang w:val="en-GB"/>
        </w:rPr>
        <w:t xml:space="preserve">here is a potential risk of HBV reactivation </w:t>
      </w:r>
      <w:r>
        <w:rPr>
          <w:lang w:val="en-GB"/>
        </w:rPr>
        <w:t>during</w:t>
      </w:r>
      <w:r w:rsidR="00A71243" w:rsidRPr="007B6B4C">
        <w:rPr>
          <w:lang w:val="en-GB"/>
        </w:rPr>
        <w:t xml:space="preserve"> HCV</w:t>
      </w:r>
      <w:r>
        <w:rPr>
          <w:lang w:val="en-GB"/>
        </w:rPr>
        <w:t xml:space="preserve"> treatment</w:t>
      </w:r>
      <w:r w:rsidR="00A71243" w:rsidRPr="007B6B4C">
        <w:rPr>
          <w:lang w:val="en-GB"/>
        </w:rPr>
        <w:t xml:space="preserve"> </w:t>
      </w:r>
      <w:r>
        <w:rPr>
          <w:lang w:val="en-GB"/>
        </w:rPr>
        <w:t>with</w:t>
      </w:r>
      <w:r w:rsidR="00A71243" w:rsidRPr="007B6B4C">
        <w:rPr>
          <w:lang w:val="en-GB"/>
        </w:rPr>
        <w:t xml:space="preserve"> DAA</w:t>
      </w:r>
      <w:r>
        <w:rPr>
          <w:lang w:val="en-GB"/>
        </w:rPr>
        <w:t>s.</w:t>
      </w:r>
      <w:r w:rsidR="006B1011">
        <w:rPr>
          <w:lang w:val="en-GB"/>
        </w:rPr>
        <w:t xml:space="preserve"> Generally, HBsAg-positive patients should be treated concomitantly for both HBV and HCV. </w:t>
      </w:r>
      <w:r w:rsidR="00B3461C">
        <w:rPr>
          <w:lang w:val="en-GB"/>
        </w:rPr>
        <w:t>HBV treatment</w:t>
      </w:r>
      <w:r w:rsidR="00564CD4">
        <w:rPr>
          <w:lang w:val="en-GB"/>
        </w:rPr>
        <w:t>, e.g. with Tenofovir disoproxil fumarate (TDF),</w:t>
      </w:r>
      <w:r w:rsidR="00B3461C">
        <w:rPr>
          <w:lang w:val="en-GB"/>
        </w:rPr>
        <w:t xml:space="preserve"> should be continue</w:t>
      </w:r>
      <w:r w:rsidR="002B4732">
        <w:rPr>
          <w:lang w:val="en-GB"/>
        </w:rPr>
        <w:t>d</w:t>
      </w:r>
      <w:r w:rsidR="00B3461C">
        <w:rPr>
          <w:lang w:val="en-GB"/>
        </w:rPr>
        <w:t xml:space="preserve"> for life i</w:t>
      </w:r>
      <w:r w:rsidR="002B4732">
        <w:rPr>
          <w:lang w:val="en-GB"/>
        </w:rPr>
        <w:t>f</w:t>
      </w:r>
      <w:r w:rsidR="00247B29">
        <w:rPr>
          <w:lang w:val="en-GB"/>
        </w:rPr>
        <w:t xml:space="preserve"> </w:t>
      </w:r>
      <w:r w:rsidR="00B3461C">
        <w:rPr>
          <w:lang w:val="en-GB"/>
        </w:rPr>
        <w:t xml:space="preserve">feasible or at least up to 3 months after the end of HCV </w:t>
      </w:r>
      <w:r w:rsidR="002B4732">
        <w:rPr>
          <w:lang w:val="en-GB"/>
        </w:rPr>
        <w:t>treatment</w:t>
      </w:r>
      <w:r w:rsidR="00B3461C">
        <w:rPr>
          <w:lang w:val="en-GB"/>
        </w:rPr>
        <w:t>.</w:t>
      </w:r>
    </w:p>
    <w:p w14:paraId="15F33114" w14:textId="4F7A3F65" w:rsidR="00A71243" w:rsidRDefault="006B1011" w:rsidP="00640441">
      <w:pPr>
        <w:suppressAutoHyphens/>
        <w:autoSpaceDN w:val="0"/>
        <w:jc w:val="both"/>
        <w:textAlignment w:val="baseline"/>
        <w:rPr>
          <w:lang w:val="en-GB"/>
        </w:rPr>
      </w:pPr>
      <w:r>
        <w:rPr>
          <w:lang w:val="en-GB"/>
        </w:rPr>
        <w:t>For HBsAg-negative patients,</w:t>
      </w:r>
      <w:r w:rsidR="000436A2">
        <w:rPr>
          <w:lang w:val="en-GB"/>
        </w:rPr>
        <w:t xml:space="preserve"> </w:t>
      </w:r>
      <w:r w:rsidR="0026346E">
        <w:rPr>
          <w:lang w:val="en-GB"/>
        </w:rPr>
        <w:t>no follow-up is needed</w:t>
      </w:r>
      <w:r w:rsidR="003F6994">
        <w:rPr>
          <w:lang w:val="en-GB"/>
        </w:rPr>
        <w:t>.</w:t>
      </w:r>
    </w:p>
    <w:p w14:paraId="48EA7F72" w14:textId="2B93DA33" w:rsidR="000F577C" w:rsidRPr="000F1E50" w:rsidRDefault="000F577C" w:rsidP="00024E69">
      <w:pPr>
        <w:pStyle w:val="Heading4"/>
        <w:spacing w:before="0" w:after="200"/>
        <w:ind w:left="1843" w:hanging="640"/>
        <w:rPr>
          <w:lang w:val="en-GB"/>
        </w:rPr>
      </w:pPr>
      <w:r w:rsidRPr="000F577C">
        <w:rPr>
          <w:lang w:val="en-GB"/>
        </w:rPr>
        <w:lastRenderedPageBreak/>
        <w:t>Treatment outcomes</w:t>
      </w:r>
    </w:p>
    <w:p w14:paraId="42CFEF84" w14:textId="3431833F" w:rsidR="000F577C" w:rsidRDefault="000F577C" w:rsidP="000F577C">
      <w:pPr>
        <w:autoSpaceDE w:val="0"/>
        <w:autoSpaceDN w:val="0"/>
        <w:adjustRightInd w:val="0"/>
        <w:spacing w:after="120"/>
        <w:jc w:val="both"/>
        <w:rPr>
          <w:lang w:val="en-US" w:eastAsia="en-AU"/>
        </w:rPr>
      </w:pPr>
      <w:r w:rsidRPr="00D75A06">
        <w:rPr>
          <w:lang w:val="en-US" w:eastAsia="en-AU"/>
        </w:rPr>
        <w:t>A</w:t>
      </w:r>
      <w:r>
        <w:rPr>
          <w:lang w:val="en-US" w:eastAsia="en-AU"/>
        </w:rPr>
        <w:t xml:space="preserve">n undetectable HCV viral load (&lt; 15 </w:t>
      </w:r>
      <w:r w:rsidR="00810F05">
        <w:rPr>
          <w:lang w:val="en-US" w:eastAsia="en-AU"/>
        </w:rPr>
        <w:t>IU/</w:t>
      </w:r>
      <w:r>
        <w:rPr>
          <w:lang w:val="en-US" w:eastAsia="en-AU"/>
        </w:rPr>
        <w:t xml:space="preserve">ml) at 12 weeks after the end of treatment is </w:t>
      </w:r>
      <w:r w:rsidR="00C74948">
        <w:rPr>
          <w:lang w:val="en-US" w:eastAsia="en-AU"/>
        </w:rPr>
        <w:t xml:space="preserve">defined as </w:t>
      </w:r>
      <w:r>
        <w:rPr>
          <w:lang w:val="en-US" w:eastAsia="en-AU"/>
        </w:rPr>
        <w:t xml:space="preserve">a </w:t>
      </w:r>
      <w:r w:rsidRPr="00C35537">
        <w:rPr>
          <w:b/>
          <w:bCs/>
          <w:lang w:val="en-US" w:eastAsia="en-AU"/>
        </w:rPr>
        <w:t>Sustained V</w:t>
      </w:r>
      <w:r w:rsidRPr="007E0832">
        <w:rPr>
          <w:b/>
          <w:bCs/>
          <w:lang w:val="en-US" w:eastAsia="en-AU"/>
        </w:rPr>
        <w:t>irologic Response</w:t>
      </w:r>
      <w:r w:rsidR="006B1011">
        <w:rPr>
          <w:lang w:val="en-US" w:eastAsia="en-AU"/>
        </w:rPr>
        <w:t>, which corresponds to clinical cure.</w:t>
      </w:r>
    </w:p>
    <w:p w14:paraId="46D86A29" w14:textId="465DC678" w:rsidR="00630422" w:rsidRDefault="000F577C" w:rsidP="000F1E50">
      <w:pPr>
        <w:autoSpaceDE w:val="0"/>
        <w:autoSpaceDN w:val="0"/>
        <w:adjustRightInd w:val="0"/>
        <w:spacing w:after="120"/>
        <w:jc w:val="both"/>
        <w:rPr>
          <w:lang w:val="en-US" w:eastAsia="en-AU"/>
        </w:rPr>
      </w:pPr>
      <w:r>
        <w:rPr>
          <w:lang w:val="en-US" w:eastAsia="en-AU"/>
        </w:rPr>
        <w:t xml:space="preserve">A detectable viral load at </w:t>
      </w:r>
      <w:r w:rsidRPr="00D75A06">
        <w:rPr>
          <w:lang w:val="en-US" w:eastAsia="en-AU"/>
        </w:rPr>
        <w:t>12 w</w:t>
      </w:r>
      <w:r>
        <w:rPr>
          <w:lang w:val="en-US" w:eastAsia="en-AU"/>
        </w:rPr>
        <w:t xml:space="preserve">eeks after end of treatment is a </w:t>
      </w:r>
      <w:r w:rsidRPr="00C35537">
        <w:rPr>
          <w:b/>
          <w:bCs/>
          <w:lang w:val="en-US" w:eastAsia="en-AU"/>
        </w:rPr>
        <w:t>treatment failure</w:t>
      </w:r>
      <w:r>
        <w:rPr>
          <w:lang w:val="en-US" w:eastAsia="en-AU"/>
        </w:rPr>
        <w:t xml:space="preserve"> or a reinfection.</w:t>
      </w:r>
    </w:p>
    <w:p w14:paraId="71E463BA" w14:textId="5A9056CB" w:rsidR="00EB1B66" w:rsidRDefault="007D3A24" w:rsidP="00B310CF">
      <w:pPr>
        <w:suppressAutoHyphens/>
        <w:autoSpaceDN w:val="0"/>
        <w:jc w:val="both"/>
        <w:textAlignment w:val="baseline"/>
        <w:rPr>
          <w:lang w:val="en-US" w:eastAsia="en-AU"/>
        </w:rPr>
      </w:pPr>
      <w:r>
        <w:rPr>
          <w:lang w:val="en-US" w:eastAsia="en-AU"/>
        </w:rPr>
        <w:t>However,</w:t>
      </w:r>
      <w:r w:rsidR="006F211E">
        <w:rPr>
          <w:lang w:val="en-US" w:eastAsia="en-AU"/>
        </w:rPr>
        <w:t xml:space="preserve"> if the </w:t>
      </w:r>
      <w:r>
        <w:rPr>
          <w:lang w:val="en-US" w:eastAsia="en-AU"/>
        </w:rPr>
        <w:t>viral load</w:t>
      </w:r>
      <w:r w:rsidR="006F211E">
        <w:rPr>
          <w:lang w:val="en-US" w:eastAsia="en-AU"/>
        </w:rPr>
        <w:t xml:space="preserve"> is low</w:t>
      </w:r>
      <w:r w:rsidR="007764A6">
        <w:rPr>
          <w:lang w:val="en-US" w:eastAsia="en-AU"/>
        </w:rPr>
        <w:t>, repeat the</w:t>
      </w:r>
      <w:r>
        <w:rPr>
          <w:lang w:val="en-US" w:eastAsia="en-AU"/>
        </w:rPr>
        <w:t xml:space="preserve"> HCV viral load</w:t>
      </w:r>
      <w:r w:rsidR="007764A6">
        <w:rPr>
          <w:lang w:val="en-US" w:eastAsia="en-AU"/>
        </w:rPr>
        <w:t xml:space="preserve"> 12 </w:t>
      </w:r>
      <w:r w:rsidR="006F211E">
        <w:rPr>
          <w:lang w:val="en-US" w:eastAsia="en-AU"/>
        </w:rPr>
        <w:t>weeks later</w:t>
      </w:r>
      <w:r>
        <w:rPr>
          <w:lang w:val="en-US" w:eastAsia="en-AU"/>
        </w:rPr>
        <w:t xml:space="preserve"> (24 weeks after the end of treatment),</w:t>
      </w:r>
      <w:r w:rsidR="006F211E">
        <w:rPr>
          <w:lang w:val="en-US" w:eastAsia="en-AU"/>
        </w:rPr>
        <w:t xml:space="preserve"> as late clearance can happen. If </w:t>
      </w:r>
      <w:r>
        <w:rPr>
          <w:lang w:val="en-US" w:eastAsia="en-AU"/>
        </w:rPr>
        <w:t>the viral load is still above</w:t>
      </w:r>
      <w:r w:rsidR="006F211E">
        <w:rPr>
          <w:lang w:val="en-US" w:eastAsia="en-AU"/>
        </w:rPr>
        <w:t xml:space="preserve"> 1000 </w:t>
      </w:r>
      <w:r w:rsidR="00810F05">
        <w:rPr>
          <w:lang w:val="en-US" w:eastAsia="en-AU"/>
        </w:rPr>
        <w:t>IU</w:t>
      </w:r>
      <w:r w:rsidR="006F211E">
        <w:rPr>
          <w:lang w:val="en-US" w:eastAsia="en-AU"/>
        </w:rPr>
        <w:t>/ml</w:t>
      </w:r>
      <w:r>
        <w:rPr>
          <w:lang w:val="en-US" w:eastAsia="en-AU"/>
        </w:rPr>
        <w:t>, the treatment failure is</w:t>
      </w:r>
      <w:r w:rsidR="006F211E">
        <w:rPr>
          <w:lang w:val="en-US" w:eastAsia="en-AU"/>
        </w:rPr>
        <w:t xml:space="preserve"> confirm</w:t>
      </w:r>
      <w:r>
        <w:rPr>
          <w:lang w:val="en-US" w:eastAsia="en-AU"/>
        </w:rPr>
        <w:t>ed.</w:t>
      </w:r>
    </w:p>
    <w:p w14:paraId="6DD17AEB" w14:textId="283F6894" w:rsidR="00EB1B66" w:rsidRPr="008E0DF9" w:rsidRDefault="00EB1B66" w:rsidP="00024E69">
      <w:pPr>
        <w:pStyle w:val="Heading3"/>
        <w:ind w:left="1276" w:hanging="556"/>
        <w:rPr>
          <w:lang w:val="en-GB"/>
        </w:rPr>
      </w:pPr>
      <w:bookmarkStart w:id="13" w:name="_Toc166246304"/>
      <w:r w:rsidRPr="008E0DF9">
        <w:rPr>
          <w:lang w:val="en-GB"/>
        </w:rPr>
        <w:t>Other investigation</w:t>
      </w:r>
      <w:r w:rsidR="008E0DF9" w:rsidRPr="008E0DF9">
        <w:rPr>
          <w:lang w:val="en-GB"/>
        </w:rPr>
        <w:t>s and comorbidities</w:t>
      </w:r>
      <w:bookmarkEnd w:id="13"/>
    </w:p>
    <w:p w14:paraId="67AEE01D" w14:textId="2665EEC4" w:rsidR="00EB1B66" w:rsidRDefault="00EB1B66" w:rsidP="00EB1B66">
      <w:pPr>
        <w:pStyle w:val="ListParagraph"/>
        <w:numPr>
          <w:ilvl w:val="0"/>
          <w:numId w:val="22"/>
        </w:numPr>
        <w:spacing w:after="0" w:line="240" w:lineRule="auto"/>
        <w:ind w:left="360"/>
        <w:jc w:val="both"/>
        <w:rPr>
          <w:lang w:val="en-GB"/>
        </w:rPr>
      </w:pPr>
      <w:r>
        <w:rPr>
          <w:b/>
          <w:bCs/>
          <w:lang w:val="en-GB"/>
        </w:rPr>
        <w:t>Spontaneous bacterial peritonitis prophylaxis</w:t>
      </w:r>
      <w:r w:rsidRPr="00B238CA">
        <w:rPr>
          <w:b/>
          <w:lang w:val="en-GB"/>
        </w:rPr>
        <w:t>:</w:t>
      </w:r>
      <w:r w:rsidRPr="000B525C">
        <w:rPr>
          <w:lang w:val="en-GB"/>
        </w:rPr>
        <w:t xml:space="preserve"> </w:t>
      </w:r>
      <w:r>
        <w:rPr>
          <w:lang w:val="en-GB"/>
        </w:rPr>
        <w:t xml:space="preserve">Spontaneous bacterial peritonitis (SBP) </w:t>
      </w:r>
      <w:r w:rsidRPr="001D62AB">
        <w:rPr>
          <w:lang w:val="en-GB"/>
        </w:rPr>
        <w:t>is the development of a bacterial infection in the peritoneum</w:t>
      </w:r>
      <w:r>
        <w:rPr>
          <w:lang w:val="en-GB"/>
        </w:rPr>
        <w:t xml:space="preserve">, occurring almost exclusively in patients with liver cirrhosis and ascites. </w:t>
      </w:r>
      <w:r w:rsidRPr="000B525C">
        <w:rPr>
          <w:lang w:val="en-GB"/>
        </w:rPr>
        <w:t>I</w:t>
      </w:r>
      <w:r>
        <w:rPr>
          <w:lang w:val="en-GB"/>
        </w:rPr>
        <w:t>n patients with previous episodes of SBP,</w:t>
      </w:r>
      <w:r w:rsidRPr="000B525C">
        <w:rPr>
          <w:lang w:val="en-GB"/>
        </w:rPr>
        <w:t xml:space="preserve"> </w:t>
      </w:r>
      <w:r>
        <w:rPr>
          <w:lang w:val="en-GB"/>
        </w:rPr>
        <w:t>or in those with risk factors for SBP, an antibiotic prophylaxis might be needed. The most used antibiotics are fluoroquinolones (ciprofloxacin or norfloxacin) or trimethoprim/sulfamethoxazole. In case SBP prophylaxis is needed for endTB trial participants, the following is advised:</w:t>
      </w:r>
    </w:p>
    <w:p w14:paraId="3AD89AB1" w14:textId="77777777" w:rsidR="00EB1B66" w:rsidRDefault="00EB1B66" w:rsidP="00EB1B66">
      <w:pPr>
        <w:pStyle w:val="ListParagraph"/>
        <w:numPr>
          <w:ilvl w:val="1"/>
          <w:numId w:val="22"/>
        </w:numPr>
        <w:spacing w:after="0" w:line="240" w:lineRule="auto"/>
        <w:jc w:val="both"/>
        <w:rPr>
          <w:lang w:val="en-GB"/>
        </w:rPr>
      </w:pPr>
      <w:r>
        <w:rPr>
          <w:lang w:val="en-GB"/>
        </w:rPr>
        <w:t>If the patient is already receiving a fluoroquinolone (levofloxacin or moxifloxacin) as part of the endTB trial regimen (either in experimental or control arm), no additional prophylaxis will be needed;</w:t>
      </w:r>
    </w:p>
    <w:p w14:paraId="22B35032" w14:textId="77777777" w:rsidR="00EB1B66" w:rsidRDefault="00EB1B66" w:rsidP="00EB1B66">
      <w:pPr>
        <w:pStyle w:val="ListParagraph"/>
        <w:numPr>
          <w:ilvl w:val="1"/>
          <w:numId w:val="22"/>
        </w:numPr>
        <w:spacing w:after="0" w:line="240" w:lineRule="auto"/>
        <w:jc w:val="both"/>
        <w:rPr>
          <w:lang w:val="en-GB"/>
        </w:rPr>
      </w:pPr>
      <w:r>
        <w:rPr>
          <w:lang w:val="en-GB"/>
        </w:rPr>
        <w:t>If the patient is not receiving a fluoroquinolone</w:t>
      </w:r>
      <w:r w:rsidRPr="00EE108E">
        <w:rPr>
          <w:lang w:val="en-GB"/>
        </w:rPr>
        <w:t xml:space="preserve"> </w:t>
      </w:r>
      <w:r>
        <w:rPr>
          <w:lang w:val="en-GB"/>
        </w:rPr>
        <w:t>as part of the endTB trial regimen, the recommended prophylaxis is trimethoprim/sulfamethoxazole.</w:t>
      </w:r>
    </w:p>
    <w:p w14:paraId="5418441D" w14:textId="23CB9A66" w:rsidR="00EB1B66" w:rsidRDefault="00EB1B66" w:rsidP="00EB1B66">
      <w:pPr>
        <w:pStyle w:val="ListParagraph"/>
        <w:numPr>
          <w:ilvl w:val="0"/>
          <w:numId w:val="22"/>
        </w:numPr>
        <w:spacing w:after="0" w:line="240" w:lineRule="auto"/>
        <w:ind w:left="360"/>
        <w:jc w:val="both"/>
        <w:rPr>
          <w:lang w:val="en-GB"/>
        </w:rPr>
      </w:pPr>
      <w:r>
        <w:rPr>
          <w:b/>
          <w:bCs/>
          <w:lang w:val="en-GB"/>
        </w:rPr>
        <w:t>Hepatic encephalopathy</w:t>
      </w:r>
      <w:r w:rsidRPr="0083324E">
        <w:rPr>
          <w:b/>
          <w:lang w:val="en-GB"/>
        </w:rPr>
        <w:t>:</w:t>
      </w:r>
      <w:r>
        <w:rPr>
          <w:lang w:val="en-GB"/>
        </w:rPr>
        <w:t xml:space="preserve"> </w:t>
      </w:r>
      <w:r w:rsidRPr="00962508">
        <w:rPr>
          <w:lang w:val="en-GB"/>
        </w:rPr>
        <w:t xml:space="preserve">Hepatic encephalopathy (HE) encompasses a spectrum of neuropsychiatric abnormalities </w:t>
      </w:r>
      <w:r>
        <w:rPr>
          <w:lang w:val="en-GB"/>
        </w:rPr>
        <w:t>affecting</w:t>
      </w:r>
      <w:r w:rsidRPr="00962508">
        <w:rPr>
          <w:lang w:val="en-GB"/>
        </w:rPr>
        <w:t xml:space="preserve"> patients with severe liver dysfunction</w:t>
      </w:r>
      <w:r>
        <w:rPr>
          <w:lang w:val="en-GB"/>
        </w:rPr>
        <w:t>. The pharmacologic treatment of HE usually includes lactulose, rifaximin, or both.</w:t>
      </w:r>
      <w:r w:rsidRPr="000B525C">
        <w:rPr>
          <w:lang w:val="en-GB"/>
        </w:rPr>
        <w:t xml:space="preserve"> </w:t>
      </w:r>
      <w:r>
        <w:rPr>
          <w:lang w:val="en-GB"/>
        </w:rPr>
        <w:t>However, d</w:t>
      </w:r>
      <w:r w:rsidRPr="00F22DA1">
        <w:rPr>
          <w:lang w:val="en-GB"/>
        </w:rPr>
        <w:t xml:space="preserve">aclatasvir may increase the blood levels and effects of </w:t>
      </w:r>
      <w:r>
        <w:rPr>
          <w:lang w:val="en-GB"/>
        </w:rPr>
        <w:t>rifaximin. Therefore, if the patient is receiving daclatasvir, the preferred option for the prevention of HE should be lactulose.</w:t>
      </w:r>
    </w:p>
    <w:p w14:paraId="41F9DDFB" w14:textId="77777777" w:rsidR="00EB1B66" w:rsidRPr="000B525C" w:rsidRDefault="00EB1B66" w:rsidP="00EB1B66">
      <w:pPr>
        <w:pStyle w:val="ListParagraph"/>
        <w:numPr>
          <w:ilvl w:val="0"/>
          <w:numId w:val="22"/>
        </w:numPr>
        <w:spacing w:after="0" w:line="240" w:lineRule="auto"/>
        <w:ind w:left="360"/>
        <w:jc w:val="both"/>
        <w:rPr>
          <w:lang w:val="en-GB"/>
        </w:rPr>
      </w:pPr>
      <w:r w:rsidRPr="000B525C">
        <w:rPr>
          <w:b/>
          <w:bCs/>
          <w:lang w:val="en-GB"/>
        </w:rPr>
        <w:t xml:space="preserve">Hepatitis </w:t>
      </w:r>
      <w:r>
        <w:rPr>
          <w:b/>
          <w:bCs/>
          <w:lang w:val="en-GB"/>
        </w:rPr>
        <w:t>B and D</w:t>
      </w:r>
      <w:r w:rsidRPr="0083324E">
        <w:rPr>
          <w:b/>
          <w:lang w:val="en-GB"/>
        </w:rPr>
        <w:t>:</w:t>
      </w:r>
      <w:r w:rsidRPr="000B525C">
        <w:rPr>
          <w:lang w:val="en-GB"/>
        </w:rPr>
        <w:t xml:space="preserve"> If the patient is HBsAg</w:t>
      </w:r>
      <w:r>
        <w:rPr>
          <w:lang w:val="en-GB"/>
        </w:rPr>
        <w:t>-positive</w:t>
      </w:r>
      <w:r w:rsidRPr="000B525C">
        <w:rPr>
          <w:lang w:val="en-GB"/>
        </w:rPr>
        <w:t>: if possible</w:t>
      </w:r>
      <w:r>
        <w:rPr>
          <w:lang w:val="en-GB"/>
        </w:rPr>
        <w:t>,</w:t>
      </w:r>
      <w:r w:rsidRPr="000B525C">
        <w:rPr>
          <w:lang w:val="en-GB"/>
        </w:rPr>
        <w:t xml:space="preserve"> </w:t>
      </w:r>
      <w:r>
        <w:rPr>
          <w:lang w:val="en-GB"/>
        </w:rPr>
        <w:t>test</w:t>
      </w:r>
      <w:r w:rsidRPr="000B525C">
        <w:rPr>
          <w:lang w:val="en-GB"/>
        </w:rPr>
        <w:t xml:space="preserve"> for H</w:t>
      </w:r>
      <w:r>
        <w:rPr>
          <w:lang w:val="en-GB"/>
        </w:rPr>
        <w:t xml:space="preserve">epatitis </w:t>
      </w:r>
      <w:r w:rsidRPr="000B525C">
        <w:rPr>
          <w:lang w:val="en-GB"/>
        </w:rPr>
        <w:t>D</w:t>
      </w:r>
      <w:r>
        <w:rPr>
          <w:lang w:val="en-GB"/>
        </w:rPr>
        <w:t xml:space="preserve"> virus</w:t>
      </w:r>
      <w:r w:rsidRPr="000B525C">
        <w:rPr>
          <w:lang w:val="en-GB"/>
        </w:rPr>
        <w:t xml:space="preserve"> co-infection</w:t>
      </w:r>
      <w:r>
        <w:rPr>
          <w:lang w:val="en-GB"/>
        </w:rPr>
        <w:t>. C</w:t>
      </w:r>
      <w:r w:rsidRPr="000B525C">
        <w:rPr>
          <w:lang w:val="en-GB"/>
        </w:rPr>
        <w:t>onsider specific HBV treatment</w:t>
      </w:r>
      <w:r>
        <w:rPr>
          <w:lang w:val="en-GB"/>
        </w:rPr>
        <w:t>, in addition to</w:t>
      </w:r>
      <w:r w:rsidRPr="000B525C">
        <w:rPr>
          <w:lang w:val="en-GB"/>
        </w:rPr>
        <w:t xml:space="preserve"> HCV treatment</w:t>
      </w:r>
      <w:r>
        <w:rPr>
          <w:lang w:val="en-GB"/>
        </w:rPr>
        <w:t>.</w:t>
      </w:r>
    </w:p>
    <w:p w14:paraId="29C5D108" w14:textId="54EEFF63" w:rsidR="00EB1B66" w:rsidRPr="000B525C" w:rsidRDefault="00EB1B66" w:rsidP="00EB1B66">
      <w:pPr>
        <w:pStyle w:val="ListParagraph"/>
        <w:numPr>
          <w:ilvl w:val="0"/>
          <w:numId w:val="23"/>
        </w:numPr>
        <w:spacing w:after="0" w:line="240" w:lineRule="auto"/>
        <w:ind w:left="360"/>
        <w:jc w:val="both"/>
        <w:rPr>
          <w:lang w:val="en-GB"/>
        </w:rPr>
      </w:pPr>
      <w:r w:rsidRPr="000B525C">
        <w:rPr>
          <w:b/>
          <w:bCs/>
          <w:lang w:val="en-GB"/>
        </w:rPr>
        <w:t>Anti-HEV:</w:t>
      </w:r>
      <w:r w:rsidRPr="000B525C">
        <w:rPr>
          <w:lang w:val="en-GB"/>
        </w:rPr>
        <w:t xml:space="preserve"> </w:t>
      </w:r>
      <w:r>
        <w:rPr>
          <w:lang w:val="en-GB"/>
        </w:rPr>
        <w:t>S</w:t>
      </w:r>
      <w:r w:rsidRPr="000B525C">
        <w:rPr>
          <w:lang w:val="en-GB"/>
        </w:rPr>
        <w:t>creening for chronic HEV infection (with HEV PCR) will be considered only for selected patients with persistent evidence of liver damage (persistently high ALT, symptoms of chronic active hepatitis, episodes of hepatitis flare) in spite of response to HCV treatment.</w:t>
      </w:r>
    </w:p>
    <w:p w14:paraId="24F0FA7F" w14:textId="68FC3E1A" w:rsidR="00EB1B66" w:rsidRPr="000B525C" w:rsidRDefault="00EB1B66" w:rsidP="00EB1B66">
      <w:pPr>
        <w:pStyle w:val="ListParagraph"/>
        <w:numPr>
          <w:ilvl w:val="0"/>
          <w:numId w:val="23"/>
        </w:numPr>
        <w:spacing w:after="0" w:line="240" w:lineRule="auto"/>
        <w:ind w:left="360"/>
        <w:jc w:val="both"/>
        <w:rPr>
          <w:lang w:val="en-GB"/>
        </w:rPr>
      </w:pPr>
      <w:r w:rsidRPr="00810F05">
        <w:rPr>
          <w:b/>
          <w:lang w:val="en-GB"/>
        </w:rPr>
        <w:t>A</w:t>
      </w:r>
      <w:r w:rsidRPr="000B525C">
        <w:rPr>
          <w:b/>
          <w:bCs/>
          <w:lang w:val="en-GB"/>
        </w:rPr>
        <w:t>bdominal ultrasound</w:t>
      </w:r>
      <w:r>
        <w:rPr>
          <w:b/>
          <w:bCs/>
          <w:lang w:val="en-GB"/>
        </w:rPr>
        <w:t xml:space="preserve"> and alpha-fetoprotein (AFP):</w:t>
      </w:r>
      <w:r w:rsidRPr="000B525C">
        <w:rPr>
          <w:lang w:val="en-GB"/>
        </w:rPr>
        <w:t xml:space="preserve"> </w:t>
      </w:r>
      <w:r>
        <w:rPr>
          <w:lang w:val="en-GB"/>
        </w:rPr>
        <w:t>I</w:t>
      </w:r>
      <w:r w:rsidRPr="000B525C">
        <w:rPr>
          <w:lang w:val="en-GB"/>
        </w:rPr>
        <w:t>f available</w:t>
      </w:r>
      <w:r>
        <w:rPr>
          <w:lang w:val="en-GB"/>
        </w:rPr>
        <w:t>, abdominal ultrasound</w:t>
      </w:r>
      <w:r w:rsidRPr="000B525C">
        <w:rPr>
          <w:lang w:val="en-GB"/>
        </w:rPr>
        <w:t xml:space="preserve"> </w:t>
      </w:r>
      <w:r>
        <w:rPr>
          <w:lang w:val="en-GB"/>
        </w:rPr>
        <w:t>and serum AFP are</w:t>
      </w:r>
      <w:r w:rsidRPr="000B525C">
        <w:rPr>
          <w:lang w:val="en-GB"/>
        </w:rPr>
        <w:t xml:space="preserve"> recommended to screen for hepatocellular carcinoma</w:t>
      </w:r>
      <w:r>
        <w:rPr>
          <w:lang w:val="en-GB"/>
        </w:rPr>
        <w:t xml:space="preserve"> (HCC)</w:t>
      </w:r>
      <w:r w:rsidRPr="000B525C">
        <w:rPr>
          <w:lang w:val="en-GB"/>
        </w:rPr>
        <w:t>, even after HCV cure for patient</w:t>
      </w:r>
      <w:r>
        <w:rPr>
          <w:lang w:val="en-GB"/>
        </w:rPr>
        <w:t>s in</w:t>
      </w:r>
      <w:r w:rsidRPr="000B525C">
        <w:rPr>
          <w:lang w:val="en-GB"/>
        </w:rPr>
        <w:t xml:space="preserve"> Stage F3-F4. Patient</w:t>
      </w:r>
      <w:r>
        <w:rPr>
          <w:lang w:val="en-GB"/>
        </w:rPr>
        <w:t>s</w:t>
      </w:r>
      <w:r w:rsidRPr="000B525C">
        <w:rPr>
          <w:lang w:val="en-GB"/>
        </w:rPr>
        <w:t xml:space="preserve"> with HCC are not eligible for HCV treatment. However</w:t>
      </w:r>
      <w:r>
        <w:rPr>
          <w:lang w:val="en-GB"/>
        </w:rPr>
        <w:t>,</w:t>
      </w:r>
      <w:r w:rsidRPr="000B525C">
        <w:rPr>
          <w:lang w:val="en-GB"/>
        </w:rPr>
        <w:t xml:space="preserve"> if ultrasound is not available, treating with DAA</w:t>
      </w:r>
      <w:r>
        <w:rPr>
          <w:lang w:val="en-GB"/>
        </w:rPr>
        <w:t>s</w:t>
      </w:r>
      <w:r w:rsidRPr="000B525C">
        <w:rPr>
          <w:lang w:val="en-GB"/>
        </w:rPr>
        <w:t xml:space="preserve"> a patient with an undiagnosed HCC will not worsen the patient survival prognosis.</w:t>
      </w:r>
    </w:p>
    <w:p w14:paraId="172F1D06" w14:textId="528FDD8C" w:rsidR="003237C3" w:rsidRDefault="00EB1B66" w:rsidP="003237C3">
      <w:pPr>
        <w:pStyle w:val="ListParagraph"/>
        <w:numPr>
          <w:ilvl w:val="0"/>
          <w:numId w:val="23"/>
        </w:numPr>
        <w:spacing w:after="0" w:line="240" w:lineRule="auto"/>
        <w:ind w:left="360"/>
        <w:jc w:val="both"/>
        <w:rPr>
          <w:lang w:val="en-GB"/>
        </w:rPr>
      </w:pPr>
      <w:r>
        <w:rPr>
          <w:b/>
          <w:bCs/>
          <w:lang w:val="en-GB"/>
        </w:rPr>
        <w:t>Gastroscopy:</w:t>
      </w:r>
      <w:r w:rsidRPr="000B525C">
        <w:rPr>
          <w:b/>
          <w:bCs/>
          <w:lang w:val="en-GB"/>
        </w:rPr>
        <w:t xml:space="preserve"> </w:t>
      </w:r>
      <w:r>
        <w:rPr>
          <w:bCs/>
          <w:lang w:val="en-GB"/>
        </w:rPr>
        <w:t>I</w:t>
      </w:r>
      <w:r w:rsidRPr="000B525C">
        <w:rPr>
          <w:bCs/>
          <w:lang w:val="en-GB"/>
        </w:rPr>
        <w:t>f available</w:t>
      </w:r>
      <w:r>
        <w:rPr>
          <w:bCs/>
          <w:lang w:val="en-GB"/>
        </w:rPr>
        <w:t>, gastroscopy</w:t>
      </w:r>
      <w:r w:rsidRPr="000B525C">
        <w:rPr>
          <w:b/>
          <w:bCs/>
          <w:lang w:val="en-GB"/>
        </w:rPr>
        <w:t xml:space="preserve"> </w:t>
      </w:r>
      <w:r w:rsidRPr="000B525C">
        <w:rPr>
          <w:lang w:val="en-GB"/>
        </w:rPr>
        <w:t>should be propose</w:t>
      </w:r>
      <w:r>
        <w:rPr>
          <w:lang w:val="en-GB"/>
        </w:rPr>
        <w:t>d</w:t>
      </w:r>
      <w:r w:rsidRPr="000B525C">
        <w:rPr>
          <w:lang w:val="en-GB"/>
        </w:rPr>
        <w:t xml:space="preserve"> in cirrhotic patient</w:t>
      </w:r>
      <w:r>
        <w:rPr>
          <w:lang w:val="en-GB"/>
        </w:rPr>
        <w:t>s</w:t>
      </w:r>
      <w:r w:rsidRPr="000B525C">
        <w:rPr>
          <w:lang w:val="en-GB"/>
        </w:rPr>
        <w:t xml:space="preserve"> at high risk</w:t>
      </w:r>
      <w:r>
        <w:rPr>
          <w:lang w:val="en-GB"/>
        </w:rPr>
        <w:t xml:space="preserve"> of bleeding,</w:t>
      </w:r>
      <w:r w:rsidRPr="000B525C">
        <w:rPr>
          <w:lang w:val="en-GB"/>
        </w:rPr>
        <w:t xml:space="preserve"> </w:t>
      </w:r>
      <w:r>
        <w:rPr>
          <w:lang w:val="en-GB"/>
        </w:rPr>
        <w:t>including those</w:t>
      </w:r>
      <w:r w:rsidRPr="000B525C">
        <w:rPr>
          <w:lang w:val="en-GB"/>
        </w:rPr>
        <w:t xml:space="preserve"> with Fibroscan &gt;</w:t>
      </w:r>
      <w:r>
        <w:rPr>
          <w:lang w:val="en-GB"/>
        </w:rPr>
        <w:t xml:space="preserve"> </w:t>
      </w:r>
      <w:r w:rsidRPr="000B525C">
        <w:rPr>
          <w:lang w:val="en-GB"/>
        </w:rPr>
        <w:t>20 kPa and platelets &lt;</w:t>
      </w:r>
      <w:r>
        <w:rPr>
          <w:lang w:val="en-GB"/>
        </w:rPr>
        <w:t xml:space="preserve"> 1</w:t>
      </w:r>
      <w:r w:rsidRPr="000B525C">
        <w:rPr>
          <w:lang w:val="en-GB"/>
        </w:rPr>
        <w:t>50</w:t>
      </w:r>
      <w:r>
        <w:rPr>
          <w:lang w:val="en-GB"/>
        </w:rPr>
        <w:t>,</w:t>
      </w:r>
      <w:r w:rsidRPr="000B525C">
        <w:rPr>
          <w:lang w:val="en-GB"/>
        </w:rPr>
        <w:t>000/</w:t>
      </w:r>
      <w:bookmarkStart w:id="14" w:name="OLE_LINK3"/>
      <w:bookmarkStart w:id="15" w:name="OLE_LINK4"/>
      <w:r>
        <w:rPr>
          <w:lang w:val="en-GB"/>
        </w:rPr>
        <w:t>µL</w:t>
      </w:r>
      <w:bookmarkEnd w:id="14"/>
      <w:bookmarkEnd w:id="15"/>
      <w:r>
        <w:rPr>
          <w:lang w:val="en-GB"/>
        </w:rPr>
        <w:t>,</w:t>
      </w:r>
      <w:r w:rsidRPr="000B525C">
        <w:rPr>
          <w:lang w:val="en-GB"/>
        </w:rPr>
        <w:t xml:space="preserve"> or with history of upper </w:t>
      </w:r>
      <w:r>
        <w:rPr>
          <w:lang w:val="en-GB"/>
        </w:rPr>
        <w:t xml:space="preserve">gastrointestinal </w:t>
      </w:r>
      <w:r w:rsidRPr="000B525C">
        <w:rPr>
          <w:lang w:val="en-GB"/>
        </w:rPr>
        <w:t>bleeding</w:t>
      </w:r>
      <w:r>
        <w:rPr>
          <w:lang w:val="en-GB"/>
        </w:rPr>
        <w:t xml:space="preserve">. </w:t>
      </w:r>
      <w:r w:rsidRPr="00B2673D">
        <w:rPr>
          <w:lang w:val="en-GB"/>
        </w:rPr>
        <w:t xml:space="preserve">The presence of oesophageal varices </w:t>
      </w:r>
      <w:r>
        <w:rPr>
          <w:lang w:val="en-GB"/>
        </w:rPr>
        <w:t xml:space="preserve">of grade ≥ </w:t>
      </w:r>
      <w:r w:rsidRPr="00B2673D">
        <w:rPr>
          <w:lang w:val="en-GB"/>
        </w:rPr>
        <w:t>2 with no bleeding is an indication to prescribe</w:t>
      </w:r>
      <w:r>
        <w:rPr>
          <w:lang w:val="en-GB"/>
        </w:rPr>
        <w:t xml:space="preserve"> a</w:t>
      </w:r>
      <w:r w:rsidRPr="00B2673D">
        <w:rPr>
          <w:lang w:val="en-GB"/>
        </w:rPr>
        <w:t xml:space="preserve"> </w:t>
      </w:r>
      <w:r>
        <w:rPr>
          <w:lang w:val="en-GB"/>
        </w:rPr>
        <w:t>beta-b</w:t>
      </w:r>
      <w:r w:rsidRPr="00B2673D">
        <w:rPr>
          <w:lang w:val="en-GB"/>
        </w:rPr>
        <w:t xml:space="preserve">locker </w:t>
      </w:r>
      <w:r>
        <w:rPr>
          <w:lang w:val="en-GB"/>
        </w:rPr>
        <w:t>to prevent rupture of the</w:t>
      </w:r>
      <w:r w:rsidRPr="00B2673D">
        <w:rPr>
          <w:lang w:val="en-GB"/>
        </w:rPr>
        <w:t xml:space="preserve"> varices. If lifelong</w:t>
      </w:r>
      <w:r>
        <w:rPr>
          <w:lang w:val="en-GB"/>
        </w:rPr>
        <w:t xml:space="preserve"> treatment with beta-blockers is contraindicated,</w:t>
      </w:r>
      <w:r w:rsidRPr="00B2673D">
        <w:rPr>
          <w:lang w:val="en-GB"/>
        </w:rPr>
        <w:t xml:space="preserve"> ligature of the varices</w:t>
      </w:r>
      <w:r>
        <w:rPr>
          <w:lang w:val="en-GB"/>
        </w:rPr>
        <w:t xml:space="preserve"> can be an alternative</w:t>
      </w:r>
      <w:r w:rsidRPr="00B2673D">
        <w:rPr>
          <w:lang w:val="en-GB"/>
        </w:rPr>
        <w:t>.</w:t>
      </w:r>
    </w:p>
    <w:p w14:paraId="6CAAF78B" w14:textId="79601303" w:rsidR="003237C3" w:rsidRPr="003237C3" w:rsidRDefault="00762EF4" w:rsidP="00762EF4">
      <w:pPr>
        <w:pStyle w:val="Heading2"/>
        <w:rPr>
          <w:lang w:val="en-GB"/>
        </w:rPr>
      </w:pPr>
      <w:bookmarkStart w:id="16" w:name="_Toc166246305"/>
      <w:r>
        <w:rPr>
          <w:lang w:val="en-GB"/>
        </w:rPr>
        <w:lastRenderedPageBreak/>
        <w:t>REFERENCES</w:t>
      </w:r>
      <w:bookmarkEnd w:id="16"/>
    </w:p>
    <w:p w14:paraId="0F293952" w14:textId="77777777" w:rsidR="00762EF4" w:rsidRDefault="00762EF4" w:rsidP="00762EF4">
      <w:pPr>
        <w:pStyle w:val="ListParagraph"/>
        <w:keepNext/>
        <w:keepLines/>
        <w:numPr>
          <w:ilvl w:val="0"/>
          <w:numId w:val="6"/>
        </w:numPr>
        <w:spacing w:after="0" w:line="240" w:lineRule="auto"/>
        <w:jc w:val="both"/>
        <w:rPr>
          <w:lang w:val="en-GB"/>
        </w:rPr>
      </w:pPr>
      <w:r w:rsidRPr="000F1E50">
        <w:rPr>
          <w:lang w:val="en-GB"/>
        </w:rPr>
        <w:t>Guidelines for the care and treatment of persons diagnosed with chronic</w:t>
      </w:r>
      <w:r>
        <w:rPr>
          <w:lang w:val="en-GB"/>
        </w:rPr>
        <w:t xml:space="preserve"> </w:t>
      </w:r>
      <w:r w:rsidRPr="000F1E50">
        <w:rPr>
          <w:lang w:val="en-GB"/>
        </w:rPr>
        <w:t>hepatitis C virus infection. Geneva: World Health Organization; 2018.</w:t>
      </w:r>
    </w:p>
    <w:p w14:paraId="3B88C5E6" w14:textId="77777777" w:rsidR="00762EF4" w:rsidRPr="000F1E50" w:rsidRDefault="00762EF4" w:rsidP="00762EF4">
      <w:pPr>
        <w:pStyle w:val="ListParagraph"/>
        <w:keepNext/>
        <w:keepLines/>
        <w:numPr>
          <w:ilvl w:val="0"/>
          <w:numId w:val="6"/>
        </w:numPr>
        <w:spacing w:after="0" w:line="240" w:lineRule="auto"/>
        <w:jc w:val="both"/>
        <w:rPr>
          <w:lang w:val="en-GB"/>
        </w:rPr>
      </w:pPr>
      <w:r w:rsidRPr="000F1E50">
        <w:rPr>
          <w:lang w:val="en-GB"/>
        </w:rPr>
        <w:t xml:space="preserve">MSF HCV advisors. Viral Hepatitis HCV care for </w:t>
      </w:r>
      <w:r w:rsidRPr="00A14D48">
        <w:rPr>
          <w:lang w:val="en-GB"/>
        </w:rPr>
        <w:t xml:space="preserve">MSF projects. </w:t>
      </w:r>
      <w:r w:rsidRPr="00994B90">
        <w:rPr>
          <w:lang w:val="en-GB"/>
        </w:rPr>
        <w:t>August 2023.</w:t>
      </w:r>
    </w:p>
    <w:p w14:paraId="091CCA7F" w14:textId="77777777" w:rsidR="00762EF4" w:rsidRPr="00994B90" w:rsidRDefault="00762EF4" w:rsidP="003A6F6B">
      <w:pPr>
        <w:pStyle w:val="ListParagraph"/>
        <w:keepNext/>
        <w:keepLines/>
        <w:numPr>
          <w:ilvl w:val="0"/>
          <w:numId w:val="6"/>
        </w:numPr>
        <w:spacing w:after="0" w:line="240" w:lineRule="auto"/>
        <w:jc w:val="both"/>
        <w:rPr>
          <w:lang w:val="en-GB"/>
        </w:rPr>
      </w:pPr>
      <w:r w:rsidRPr="00A14D48">
        <w:rPr>
          <w:lang w:val="en-GB"/>
        </w:rPr>
        <w:t xml:space="preserve">European Association for the Study of the Liver. EASL Recommendations on Treatment of Hepatitis C </w:t>
      </w:r>
      <w:r w:rsidRPr="00994B90">
        <w:rPr>
          <w:lang w:val="en-GB"/>
        </w:rPr>
        <w:t>2020.</w:t>
      </w:r>
    </w:p>
    <w:p w14:paraId="50FCB87B" w14:textId="3A7EB00A" w:rsidR="003237C3" w:rsidRPr="003A6F6B" w:rsidRDefault="000D28F1" w:rsidP="003A6F6B">
      <w:pPr>
        <w:pStyle w:val="ListParagraph"/>
        <w:numPr>
          <w:ilvl w:val="0"/>
          <w:numId w:val="6"/>
        </w:numPr>
        <w:spacing w:after="0" w:line="240" w:lineRule="auto"/>
        <w:jc w:val="both"/>
        <w:rPr>
          <w:lang w:val="en-GB"/>
        </w:rPr>
      </w:pPr>
      <w:r>
        <w:rPr>
          <w:lang w:val="en-GB"/>
        </w:rPr>
        <w:t>American Association for the Study of Liver Di</w:t>
      </w:r>
      <w:r w:rsidR="00746A12">
        <w:rPr>
          <w:lang w:val="en-GB"/>
        </w:rPr>
        <w:t>s</w:t>
      </w:r>
      <w:r>
        <w:rPr>
          <w:lang w:val="en-GB"/>
        </w:rPr>
        <w:t>eases, Infectious Diseases Society of America. HCV Guidance: recommendations for testing, managing, and treating hepatitis C.</w:t>
      </w:r>
    </w:p>
    <w:p w14:paraId="03372AA8" w14:textId="736999C9" w:rsidR="00A01607" w:rsidRPr="00B10FA7" w:rsidRDefault="00A01607" w:rsidP="00A01607">
      <w:pPr>
        <w:pStyle w:val="ListParagraph"/>
        <w:keepNext/>
        <w:keepLines/>
        <w:numPr>
          <w:ilvl w:val="0"/>
          <w:numId w:val="6"/>
        </w:numPr>
        <w:jc w:val="both"/>
        <w:rPr>
          <w:lang w:val="en-GB"/>
        </w:rPr>
      </w:pPr>
      <w:r w:rsidRPr="000F1E50">
        <w:rPr>
          <w:lang w:val="en-GB"/>
        </w:rPr>
        <w:t>Drug-drug interactions with anti-HCV drugs:</w:t>
      </w:r>
      <w:r w:rsidRPr="0032612E">
        <w:rPr>
          <w:lang w:val="en-US"/>
        </w:rPr>
        <w:t xml:space="preserve"> </w:t>
      </w:r>
      <w:hyperlink r:id="rId12" w:history="1">
        <w:r w:rsidR="005F7E6A" w:rsidRPr="00D8111E">
          <w:rPr>
            <w:rStyle w:val="Hyperlink"/>
            <w:lang w:val="en-GB"/>
          </w:rPr>
          <w:t>https://www.hep-druginteractions.org/checker</w:t>
        </w:r>
      </w:hyperlink>
    </w:p>
    <w:p w14:paraId="6D16B5C0" w14:textId="2666CCB1" w:rsidR="005F7E6A" w:rsidRPr="0096204E" w:rsidRDefault="005F7E6A">
      <w:pPr>
        <w:pStyle w:val="ListParagraph"/>
        <w:keepNext/>
        <w:keepLines/>
        <w:numPr>
          <w:ilvl w:val="0"/>
          <w:numId w:val="6"/>
        </w:numPr>
        <w:jc w:val="both"/>
        <w:rPr>
          <w:lang w:val="en-GB"/>
        </w:rPr>
      </w:pPr>
      <w:r w:rsidRPr="00B10FA7">
        <w:rPr>
          <w:lang w:val="en-GB"/>
        </w:rPr>
        <w:t xml:space="preserve">Melikian N, et al. </w:t>
      </w:r>
      <w:r w:rsidRPr="005F7E6A">
        <w:rPr>
          <w:lang w:val="en-GB"/>
        </w:rPr>
        <w:t>Concomitant Treatment of Chronic Hepatitis C With Direct-Acting Antivirals and Multidrug-Resistant Tuberculosis Is Effective and Safe</w:t>
      </w:r>
      <w:r w:rsidR="0096204E">
        <w:rPr>
          <w:lang w:val="en-GB"/>
        </w:rPr>
        <w:t xml:space="preserve">. </w:t>
      </w:r>
      <w:r w:rsidR="0096204E" w:rsidRPr="0096204E">
        <w:rPr>
          <w:lang w:val="en-GB"/>
        </w:rPr>
        <w:t>Open Forum Infect Dis</w:t>
      </w:r>
      <w:r w:rsidR="0096204E">
        <w:rPr>
          <w:lang w:val="en-GB"/>
        </w:rPr>
        <w:t xml:space="preserve"> </w:t>
      </w:r>
      <w:r w:rsidR="0096204E" w:rsidRPr="0096204E">
        <w:rPr>
          <w:lang w:val="en-GB"/>
        </w:rPr>
        <w:t>2021</w:t>
      </w:r>
      <w:r w:rsidR="0096204E">
        <w:rPr>
          <w:lang w:val="en-GB"/>
        </w:rPr>
        <w:t>;</w:t>
      </w:r>
      <w:r w:rsidR="0096204E" w:rsidRPr="0096204E">
        <w:rPr>
          <w:lang w:val="en-GB"/>
        </w:rPr>
        <w:t xml:space="preserve"> 8(2):ofaa653. doi: 10.1093/ofid/ofaa653.</w:t>
      </w:r>
    </w:p>
    <w:p w14:paraId="766C1F35" w14:textId="77777777" w:rsidR="00A01607" w:rsidRPr="000B525C" w:rsidRDefault="00A01607" w:rsidP="00A01607">
      <w:pPr>
        <w:keepNext/>
        <w:keepLines/>
        <w:spacing w:after="0" w:line="240" w:lineRule="auto"/>
        <w:jc w:val="both"/>
        <w:rPr>
          <w:lang w:val="en-GB"/>
        </w:rPr>
      </w:pPr>
    </w:p>
    <w:p w14:paraId="2CF62C98" w14:textId="77777777" w:rsidR="00A01607" w:rsidRDefault="00A01607" w:rsidP="00A01607">
      <w:pPr>
        <w:pStyle w:val="Heading2"/>
        <w:spacing w:before="0" w:after="120"/>
        <w:jc w:val="both"/>
        <w:rPr>
          <w:lang w:val="en-GB"/>
        </w:rPr>
      </w:pPr>
      <w:bookmarkStart w:id="17" w:name="_Toc166246306"/>
      <w:r>
        <w:rPr>
          <w:lang w:val="en-GB"/>
        </w:rPr>
        <w:t>SUPPORTING DOCUMENTS</w:t>
      </w:r>
      <w:bookmarkEnd w:id="17"/>
    </w:p>
    <w:p w14:paraId="7B1982AE" w14:textId="77777777" w:rsidR="00A01607" w:rsidRDefault="00A01607" w:rsidP="00A01607">
      <w:pPr>
        <w:pStyle w:val="ListParagraph"/>
        <w:keepNext/>
        <w:keepLines/>
        <w:numPr>
          <w:ilvl w:val="0"/>
          <w:numId w:val="6"/>
        </w:numPr>
        <w:spacing w:after="0" w:line="240" w:lineRule="auto"/>
        <w:jc w:val="both"/>
        <w:rPr>
          <w:lang w:val="en-GB"/>
        </w:rPr>
      </w:pPr>
      <w:r w:rsidRPr="004D2925">
        <w:rPr>
          <w:lang w:val="en-GB"/>
        </w:rPr>
        <w:t>SOP SP-024-CT Modus Operandi and Communication with the CAC</w:t>
      </w:r>
      <w:r>
        <w:rPr>
          <w:lang w:val="en-GB"/>
        </w:rPr>
        <w:t xml:space="preserve"> (endTB Site Study Documents)</w:t>
      </w:r>
    </w:p>
    <w:p w14:paraId="1CB747A5" w14:textId="77777777" w:rsidR="00A01607" w:rsidRPr="004D2925" w:rsidRDefault="00A01607" w:rsidP="00A01607">
      <w:pPr>
        <w:pStyle w:val="ListParagraph"/>
        <w:keepNext/>
        <w:keepLines/>
        <w:spacing w:after="0" w:line="240" w:lineRule="auto"/>
        <w:ind w:left="360"/>
        <w:jc w:val="both"/>
        <w:rPr>
          <w:lang w:val="en-GB"/>
        </w:rPr>
      </w:pPr>
    </w:p>
    <w:p w14:paraId="3E445723" w14:textId="77777777" w:rsidR="00A01607" w:rsidRPr="000B525C" w:rsidRDefault="00A01607" w:rsidP="00A01607">
      <w:pPr>
        <w:pStyle w:val="Heading2"/>
        <w:spacing w:before="0" w:after="120"/>
        <w:jc w:val="both"/>
        <w:rPr>
          <w:lang w:val="en-GB"/>
        </w:rPr>
      </w:pPr>
      <w:bookmarkStart w:id="18" w:name="_Toc166246307"/>
      <w:r w:rsidRPr="000B525C">
        <w:rPr>
          <w:lang w:val="en-GB"/>
        </w:rPr>
        <w:t>APPENDIX</w:t>
      </w:r>
      <w:bookmarkEnd w:id="18"/>
    </w:p>
    <w:tbl>
      <w:tblPr>
        <w:tblStyle w:val="1"/>
        <w:tblW w:w="957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8385"/>
      </w:tblGrid>
      <w:tr w:rsidR="00A01607" w:rsidRPr="000B525C" w14:paraId="25FF60D3" w14:textId="77777777" w:rsidTr="00C73AC5">
        <w:tc>
          <w:tcPr>
            <w:tcW w:w="1185" w:type="dxa"/>
            <w:shd w:val="clear" w:color="auto" w:fill="FFFFFF"/>
            <w:vAlign w:val="center"/>
          </w:tcPr>
          <w:p w14:paraId="5ECFBD85" w14:textId="77777777" w:rsidR="00A01607" w:rsidRPr="000B525C" w:rsidRDefault="00A01607" w:rsidP="00C73AC5">
            <w:pPr>
              <w:keepNext/>
              <w:keepLines/>
              <w:spacing w:before="120" w:after="120"/>
              <w:contextualSpacing w:val="0"/>
              <w:jc w:val="both"/>
              <w:rPr>
                <w:lang w:val="en-GB"/>
              </w:rPr>
            </w:pPr>
            <w:r w:rsidRPr="000B525C">
              <w:rPr>
                <w:b/>
                <w:sz w:val="24"/>
                <w:szCs w:val="24"/>
                <w:lang w:val="en-GB"/>
              </w:rPr>
              <w:t>Number</w:t>
            </w:r>
          </w:p>
        </w:tc>
        <w:tc>
          <w:tcPr>
            <w:tcW w:w="8385" w:type="dxa"/>
            <w:shd w:val="clear" w:color="auto" w:fill="FFFFFF"/>
          </w:tcPr>
          <w:p w14:paraId="62A66F0E" w14:textId="77777777" w:rsidR="00A01607" w:rsidRPr="000B525C" w:rsidRDefault="00A01607" w:rsidP="00C73AC5">
            <w:pPr>
              <w:keepNext/>
              <w:keepLines/>
              <w:spacing w:before="120" w:after="120"/>
              <w:contextualSpacing w:val="0"/>
              <w:jc w:val="both"/>
              <w:rPr>
                <w:lang w:val="en-GB"/>
              </w:rPr>
            </w:pPr>
            <w:r w:rsidRPr="000B525C">
              <w:rPr>
                <w:b/>
                <w:sz w:val="24"/>
                <w:szCs w:val="24"/>
                <w:lang w:val="en-GB"/>
              </w:rPr>
              <w:t>Title</w:t>
            </w:r>
          </w:p>
        </w:tc>
      </w:tr>
      <w:tr w:rsidR="00A01607" w:rsidRPr="00F56536" w14:paraId="61263A05" w14:textId="77777777" w:rsidTr="00C73AC5">
        <w:trPr>
          <w:trHeight w:val="506"/>
        </w:trPr>
        <w:tc>
          <w:tcPr>
            <w:tcW w:w="1185" w:type="dxa"/>
            <w:shd w:val="clear" w:color="auto" w:fill="FFFFFF"/>
            <w:vAlign w:val="center"/>
          </w:tcPr>
          <w:p w14:paraId="51325857" w14:textId="77777777" w:rsidR="00A01607" w:rsidRPr="000B525C" w:rsidRDefault="00A01607" w:rsidP="00C73AC5">
            <w:pPr>
              <w:keepNext/>
              <w:keepLines/>
              <w:spacing w:before="120" w:after="120"/>
              <w:jc w:val="both"/>
              <w:rPr>
                <w:lang w:val="en-GB"/>
              </w:rPr>
            </w:pPr>
            <w:r>
              <w:rPr>
                <w:lang w:val="en-GB"/>
              </w:rPr>
              <w:t>A</w:t>
            </w:r>
            <w:r w:rsidRPr="000B525C">
              <w:rPr>
                <w:lang w:val="en-GB"/>
              </w:rPr>
              <w:t>1</w:t>
            </w:r>
          </w:p>
        </w:tc>
        <w:tc>
          <w:tcPr>
            <w:tcW w:w="8385" w:type="dxa"/>
            <w:shd w:val="clear" w:color="auto" w:fill="FFFFFF"/>
            <w:vAlign w:val="center"/>
          </w:tcPr>
          <w:p w14:paraId="1373EBB5" w14:textId="77777777" w:rsidR="00A01607" w:rsidRPr="000B525C" w:rsidRDefault="00A01607" w:rsidP="00C73AC5">
            <w:pPr>
              <w:keepNext/>
              <w:keepLines/>
              <w:spacing w:line="288" w:lineRule="auto"/>
              <w:rPr>
                <w:rFonts w:eastAsia="MS ??" w:cs="Times New Roman"/>
                <w:lang w:val="en-GB" w:eastAsia="ja-JP"/>
              </w:rPr>
            </w:pPr>
            <w:r>
              <w:rPr>
                <w:rFonts w:eastAsia="MS ??" w:cs="Times New Roman"/>
                <w:lang w:val="en-GB" w:eastAsia="ja-JP"/>
              </w:rPr>
              <w:t>SP-033-CT_A1_</w:t>
            </w:r>
            <w:r w:rsidRPr="000B525C">
              <w:rPr>
                <w:rFonts w:eastAsia="MS ??" w:cs="Times New Roman"/>
                <w:lang w:val="en-GB" w:eastAsia="ja-JP"/>
              </w:rPr>
              <w:t>Diagnostic and therapeutic Hepatitis C virus infection algorithm</w:t>
            </w:r>
            <w:r>
              <w:rPr>
                <w:rFonts w:eastAsia="MS ??" w:cs="Times New Roman"/>
                <w:lang w:val="en-GB" w:eastAsia="ja-JP"/>
              </w:rPr>
              <w:t xml:space="preserve"> </w:t>
            </w:r>
          </w:p>
        </w:tc>
      </w:tr>
    </w:tbl>
    <w:p w14:paraId="128CC5A9" w14:textId="77777777" w:rsidR="00A01607" w:rsidRPr="000B525C" w:rsidRDefault="00A01607" w:rsidP="00A01607">
      <w:pPr>
        <w:keepNext/>
        <w:keepLines/>
        <w:tabs>
          <w:tab w:val="left" w:pos="4050"/>
        </w:tabs>
        <w:spacing w:after="120"/>
        <w:jc w:val="both"/>
        <w:rPr>
          <w:lang w:val="en-GB"/>
        </w:rPr>
      </w:pPr>
      <w:r w:rsidRPr="000B525C">
        <w:rPr>
          <w:sz w:val="24"/>
          <w:szCs w:val="24"/>
          <w:lang w:val="en-GB"/>
        </w:rPr>
        <w:tab/>
      </w:r>
    </w:p>
    <w:p w14:paraId="176E2CA0" w14:textId="77777777" w:rsidR="00A01607" w:rsidRPr="00B2673D" w:rsidRDefault="00A01607" w:rsidP="00024E69">
      <w:pPr>
        <w:pStyle w:val="ListParagraph"/>
        <w:spacing w:after="0" w:line="240" w:lineRule="auto"/>
        <w:ind w:left="360"/>
        <w:jc w:val="both"/>
        <w:rPr>
          <w:lang w:val="en-GB"/>
        </w:rPr>
      </w:pPr>
    </w:p>
    <w:p w14:paraId="000C04C5" w14:textId="7B983C43" w:rsidR="00A14A2F" w:rsidRPr="000B525C" w:rsidRDefault="00A14A2F" w:rsidP="009B6B26">
      <w:pPr>
        <w:pStyle w:val="Default"/>
        <w:rPr>
          <w:lang w:val="en-GB"/>
        </w:rPr>
      </w:pPr>
      <w:bookmarkStart w:id="19" w:name="h.f5p88jtcd3zq" w:colFirst="0" w:colLast="0"/>
      <w:bookmarkStart w:id="20" w:name="h.wnmbjaxr6vkg" w:colFirst="0" w:colLast="0"/>
      <w:bookmarkEnd w:id="19"/>
      <w:bookmarkEnd w:id="20"/>
    </w:p>
    <w:sectPr w:rsidR="00A14A2F" w:rsidRPr="000B525C" w:rsidSect="00F31A75">
      <w:headerReference w:type="default" r:id="rId13"/>
      <w:footerReference w:type="default" r:id="rId14"/>
      <w:pgSz w:w="12240" w:h="15840"/>
      <w:pgMar w:top="1440" w:right="1440" w:bottom="1440" w:left="1440" w:header="28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E7EEC" w14:textId="77777777" w:rsidR="00531FDC" w:rsidRDefault="00531FDC">
      <w:pPr>
        <w:spacing w:after="0" w:line="240" w:lineRule="auto"/>
      </w:pPr>
      <w:r>
        <w:separator/>
      </w:r>
    </w:p>
  </w:endnote>
  <w:endnote w:type="continuationSeparator" w:id="0">
    <w:p w14:paraId="5BF5DAF6" w14:textId="77777777" w:rsidR="00531FDC" w:rsidRDefault="00531FDC">
      <w:pPr>
        <w:spacing w:after="0" w:line="240" w:lineRule="auto"/>
      </w:pPr>
      <w:r>
        <w:continuationSeparator/>
      </w:r>
    </w:p>
  </w:endnote>
  <w:endnote w:type="continuationNotice" w:id="1">
    <w:p w14:paraId="39BE42A0" w14:textId="77777777" w:rsidR="00531FDC" w:rsidRDefault="00531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Klee One"/>
    <w:panose1 w:val="00000000000000000000"/>
    <w:charset w:val="80"/>
    <w:family w:val="auto"/>
    <w:notTrueType/>
    <w:pitch w:val="default"/>
    <w:sig w:usb0="00000003" w:usb1="08070000" w:usb2="00000010" w:usb3="00000000" w:csb0="00020001"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803633"/>
      <w:docPartObj>
        <w:docPartGallery w:val="Page Numbers (Bottom of Page)"/>
        <w:docPartUnique/>
      </w:docPartObj>
    </w:sdtPr>
    <w:sdtEndPr>
      <w:rPr>
        <w:rFonts w:eastAsiaTheme="minorHAnsi"/>
        <w:color w:val="auto"/>
        <w:lang w:val="en-US" w:eastAsia="en-US"/>
      </w:rPr>
    </w:sdtEndPr>
    <w:sdtContent>
      <w:sdt>
        <w:sdtPr>
          <w:id w:val="-1669238322"/>
          <w:docPartObj>
            <w:docPartGallery w:val="Page Numbers (Top of Page)"/>
            <w:docPartUnique/>
          </w:docPartObj>
        </w:sdtPr>
        <w:sdtEndPr>
          <w:rPr>
            <w:rFonts w:eastAsiaTheme="minorHAnsi"/>
            <w:color w:val="auto"/>
            <w:lang w:val="en-US" w:eastAsia="en-US"/>
          </w:rPr>
        </w:sdtEndPr>
        <w:sdtContent>
          <w:p w14:paraId="39E23A62" w14:textId="77777777" w:rsidR="00232555" w:rsidRDefault="00232555" w:rsidP="00232555">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2CD06D41" w14:textId="36E69572" w:rsidR="00C73AC5" w:rsidRDefault="00C73AC5" w:rsidP="00232555">
            <w:pPr>
              <w:pStyle w:val="xmsonormal"/>
              <w:jc w:val="center"/>
            </w:pPr>
            <w:r w:rsidRPr="00C61B76">
              <w:rPr>
                <w:lang w:val="fr-FR"/>
              </w:rPr>
              <w:t xml:space="preserve">Page </w:t>
            </w:r>
            <w:r w:rsidRPr="00C61B76">
              <w:rPr>
                <w:b/>
                <w:bCs/>
                <w:sz w:val="24"/>
                <w:szCs w:val="24"/>
              </w:rPr>
              <w:fldChar w:fldCharType="begin"/>
            </w:r>
            <w:r w:rsidRPr="00C61B76">
              <w:rPr>
                <w:b/>
                <w:bCs/>
              </w:rPr>
              <w:instrText>PAGE</w:instrText>
            </w:r>
            <w:r w:rsidRPr="00C61B76">
              <w:rPr>
                <w:b/>
                <w:bCs/>
                <w:sz w:val="24"/>
                <w:szCs w:val="24"/>
              </w:rPr>
              <w:fldChar w:fldCharType="separate"/>
            </w:r>
            <w:r w:rsidR="00B10FA7">
              <w:rPr>
                <w:b/>
                <w:bCs/>
                <w:noProof/>
              </w:rPr>
              <w:t>11</w:t>
            </w:r>
            <w:r w:rsidRPr="00C61B76">
              <w:rPr>
                <w:b/>
                <w:bCs/>
                <w:sz w:val="24"/>
                <w:szCs w:val="24"/>
              </w:rPr>
              <w:fldChar w:fldCharType="end"/>
            </w:r>
            <w:r w:rsidRPr="00C61B76">
              <w:rPr>
                <w:lang w:val="fr-FR"/>
              </w:rPr>
              <w:t xml:space="preserve"> </w:t>
            </w:r>
            <w:r>
              <w:rPr>
                <w:lang w:val="fr-FR"/>
              </w:rPr>
              <w:t>of</w:t>
            </w:r>
            <w:r w:rsidRPr="00C61B76">
              <w:rPr>
                <w:lang w:val="fr-FR"/>
              </w:rPr>
              <w:t xml:space="preserve"> </w:t>
            </w:r>
            <w:r w:rsidRPr="00C61B76">
              <w:rPr>
                <w:b/>
                <w:bCs/>
                <w:sz w:val="24"/>
                <w:szCs w:val="24"/>
              </w:rPr>
              <w:fldChar w:fldCharType="begin"/>
            </w:r>
            <w:r w:rsidRPr="00C61B76">
              <w:rPr>
                <w:b/>
                <w:bCs/>
              </w:rPr>
              <w:instrText>NUMPAGES</w:instrText>
            </w:r>
            <w:r w:rsidRPr="00C61B76">
              <w:rPr>
                <w:b/>
                <w:bCs/>
                <w:sz w:val="24"/>
                <w:szCs w:val="24"/>
              </w:rPr>
              <w:fldChar w:fldCharType="separate"/>
            </w:r>
            <w:r w:rsidR="00B10FA7">
              <w:rPr>
                <w:b/>
                <w:bCs/>
                <w:noProof/>
              </w:rPr>
              <w:t>11</w:t>
            </w:r>
            <w:r w:rsidRPr="00C61B76">
              <w:rPr>
                <w:b/>
                <w:bCs/>
                <w:sz w:val="24"/>
                <w:szCs w:val="24"/>
              </w:rPr>
              <w:fldChar w:fldCharType="end"/>
            </w:r>
          </w:p>
        </w:sdtContent>
      </w:sdt>
    </w:sdtContent>
  </w:sdt>
  <w:p w14:paraId="5C0D6AB2" w14:textId="44AE0C5A" w:rsidR="00C73AC5" w:rsidRDefault="00C73AC5" w:rsidP="00024E69">
    <w:pPr>
      <w:tabs>
        <w:tab w:val="left" w:pos="8265"/>
      </w:tabs>
      <w:spacing w:after="720"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A5C32" w14:textId="77777777" w:rsidR="00531FDC" w:rsidRDefault="00531FDC">
      <w:pPr>
        <w:spacing w:after="0" w:line="240" w:lineRule="auto"/>
      </w:pPr>
      <w:r>
        <w:separator/>
      </w:r>
    </w:p>
  </w:footnote>
  <w:footnote w:type="continuationSeparator" w:id="0">
    <w:p w14:paraId="5229D1F8" w14:textId="77777777" w:rsidR="00531FDC" w:rsidRDefault="00531FDC">
      <w:pPr>
        <w:spacing w:after="0" w:line="240" w:lineRule="auto"/>
      </w:pPr>
      <w:r>
        <w:continuationSeparator/>
      </w:r>
    </w:p>
  </w:footnote>
  <w:footnote w:type="continuationNotice" w:id="1">
    <w:p w14:paraId="388882AA" w14:textId="77777777" w:rsidR="00531FDC" w:rsidRDefault="00531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CDD2" w14:textId="3526FF1D" w:rsidR="00C73AC5" w:rsidRPr="0035494D" w:rsidRDefault="00BF535D" w:rsidP="00C61B76">
    <w:pPr>
      <w:tabs>
        <w:tab w:val="center" w:pos="4680"/>
        <w:tab w:val="right" w:pos="9360"/>
      </w:tabs>
      <w:spacing w:before="720" w:after="0" w:line="240" w:lineRule="auto"/>
      <w:rPr>
        <w:lang w:val="en-US"/>
      </w:rPr>
    </w:pPr>
    <w:r>
      <w:rPr>
        <w:noProof/>
      </w:rPr>
      <w:drawing>
        <wp:anchor distT="0" distB="0" distL="114300" distR="114300" simplePos="0" relativeHeight="251658240" behindDoc="0" locked="0" layoutInCell="1" allowOverlap="1" wp14:anchorId="3415CB09" wp14:editId="16DB2261">
          <wp:simplePos x="0" y="0"/>
          <wp:positionH relativeFrom="column">
            <wp:posOffset>-588819</wp:posOffset>
          </wp:positionH>
          <wp:positionV relativeFrom="paragraph">
            <wp:posOffset>415174</wp:posOffset>
          </wp:positionV>
          <wp:extent cx="498475" cy="307975"/>
          <wp:effectExtent l="0" t="0" r="0" b="0"/>
          <wp:wrapThrough wrapText="bothSides">
            <wp:wrapPolygon edited="0">
              <wp:start x="0" y="0"/>
              <wp:lineTo x="0" y="20041"/>
              <wp:lineTo x="20637" y="20041"/>
              <wp:lineTo x="20637" y="0"/>
              <wp:lineTo x="0" y="0"/>
            </wp:wrapPolygon>
          </wp:wrapThrough>
          <wp:docPr id="613051271"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51271" name="Picture 1"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475"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AC5" w:rsidRPr="0035494D">
      <w:rPr>
        <w:b/>
        <w:lang w:val="en-US"/>
      </w:rPr>
      <w:t xml:space="preserve">endTB </w:t>
    </w:r>
    <w:r w:rsidR="00C73AC5">
      <w:rPr>
        <w:b/>
        <w:lang w:val="en-US"/>
      </w:rPr>
      <w:t xml:space="preserve">Clinical Trials </w:t>
    </w:r>
    <w:r w:rsidR="00C73AC5">
      <w:rPr>
        <w:b/>
        <w:lang w:val="en-US"/>
      </w:rPr>
      <w:tab/>
    </w:r>
    <w:r w:rsidR="00C73AC5">
      <w:rPr>
        <w:b/>
        <w:lang w:val="en-US"/>
      </w:rPr>
      <w:tab/>
      <w:t>SOP SP-033</w:t>
    </w:r>
    <w:r w:rsidR="00C73AC5" w:rsidRPr="008318F4">
      <w:rPr>
        <w:b/>
        <w:lang w:val="en-US"/>
      </w:rPr>
      <w:t>-CT</w:t>
    </w:r>
    <w:r w:rsidR="00C73AC5">
      <w:rPr>
        <w:b/>
        <w:lang w:val="en-US"/>
      </w:rPr>
      <w:t xml:space="preserve"> Version </w:t>
    </w:r>
    <w:r w:rsidR="00142DB1">
      <w:rPr>
        <w:b/>
        <w:lang w:val="en-US"/>
      </w:rPr>
      <w:t>2</w:t>
    </w:r>
    <w:r w:rsidR="00C12EB2">
      <w:rPr>
        <w:b/>
        <w:lang w:val="en-US"/>
      </w:rPr>
      <w:t>.0</w:t>
    </w:r>
    <w:r w:rsidR="00C73AC5">
      <w:rPr>
        <w:b/>
        <w:lang w:val="en-US"/>
      </w:rPr>
      <w:t xml:space="preserve">, Date </w:t>
    </w:r>
    <w:r w:rsidR="00990CAB">
      <w:rPr>
        <w:b/>
        <w:lang w:val="en-US"/>
      </w:rPr>
      <w:t>11</w:t>
    </w:r>
    <w:r w:rsidR="00C73AC5" w:rsidRPr="00024E69">
      <w:rPr>
        <w:b/>
        <w:lang w:val="en-US"/>
      </w:rPr>
      <w:t>-</w:t>
    </w:r>
    <w:r w:rsidR="00990CAB">
      <w:rPr>
        <w:b/>
        <w:lang w:val="en-US"/>
      </w:rPr>
      <w:t>Oct</w:t>
    </w:r>
    <w:r w:rsidR="00C73AC5" w:rsidRPr="00024E69">
      <w:rPr>
        <w:b/>
        <w:lang w:val="en-US"/>
      </w:rPr>
      <w:t>-</w:t>
    </w:r>
    <w:r w:rsidR="008569E2" w:rsidRPr="00024E69">
      <w:rPr>
        <w:b/>
        <w:lang w:val="en-US"/>
      </w:rPr>
      <w:t>20</w:t>
    </w:r>
    <w:r w:rsidR="008569E2">
      <w:rPr>
        <w:b/>
        <w:lang w:val="en-US"/>
      </w:rPr>
      <w:t>2</w:t>
    </w:r>
    <w:r w:rsidR="00142DB1">
      <w:rPr>
        <w:b/>
        <w:lang w:val="en-US"/>
      </w:rPr>
      <w:t>3</w:t>
    </w:r>
  </w:p>
  <w:p w14:paraId="6C8334ED" w14:textId="77777777" w:rsidR="00C73AC5" w:rsidRDefault="00C73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724578C"/>
    <w:lvl w:ilvl="0">
      <w:start w:val="1"/>
      <w:numFmt w:val="lowerLetter"/>
      <w:pStyle w:val="ListNumber3"/>
      <w:lvlText w:val="%1."/>
      <w:lvlJc w:val="left"/>
      <w:pPr>
        <w:ind w:left="720" w:hanging="360"/>
      </w:pPr>
      <w:rPr>
        <w:rFonts w:cs="Times New Roman"/>
      </w:rPr>
    </w:lvl>
  </w:abstractNum>
  <w:abstractNum w:abstractNumId="1" w15:restartNumberingAfterBreak="0">
    <w:nsid w:val="FFFFFF83"/>
    <w:multiLevelType w:val="singleLevel"/>
    <w:tmpl w:val="40E4C8E2"/>
    <w:lvl w:ilvl="0">
      <w:start w:val="1"/>
      <w:numFmt w:val="bullet"/>
      <w:pStyle w:val="ListBullet2"/>
      <w:lvlText w:val="o"/>
      <w:lvlJc w:val="left"/>
      <w:pPr>
        <w:ind w:left="720" w:hanging="360"/>
      </w:pPr>
      <w:rPr>
        <w:rFonts w:ascii="Courier New" w:hAnsi="Courier New" w:hint="default"/>
      </w:rPr>
    </w:lvl>
  </w:abstractNum>
  <w:abstractNum w:abstractNumId="2" w15:restartNumberingAfterBreak="0">
    <w:nsid w:val="FFFFFF88"/>
    <w:multiLevelType w:val="singleLevel"/>
    <w:tmpl w:val="3C68C578"/>
    <w:lvl w:ilvl="0">
      <w:start w:val="1"/>
      <w:numFmt w:val="decimal"/>
      <w:pStyle w:val="ListNumber"/>
      <w:lvlText w:val="%1."/>
      <w:lvlJc w:val="left"/>
      <w:pPr>
        <w:tabs>
          <w:tab w:val="num" w:pos="360"/>
        </w:tabs>
        <w:ind w:left="360" w:hanging="360"/>
      </w:pPr>
      <w:rPr>
        <w:rFonts w:cs="Times New Roman"/>
      </w:rPr>
    </w:lvl>
  </w:abstractNum>
  <w:abstractNum w:abstractNumId="3" w15:restartNumberingAfterBreak="0">
    <w:nsid w:val="FFFFFF89"/>
    <w:multiLevelType w:val="singleLevel"/>
    <w:tmpl w:val="6B02CA2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D96769"/>
    <w:multiLevelType w:val="hybridMultilevel"/>
    <w:tmpl w:val="0674C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3717BE"/>
    <w:multiLevelType w:val="hybridMultilevel"/>
    <w:tmpl w:val="B3A8BE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A017A70"/>
    <w:multiLevelType w:val="hybridMultilevel"/>
    <w:tmpl w:val="DBA0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63003"/>
    <w:multiLevelType w:val="hybridMultilevel"/>
    <w:tmpl w:val="280EF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D62C16"/>
    <w:multiLevelType w:val="hybridMultilevel"/>
    <w:tmpl w:val="116A4C36"/>
    <w:lvl w:ilvl="0" w:tplc="528E71A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03B54AD"/>
    <w:multiLevelType w:val="multilevel"/>
    <w:tmpl w:val="A6BE5AEA"/>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lvlText w:val="%2."/>
      <w:lvlJc w:val="left"/>
      <w:pPr>
        <w:ind w:left="720" w:hanging="360"/>
      </w:pPr>
      <w:rPr>
        <w:b/>
        <w:i w:val="0"/>
        <w:sz w:val="24"/>
      </w:rPr>
    </w:lvl>
    <w:lvl w:ilvl="2">
      <w:start w:val="1"/>
      <w:numFmt w:val="decimal"/>
      <w:pStyle w:val="Heading3"/>
      <w:lvlText w:val="%2.%3"/>
      <w:lvlJc w:val="left"/>
      <w:pPr>
        <w:ind w:left="1080" w:hanging="360"/>
      </w:pPr>
      <w:rPr>
        <w:b/>
        <w:i/>
        <w:sz w:val="24"/>
      </w:rPr>
    </w:lvl>
    <w:lvl w:ilvl="3">
      <w:start w:val="1"/>
      <w:numFmt w:val="decimal"/>
      <w:pStyle w:val="Heading4"/>
      <w:lvlText w:val="%2.%3.%4"/>
      <w:lvlJc w:val="left"/>
      <w:pPr>
        <w:ind w:left="360" w:hanging="360"/>
      </w:pPr>
      <w:rPr>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624285"/>
    <w:multiLevelType w:val="hybridMultilevel"/>
    <w:tmpl w:val="55D42FC6"/>
    <w:lvl w:ilvl="0" w:tplc="040C0001">
      <w:start w:val="1"/>
      <w:numFmt w:val="bullet"/>
      <w:lvlText w:val=""/>
      <w:lvlJc w:val="left"/>
      <w:pPr>
        <w:ind w:left="1440" w:hanging="360"/>
      </w:pPr>
      <w:rPr>
        <w:rFonts w:ascii="Symbol" w:hAnsi="Symbol" w:hint="default"/>
      </w:rPr>
    </w:lvl>
    <w:lvl w:ilvl="1" w:tplc="040C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3C53A0"/>
    <w:multiLevelType w:val="hybridMultilevel"/>
    <w:tmpl w:val="63703F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9447661"/>
    <w:multiLevelType w:val="hybridMultilevel"/>
    <w:tmpl w:val="51F6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D000D"/>
    <w:multiLevelType w:val="hybridMultilevel"/>
    <w:tmpl w:val="3C9A6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AB6D94"/>
    <w:multiLevelType w:val="multilevel"/>
    <w:tmpl w:val="2BA6CA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753133"/>
    <w:multiLevelType w:val="hybridMultilevel"/>
    <w:tmpl w:val="461E5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DD6739"/>
    <w:multiLevelType w:val="hybridMultilevel"/>
    <w:tmpl w:val="B52C119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711EBD"/>
    <w:multiLevelType w:val="multilevel"/>
    <w:tmpl w:val="6ED8D4FA"/>
    <w:styleLink w:val="SOPFormat"/>
    <w:lvl w:ilvl="0">
      <w:start w:val="1"/>
      <w:numFmt w:val="decimal"/>
      <w:isLgl/>
      <w:lvlText w:val="%1"/>
      <w:lvlJc w:val="left"/>
      <w:pPr>
        <w:ind w:left="360" w:hanging="360"/>
      </w:pPr>
      <w:rPr>
        <w:rFonts w:ascii="Calibri" w:hAnsi="Calibri" w:hint="default"/>
        <w:b/>
        <w:i w:val="0"/>
        <w:sz w:val="36"/>
      </w:rPr>
    </w:lvl>
    <w:lvl w:ilvl="1">
      <w:start w:val="1"/>
      <w:numFmt w:val="decimal"/>
      <w:isLgl/>
      <w:lvlText w:val="%2."/>
      <w:lvlJc w:val="left"/>
      <w:pPr>
        <w:ind w:left="720" w:hanging="360"/>
      </w:pPr>
      <w:rPr>
        <w:rFonts w:ascii="Calibri" w:hAnsi="Calibri" w:hint="default"/>
        <w:b/>
        <w:i w:val="0"/>
        <w:sz w:val="24"/>
      </w:rPr>
    </w:lvl>
    <w:lvl w:ilvl="2">
      <w:start w:val="1"/>
      <w:numFmt w:val="decimal"/>
      <w:isLgl/>
      <w:lvlText w:val="%2.%3"/>
      <w:lvlJc w:val="left"/>
      <w:pPr>
        <w:ind w:left="1080" w:hanging="360"/>
      </w:pPr>
      <w:rPr>
        <w:rFonts w:ascii="Calibri" w:hAnsi="Calibri" w:hint="default"/>
        <w:b/>
        <w:i/>
        <w:sz w:val="24"/>
      </w:rPr>
    </w:lvl>
    <w:lvl w:ilvl="3">
      <w:start w:val="1"/>
      <w:numFmt w:val="decimal"/>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971DFA"/>
    <w:multiLevelType w:val="hybridMultilevel"/>
    <w:tmpl w:val="F20E9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93497"/>
    <w:multiLevelType w:val="hybridMultilevel"/>
    <w:tmpl w:val="9CE81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D656A"/>
    <w:multiLevelType w:val="multilevel"/>
    <w:tmpl w:val="73C018C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5B8660C5"/>
    <w:multiLevelType w:val="hybridMultilevel"/>
    <w:tmpl w:val="8D325E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673193"/>
    <w:multiLevelType w:val="hybridMultilevel"/>
    <w:tmpl w:val="10167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CD52BB"/>
    <w:multiLevelType w:val="hybridMultilevel"/>
    <w:tmpl w:val="3C76FA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4A667B8"/>
    <w:multiLevelType w:val="hybridMultilevel"/>
    <w:tmpl w:val="C900A9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77C31CD"/>
    <w:multiLevelType w:val="hybridMultilevel"/>
    <w:tmpl w:val="AA0E6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707916">
    <w:abstractNumId w:val="23"/>
  </w:num>
  <w:num w:numId="2" w16cid:durableId="1303920445">
    <w:abstractNumId w:val="24"/>
  </w:num>
  <w:num w:numId="3" w16cid:durableId="428353089">
    <w:abstractNumId w:val="1"/>
  </w:num>
  <w:num w:numId="4" w16cid:durableId="1068192917">
    <w:abstractNumId w:val="3"/>
  </w:num>
  <w:num w:numId="5" w16cid:durableId="1118331079">
    <w:abstractNumId w:val="2"/>
  </w:num>
  <w:num w:numId="6" w16cid:durableId="457069046">
    <w:abstractNumId w:val="5"/>
  </w:num>
  <w:num w:numId="7" w16cid:durableId="1231188954">
    <w:abstractNumId w:val="0"/>
  </w:num>
  <w:num w:numId="8" w16cid:durableId="1337150699">
    <w:abstractNumId w:val="10"/>
  </w:num>
  <w:num w:numId="9" w16cid:durableId="2055349804">
    <w:abstractNumId w:val="8"/>
  </w:num>
  <w:num w:numId="10" w16cid:durableId="1583758737">
    <w:abstractNumId w:val="17"/>
  </w:num>
  <w:num w:numId="11" w16cid:durableId="1104112847">
    <w:abstractNumId w:val="9"/>
  </w:num>
  <w:num w:numId="12" w16cid:durableId="67196778">
    <w:abstractNumId w:val="14"/>
  </w:num>
  <w:num w:numId="13" w16cid:durableId="78527398">
    <w:abstractNumId w:val="9"/>
  </w:num>
  <w:num w:numId="14" w16cid:durableId="125859039">
    <w:abstractNumId w:val="12"/>
  </w:num>
  <w:num w:numId="15" w16cid:durableId="1325281404">
    <w:abstractNumId w:val="6"/>
  </w:num>
  <w:num w:numId="16" w16cid:durableId="730230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5164338">
    <w:abstractNumId w:val="9"/>
  </w:num>
  <w:num w:numId="18" w16cid:durableId="1614048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18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6946007">
    <w:abstractNumId w:val="9"/>
  </w:num>
  <w:num w:numId="21" w16cid:durableId="856844843">
    <w:abstractNumId w:val="20"/>
  </w:num>
  <w:num w:numId="22" w16cid:durableId="1066689779">
    <w:abstractNumId w:val="18"/>
  </w:num>
  <w:num w:numId="23" w16cid:durableId="1010596372">
    <w:abstractNumId w:val="19"/>
  </w:num>
  <w:num w:numId="24" w16cid:durableId="412510796">
    <w:abstractNumId w:val="16"/>
  </w:num>
  <w:num w:numId="25" w16cid:durableId="1572429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5878404">
    <w:abstractNumId w:val="15"/>
  </w:num>
  <w:num w:numId="27" w16cid:durableId="854225682">
    <w:abstractNumId w:val="22"/>
  </w:num>
  <w:num w:numId="28" w16cid:durableId="1439720709">
    <w:abstractNumId w:val="7"/>
  </w:num>
  <w:num w:numId="29" w16cid:durableId="1105035160">
    <w:abstractNumId w:val="4"/>
  </w:num>
  <w:num w:numId="30" w16cid:durableId="1572496481">
    <w:abstractNumId w:val="9"/>
  </w:num>
  <w:num w:numId="31" w16cid:durableId="2135706812">
    <w:abstractNumId w:val="9"/>
  </w:num>
  <w:num w:numId="32" w16cid:durableId="1487236897">
    <w:abstractNumId w:val="9"/>
  </w:num>
  <w:num w:numId="33" w16cid:durableId="1715546335">
    <w:abstractNumId w:val="9"/>
  </w:num>
  <w:num w:numId="34" w16cid:durableId="1985741471">
    <w:abstractNumId w:val="9"/>
  </w:num>
  <w:num w:numId="35" w16cid:durableId="747338809">
    <w:abstractNumId w:val="9"/>
  </w:num>
  <w:num w:numId="36" w16cid:durableId="1934362368">
    <w:abstractNumId w:val="25"/>
  </w:num>
  <w:num w:numId="37" w16cid:durableId="1771579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25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411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3050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6544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2444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8610272">
    <w:abstractNumId w:val="9"/>
  </w:num>
  <w:num w:numId="44" w16cid:durableId="268902943">
    <w:abstractNumId w:val="11"/>
  </w:num>
  <w:num w:numId="45" w16cid:durableId="408814287">
    <w:abstractNumId w:val="21"/>
  </w:num>
  <w:num w:numId="46" w16cid:durableId="376853339">
    <w:abstractNumId w:val="9"/>
  </w:num>
  <w:num w:numId="47" w16cid:durableId="72660994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0" w:nlCheck="1" w:checkStyle="0"/>
  <w:activeWritingStyle w:appName="MSWord" w:lang="es-E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es-US" w:vendorID="64" w:dllVersion="0" w:nlCheck="1" w:checkStyle="0"/>
  <w:activeWritingStyle w:appName="MSWord" w:lang="es-PE" w:vendorID="64" w:dllVersion="0" w:nlCheck="1" w:checkStyle="0"/>
  <w:activeWritingStyle w:appName="MSWord" w:lang="es-PE" w:vendorID="64" w:dllVersion="6" w:nlCheck="1" w:checkStyle="1"/>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2D"/>
    <w:rsid w:val="00003E81"/>
    <w:rsid w:val="00011684"/>
    <w:rsid w:val="000147AB"/>
    <w:rsid w:val="00020846"/>
    <w:rsid w:val="0002171E"/>
    <w:rsid w:val="000230D9"/>
    <w:rsid w:val="000239C3"/>
    <w:rsid w:val="00024E69"/>
    <w:rsid w:val="00024FF0"/>
    <w:rsid w:val="00031CF2"/>
    <w:rsid w:val="00031E85"/>
    <w:rsid w:val="0003797C"/>
    <w:rsid w:val="000436A2"/>
    <w:rsid w:val="0004371B"/>
    <w:rsid w:val="000439BB"/>
    <w:rsid w:val="00043C68"/>
    <w:rsid w:val="00047576"/>
    <w:rsid w:val="0005314F"/>
    <w:rsid w:val="00060525"/>
    <w:rsid w:val="00062CCB"/>
    <w:rsid w:val="00063B90"/>
    <w:rsid w:val="00064516"/>
    <w:rsid w:val="00066089"/>
    <w:rsid w:val="00067625"/>
    <w:rsid w:val="00074A91"/>
    <w:rsid w:val="00084AE2"/>
    <w:rsid w:val="00085E31"/>
    <w:rsid w:val="000867EC"/>
    <w:rsid w:val="00092A19"/>
    <w:rsid w:val="0009422A"/>
    <w:rsid w:val="00094605"/>
    <w:rsid w:val="00095504"/>
    <w:rsid w:val="000A0C9B"/>
    <w:rsid w:val="000A37AE"/>
    <w:rsid w:val="000A7971"/>
    <w:rsid w:val="000B525C"/>
    <w:rsid w:val="000C3A9B"/>
    <w:rsid w:val="000C416C"/>
    <w:rsid w:val="000D0170"/>
    <w:rsid w:val="000D28F1"/>
    <w:rsid w:val="000D3027"/>
    <w:rsid w:val="000D3C2F"/>
    <w:rsid w:val="000D410D"/>
    <w:rsid w:val="000D4F0B"/>
    <w:rsid w:val="000D63FD"/>
    <w:rsid w:val="000E0D7E"/>
    <w:rsid w:val="000E11F0"/>
    <w:rsid w:val="000E3B2C"/>
    <w:rsid w:val="000E5094"/>
    <w:rsid w:val="000E5AA8"/>
    <w:rsid w:val="000F1E50"/>
    <w:rsid w:val="000F577C"/>
    <w:rsid w:val="000F7704"/>
    <w:rsid w:val="00102419"/>
    <w:rsid w:val="00116836"/>
    <w:rsid w:val="00134771"/>
    <w:rsid w:val="001376A0"/>
    <w:rsid w:val="00142DB1"/>
    <w:rsid w:val="00144F2F"/>
    <w:rsid w:val="00157594"/>
    <w:rsid w:val="00161F20"/>
    <w:rsid w:val="001659EF"/>
    <w:rsid w:val="00167CB8"/>
    <w:rsid w:val="00167D58"/>
    <w:rsid w:val="0017053B"/>
    <w:rsid w:val="00170F7B"/>
    <w:rsid w:val="0017260C"/>
    <w:rsid w:val="00172AE5"/>
    <w:rsid w:val="001743DB"/>
    <w:rsid w:val="00175F03"/>
    <w:rsid w:val="0017794D"/>
    <w:rsid w:val="001816ED"/>
    <w:rsid w:val="00182C98"/>
    <w:rsid w:val="00183880"/>
    <w:rsid w:val="0019090A"/>
    <w:rsid w:val="00192065"/>
    <w:rsid w:val="00196E54"/>
    <w:rsid w:val="001A00C0"/>
    <w:rsid w:val="001A0633"/>
    <w:rsid w:val="001A52BA"/>
    <w:rsid w:val="001B1BB0"/>
    <w:rsid w:val="001B6371"/>
    <w:rsid w:val="001C6A99"/>
    <w:rsid w:val="001D36C7"/>
    <w:rsid w:val="001D3AA7"/>
    <w:rsid w:val="001D62AB"/>
    <w:rsid w:val="001E3872"/>
    <w:rsid w:val="001E4688"/>
    <w:rsid w:val="001E4D7D"/>
    <w:rsid w:val="001F271F"/>
    <w:rsid w:val="0020723C"/>
    <w:rsid w:val="00207D23"/>
    <w:rsid w:val="002122DC"/>
    <w:rsid w:val="00224739"/>
    <w:rsid w:val="00225DB0"/>
    <w:rsid w:val="00232555"/>
    <w:rsid w:val="00233156"/>
    <w:rsid w:val="0023394F"/>
    <w:rsid w:val="00241CE6"/>
    <w:rsid w:val="00247647"/>
    <w:rsid w:val="00247B29"/>
    <w:rsid w:val="0025323B"/>
    <w:rsid w:val="00254273"/>
    <w:rsid w:val="002563F7"/>
    <w:rsid w:val="00256EC3"/>
    <w:rsid w:val="0026346E"/>
    <w:rsid w:val="00263919"/>
    <w:rsid w:val="002650C8"/>
    <w:rsid w:val="002672D1"/>
    <w:rsid w:val="00272200"/>
    <w:rsid w:val="00276D3A"/>
    <w:rsid w:val="0027769C"/>
    <w:rsid w:val="0028004E"/>
    <w:rsid w:val="00281888"/>
    <w:rsid w:val="00284F1A"/>
    <w:rsid w:val="00285CC1"/>
    <w:rsid w:val="0029307B"/>
    <w:rsid w:val="002961B3"/>
    <w:rsid w:val="002971A5"/>
    <w:rsid w:val="00297473"/>
    <w:rsid w:val="002A01FC"/>
    <w:rsid w:val="002A5DA1"/>
    <w:rsid w:val="002A711F"/>
    <w:rsid w:val="002B2578"/>
    <w:rsid w:val="002B4732"/>
    <w:rsid w:val="002B482E"/>
    <w:rsid w:val="002B4B91"/>
    <w:rsid w:val="002B7B65"/>
    <w:rsid w:val="002C2D8B"/>
    <w:rsid w:val="002D54BA"/>
    <w:rsid w:val="002E4867"/>
    <w:rsid w:val="002E4F52"/>
    <w:rsid w:val="002F1DAC"/>
    <w:rsid w:val="002F4F91"/>
    <w:rsid w:val="003015DB"/>
    <w:rsid w:val="00307334"/>
    <w:rsid w:val="003075F1"/>
    <w:rsid w:val="00311122"/>
    <w:rsid w:val="003123B8"/>
    <w:rsid w:val="00322EBA"/>
    <w:rsid w:val="003237C3"/>
    <w:rsid w:val="003246EC"/>
    <w:rsid w:val="00324A51"/>
    <w:rsid w:val="0032612E"/>
    <w:rsid w:val="0033027C"/>
    <w:rsid w:val="0034077B"/>
    <w:rsid w:val="00347D98"/>
    <w:rsid w:val="003545E7"/>
    <w:rsid w:val="0035494D"/>
    <w:rsid w:val="00357C02"/>
    <w:rsid w:val="00361F38"/>
    <w:rsid w:val="00371E5B"/>
    <w:rsid w:val="00377F48"/>
    <w:rsid w:val="00385276"/>
    <w:rsid w:val="00385889"/>
    <w:rsid w:val="00387AD1"/>
    <w:rsid w:val="003922DB"/>
    <w:rsid w:val="00393CBB"/>
    <w:rsid w:val="00396643"/>
    <w:rsid w:val="003A4317"/>
    <w:rsid w:val="003A6F6B"/>
    <w:rsid w:val="003B065C"/>
    <w:rsid w:val="003C1D85"/>
    <w:rsid w:val="003C2892"/>
    <w:rsid w:val="003C398F"/>
    <w:rsid w:val="003D1953"/>
    <w:rsid w:val="003D1DFC"/>
    <w:rsid w:val="003D240C"/>
    <w:rsid w:val="003E2A47"/>
    <w:rsid w:val="003E60DA"/>
    <w:rsid w:val="003F1902"/>
    <w:rsid w:val="003F256F"/>
    <w:rsid w:val="003F46EA"/>
    <w:rsid w:val="003F486E"/>
    <w:rsid w:val="003F4D06"/>
    <w:rsid w:val="003F6994"/>
    <w:rsid w:val="00405BD2"/>
    <w:rsid w:val="00407392"/>
    <w:rsid w:val="00407C6D"/>
    <w:rsid w:val="0041044C"/>
    <w:rsid w:val="004120C8"/>
    <w:rsid w:val="00413B21"/>
    <w:rsid w:val="00413FF4"/>
    <w:rsid w:val="00416551"/>
    <w:rsid w:val="00417709"/>
    <w:rsid w:val="00421ED6"/>
    <w:rsid w:val="004230EC"/>
    <w:rsid w:val="00423914"/>
    <w:rsid w:val="00423A8D"/>
    <w:rsid w:val="004241FD"/>
    <w:rsid w:val="00427E2A"/>
    <w:rsid w:val="00441102"/>
    <w:rsid w:val="0044206B"/>
    <w:rsid w:val="00447D1D"/>
    <w:rsid w:val="0045340B"/>
    <w:rsid w:val="0045570F"/>
    <w:rsid w:val="00470E25"/>
    <w:rsid w:val="0047612D"/>
    <w:rsid w:val="0048077F"/>
    <w:rsid w:val="00480B7F"/>
    <w:rsid w:val="004833AA"/>
    <w:rsid w:val="00486ACC"/>
    <w:rsid w:val="0049142E"/>
    <w:rsid w:val="004A0813"/>
    <w:rsid w:val="004A613D"/>
    <w:rsid w:val="004A7861"/>
    <w:rsid w:val="004B0DB4"/>
    <w:rsid w:val="004B37EC"/>
    <w:rsid w:val="004B3FB6"/>
    <w:rsid w:val="004B456B"/>
    <w:rsid w:val="004B7B7E"/>
    <w:rsid w:val="004C2FB6"/>
    <w:rsid w:val="004C3B9B"/>
    <w:rsid w:val="004C7024"/>
    <w:rsid w:val="004D0279"/>
    <w:rsid w:val="004D2134"/>
    <w:rsid w:val="004D2925"/>
    <w:rsid w:val="004D5C9A"/>
    <w:rsid w:val="004D73AF"/>
    <w:rsid w:val="004E0360"/>
    <w:rsid w:val="004E33AC"/>
    <w:rsid w:val="004F23A6"/>
    <w:rsid w:val="004F5AF6"/>
    <w:rsid w:val="005016C8"/>
    <w:rsid w:val="005037CE"/>
    <w:rsid w:val="00504282"/>
    <w:rsid w:val="00510804"/>
    <w:rsid w:val="0051363E"/>
    <w:rsid w:val="00513992"/>
    <w:rsid w:val="005141C1"/>
    <w:rsid w:val="00520B63"/>
    <w:rsid w:val="0052234E"/>
    <w:rsid w:val="00525ECE"/>
    <w:rsid w:val="00531FDC"/>
    <w:rsid w:val="00532E78"/>
    <w:rsid w:val="00543D8C"/>
    <w:rsid w:val="005454E9"/>
    <w:rsid w:val="005462DA"/>
    <w:rsid w:val="005471E1"/>
    <w:rsid w:val="005476D8"/>
    <w:rsid w:val="005554E3"/>
    <w:rsid w:val="00556CD2"/>
    <w:rsid w:val="00564CD4"/>
    <w:rsid w:val="00564E21"/>
    <w:rsid w:val="0056797E"/>
    <w:rsid w:val="00573282"/>
    <w:rsid w:val="00577A24"/>
    <w:rsid w:val="00577F49"/>
    <w:rsid w:val="00584815"/>
    <w:rsid w:val="00591CE4"/>
    <w:rsid w:val="00593C62"/>
    <w:rsid w:val="005A305D"/>
    <w:rsid w:val="005A33AC"/>
    <w:rsid w:val="005A69D4"/>
    <w:rsid w:val="005B4AEE"/>
    <w:rsid w:val="005C059E"/>
    <w:rsid w:val="005C1D43"/>
    <w:rsid w:val="005C6BB4"/>
    <w:rsid w:val="005C6BD3"/>
    <w:rsid w:val="005D16AB"/>
    <w:rsid w:val="005D305B"/>
    <w:rsid w:val="005D3109"/>
    <w:rsid w:val="005D431D"/>
    <w:rsid w:val="005D5259"/>
    <w:rsid w:val="005D747F"/>
    <w:rsid w:val="005E25F3"/>
    <w:rsid w:val="005E3747"/>
    <w:rsid w:val="005F1485"/>
    <w:rsid w:val="005F1E55"/>
    <w:rsid w:val="005F2FEA"/>
    <w:rsid w:val="005F3E82"/>
    <w:rsid w:val="005F48C5"/>
    <w:rsid w:val="005F560A"/>
    <w:rsid w:val="005F7E6A"/>
    <w:rsid w:val="00600C63"/>
    <w:rsid w:val="00602B0E"/>
    <w:rsid w:val="00605D61"/>
    <w:rsid w:val="00607C06"/>
    <w:rsid w:val="00613E1B"/>
    <w:rsid w:val="00616B82"/>
    <w:rsid w:val="00616C21"/>
    <w:rsid w:val="00627AC8"/>
    <w:rsid w:val="00630422"/>
    <w:rsid w:val="006338D7"/>
    <w:rsid w:val="00637CA9"/>
    <w:rsid w:val="00640441"/>
    <w:rsid w:val="00641FFF"/>
    <w:rsid w:val="006433F7"/>
    <w:rsid w:val="006516BB"/>
    <w:rsid w:val="006555C7"/>
    <w:rsid w:val="006652ED"/>
    <w:rsid w:val="006656AC"/>
    <w:rsid w:val="00677205"/>
    <w:rsid w:val="00680E74"/>
    <w:rsid w:val="00681907"/>
    <w:rsid w:val="0068571F"/>
    <w:rsid w:val="00686A9F"/>
    <w:rsid w:val="00692DFA"/>
    <w:rsid w:val="00693E20"/>
    <w:rsid w:val="00694EC5"/>
    <w:rsid w:val="006A411B"/>
    <w:rsid w:val="006B1011"/>
    <w:rsid w:val="006B7E1D"/>
    <w:rsid w:val="006C019D"/>
    <w:rsid w:val="006C35F2"/>
    <w:rsid w:val="006C5383"/>
    <w:rsid w:val="006D00A9"/>
    <w:rsid w:val="006D2D59"/>
    <w:rsid w:val="006D6636"/>
    <w:rsid w:val="006D6CC1"/>
    <w:rsid w:val="006E16A8"/>
    <w:rsid w:val="006E5879"/>
    <w:rsid w:val="006E58ED"/>
    <w:rsid w:val="006E7837"/>
    <w:rsid w:val="006E78FB"/>
    <w:rsid w:val="006F119A"/>
    <w:rsid w:val="006F211E"/>
    <w:rsid w:val="006F2461"/>
    <w:rsid w:val="006F3F57"/>
    <w:rsid w:val="006F54D9"/>
    <w:rsid w:val="00717597"/>
    <w:rsid w:val="00717F2A"/>
    <w:rsid w:val="0072458F"/>
    <w:rsid w:val="00727A80"/>
    <w:rsid w:val="00732449"/>
    <w:rsid w:val="00742189"/>
    <w:rsid w:val="00746A12"/>
    <w:rsid w:val="00747BCB"/>
    <w:rsid w:val="00752D85"/>
    <w:rsid w:val="00754F95"/>
    <w:rsid w:val="00760862"/>
    <w:rsid w:val="00760DF5"/>
    <w:rsid w:val="0076142D"/>
    <w:rsid w:val="00761B3B"/>
    <w:rsid w:val="00762EF4"/>
    <w:rsid w:val="007702B1"/>
    <w:rsid w:val="007764A6"/>
    <w:rsid w:val="00780D11"/>
    <w:rsid w:val="00781946"/>
    <w:rsid w:val="00784AF2"/>
    <w:rsid w:val="00791F8F"/>
    <w:rsid w:val="00792815"/>
    <w:rsid w:val="007931CD"/>
    <w:rsid w:val="00795021"/>
    <w:rsid w:val="00797948"/>
    <w:rsid w:val="007A106C"/>
    <w:rsid w:val="007A5A4F"/>
    <w:rsid w:val="007B35BD"/>
    <w:rsid w:val="007B56BF"/>
    <w:rsid w:val="007B6B4C"/>
    <w:rsid w:val="007C0598"/>
    <w:rsid w:val="007C1712"/>
    <w:rsid w:val="007C4B2A"/>
    <w:rsid w:val="007C637C"/>
    <w:rsid w:val="007D24A2"/>
    <w:rsid w:val="007D3A24"/>
    <w:rsid w:val="007E0DD3"/>
    <w:rsid w:val="007E134D"/>
    <w:rsid w:val="007E1B5D"/>
    <w:rsid w:val="007E1B88"/>
    <w:rsid w:val="007E2DC4"/>
    <w:rsid w:val="007F0A45"/>
    <w:rsid w:val="00801980"/>
    <w:rsid w:val="00806B95"/>
    <w:rsid w:val="00810F05"/>
    <w:rsid w:val="00814B9B"/>
    <w:rsid w:val="00815252"/>
    <w:rsid w:val="008157A8"/>
    <w:rsid w:val="00816719"/>
    <w:rsid w:val="00817057"/>
    <w:rsid w:val="0082498F"/>
    <w:rsid w:val="00825676"/>
    <w:rsid w:val="008318F4"/>
    <w:rsid w:val="0083324E"/>
    <w:rsid w:val="00834846"/>
    <w:rsid w:val="0085083A"/>
    <w:rsid w:val="00853E81"/>
    <w:rsid w:val="008569E2"/>
    <w:rsid w:val="00861DD4"/>
    <w:rsid w:val="00866218"/>
    <w:rsid w:val="0086696C"/>
    <w:rsid w:val="008737C5"/>
    <w:rsid w:val="0087598B"/>
    <w:rsid w:val="008766BF"/>
    <w:rsid w:val="00883CAE"/>
    <w:rsid w:val="008864A2"/>
    <w:rsid w:val="008939C1"/>
    <w:rsid w:val="00897E4D"/>
    <w:rsid w:val="008A3A02"/>
    <w:rsid w:val="008B0AA6"/>
    <w:rsid w:val="008B104F"/>
    <w:rsid w:val="008B5ABE"/>
    <w:rsid w:val="008B7014"/>
    <w:rsid w:val="008C0EAC"/>
    <w:rsid w:val="008C1972"/>
    <w:rsid w:val="008C577B"/>
    <w:rsid w:val="008C6C05"/>
    <w:rsid w:val="008D3276"/>
    <w:rsid w:val="008E0DF9"/>
    <w:rsid w:val="008E2D05"/>
    <w:rsid w:val="008E3385"/>
    <w:rsid w:val="008E34DA"/>
    <w:rsid w:val="008E3EF1"/>
    <w:rsid w:val="008E48AC"/>
    <w:rsid w:val="008E7D9A"/>
    <w:rsid w:val="008F1855"/>
    <w:rsid w:val="008F3873"/>
    <w:rsid w:val="0090144A"/>
    <w:rsid w:val="009047E6"/>
    <w:rsid w:val="0090687A"/>
    <w:rsid w:val="00910C4A"/>
    <w:rsid w:val="009137AA"/>
    <w:rsid w:val="00914A80"/>
    <w:rsid w:val="00915F10"/>
    <w:rsid w:val="00917959"/>
    <w:rsid w:val="00920DBF"/>
    <w:rsid w:val="00921C51"/>
    <w:rsid w:val="00926747"/>
    <w:rsid w:val="0092736A"/>
    <w:rsid w:val="00927BAE"/>
    <w:rsid w:val="00933C88"/>
    <w:rsid w:val="00953C65"/>
    <w:rsid w:val="00960191"/>
    <w:rsid w:val="00961F09"/>
    <w:rsid w:val="0096204E"/>
    <w:rsid w:val="00962508"/>
    <w:rsid w:val="009635E5"/>
    <w:rsid w:val="00967A49"/>
    <w:rsid w:val="00974E06"/>
    <w:rsid w:val="009769FE"/>
    <w:rsid w:val="00981061"/>
    <w:rsid w:val="00981650"/>
    <w:rsid w:val="00981A0B"/>
    <w:rsid w:val="00990CAB"/>
    <w:rsid w:val="009934F5"/>
    <w:rsid w:val="0099364B"/>
    <w:rsid w:val="00994B90"/>
    <w:rsid w:val="009A22FD"/>
    <w:rsid w:val="009A423A"/>
    <w:rsid w:val="009A43C2"/>
    <w:rsid w:val="009B1269"/>
    <w:rsid w:val="009B6B26"/>
    <w:rsid w:val="009E04FF"/>
    <w:rsid w:val="009F1C95"/>
    <w:rsid w:val="009F1F02"/>
    <w:rsid w:val="009F5067"/>
    <w:rsid w:val="009F689A"/>
    <w:rsid w:val="00A01607"/>
    <w:rsid w:val="00A07997"/>
    <w:rsid w:val="00A10DB9"/>
    <w:rsid w:val="00A14A2F"/>
    <w:rsid w:val="00A14D48"/>
    <w:rsid w:val="00A15FF8"/>
    <w:rsid w:val="00A258DA"/>
    <w:rsid w:val="00A26A87"/>
    <w:rsid w:val="00A26EEA"/>
    <w:rsid w:val="00A27911"/>
    <w:rsid w:val="00A32691"/>
    <w:rsid w:val="00A32EF1"/>
    <w:rsid w:val="00A35185"/>
    <w:rsid w:val="00A36F3C"/>
    <w:rsid w:val="00A41972"/>
    <w:rsid w:val="00A45989"/>
    <w:rsid w:val="00A47A5C"/>
    <w:rsid w:val="00A50FD7"/>
    <w:rsid w:val="00A51F23"/>
    <w:rsid w:val="00A5496E"/>
    <w:rsid w:val="00A60A1A"/>
    <w:rsid w:val="00A60B1A"/>
    <w:rsid w:val="00A61A50"/>
    <w:rsid w:val="00A627E5"/>
    <w:rsid w:val="00A66F2B"/>
    <w:rsid w:val="00A7052A"/>
    <w:rsid w:val="00A71243"/>
    <w:rsid w:val="00A72B85"/>
    <w:rsid w:val="00A757E8"/>
    <w:rsid w:val="00A82B1A"/>
    <w:rsid w:val="00A84191"/>
    <w:rsid w:val="00A92A41"/>
    <w:rsid w:val="00A9659B"/>
    <w:rsid w:val="00AA1EA5"/>
    <w:rsid w:val="00AA7B80"/>
    <w:rsid w:val="00AB5426"/>
    <w:rsid w:val="00AC3BAC"/>
    <w:rsid w:val="00AC3F46"/>
    <w:rsid w:val="00AD2803"/>
    <w:rsid w:val="00AD69AF"/>
    <w:rsid w:val="00AD6DB1"/>
    <w:rsid w:val="00AD73AC"/>
    <w:rsid w:val="00AD73DB"/>
    <w:rsid w:val="00AF0157"/>
    <w:rsid w:val="00AF52A4"/>
    <w:rsid w:val="00B00ED6"/>
    <w:rsid w:val="00B10966"/>
    <w:rsid w:val="00B10B25"/>
    <w:rsid w:val="00B10FA7"/>
    <w:rsid w:val="00B12277"/>
    <w:rsid w:val="00B238CA"/>
    <w:rsid w:val="00B23BE0"/>
    <w:rsid w:val="00B2673D"/>
    <w:rsid w:val="00B310CF"/>
    <w:rsid w:val="00B31864"/>
    <w:rsid w:val="00B324AA"/>
    <w:rsid w:val="00B345B5"/>
    <w:rsid w:val="00B3461C"/>
    <w:rsid w:val="00B36A05"/>
    <w:rsid w:val="00B414B1"/>
    <w:rsid w:val="00B43B84"/>
    <w:rsid w:val="00B554D7"/>
    <w:rsid w:val="00B71D3D"/>
    <w:rsid w:val="00B8072E"/>
    <w:rsid w:val="00BA06B8"/>
    <w:rsid w:val="00BA0BA2"/>
    <w:rsid w:val="00BA0F89"/>
    <w:rsid w:val="00BA399D"/>
    <w:rsid w:val="00BA3B2A"/>
    <w:rsid w:val="00BA573A"/>
    <w:rsid w:val="00BB6651"/>
    <w:rsid w:val="00BC2622"/>
    <w:rsid w:val="00BC4D89"/>
    <w:rsid w:val="00BC76BB"/>
    <w:rsid w:val="00BD08E5"/>
    <w:rsid w:val="00BD0905"/>
    <w:rsid w:val="00BD1F64"/>
    <w:rsid w:val="00BE15AF"/>
    <w:rsid w:val="00BE2C8A"/>
    <w:rsid w:val="00BE2FF4"/>
    <w:rsid w:val="00BE4F64"/>
    <w:rsid w:val="00BE7FA9"/>
    <w:rsid w:val="00BF535D"/>
    <w:rsid w:val="00BF6BA9"/>
    <w:rsid w:val="00BF7E53"/>
    <w:rsid w:val="00C0509A"/>
    <w:rsid w:val="00C12EB2"/>
    <w:rsid w:val="00C12F24"/>
    <w:rsid w:val="00C16868"/>
    <w:rsid w:val="00C17899"/>
    <w:rsid w:val="00C22B66"/>
    <w:rsid w:val="00C26F31"/>
    <w:rsid w:val="00C338A5"/>
    <w:rsid w:val="00C34CDF"/>
    <w:rsid w:val="00C36242"/>
    <w:rsid w:val="00C36B39"/>
    <w:rsid w:val="00C40F27"/>
    <w:rsid w:val="00C41B76"/>
    <w:rsid w:val="00C50988"/>
    <w:rsid w:val="00C512BC"/>
    <w:rsid w:val="00C54036"/>
    <w:rsid w:val="00C609FB"/>
    <w:rsid w:val="00C61B76"/>
    <w:rsid w:val="00C6344F"/>
    <w:rsid w:val="00C729F0"/>
    <w:rsid w:val="00C73AC5"/>
    <w:rsid w:val="00C7417B"/>
    <w:rsid w:val="00C742E2"/>
    <w:rsid w:val="00C74948"/>
    <w:rsid w:val="00C759DE"/>
    <w:rsid w:val="00C83D49"/>
    <w:rsid w:val="00C84893"/>
    <w:rsid w:val="00C85219"/>
    <w:rsid w:val="00C86C3D"/>
    <w:rsid w:val="00C90586"/>
    <w:rsid w:val="00C90869"/>
    <w:rsid w:val="00C909E2"/>
    <w:rsid w:val="00C93C60"/>
    <w:rsid w:val="00C974AC"/>
    <w:rsid w:val="00CA36D4"/>
    <w:rsid w:val="00CA3A68"/>
    <w:rsid w:val="00CA3B27"/>
    <w:rsid w:val="00CA657B"/>
    <w:rsid w:val="00CA7E9C"/>
    <w:rsid w:val="00CB33F2"/>
    <w:rsid w:val="00CB3D15"/>
    <w:rsid w:val="00CB4FEA"/>
    <w:rsid w:val="00CB52B3"/>
    <w:rsid w:val="00CC6DBB"/>
    <w:rsid w:val="00CC7FA6"/>
    <w:rsid w:val="00CD3F75"/>
    <w:rsid w:val="00CD66CC"/>
    <w:rsid w:val="00CD7A52"/>
    <w:rsid w:val="00CE137D"/>
    <w:rsid w:val="00CE1EAE"/>
    <w:rsid w:val="00CE436E"/>
    <w:rsid w:val="00CE6108"/>
    <w:rsid w:val="00CF4E0F"/>
    <w:rsid w:val="00CF53E8"/>
    <w:rsid w:val="00CF7288"/>
    <w:rsid w:val="00D038E7"/>
    <w:rsid w:val="00D15C8B"/>
    <w:rsid w:val="00D221C5"/>
    <w:rsid w:val="00D23408"/>
    <w:rsid w:val="00D24077"/>
    <w:rsid w:val="00D35EEC"/>
    <w:rsid w:val="00D40BF4"/>
    <w:rsid w:val="00D4672D"/>
    <w:rsid w:val="00D47751"/>
    <w:rsid w:val="00D503F4"/>
    <w:rsid w:val="00D50BF6"/>
    <w:rsid w:val="00D52365"/>
    <w:rsid w:val="00D55B99"/>
    <w:rsid w:val="00D602BA"/>
    <w:rsid w:val="00D614E6"/>
    <w:rsid w:val="00D67536"/>
    <w:rsid w:val="00D7490F"/>
    <w:rsid w:val="00D74A64"/>
    <w:rsid w:val="00D7509C"/>
    <w:rsid w:val="00D75726"/>
    <w:rsid w:val="00D7797A"/>
    <w:rsid w:val="00D80E29"/>
    <w:rsid w:val="00D817D9"/>
    <w:rsid w:val="00D82BA8"/>
    <w:rsid w:val="00D84581"/>
    <w:rsid w:val="00D84B10"/>
    <w:rsid w:val="00D90D5F"/>
    <w:rsid w:val="00D978C4"/>
    <w:rsid w:val="00DA0122"/>
    <w:rsid w:val="00DB0BEE"/>
    <w:rsid w:val="00DB1B34"/>
    <w:rsid w:val="00DB49B1"/>
    <w:rsid w:val="00DB6B6C"/>
    <w:rsid w:val="00DC1DA0"/>
    <w:rsid w:val="00DC7F38"/>
    <w:rsid w:val="00DD054D"/>
    <w:rsid w:val="00DD65AC"/>
    <w:rsid w:val="00DD6FCD"/>
    <w:rsid w:val="00DE0C72"/>
    <w:rsid w:val="00DE69BB"/>
    <w:rsid w:val="00DE70C4"/>
    <w:rsid w:val="00DE7D5F"/>
    <w:rsid w:val="00DF0A21"/>
    <w:rsid w:val="00DF5325"/>
    <w:rsid w:val="00DF6D97"/>
    <w:rsid w:val="00E00968"/>
    <w:rsid w:val="00E0139A"/>
    <w:rsid w:val="00E01911"/>
    <w:rsid w:val="00E10819"/>
    <w:rsid w:val="00E30E55"/>
    <w:rsid w:val="00E31B9D"/>
    <w:rsid w:val="00E337E0"/>
    <w:rsid w:val="00E33CF3"/>
    <w:rsid w:val="00E351F9"/>
    <w:rsid w:val="00E35A9C"/>
    <w:rsid w:val="00E362F8"/>
    <w:rsid w:val="00E371A8"/>
    <w:rsid w:val="00E46E8F"/>
    <w:rsid w:val="00E53C1B"/>
    <w:rsid w:val="00E54635"/>
    <w:rsid w:val="00E66B76"/>
    <w:rsid w:val="00E71FE3"/>
    <w:rsid w:val="00E72B05"/>
    <w:rsid w:val="00E73175"/>
    <w:rsid w:val="00E74CAA"/>
    <w:rsid w:val="00E74D26"/>
    <w:rsid w:val="00E82C31"/>
    <w:rsid w:val="00E8322A"/>
    <w:rsid w:val="00E8370B"/>
    <w:rsid w:val="00E84E1E"/>
    <w:rsid w:val="00E91DD9"/>
    <w:rsid w:val="00EA17E2"/>
    <w:rsid w:val="00EA20DD"/>
    <w:rsid w:val="00EA2746"/>
    <w:rsid w:val="00EB1B66"/>
    <w:rsid w:val="00EB3424"/>
    <w:rsid w:val="00EC6129"/>
    <w:rsid w:val="00ED1887"/>
    <w:rsid w:val="00ED27BD"/>
    <w:rsid w:val="00ED292D"/>
    <w:rsid w:val="00ED35FA"/>
    <w:rsid w:val="00EE0679"/>
    <w:rsid w:val="00EE108E"/>
    <w:rsid w:val="00EE1494"/>
    <w:rsid w:val="00EE2B09"/>
    <w:rsid w:val="00EE7FA8"/>
    <w:rsid w:val="00EF0463"/>
    <w:rsid w:val="00EF2314"/>
    <w:rsid w:val="00EF3127"/>
    <w:rsid w:val="00EF66D5"/>
    <w:rsid w:val="00F01B05"/>
    <w:rsid w:val="00F15A74"/>
    <w:rsid w:val="00F20AEE"/>
    <w:rsid w:val="00F2233F"/>
    <w:rsid w:val="00F22756"/>
    <w:rsid w:val="00F22DA1"/>
    <w:rsid w:val="00F31A75"/>
    <w:rsid w:val="00F47FA8"/>
    <w:rsid w:val="00F50320"/>
    <w:rsid w:val="00F50B71"/>
    <w:rsid w:val="00F53A90"/>
    <w:rsid w:val="00F55EB3"/>
    <w:rsid w:val="00F55F73"/>
    <w:rsid w:val="00F56536"/>
    <w:rsid w:val="00F60CB9"/>
    <w:rsid w:val="00F62709"/>
    <w:rsid w:val="00F629CC"/>
    <w:rsid w:val="00F644B7"/>
    <w:rsid w:val="00F65EA5"/>
    <w:rsid w:val="00F716B7"/>
    <w:rsid w:val="00F73AE3"/>
    <w:rsid w:val="00F825E7"/>
    <w:rsid w:val="00F82F1D"/>
    <w:rsid w:val="00F83DD1"/>
    <w:rsid w:val="00F84127"/>
    <w:rsid w:val="00FA4F51"/>
    <w:rsid w:val="00FA6F8C"/>
    <w:rsid w:val="00FB0508"/>
    <w:rsid w:val="00FC7B98"/>
    <w:rsid w:val="00FD0D7E"/>
    <w:rsid w:val="00FD33EA"/>
    <w:rsid w:val="00FD3558"/>
    <w:rsid w:val="00FD4612"/>
    <w:rsid w:val="00FE0DAD"/>
    <w:rsid w:val="00FE2BA4"/>
    <w:rsid w:val="00FE322D"/>
    <w:rsid w:val="00FE37A7"/>
    <w:rsid w:val="00FE3800"/>
    <w:rsid w:val="00FE427B"/>
    <w:rsid w:val="00FE4B54"/>
    <w:rsid w:val="00FE54C5"/>
    <w:rsid w:val="00FE6D17"/>
    <w:rsid w:val="00FE6E6A"/>
    <w:rsid w:val="00FE7F8C"/>
    <w:rsid w:val="00FF02F4"/>
    <w:rsid w:val="4022C1EB"/>
    <w:rsid w:val="557ACC6A"/>
    <w:rsid w:val="6F2C365A"/>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E574"/>
  <w15:docId w15:val="{AF00F154-199E-4058-B0CC-53B58E5C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A5A4F"/>
    <w:pPr>
      <w:keepNext/>
      <w:keepLines/>
      <w:numPr>
        <w:numId w:val="11"/>
      </w:numPr>
      <w:spacing w:before="120" w:after="120" w:line="240" w:lineRule="auto"/>
      <w:jc w:val="center"/>
      <w:outlineLvl w:val="0"/>
    </w:pPr>
    <w:rPr>
      <w:b/>
      <w:sz w:val="36"/>
      <w:szCs w:val="24"/>
    </w:rPr>
  </w:style>
  <w:style w:type="paragraph" w:styleId="Heading2">
    <w:name w:val="heading 2"/>
    <w:basedOn w:val="Normal"/>
    <w:next w:val="Normal"/>
    <w:rsid w:val="007A5A4F"/>
    <w:pPr>
      <w:keepNext/>
      <w:keepLines/>
      <w:numPr>
        <w:ilvl w:val="1"/>
        <w:numId w:val="11"/>
      </w:numPr>
      <w:spacing w:before="360" w:after="80"/>
      <w:contextualSpacing/>
      <w:outlineLvl w:val="1"/>
    </w:pPr>
    <w:rPr>
      <w:b/>
      <w:sz w:val="24"/>
      <w:szCs w:val="36"/>
    </w:rPr>
  </w:style>
  <w:style w:type="paragraph" w:styleId="Heading3">
    <w:name w:val="heading 3"/>
    <w:basedOn w:val="Normal"/>
    <w:next w:val="Normal"/>
    <w:rsid w:val="007A5A4F"/>
    <w:pPr>
      <w:keepNext/>
      <w:keepLines/>
      <w:numPr>
        <w:ilvl w:val="2"/>
        <w:numId w:val="11"/>
      </w:numPr>
      <w:spacing w:before="120" w:after="80"/>
      <w:contextualSpacing/>
      <w:outlineLvl w:val="2"/>
    </w:pPr>
    <w:rPr>
      <w:b/>
      <w:i/>
      <w:sz w:val="24"/>
      <w:szCs w:val="28"/>
    </w:rPr>
  </w:style>
  <w:style w:type="paragraph" w:styleId="Heading4">
    <w:name w:val="heading 4"/>
    <w:basedOn w:val="Normal"/>
    <w:next w:val="Normal"/>
    <w:rsid w:val="007A5A4F"/>
    <w:pPr>
      <w:keepNext/>
      <w:keepLines/>
      <w:numPr>
        <w:ilvl w:val="3"/>
        <w:numId w:val="11"/>
      </w:numPr>
      <w:spacing w:before="200" w:after="0"/>
      <w:contextualSpacing/>
      <w:outlineLvl w:val="3"/>
    </w:pPr>
    <w:rPr>
      <w:i/>
      <w:sz w:val="24"/>
      <w:szCs w:val="24"/>
      <w:u w:val="sing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D1D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D1D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D1D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1"/>
    <w:pPr>
      <w:spacing w:after="0" w:line="240" w:lineRule="auto"/>
    </w:pPr>
    <w:tblPr>
      <w:tblStyleRowBandSize w:val="1"/>
      <w:tblStyleColBandSize w:val="1"/>
      <w:tblCellMar>
        <w:left w:w="115" w:type="dxa"/>
        <w:right w:w="115" w:type="dxa"/>
      </w:tblCellMar>
    </w:tblPr>
  </w:style>
  <w:style w:type="table" w:customStyle="1" w:styleId="9">
    <w:name w:val="9"/>
    <w:basedOn w:val="TableNormal1"/>
    <w:pPr>
      <w:contextualSpacing/>
    </w:pPr>
    <w:tblPr>
      <w:tblStyleRowBandSize w:val="1"/>
      <w:tblStyleColBandSize w:val="1"/>
      <w:tblCellMar>
        <w:left w:w="115" w:type="dxa"/>
        <w:right w:w="115" w:type="dxa"/>
      </w:tblCellMar>
    </w:tblPr>
  </w:style>
  <w:style w:type="table" w:customStyle="1" w:styleId="8">
    <w:name w:val="8"/>
    <w:basedOn w:val="TableNormal1"/>
    <w:pPr>
      <w:contextualSpacing/>
    </w:pPr>
    <w:tblPr>
      <w:tblStyleRowBandSize w:val="1"/>
      <w:tblStyleColBandSize w:val="1"/>
      <w:tblCellMar>
        <w:left w:w="115" w:type="dxa"/>
        <w:right w:w="115" w:type="dxa"/>
      </w:tblCellMar>
    </w:tblPr>
  </w:style>
  <w:style w:type="table" w:customStyle="1" w:styleId="7">
    <w:name w:val="7"/>
    <w:basedOn w:val="TableNormal1"/>
    <w:pPr>
      <w:spacing w:after="0" w:line="240" w:lineRule="auto"/>
    </w:pPr>
    <w:tblPr>
      <w:tblStyleRowBandSize w:val="1"/>
      <w:tblStyleColBandSize w:val="1"/>
      <w:tblCellMar>
        <w:left w:w="115" w:type="dxa"/>
        <w:right w:w="115" w:type="dxa"/>
      </w:tblCellMar>
    </w:tblPr>
  </w:style>
  <w:style w:type="table" w:customStyle="1" w:styleId="6">
    <w:name w:val="6"/>
    <w:basedOn w:val="TableNormal1"/>
    <w:pPr>
      <w:spacing w:after="0" w:line="240" w:lineRule="auto"/>
    </w:pPr>
    <w:tblPr>
      <w:tblStyleRowBandSize w:val="1"/>
      <w:tblStyleColBandSize w:val="1"/>
      <w:tblCellMar>
        <w:left w:w="115" w:type="dxa"/>
        <w:right w:w="115" w:type="dxa"/>
      </w:tblCellMar>
    </w:tblPr>
  </w:style>
  <w:style w:type="table" w:customStyle="1" w:styleId="5">
    <w:name w:val="5"/>
    <w:basedOn w:val="TableNormal1"/>
    <w:pPr>
      <w:contextualSpacing/>
    </w:pPr>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
    <w:name w:val="1"/>
    <w:basedOn w:val="TableNormal1"/>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D97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C4"/>
    <w:rPr>
      <w:rFonts w:ascii="Segoe UI" w:hAnsi="Segoe UI" w:cs="Segoe UI"/>
      <w:sz w:val="18"/>
      <w:szCs w:val="18"/>
    </w:rPr>
  </w:style>
  <w:style w:type="paragraph" w:styleId="Header">
    <w:name w:val="header"/>
    <w:basedOn w:val="Normal"/>
    <w:link w:val="HeaderChar"/>
    <w:uiPriority w:val="99"/>
    <w:unhideWhenUsed/>
    <w:rsid w:val="003549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494D"/>
  </w:style>
  <w:style w:type="paragraph" w:styleId="Footer">
    <w:name w:val="footer"/>
    <w:basedOn w:val="Normal"/>
    <w:link w:val="FooterChar"/>
    <w:uiPriority w:val="99"/>
    <w:unhideWhenUsed/>
    <w:rsid w:val="003549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494D"/>
  </w:style>
  <w:style w:type="paragraph" w:styleId="ListParagraph">
    <w:name w:val="List Paragraph"/>
    <w:basedOn w:val="Normal"/>
    <w:uiPriority w:val="34"/>
    <w:qFormat/>
    <w:rsid w:val="0028004E"/>
    <w:pPr>
      <w:ind w:left="720"/>
      <w:contextualSpacing/>
    </w:pPr>
  </w:style>
  <w:style w:type="paragraph" w:styleId="ListBullet2">
    <w:name w:val="List Bullet 2"/>
    <w:basedOn w:val="Normal"/>
    <w:uiPriority w:val="99"/>
    <w:rsid w:val="00A07997"/>
    <w:pPr>
      <w:numPr>
        <w:numId w:val="3"/>
      </w:numPr>
      <w:spacing w:before="120" w:after="120" w:line="240" w:lineRule="auto"/>
      <w:jc w:val="both"/>
    </w:pPr>
    <w:rPr>
      <w:rFonts w:ascii="Cambria" w:eastAsia="MS Mincho" w:hAnsi="Cambria" w:cs="Times New Roman"/>
      <w:color w:val="auto"/>
      <w:lang w:val="en-US" w:eastAsia="en-US"/>
    </w:rPr>
  </w:style>
  <w:style w:type="character" w:styleId="IntenseEmphasis">
    <w:name w:val="Intense Emphasis"/>
    <w:basedOn w:val="DefaultParagraphFont"/>
    <w:uiPriority w:val="99"/>
    <w:qFormat/>
    <w:rsid w:val="00A50FD7"/>
    <w:rPr>
      <w:rFonts w:cs="Times New Roman"/>
      <w:b/>
      <w:bCs/>
      <w:i/>
      <w:iCs/>
      <w:color w:val="4F81BD"/>
    </w:rPr>
  </w:style>
  <w:style w:type="paragraph" w:styleId="ListBullet">
    <w:name w:val="List Bullet"/>
    <w:basedOn w:val="Normal"/>
    <w:uiPriority w:val="99"/>
    <w:unhideWhenUsed/>
    <w:rsid w:val="009F5067"/>
    <w:pPr>
      <w:numPr>
        <w:numId w:val="4"/>
      </w:numPr>
      <w:contextualSpacing/>
    </w:pPr>
  </w:style>
  <w:style w:type="paragraph" w:customStyle="1" w:styleId="Normal1">
    <w:name w:val="Normal1"/>
    <w:uiPriority w:val="99"/>
    <w:rsid w:val="00760DF5"/>
    <w:pPr>
      <w:widowControl w:val="0"/>
      <w:spacing w:before="20" w:after="20" w:line="240" w:lineRule="auto"/>
    </w:pPr>
    <w:rPr>
      <w:rFonts w:ascii="Cambria" w:eastAsia="MS Mincho" w:hAnsi="Cambria" w:cs="Times New Roman"/>
      <w:color w:val="auto"/>
      <w:sz w:val="20"/>
      <w:lang w:val="en-US" w:eastAsia="en-US"/>
    </w:rPr>
  </w:style>
  <w:style w:type="paragraph" w:styleId="CommentSubject">
    <w:name w:val="annotation subject"/>
    <w:basedOn w:val="CommentText"/>
    <w:next w:val="CommentText"/>
    <w:link w:val="CommentSubjectChar"/>
    <w:uiPriority w:val="99"/>
    <w:semiHidden/>
    <w:unhideWhenUsed/>
    <w:rsid w:val="00953C65"/>
    <w:rPr>
      <w:b/>
      <w:bCs/>
    </w:rPr>
  </w:style>
  <w:style w:type="character" w:customStyle="1" w:styleId="CommentSubjectChar">
    <w:name w:val="Comment Subject Char"/>
    <w:basedOn w:val="CommentTextChar"/>
    <w:link w:val="CommentSubject"/>
    <w:uiPriority w:val="99"/>
    <w:semiHidden/>
    <w:rsid w:val="00953C65"/>
    <w:rPr>
      <w:b/>
      <w:bCs/>
      <w:sz w:val="20"/>
      <w:szCs w:val="20"/>
    </w:rPr>
  </w:style>
  <w:style w:type="table" w:customStyle="1" w:styleId="Style20">
    <w:name w:val="Style20"/>
    <w:uiPriority w:val="99"/>
    <w:rsid w:val="00C90586"/>
    <w:pPr>
      <w:spacing w:after="0" w:line="240" w:lineRule="auto"/>
    </w:pPr>
    <w:rPr>
      <w:rFonts w:ascii="Cambria" w:eastAsia="MS Mincho" w:hAnsi="Cambria" w:cs="Times New Roman"/>
      <w:color w:val="auto"/>
      <w:sz w:val="20"/>
      <w:szCs w:val="20"/>
      <w:lang w:val="fr-FR" w:eastAsia="fr-FR"/>
    </w:rPr>
    <w:tblPr>
      <w:tblStyleRowBandSize w:val="1"/>
      <w:tblStyleColBandSize w:val="1"/>
      <w:tblInd w:w="0" w:type="dxa"/>
      <w:tblCellMar>
        <w:top w:w="0" w:type="dxa"/>
        <w:left w:w="115" w:type="dxa"/>
        <w:bottom w:w="0" w:type="dxa"/>
        <w:right w:w="115" w:type="dxa"/>
      </w:tblCellMar>
    </w:tblPr>
  </w:style>
  <w:style w:type="paragraph" w:styleId="ListNumber2">
    <w:name w:val="List Number 2"/>
    <w:basedOn w:val="Normal"/>
    <w:uiPriority w:val="99"/>
    <w:rsid w:val="00C90586"/>
    <w:pPr>
      <w:spacing w:before="120" w:after="120" w:line="240" w:lineRule="auto"/>
      <w:ind w:left="720" w:hanging="360"/>
      <w:jc w:val="both"/>
    </w:pPr>
    <w:rPr>
      <w:rFonts w:ascii="Cambria" w:eastAsia="MS Mincho" w:hAnsi="Cambria" w:cs="Times New Roman"/>
      <w:color w:val="auto"/>
      <w:lang w:val="en-US" w:eastAsia="en-US"/>
    </w:rPr>
  </w:style>
  <w:style w:type="paragraph" w:styleId="ListNumber">
    <w:name w:val="List Number"/>
    <w:basedOn w:val="Normal"/>
    <w:uiPriority w:val="99"/>
    <w:unhideWhenUsed/>
    <w:rsid w:val="00A72B85"/>
    <w:pPr>
      <w:numPr>
        <w:numId w:val="5"/>
      </w:numPr>
      <w:contextualSpacing/>
    </w:pPr>
  </w:style>
  <w:style w:type="paragraph" w:styleId="ListBullet3">
    <w:name w:val="List Bullet 3"/>
    <w:basedOn w:val="Normal"/>
    <w:uiPriority w:val="99"/>
    <w:rsid w:val="00167D58"/>
    <w:pPr>
      <w:spacing w:before="120" w:after="120" w:line="240" w:lineRule="auto"/>
      <w:ind w:left="1080" w:hanging="360"/>
      <w:jc w:val="both"/>
    </w:pPr>
    <w:rPr>
      <w:rFonts w:ascii="Cambria" w:eastAsia="MS Mincho" w:hAnsi="Cambria" w:cs="Times New Roman"/>
      <w:color w:val="auto"/>
      <w:lang w:val="en-US" w:eastAsia="en-US"/>
    </w:rPr>
  </w:style>
  <w:style w:type="paragraph" w:styleId="ListNumber3">
    <w:name w:val="List Number 3"/>
    <w:basedOn w:val="Normal"/>
    <w:uiPriority w:val="99"/>
    <w:rsid w:val="00E66B76"/>
    <w:pPr>
      <w:numPr>
        <w:numId w:val="7"/>
      </w:numPr>
      <w:spacing w:before="120" w:after="120" w:line="240" w:lineRule="auto"/>
      <w:ind w:left="1080"/>
      <w:contextualSpacing/>
      <w:jc w:val="both"/>
    </w:pPr>
    <w:rPr>
      <w:rFonts w:ascii="Cambria" w:eastAsia="MS Mincho" w:hAnsi="Cambria" w:cs="Times New Roman"/>
      <w:color w:val="auto"/>
      <w:lang w:val="en-US" w:eastAsia="en-US"/>
    </w:rPr>
  </w:style>
  <w:style w:type="paragraph" w:styleId="Caption">
    <w:name w:val="caption"/>
    <w:basedOn w:val="Normal"/>
    <w:next w:val="Normal"/>
    <w:uiPriority w:val="99"/>
    <w:qFormat/>
    <w:rsid w:val="00F84127"/>
    <w:pPr>
      <w:spacing w:before="240" w:after="120" w:line="240" w:lineRule="auto"/>
    </w:pPr>
    <w:rPr>
      <w:rFonts w:ascii="Cambria" w:eastAsia="MS Mincho" w:hAnsi="Cambria" w:cs="Times New Roman"/>
      <w:b/>
      <w:bCs/>
      <w:i/>
      <w:color w:val="auto"/>
      <w:lang w:val="en-US" w:eastAsia="en-US"/>
    </w:rPr>
  </w:style>
  <w:style w:type="paragraph" w:customStyle="1" w:styleId="Default">
    <w:name w:val="Default"/>
    <w:rsid w:val="00A27911"/>
    <w:pPr>
      <w:overflowPunct w:val="0"/>
      <w:autoSpaceDE w:val="0"/>
      <w:autoSpaceDN w:val="0"/>
      <w:adjustRightInd w:val="0"/>
      <w:spacing w:after="0" w:line="240" w:lineRule="auto"/>
      <w:textAlignment w:val="baseline"/>
    </w:pPr>
    <w:rPr>
      <w:rFonts w:ascii="TimesNewRoman" w:eastAsia="MS ??" w:hAnsi="TimesNewRoman" w:cs="TimesNewRoman"/>
      <w:color w:val="auto"/>
      <w:sz w:val="24"/>
      <w:szCs w:val="24"/>
      <w:lang w:val="en-US" w:eastAsia="en-US"/>
    </w:rPr>
  </w:style>
  <w:style w:type="paragraph" w:customStyle="1" w:styleId="BodyText24">
    <w:name w:val="Body Text 24"/>
    <w:basedOn w:val="Default"/>
    <w:next w:val="Default"/>
    <w:rsid w:val="00A27911"/>
  </w:style>
  <w:style w:type="paragraph" w:styleId="NormalWeb">
    <w:name w:val="Normal (Web)"/>
    <w:basedOn w:val="Normal"/>
    <w:uiPriority w:val="99"/>
    <w:unhideWhenUsed/>
    <w:rsid w:val="00020846"/>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pple-converted-space">
    <w:name w:val="apple-converted-space"/>
    <w:basedOn w:val="DefaultParagraphFont"/>
    <w:rsid w:val="00C12F24"/>
  </w:style>
  <w:style w:type="numbering" w:customStyle="1" w:styleId="SOPFormat">
    <w:name w:val="SOP Format"/>
    <w:basedOn w:val="NoList"/>
    <w:uiPriority w:val="99"/>
    <w:rsid w:val="007A5A4F"/>
    <w:pPr>
      <w:numPr>
        <w:numId w:val="10"/>
      </w:numPr>
    </w:pPr>
  </w:style>
  <w:style w:type="paragraph" w:styleId="Revision">
    <w:name w:val="Revision"/>
    <w:hidden/>
    <w:uiPriority w:val="99"/>
    <w:semiHidden/>
    <w:rsid w:val="001659EF"/>
    <w:pPr>
      <w:spacing w:after="0" w:line="240" w:lineRule="auto"/>
    </w:pPr>
  </w:style>
  <w:style w:type="character" w:customStyle="1" w:styleId="Heading7Char">
    <w:name w:val="Heading 7 Char"/>
    <w:basedOn w:val="DefaultParagraphFont"/>
    <w:link w:val="Heading7"/>
    <w:uiPriority w:val="9"/>
    <w:rsid w:val="003D1DFC"/>
    <w:rPr>
      <w:rFonts w:asciiTheme="majorHAnsi" w:eastAsiaTheme="majorEastAsia" w:hAnsiTheme="majorHAnsi" w:cstheme="majorBidi"/>
      <w:i/>
      <w:iCs/>
      <w:color w:val="1F4D78" w:themeColor="accent1" w:themeShade="7F"/>
    </w:rPr>
  </w:style>
  <w:style w:type="paragraph" w:styleId="NoSpacing">
    <w:name w:val="No Spacing"/>
    <w:uiPriority w:val="1"/>
    <w:qFormat/>
    <w:rsid w:val="003D1DFC"/>
    <w:pPr>
      <w:spacing w:after="0" w:line="240" w:lineRule="auto"/>
    </w:pPr>
  </w:style>
  <w:style w:type="character" w:customStyle="1" w:styleId="Heading8Char">
    <w:name w:val="Heading 8 Char"/>
    <w:basedOn w:val="DefaultParagraphFont"/>
    <w:link w:val="Heading8"/>
    <w:uiPriority w:val="9"/>
    <w:rsid w:val="003D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D1DFC"/>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3D1DFC"/>
    <w:rPr>
      <w:i/>
      <w:iCs/>
      <w:color w:val="404040" w:themeColor="text1" w:themeTint="BF"/>
    </w:rPr>
  </w:style>
  <w:style w:type="character" w:styleId="BookTitle">
    <w:name w:val="Book Title"/>
    <w:basedOn w:val="DefaultParagraphFont"/>
    <w:uiPriority w:val="33"/>
    <w:qFormat/>
    <w:rsid w:val="005F1485"/>
    <w:rPr>
      <w:b/>
      <w:bCs/>
      <w:i/>
      <w:iCs/>
      <w:spacing w:val="5"/>
    </w:rPr>
  </w:style>
  <w:style w:type="character" w:customStyle="1" w:styleId="mw-headline">
    <w:name w:val="mw-headline"/>
    <w:basedOn w:val="DefaultParagraphFont"/>
    <w:rsid w:val="005F1485"/>
  </w:style>
  <w:style w:type="table" w:styleId="TableGrid">
    <w:name w:val="Table Grid"/>
    <w:basedOn w:val="TableNormal"/>
    <w:uiPriority w:val="39"/>
    <w:rsid w:val="00FD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94D"/>
    <w:rPr>
      <w:color w:val="0563C1" w:themeColor="hyperlink"/>
      <w:u w:val="single"/>
    </w:rPr>
  </w:style>
  <w:style w:type="character" w:customStyle="1" w:styleId="Mentionnonrsolue1">
    <w:name w:val="Mention non résolue1"/>
    <w:basedOn w:val="DefaultParagraphFont"/>
    <w:uiPriority w:val="99"/>
    <w:rsid w:val="0017794D"/>
    <w:rPr>
      <w:color w:val="605E5C"/>
      <w:shd w:val="clear" w:color="auto" w:fill="E1DFDD"/>
    </w:rPr>
  </w:style>
  <w:style w:type="table" w:customStyle="1" w:styleId="TableauGrille1Clair-Accentuation51">
    <w:name w:val="Tableau Grille 1 Clair - Accentuation 51"/>
    <w:basedOn w:val="TableNormal"/>
    <w:uiPriority w:val="46"/>
    <w:rsid w:val="0044206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9A423A"/>
  </w:style>
  <w:style w:type="paragraph" w:styleId="TOCHeading">
    <w:name w:val="TOC Heading"/>
    <w:basedOn w:val="Heading1"/>
    <w:next w:val="Normal"/>
    <w:uiPriority w:val="39"/>
    <w:unhideWhenUsed/>
    <w:qFormat/>
    <w:rsid w:val="00BF535D"/>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BF535D"/>
    <w:pPr>
      <w:spacing w:after="100"/>
    </w:pPr>
  </w:style>
  <w:style w:type="paragraph" w:styleId="TOC2">
    <w:name w:val="toc 2"/>
    <w:basedOn w:val="Normal"/>
    <w:next w:val="Normal"/>
    <w:autoRedefine/>
    <w:uiPriority w:val="39"/>
    <w:unhideWhenUsed/>
    <w:rsid w:val="00BF535D"/>
    <w:pPr>
      <w:spacing w:after="100"/>
      <w:ind w:left="220"/>
    </w:pPr>
  </w:style>
  <w:style w:type="paragraph" w:styleId="TOC3">
    <w:name w:val="toc 3"/>
    <w:basedOn w:val="Normal"/>
    <w:next w:val="Normal"/>
    <w:autoRedefine/>
    <w:uiPriority w:val="39"/>
    <w:unhideWhenUsed/>
    <w:rsid w:val="00BF535D"/>
    <w:pPr>
      <w:spacing w:after="100"/>
      <w:ind w:left="440"/>
    </w:pPr>
  </w:style>
  <w:style w:type="paragraph" w:customStyle="1" w:styleId="xmsonormal">
    <w:name w:val="x_msonormal"/>
    <w:basedOn w:val="Normal"/>
    <w:rsid w:val="00DC1DA0"/>
    <w:pPr>
      <w:spacing w:after="0" w:line="240" w:lineRule="auto"/>
    </w:pPr>
    <w:rPr>
      <w:rFonts w:eastAsiaTheme="minorHAns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38289">
      <w:bodyDiv w:val="1"/>
      <w:marLeft w:val="0"/>
      <w:marRight w:val="0"/>
      <w:marTop w:val="0"/>
      <w:marBottom w:val="0"/>
      <w:divBdr>
        <w:top w:val="none" w:sz="0" w:space="0" w:color="auto"/>
        <w:left w:val="none" w:sz="0" w:space="0" w:color="auto"/>
        <w:bottom w:val="none" w:sz="0" w:space="0" w:color="auto"/>
        <w:right w:val="none" w:sz="0" w:space="0" w:color="auto"/>
      </w:divBdr>
    </w:div>
    <w:div w:id="652560255">
      <w:bodyDiv w:val="1"/>
      <w:marLeft w:val="0"/>
      <w:marRight w:val="0"/>
      <w:marTop w:val="0"/>
      <w:marBottom w:val="0"/>
      <w:divBdr>
        <w:top w:val="none" w:sz="0" w:space="0" w:color="auto"/>
        <w:left w:val="none" w:sz="0" w:space="0" w:color="auto"/>
        <w:bottom w:val="none" w:sz="0" w:space="0" w:color="auto"/>
        <w:right w:val="none" w:sz="0" w:space="0" w:color="auto"/>
      </w:divBdr>
    </w:div>
    <w:div w:id="1099372801">
      <w:bodyDiv w:val="1"/>
      <w:marLeft w:val="0"/>
      <w:marRight w:val="0"/>
      <w:marTop w:val="0"/>
      <w:marBottom w:val="0"/>
      <w:divBdr>
        <w:top w:val="none" w:sz="0" w:space="0" w:color="auto"/>
        <w:left w:val="none" w:sz="0" w:space="0" w:color="auto"/>
        <w:bottom w:val="none" w:sz="0" w:space="0" w:color="auto"/>
        <w:right w:val="none" w:sz="0" w:space="0" w:color="auto"/>
      </w:divBdr>
    </w:div>
    <w:div w:id="1407847384">
      <w:bodyDiv w:val="1"/>
      <w:marLeft w:val="0"/>
      <w:marRight w:val="0"/>
      <w:marTop w:val="0"/>
      <w:marBottom w:val="0"/>
      <w:divBdr>
        <w:top w:val="none" w:sz="0" w:space="0" w:color="auto"/>
        <w:left w:val="none" w:sz="0" w:space="0" w:color="auto"/>
        <w:bottom w:val="none" w:sz="0" w:space="0" w:color="auto"/>
        <w:right w:val="none" w:sz="0" w:space="0" w:color="auto"/>
      </w:divBdr>
    </w:div>
    <w:div w:id="1806309689">
      <w:bodyDiv w:val="1"/>
      <w:marLeft w:val="0"/>
      <w:marRight w:val="0"/>
      <w:marTop w:val="0"/>
      <w:marBottom w:val="0"/>
      <w:divBdr>
        <w:top w:val="none" w:sz="0" w:space="0" w:color="auto"/>
        <w:left w:val="none" w:sz="0" w:space="0" w:color="auto"/>
        <w:bottom w:val="none" w:sz="0" w:space="0" w:color="auto"/>
        <w:right w:val="none" w:sz="0" w:space="0" w:color="auto"/>
      </w:divBdr>
      <w:divsChild>
        <w:div w:id="520625050">
          <w:marLeft w:val="0"/>
          <w:marRight w:val="0"/>
          <w:marTop w:val="0"/>
          <w:marBottom w:val="0"/>
          <w:divBdr>
            <w:top w:val="none" w:sz="0" w:space="0" w:color="auto"/>
            <w:left w:val="none" w:sz="0" w:space="0" w:color="auto"/>
            <w:bottom w:val="none" w:sz="0" w:space="0" w:color="auto"/>
            <w:right w:val="none" w:sz="0" w:space="0" w:color="auto"/>
          </w:divBdr>
          <w:divsChild>
            <w:div w:id="999508074">
              <w:marLeft w:val="0"/>
              <w:marRight w:val="0"/>
              <w:marTop w:val="0"/>
              <w:marBottom w:val="0"/>
              <w:divBdr>
                <w:top w:val="none" w:sz="0" w:space="0" w:color="auto"/>
                <w:left w:val="none" w:sz="0" w:space="0" w:color="auto"/>
                <w:bottom w:val="none" w:sz="0" w:space="0" w:color="auto"/>
                <w:right w:val="none" w:sz="0" w:space="0" w:color="auto"/>
              </w:divBdr>
              <w:divsChild>
                <w:div w:id="1060589672">
                  <w:marLeft w:val="0"/>
                  <w:marRight w:val="0"/>
                  <w:marTop w:val="0"/>
                  <w:marBottom w:val="0"/>
                  <w:divBdr>
                    <w:top w:val="none" w:sz="0" w:space="0" w:color="auto"/>
                    <w:left w:val="none" w:sz="0" w:space="0" w:color="auto"/>
                    <w:bottom w:val="none" w:sz="0" w:space="0" w:color="auto"/>
                    <w:right w:val="none" w:sz="0" w:space="0" w:color="auto"/>
                  </w:divBdr>
                  <w:divsChild>
                    <w:div w:id="1888947649">
                      <w:marLeft w:val="0"/>
                      <w:marRight w:val="0"/>
                      <w:marTop w:val="0"/>
                      <w:marBottom w:val="0"/>
                      <w:divBdr>
                        <w:top w:val="none" w:sz="0" w:space="0" w:color="auto"/>
                        <w:left w:val="none" w:sz="0" w:space="0" w:color="auto"/>
                        <w:bottom w:val="none" w:sz="0" w:space="0" w:color="auto"/>
                        <w:right w:val="none" w:sz="0" w:space="0" w:color="auto"/>
                      </w:divBdr>
                      <w:divsChild>
                        <w:div w:id="1970670342">
                          <w:marLeft w:val="0"/>
                          <w:marRight w:val="0"/>
                          <w:marTop w:val="0"/>
                          <w:marBottom w:val="0"/>
                          <w:divBdr>
                            <w:top w:val="none" w:sz="0" w:space="0" w:color="auto"/>
                            <w:left w:val="none" w:sz="0" w:space="0" w:color="auto"/>
                            <w:bottom w:val="none" w:sz="0" w:space="0" w:color="auto"/>
                            <w:right w:val="none" w:sz="0" w:space="0" w:color="auto"/>
                          </w:divBdr>
                          <w:divsChild>
                            <w:div w:id="1512648373">
                              <w:marLeft w:val="0"/>
                              <w:marRight w:val="0"/>
                              <w:marTop w:val="0"/>
                              <w:marBottom w:val="0"/>
                              <w:divBdr>
                                <w:top w:val="none" w:sz="0" w:space="0" w:color="auto"/>
                                <w:left w:val="none" w:sz="0" w:space="0" w:color="auto"/>
                                <w:bottom w:val="none" w:sz="0" w:space="0" w:color="auto"/>
                                <w:right w:val="none" w:sz="0" w:space="0" w:color="auto"/>
                              </w:divBdr>
                              <w:divsChild>
                                <w:div w:id="1668627649">
                                  <w:marLeft w:val="0"/>
                                  <w:marRight w:val="0"/>
                                  <w:marTop w:val="0"/>
                                  <w:marBottom w:val="0"/>
                                  <w:divBdr>
                                    <w:top w:val="none" w:sz="0" w:space="0" w:color="auto"/>
                                    <w:left w:val="none" w:sz="0" w:space="0" w:color="auto"/>
                                    <w:bottom w:val="none" w:sz="0" w:space="0" w:color="auto"/>
                                    <w:right w:val="none" w:sz="0" w:space="0" w:color="auto"/>
                                  </w:divBdr>
                                  <w:divsChild>
                                    <w:div w:id="1507482373">
                                      <w:marLeft w:val="0"/>
                                      <w:marRight w:val="0"/>
                                      <w:marTop w:val="0"/>
                                      <w:marBottom w:val="0"/>
                                      <w:divBdr>
                                        <w:top w:val="none" w:sz="0" w:space="0" w:color="auto"/>
                                        <w:left w:val="none" w:sz="0" w:space="0" w:color="auto"/>
                                        <w:bottom w:val="none" w:sz="0" w:space="0" w:color="auto"/>
                                        <w:right w:val="none" w:sz="0" w:space="0" w:color="auto"/>
                                      </w:divBdr>
                                      <w:divsChild>
                                        <w:div w:id="517473099">
                                          <w:marLeft w:val="0"/>
                                          <w:marRight w:val="0"/>
                                          <w:marTop w:val="0"/>
                                          <w:marBottom w:val="0"/>
                                          <w:divBdr>
                                            <w:top w:val="none" w:sz="0" w:space="0" w:color="auto"/>
                                            <w:left w:val="none" w:sz="0" w:space="0" w:color="auto"/>
                                            <w:bottom w:val="none" w:sz="0" w:space="0" w:color="auto"/>
                                            <w:right w:val="none" w:sz="0" w:space="0" w:color="auto"/>
                                          </w:divBdr>
                                          <w:divsChild>
                                            <w:div w:id="187372352">
                                              <w:marLeft w:val="0"/>
                                              <w:marRight w:val="0"/>
                                              <w:marTop w:val="0"/>
                                              <w:marBottom w:val="0"/>
                                              <w:divBdr>
                                                <w:top w:val="none" w:sz="0" w:space="0" w:color="auto"/>
                                                <w:left w:val="none" w:sz="0" w:space="0" w:color="auto"/>
                                                <w:bottom w:val="none" w:sz="0" w:space="0" w:color="auto"/>
                                                <w:right w:val="none" w:sz="0" w:space="0" w:color="auto"/>
                                              </w:divBdr>
                                              <w:divsChild>
                                                <w:div w:id="435104281">
                                                  <w:marLeft w:val="0"/>
                                                  <w:marRight w:val="0"/>
                                                  <w:marTop w:val="0"/>
                                                  <w:marBottom w:val="0"/>
                                                  <w:divBdr>
                                                    <w:top w:val="none" w:sz="0" w:space="0" w:color="auto"/>
                                                    <w:left w:val="none" w:sz="0" w:space="0" w:color="auto"/>
                                                    <w:bottom w:val="none" w:sz="0" w:space="0" w:color="auto"/>
                                                    <w:right w:val="none" w:sz="0" w:space="0" w:color="auto"/>
                                                  </w:divBdr>
                                                  <w:divsChild>
                                                    <w:div w:id="1391608971">
                                                      <w:marLeft w:val="0"/>
                                                      <w:marRight w:val="0"/>
                                                      <w:marTop w:val="0"/>
                                                      <w:marBottom w:val="0"/>
                                                      <w:divBdr>
                                                        <w:top w:val="single" w:sz="6" w:space="0" w:color="ABABAB"/>
                                                        <w:left w:val="single" w:sz="6" w:space="0" w:color="ABABAB"/>
                                                        <w:bottom w:val="none" w:sz="0" w:space="0" w:color="auto"/>
                                                        <w:right w:val="single" w:sz="6" w:space="0" w:color="ABABAB"/>
                                                      </w:divBdr>
                                                      <w:divsChild>
                                                        <w:div w:id="1376583712">
                                                          <w:marLeft w:val="0"/>
                                                          <w:marRight w:val="0"/>
                                                          <w:marTop w:val="0"/>
                                                          <w:marBottom w:val="0"/>
                                                          <w:divBdr>
                                                            <w:top w:val="none" w:sz="0" w:space="0" w:color="auto"/>
                                                            <w:left w:val="none" w:sz="0" w:space="0" w:color="auto"/>
                                                            <w:bottom w:val="none" w:sz="0" w:space="0" w:color="auto"/>
                                                            <w:right w:val="none" w:sz="0" w:space="0" w:color="auto"/>
                                                          </w:divBdr>
                                                          <w:divsChild>
                                                            <w:div w:id="1116287632">
                                                              <w:marLeft w:val="0"/>
                                                              <w:marRight w:val="0"/>
                                                              <w:marTop w:val="0"/>
                                                              <w:marBottom w:val="0"/>
                                                              <w:divBdr>
                                                                <w:top w:val="none" w:sz="0" w:space="0" w:color="auto"/>
                                                                <w:left w:val="none" w:sz="0" w:space="0" w:color="auto"/>
                                                                <w:bottom w:val="none" w:sz="0" w:space="0" w:color="auto"/>
                                                                <w:right w:val="none" w:sz="0" w:space="0" w:color="auto"/>
                                                              </w:divBdr>
                                                              <w:divsChild>
                                                                <w:div w:id="1518883050">
                                                                  <w:marLeft w:val="0"/>
                                                                  <w:marRight w:val="0"/>
                                                                  <w:marTop w:val="0"/>
                                                                  <w:marBottom w:val="0"/>
                                                                  <w:divBdr>
                                                                    <w:top w:val="none" w:sz="0" w:space="0" w:color="auto"/>
                                                                    <w:left w:val="none" w:sz="0" w:space="0" w:color="auto"/>
                                                                    <w:bottom w:val="none" w:sz="0" w:space="0" w:color="auto"/>
                                                                    <w:right w:val="none" w:sz="0" w:space="0" w:color="auto"/>
                                                                  </w:divBdr>
                                                                  <w:divsChild>
                                                                    <w:div w:id="146634479">
                                                                      <w:marLeft w:val="0"/>
                                                                      <w:marRight w:val="0"/>
                                                                      <w:marTop w:val="0"/>
                                                                      <w:marBottom w:val="0"/>
                                                                      <w:divBdr>
                                                                        <w:top w:val="none" w:sz="0" w:space="0" w:color="auto"/>
                                                                        <w:left w:val="none" w:sz="0" w:space="0" w:color="auto"/>
                                                                        <w:bottom w:val="none" w:sz="0" w:space="0" w:color="auto"/>
                                                                        <w:right w:val="none" w:sz="0" w:space="0" w:color="auto"/>
                                                                      </w:divBdr>
                                                                      <w:divsChild>
                                                                        <w:div w:id="1662344756">
                                                                          <w:marLeft w:val="-75"/>
                                                                          <w:marRight w:val="0"/>
                                                                          <w:marTop w:val="30"/>
                                                                          <w:marBottom w:val="30"/>
                                                                          <w:divBdr>
                                                                            <w:top w:val="none" w:sz="0" w:space="0" w:color="auto"/>
                                                                            <w:left w:val="none" w:sz="0" w:space="0" w:color="auto"/>
                                                                            <w:bottom w:val="none" w:sz="0" w:space="0" w:color="auto"/>
                                                                            <w:right w:val="none" w:sz="0" w:space="0" w:color="auto"/>
                                                                          </w:divBdr>
                                                                          <w:divsChild>
                                                                            <w:div w:id="683550981">
                                                                              <w:marLeft w:val="0"/>
                                                                              <w:marRight w:val="0"/>
                                                                              <w:marTop w:val="0"/>
                                                                              <w:marBottom w:val="0"/>
                                                                              <w:divBdr>
                                                                                <w:top w:val="none" w:sz="0" w:space="0" w:color="auto"/>
                                                                                <w:left w:val="none" w:sz="0" w:space="0" w:color="auto"/>
                                                                                <w:bottom w:val="none" w:sz="0" w:space="0" w:color="auto"/>
                                                                                <w:right w:val="none" w:sz="0" w:space="0" w:color="auto"/>
                                                                              </w:divBdr>
                                                                              <w:divsChild>
                                                                                <w:div w:id="327296007">
                                                                                  <w:marLeft w:val="0"/>
                                                                                  <w:marRight w:val="0"/>
                                                                                  <w:marTop w:val="0"/>
                                                                                  <w:marBottom w:val="0"/>
                                                                                  <w:divBdr>
                                                                                    <w:top w:val="none" w:sz="0" w:space="0" w:color="auto"/>
                                                                                    <w:left w:val="none" w:sz="0" w:space="0" w:color="auto"/>
                                                                                    <w:bottom w:val="none" w:sz="0" w:space="0" w:color="auto"/>
                                                                                    <w:right w:val="none" w:sz="0" w:space="0" w:color="auto"/>
                                                                                  </w:divBdr>
                                                                                  <w:divsChild>
                                                                                    <w:div w:id="126362527">
                                                                                      <w:marLeft w:val="0"/>
                                                                                      <w:marRight w:val="0"/>
                                                                                      <w:marTop w:val="0"/>
                                                                                      <w:marBottom w:val="0"/>
                                                                                      <w:divBdr>
                                                                                        <w:top w:val="none" w:sz="0" w:space="0" w:color="auto"/>
                                                                                        <w:left w:val="none" w:sz="0" w:space="0" w:color="auto"/>
                                                                                        <w:bottom w:val="none" w:sz="0" w:space="0" w:color="auto"/>
                                                                                        <w:right w:val="none" w:sz="0" w:space="0" w:color="auto"/>
                                                                                      </w:divBdr>
                                                                                      <w:divsChild>
                                                                                        <w:div w:id="665745777">
                                                                                          <w:marLeft w:val="0"/>
                                                                                          <w:marRight w:val="0"/>
                                                                                          <w:marTop w:val="0"/>
                                                                                          <w:marBottom w:val="0"/>
                                                                                          <w:divBdr>
                                                                                            <w:top w:val="none" w:sz="0" w:space="0" w:color="auto"/>
                                                                                            <w:left w:val="none" w:sz="0" w:space="0" w:color="auto"/>
                                                                                            <w:bottom w:val="none" w:sz="0" w:space="0" w:color="auto"/>
                                                                                            <w:right w:val="none" w:sz="0" w:space="0" w:color="auto"/>
                                                                                          </w:divBdr>
                                                                                          <w:divsChild>
                                                                                            <w:div w:id="1604604778">
                                                                                              <w:marLeft w:val="0"/>
                                                                                              <w:marRight w:val="0"/>
                                                                                              <w:marTop w:val="0"/>
                                                                                              <w:marBottom w:val="0"/>
                                                                                              <w:divBdr>
                                                                                                <w:top w:val="none" w:sz="0" w:space="0" w:color="auto"/>
                                                                                                <w:left w:val="none" w:sz="0" w:space="0" w:color="auto"/>
                                                                                                <w:bottom w:val="none" w:sz="0" w:space="0" w:color="auto"/>
                                                                                                <w:right w:val="none" w:sz="0" w:space="0" w:color="auto"/>
                                                                                              </w:divBdr>
                                                                                              <w:divsChild>
                                                                                                <w:div w:id="1578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412878">
      <w:bodyDiv w:val="1"/>
      <w:marLeft w:val="0"/>
      <w:marRight w:val="0"/>
      <w:marTop w:val="0"/>
      <w:marBottom w:val="0"/>
      <w:divBdr>
        <w:top w:val="none" w:sz="0" w:space="0" w:color="auto"/>
        <w:left w:val="none" w:sz="0" w:space="0" w:color="auto"/>
        <w:bottom w:val="none" w:sz="0" w:space="0" w:color="auto"/>
        <w:right w:val="none" w:sz="0" w:space="0" w:color="auto"/>
      </w:divBdr>
    </w:div>
    <w:div w:id="191646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p-druginteractions.org/check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calc.com/ast-platelet-ratio-index-apr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1dc8e9d-c2d7-4f1e-a8b8-6d152e0fdc8f">
      <UserInfo>
        <DisplayName/>
        <AccountId xsi:nil="true"/>
        <AccountType/>
      </UserInfo>
    </SharedWithUsers>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MediaLengthInSeconds xmlns="57d60e0b-bbcc-4e8c-ae17-1bc07bf7b2a6" xsi:nil="true"/>
  </documentManagement>
</p:properties>
</file>

<file path=customXml/itemProps1.xml><?xml version="1.0" encoding="utf-8"?>
<ds:datastoreItem xmlns:ds="http://schemas.openxmlformats.org/officeDocument/2006/customXml" ds:itemID="{D197632D-B1D7-4964-A940-C07EB47EE5E1}">
  <ds:schemaRefs>
    <ds:schemaRef ds:uri="http://schemas.openxmlformats.org/officeDocument/2006/bibliography"/>
  </ds:schemaRefs>
</ds:datastoreItem>
</file>

<file path=customXml/itemProps2.xml><?xml version="1.0" encoding="utf-8"?>
<ds:datastoreItem xmlns:ds="http://schemas.openxmlformats.org/officeDocument/2006/customXml" ds:itemID="{82B99ACB-E49D-441E-978F-3A60F15D1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EB68D-C15A-4CFC-BEB4-454F7E9E3D8E}">
  <ds:schemaRefs>
    <ds:schemaRef ds:uri="http://schemas.microsoft.com/sharepoint/v3/contenttype/forms"/>
  </ds:schemaRefs>
</ds:datastoreItem>
</file>

<file path=customXml/itemProps4.xml><?xml version="1.0" encoding="utf-8"?>
<ds:datastoreItem xmlns:ds="http://schemas.openxmlformats.org/officeDocument/2006/customXml" ds:itemID="{122CE102-C3F1-44F0-B69B-E002E6A4FDE7}">
  <ds:schemaRefs>
    <ds:schemaRef ds:uri="20c1abfa-485b-41c9-a329-38772ca1fd48"/>
    <ds:schemaRef ds:uri="http://schemas.microsoft.com/office/2006/documentManagement/types"/>
    <ds:schemaRef ds:uri="http://schemas.microsoft.com/office/infopath/2007/PartnerControls"/>
    <ds:schemaRef ds:uri="57d60e0b-bbcc-4e8c-ae17-1bc07bf7b2a6"/>
    <ds:schemaRef ds:uri="http://purl.org/dc/elements/1.1/"/>
    <ds:schemaRef ds:uri="http://schemas.microsoft.com/office/2006/metadata/properties"/>
    <ds:schemaRef ds:uri="http://schemas.openxmlformats.org/package/2006/metadata/core-properties"/>
    <ds:schemaRef ds:uri="http://purl.org/dc/terms/"/>
    <ds:schemaRef ds:uri="d1dc8e9d-c2d7-4f1e-a8b8-6d152e0fdc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11</Pages>
  <Words>3498</Words>
  <Characters>19941</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 - Paris</Company>
  <LinksUpToDate>false</LinksUpToDate>
  <CharactersWithSpaces>23393</CharactersWithSpaces>
  <SharedDoc>false</SharedDoc>
  <HLinks>
    <vt:vector size="12" baseType="variant">
      <vt:variant>
        <vt:i4>95</vt:i4>
      </vt:variant>
      <vt:variant>
        <vt:i4>3</vt:i4>
      </vt:variant>
      <vt:variant>
        <vt:i4>0</vt:i4>
      </vt:variant>
      <vt:variant>
        <vt:i4>5</vt:i4>
      </vt:variant>
      <vt:variant>
        <vt:lpwstr>https://www.hep-druginteractions.org/checker</vt:lpwstr>
      </vt:variant>
      <vt:variant>
        <vt:lpwstr/>
      </vt:variant>
      <vt:variant>
        <vt:i4>1245213</vt:i4>
      </vt:variant>
      <vt:variant>
        <vt:i4>0</vt:i4>
      </vt:variant>
      <vt:variant>
        <vt:i4>0</vt:i4>
      </vt:variant>
      <vt:variant>
        <vt:i4>5</vt:i4>
      </vt:variant>
      <vt:variant>
        <vt:lpwstr>https://www.mdcalc.com/ast-platelet-ratio-index-apri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GUGLIELMETTI</dc:creator>
  <cp:keywords/>
  <cp:lastModifiedBy>Marhaba</cp:lastModifiedBy>
  <cp:revision>55</cp:revision>
  <cp:lastPrinted>2023-11-30T10:05:00Z</cp:lastPrinted>
  <dcterms:created xsi:type="dcterms:W3CDTF">2023-10-11T09:04:00Z</dcterms:created>
  <dcterms:modified xsi:type="dcterms:W3CDTF">2024-09-02T15:43:00Z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
  </property>
  <property fmtid="{D5CDD505-2E9C-101B-9397-08002B2CF9AE}" pid="3" name="ContentTypeId">
    <vt:lpwstr>0x0101008A725E7E39776844B9FB9FC2FCA9A30F</vt:lpwstr>
  </property>
  <property fmtid="{D5CDD505-2E9C-101B-9397-08002B2CF9AE}" pid="4" name="endTBStructureCountries">
    <vt:lpwstr/>
  </property>
  <property fmtid="{D5CDD505-2E9C-101B-9397-08002B2CF9AE}" pid="5" name="AuthorIds_UIVersion_5120">
    <vt:lpwstr>216</vt:lpwstr>
  </property>
  <property fmtid="{D5CDD505-2E9C-101B-9397-08002B2CF9AE}" pid="6" name="AuthorIds_UIVersion_6656">
    <vt:lpwstr>216</vt:lpwstr>
  </property>
  <property fmtid="{D5CDD505-2E9C-101B-9397-08002B2CF9AE}" pid="7" name="AuthorIds_UIVersion_8704">
    <vt:lpwstr>93</vt:lpwstr>
  </property>
  <property fmtid="{D5CDD505-2E9C-101B-9397-08002B2CF9AE}" pid="8" name="AuthorIds_UIVersion_11264">
    <vt:lpwstr>93</vt:lpwstr>
  </property>
  <property fmtid="{D5CDD505-2E9C-101B-9397-08002B2CF9AE}" pid="9" name="Order">
    <vt:r8>1017600</vt:r8>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y fmtid="{D5CDD505-2E9C-101B-9397-08002B2CF9AE}" pid="17" name="endTBClinicalTrial">
    <vt:lpwstr>endTB</vt:lpwstr>
  </property>
  <property fmtid="{D5CDD505-2E9C-101B-9397-08002B2CF9AE}" pid="18" name="endTBStatusDocument">
    <vt:lpwstr>Final</vt:lpwstr>
  </property>
  <property fmtid="{D5CDD505-2E9C-101B-9397-08002B2CF9AE}" pid="19" name="TriggerFlowInfo">
    <vt:lpwstr/>
  </property>
</Properties>
</file>